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August 27, 2009</w:t>
      </w:r>
    </w:p>
    <w:p>
      <w:pPr>
        <w:spacing w:after="0" w:line="19" w:lineRule="exact"/>
        <w:rPr>
          <w:sz w:val="20"/>
          <w:szCs w:val="20"/>
          <w:color w:val="auto"/>
        </w:rPr>
      </w:pPr>
    </w:p>
    <w:p>
      <w:pPr>
        <w:ind w:left="9740"/>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20320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jc w:val="center"/>
        <w:ind w:right="-339"/>
        <w:spacing w:after="0" w:line="231" w:lineRule="auto"/>
        <w:rPr>
          <w:sz w:val="20"/>
          <w:szCs w:val="20"/>
          <w:color w:val="auto"/>
        </w:rPr>
      </w:pPr>
      <w:r>
        <w:rPr>
          <w:rFonts w:ascii="Arial" w:cs="Arial" w:eastAsia="Arial" w:hAnsi="Arial"/>
          <w:sz w:val="24"/>
          <w:szCs w:val="24"/>
          <w:b w:val="1"/>
          <w:bCs w:val="1"/>
          <w:color w:val="auto"/>
        </w:rPr>
        <w:t>Form S-1</w:t>
      </w:r>
    </w:p>
    <w:p>
      <w:pPr>
        <w:ind w:left="4620"/>
        <w:spacing w:after="0" w:line="232" w:lineRule="auto"/>
        <w:rPr>
          <w:sz w:val="20"/>
          <w:szCs w:val="20"/>
          <w:color w:val="auto"/>
        </w:rPr>
      </w:pPr>
      <w:r>
        <w:rPr>
          <w:rFonts w:ascii="Arial" w:cs="Arial" w:eastAsia="Arial" w:hAnsi="Arial"/>
          <w:sz w:val="16"/>
          <w:szCs w:val="16"/>
          <w:b w:val="1"/>
          <w:bCs w:val="1"/>
          <w:color w:val="auto"/>
        </w:rPr>
        <w:t>REGISTRATION STATEMENT</w:t>
      </w: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25" w:lineRule="exact"/>
        <w:rPr>
          <w:sz w:val="20"/>
          <w:szCs w:val="20"/>
          <w:color w:val="auto"/>
        </w:rPr>
      </w:pPr>
    </w:p>
    <w:p>
      <w:pPr>
        <w:ind w:left="19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380"/>
        <w:spacing w:after="0"/>
        <w:rPr>
          <w:sz w:val="20"/>
          <w:szCs w:val="20"/>
          <w:color w:val="auto"/>
        </w:rPr>
      </w:pPr>
      <w:r>
        <w:rPr>
          <w:rFonts w:ascii="Arial" w:cs="Arial" w:eastAsia="Arial" w:hAnsi="Arial"/>
          <w:sz w:val="11"/>
          <w:szCs w:val="11"/>
          <w:b w:val="1"/>
          <w:bCs w:val="1"/>
          <w:color w:val="auto"/>
        </w:rPr>
        <w:t>8221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20-3356009</w:t>
      </w:r>
    </w:p>
    <w:p>
      <w:pPr>
        <w:spacing w:after="0" w:line="32" w:lineRule="exact"/>
        <w:rPr>
          <w:sz w:val="20"/>
          <w:szCs w:val="20"/>
          <w:color w:val="auto"/>
        </w:rPr>
      </w:pPr>
    </w:p>
    <w:p>
      <w:pPr>
        <w:sectPr>
          <w:pgSz w:w="11900" w:h="16838" w:orient="portrait"/>
          <w:cols w:equalWidth="0" w:num="3">
            <w:col w:w="5000" w:space="720"/>
            <w:col w:w="2640" w:space="720"/>
            <w:col w:w="2040"/>
          </w:cols>
          <w:pgMar w:left="220" w:top="127" w:right="559" w:bottom="1440" w:gutter="0" w:footer="0" w:header="0"/>
          <w:type w:val="continuous"/>
        </w:sectPr>
      </w:pPr>
    </w:p>
    <w:p>
      <w:pPr>
        <w:spacing w:after="0" w:line="10"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46"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3"/>
          <w:szCs w:val="13"/>
          <w:b w:val="1"/>
          <w:bCs w:val="1"/>
          <w:color w:val="auto"/>
        </w:rPr>
        <w:t>3300 W. Camelback Road</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Phoenix, Arizona 85017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(602) 639-7500</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46"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Christopher C. Richardson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General Counsel</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Grand Canyon Education, Inc.</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3300 W. Camelback Road</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Phoenix, Arizona 85017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(602) 639-7500</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3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15" w:lineRule="exact"/>
        <w:rPr>
          <w:sz w:val="20"/>
          <w:szCs w:val="20"/>
          <w:color w:val="auto"/>
        </w:rPr>
      </w:pPr>
    </w:p>
    <w:tbl>
      <w:tblPr>
        <w:tblLayout w:type="fixed"/>
        <w:tblInd w:w="1900" w:type="dxa"/>
        <w:tblCellMar>
          <w:top w:w="0" w:type="dxa"/>
          <w:left w:w="0" w:type="dxa"/>
          <w:bottom w:w="0" w:type="dxa"/>
          <w:right w:w="0" w:type="dxa"/>
        </w:tblCellMar>
      </w:tblPr>
      <w:tr>
        <w:trPr>
          <w:trHeight w:val="156"/>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0"/>
              </w:rPr>
              <w:t>David P. Lewis, Esq.</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1"/>
              </w:rPr>
              <w:t>Mark A. Stegemoeller, Esq.</w:t>
            </w:r>
          </w:p>
        </w:tc>
      </w:tr>
      <w:tr>
        <w:trPr>
          <w:trHeight w:val="157"/>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7"/>
              </w:rPr>
              <w:t>DLA Piper LLP (US)</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6"/>
              </w:rPr>
              <w:t>Latham &amp; Watkins LLP</w:t>
            </w:r>
          </w:p>
        </w:tc>
      </w:tr>
      <w:tr>
        <w:trPr>
          <w:trHeight w:val="157"/>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0"/>
              </w:rPr>
              <w:t>2525 East Camelback Road, Suite 1000</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0"/>
              </w:rPr>
              <w:t>355 South Grand Avenue</w:t>
            </w:r>
          </w:p>
        </w:tc>
      </w:tr>
      <w:tr>
        <w:trPr>
          <w:trHeight w:val="157"/>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2"/>
              </w:rPr>
              <w:t>Phoenix, Arizona 85016</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1"/>
              </w:rPr>
              <w:t>Los Angeles, California 90071</w:t>
            </w:r>
          </w:p>
        </w:tc>
      </w:tr>
      <w:tr>
        <w:trPr>
          <w:trHeight w:val="169"/>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2"/>
              </w:rPr>
              <w:t>(480) 606-5100</w:t>
            </w:r>
          </w:p>
        </w:tc>
        <w:tc>
          <w:tcPr>
            <w:tcW w:w="3460" w:type="dxa"/>
            <w:vAlign w:val="bottom"/>
          </w:tcPr>
          <w:p>
            <w:pPr>
              <w:jc w:val="center"/>
              <w:ind w:left="1734"/>
              <w:spacing w:after="0"/>
              <w:rPr>
                <w:sz w:val="20"/>
                <w:szCs w:val="20"/>
                <w:color w:val="auto"/>
              </w:rPr>
            </w:pPr>
            <w:r>
              <w:rPr>
                <w:rFonts w:ascii="Arial" w:cs="Arial" w:eastAsia="Arial" w:hAnsi="Arial"/>
                <w:sz w:val="13"/>
                <w:szCs w:val="13"/>
                <w:b w:val="1"/>
                <w:bCs w:val="1"/>
                <w:color w:val="auto"/>
                <w:w w:val="92"/>
              </w:rPr>
              <w:t>(213) 485-1234</w:t>
            </w:r>
          </w:p>
        </w:tc>
      </w:tr>
    </w:tbl>
    <w:p>
      <w:pPr>
        <w:spacing w:after="0" w:line="38"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68" w:lineRule="exact"/>
        <w:rPr>
          <w:sz w:val="20"/>
          <w:szCs w:val="20"/>
          <w:color w:val="auto"/>
        </w:rPr>
      </w:pPr>
    </w:p>
    <w:p>
      <w:pPr>
        <w:ind w:left="340" w:right="22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Large accelerated filer o</w:t>
            </w:r>
          </w:p>
        </w:tc>
        <w:tc>
          <w:tcPr>
            <w:tcW w:w="1620" w:type="dxa"/>
            <w:vAlign w:val="bottom"/>
          </w:tcPr>
          <w:p>
            <w:pPr>
              <w:ind w:left="320"/>
              <w:spacing w:after="0"/>
              <w:rPr>
                <w:sz w:val="20"/>
                <w:szCs w:val="20"/>
                <w:color w:val="auto"/>
              </w:rPr>
            </w:pPr>
            <w:r>
              <w:rPr>
                <w:rFonts w:ascii="Arial" w:cs="Arial" w:eastAsia="Arial" w:hAnsi="Arial"/>
                <w:sz w:val="13"/>
                <w:szCs w:val="13"/>
                <w:color w:val="auto"/>
              </w:rPr>
              <w:t>Accelerated filer o</w:t>
            </w:r>
          </w:p>
        </w:tc>
        <w:tc>
          <w:tcPr>
            <w:tcW w:w="3040" w:type="dxa"/>
            <w:vAlign w:val="bottom"/>
            <w:gridSpan w:val="3"/>
          </w:tcPr>
          <w:p>
            <w:pPr>
              <w:ind w:left="12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128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3"/>
                <w:szCs w:val="13"/>
                <w:color w:val="auto"/>
                <w:w w:val="92"/>
              </w:rPr>
              <w:t>Smaller reporting company o</w:t>
            </w: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40" w:type="dxa"/>
            <w:vAlign w:val="bottom"/>
            <w:gridSpan w:val="3"/>
          </w:tcPr>
          <w:p>
            <w:pPr>
              <w:ind w:left="500"/>
              <w:spacing w:after="0"/>
              <w:rPr>
                <w:sz w:val="20"/>
                <w:szCs w:val="20"/>
                <w:color w:val="auto"/>
              </w:rPr>
            </w:pPr>
            <w:r>
              <w:rPr>
                <w:rFonts w:ascii="Arial" w:cs="Arial" w:eastAsia="Arial" w:hAnsi="Arial"/>
                <w:sz w:val="13"/>
                <w:szCs w:val="13"/>
                <w:color w:val="auto"/>
                <w:w w:val="95"/>
              </w:rPr>
              <w:t>(Do not check if a smaller reporting company)</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1"/>
                <w:szCs w:val="21"/>
                <w:color w:val="auto"/>
              </w:rPr>
            </w:pPr>
          </w:p>
        </w:tc>
        <w:tc>
          <w:tcPr>
            <w:tcW w:w="3420" w:type="dxa"/>
            <w:vAlign w:val="bottom"/>
            <w:gridSpan w:val="3"/>
          </w:tcPr>
          <w:p>
            <w:pPr>
              <w:ind w:left="900"/>
              <w:spacing w:after="0"/>
              <w:rPr>
                <w:sz w:val="20"/>
                <w:szCs w:val="20"/>
                <w:color w:val="auto"/>
              </w:rPr>
            </w:pPr>
            <w:r>
              <w:rPr>
                <w:rFonts w:ascii="Arial" w:cs="Arial" w:eastAsia="Arial" w:hAnsi="Arial"/>
                <w:sz w:val="13"/>
                <w:szCs w:val="13"/>
                <w:b w:val="1"/>
                <w:bCs w:val="1"/>
                <w:color w:val="auto"/>
              </w:rPr>
              <w:t>CALCULATION OF REGISTRATION FEE</w:t>
            </w: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3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240" w:type="dxa"/>
            <w:vAlign w:val="bottom"/>
            <w:tcBorders>
              <w:top w:val="single" w:sz="8" w:color="auto"/>
            </w:tcBorders>
            <w:vMerge w:val="restart"/>
          </w:tcPr>
          <w:p>
            <w:pPr>
              <w:jc w:val="center"/>
              <w:ind w:left="1463"/>
              <w:spacing w:after="0"/>
              <w:rPr>
                <w:sz w:val="20"/>
                <w:szCs w:val="20"/>
                <w:color w:val="auto"/>
              </w:rPr>
            </w:pPr>
            <w:r>
              <w:rPr>
                <w:rFonts w:ascii="Arial" w:cs="Arial" w:eastAsia="Arial" w:hAnsi="Arial"/>
                <w:sz w:val="10"/>
                <w:szCs w:val="10"/>
                <w:b w:val="1"/>
                <w:bCs w:val="1"/>
                <w:color w:val="auto"/>
                <w:w w:val="94"/>
              </w:rPr>
              <w:t>Title of Each Class of</w:t>
            </w:r>
          </w:p>
        </w:tc>
        <w:tc>
          <w:tcPr>
            <w:tcW w:w="1620" w:type="dxa"/>
            <w:vAlign w:val="bottom"/>
            <w:tcBorders>
              <w:top w:val="single" w:sz="8" w:color="auto"/>
              <w:right w:val="single" w:sz="8" w:color="auto"/>
            </w:tcBorders>
          </w:tcPr>
          <w:p>
            <w:pPr>
              <w:spacing w:after="0"/>
              <w:rPr>
                <w:sz w:val="7"/>
                <w:szCs w:val="7"/>
                <w:color w:val="auto"/>
              </w:rPr>
            </w:pPr>
          </w:p>
        </w:tc>
        <w:tc>
          <w:tcPr>
            <w:tcW w:w="1520" w:type="dxa"/>
            <w:vAlign w:val="bottom"/>
            <w:tcBorders>
              <w:top w:val="single" w:sz="8" w:color="auto"/>
              <w:right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40" w:type="dxa"/>
            <w:vAlign w:val="bottom"/>
            <w:tcBorders>
              <w:top w:val="single" w:sz="8" w:color="auto"/>
              <w:right w:val="single" w:sz="8" w:color="auto"/>
            </w:tcBorders>
          </w:tcPr>
          <w:p>
            <w:pPr>
              <w:jc w:val="center"/>
              <w:ind w:right="246"/>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280" w:type="dxa"/>
            <w:vAlign w:val="bottom"/>
            <w:tcBorders>
              <w:top w:val="single" w:sz="8" w:color="auto"/>
            </w:tcBorders>
          </w:tcPr>
          <w:p>
            <w:pPr>
              <w:jc w:val="center"/>
              <w:ind w:left="166"/>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220" w:type="dxa"/>
            <w:vAlign w:val="bottom"/>
            <w:tcBorders>
              <w:top w:val="single" w:sz="8" w:color="auto"/>
              <w:right w:val="single" w:sz="8" w:color="auto"/>
            </w:tcBorders>
          </w:tcPr>
          <w:p>
            <w:pPr>
              <w:spacing w:after="0"/>
              <w:rPr>
                <w:sz w:val="7"/>
                <w:szCs w:val="7"/>
                <w:color w:val="auto"/>
              </w:rPr>
            </w:pPr>
          </w:p>
        </w:tc>
        <w:tc>
          <w:tcPr>
            <w:tcW w:w="1380" w:type="dxa"/>
            <w:vAlign w:val="bottom"/>
            <w:tcBorders>
              <w:top w:val="single" w:sz="8" w:color="auto"/>
            </w:tcBorders>
          </w:tcPr>
          <w:p>
            <w:pPr>
              <w:jc w:val="center"/>
              <w:ind w:left="46"/>
              <w:spacing w:after="0" w:line="92" w:lineRule="exact"/>
              <w:rPr>
                <w:sz w:val="20"/>
                <w:szCs w:val="20"/>
                <w:color w:val="auto"/>
              </w:rPr>
            </w:pPr>
            <w:r>
              <w:rPr>
                <w:rFonts w:ascii="Arial" w:cs="Arial" w:eastAsia="Arial" w:hAnsi="Arial"/>
                <w:sz w:val="10"/>
                <w:szCs w:val="10"/>
                <w:b w:val="1"/>
                <w:bCs w:val="1"/>
                <w:color w:val="auto"/>
                <w:w w:val="95"/>
              </w:rPr>
              <w:t>Amount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4"/>
              </w:rPr>
              <w:t>Amount to be Registered</w:t>
            </w:r>
          </w:p>
        </w:tc>
        <w:tc>
          <w:tcPr>
            <w:tcW w:w="280" w:type="dxa"/>
            <w:vAlign w:val="bottom"/>
          </w:tcPr>
          <w:p>
            <w:pPr>
              <w:spacing w:after="0"/>
              <w:rPr>
                <w:sz w:val="9"/>
                <w:szCs w:val="9"/>
                <w:color w:val="auto"/>
              </w:rPr>
            </w:pPr>
          </w:p>
        </w:tc>
        <w:tc>
          <w:tcPr>
            <w:tcW w:w="1240" w:type="dxa"/>
            <w:vAlign w:val="bottom"/>
            <w:tcBorders>
              <w:right w:val="single" w:sz="8" w:color="auto"/>
            </w:tcBorders>
          </w:tcPr>
          <w:p>
            <w:pPr>
              <w:jc w:val="center"/>
              <w:ind w:right="246"/>
              <w:spacing w:after="0" w:line="108" w:lineRule="exact"/>
              <w:rPr>
                <w:sz w:val="20"/>
                <w:szCs w:val="20"/>
                <w:color w:val="auto"/>
              </w:rPr>
            </w:pPr>
            <w:r>
              <w:rPr>
                <w:rFonts w:ascii="Arial" w:cs="Arial" w:eastAsia="Arial" w:hAnsi="Arial"/>
                <w:sz w:val="10"/>
                <w:szCs w:val="10"/>
                <w:b w:val="1"/>
                <w:bCs w:val="1"/>
                <w:color w:val="auto"/>
                <w:w w:val="97"/>
              </w:rPr>
              <w:t>Offering</w:t>
            </w:r>
          </w:p>
        </w:tc>
        <w:tc>
          <w:tcPr>
            <w:tcW w:w="1280" w:type="dxa"/>
            <w:vAlign w:val="bottom"/>
          </w:tcPr>
          <w:p>
            <w:pPr>
              <w:jc w:val="center"/>
              <w:ind w:left="166"/>
              <w:spacing w:after="0" w:line="108" w:lineRule="exact"/>
              <w:rPr>
                <w:sz w:val="20"/>
                <w:szCs w:val="20"/>
                <w:color w:val="auto"/>
              </w:rPr>
            </w:pPr>
            <w:r>
              <w:rPr>
                <w:rFonts w:ascii="Arial" w:cs="Arial" w:eastAsia="Arial" w:hAnsi="Arial"/>
                <w:sz w:val="10"/>
                <w:szCs w:val="10"/>
                <w:b w:val="1"/>
                <w:bCs w:val="1"/>
                <w:color w:val="auto"/>
                <w:w w:val="92"/>
              </w:rPr>
              <w:t>Aggregate</w:t>
            </w:r>
          </w:p>
        </w:tc>
        <w:tc>
          <w:tcPr>
            <w:tcW w:w="220" w:type="dxa"/>
            <w:vAlign w:val="bottom"/>
            <w:tcBorders>
              <w:right w:val="single" w:sz="8" w:color="auto"/>
            </w:tcBorders>
          </w:tcPr>
          <w:p>
            <w:pPr>
              <w:spacing w:after="0"/>
              <w:rPr>
                <w:sz w:val="9"/>
                <w:szCs w:val="9"/>
                <w:color w:val="auto"/>
              </w:rPr>
            </w:pPr>
          </w:p>
        </w:tc>
        <w:tc>
          <w:tcPr>
            <w:tcW w:w="1400" w:type="dxa"/>
            <w:vAlign w:val="bottom"/>
            <w:gridSpan w:val="2"/>
          </w:tcPr>
          <w:p>
            <w:pPr>
              <w:jc w:val="center"/>
              <w:ind w:left="26"/>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3240" w:type="dxa"/>
            <w:vAlign w:val="bottom"/>
          </w:tcPr>
          <w:p>
            <w:pPr>
              <w:jc w:val="center"/>
              <w:ind w:left="1463"/>
              <w:spacing w:after="0"/>
              <w:rPr>
                <w:sz w:val="20"/>
                <w:szCs w:val="20"/>
                <w:color w:val="auto"/>
              </w:rPr>
            </w:pPr>
            <w:r>
              <w:rPr>
                <w:rFonts w:ascii="Arial" w:cs="Arial" w:eastAsia="Arial" w:hAnsi="Arial"/>
                <w:sz w:val="10"/>
                <w:szCs w:val="10"/>
                <w:b w:val="1"/>
                <w:bCs w:val="1"/>
                <w:color w:val="auto"/>
                <w:w w:val="92"/>
              </w:rPr>
              <w:t>Security to be Registered</w:t>
            </w:r>
          </w:p>
        </w:tc>
        <w:tc>
          <w:tcPr>
            <w:tcW w:w="16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Borders>
              <w:right w:val="single" w:sz="8" w:color="auto"/>
            </w:tcBorders>
          </w:tcPr>
          <w:p>
            <w:pPr>
              <w:jc w:val="center"/>
              <w:ind w:right="226"/>
              <w:spacing w:after="0"/>
              <w:rPr>
                <w:sz w:val="20"/>
                <w:szCs w:val="20"/>
                <w:color w:val="auto"/>
              </w:rPr>
            </w:pPr>
            <w:r>
              <w:rPr>
                <w:rFonts w:ascii="Arial" w:cs="Arial" w:eastAsia="Arial" w:hAnsi="Arial"/>
                <w:sz w:val="10"/>
                <w:szCs w:val="10"/>
                <w:b w:val="1"/>
                <w:bCs w:val="1"/>
                <w:color w:val="auto"/>
                <w:w w:val="96"/>
              </w:rPr>
              <w:t>Price per Share</w:t>
            </w:r>
            <w:r>
              <w:rPr>
                <w:rFonts w:ascii="Arial" w:cs="Arial" w:eastAsia="Arial" w:hAnsi="Arial"/>
                <w:sz w:val="8"/>
                <w:szCs w:val="8"/>
                <w:b w:val="1"/>
                <w:bCs w:val="1"/>
                <w:color w:val="auto"/>
                <w:w w:val="96"/>
              </w:rPr>
              <w:t>(1)</w:t>
            </w:r>
          </w:p>
        </w:tc>
        <w:tc>
          <w:tcPr>
            <w:tcW w:w="1280" w:type="dxa"/>
            <w:vAlign w:val="bottom"/>
          </w:tcPr>
          <w:p>
            <w:pPr>
              <w:jc w:val="center"/>
              <w:ind w:left="166"/>
              <w:spacing w:after="0"/>
              <w:rPr>
                <w:sz w:val="20"/>
                <w:szCs w:val="20"/>
                <w:color w:val="auto"/>
              </w:rPr>
            </w:pPr>
            <w:r>
              <w:rPr>
                <w:rFonts w:ascii="Arial" w:cs="Arial" w:eastAsia="Arial" w:hAnsi="Arial"/>
                <w:sz w:val="10"/>
                <w:szCs w:val="10"/>
                <w:b w:val="1"/>
                <w:bCs w:val="1"/>
                <w:color w:val="auto"/>
                <w:w w:val="97"/>
              </w:rPr>
              <w:t>Offering Price</w:t>
            </w:r>
            <w:r>
              <w:rPr>
                <w:rFonts w:ascii="Arial" w:cs="Arial" w:eastAsia="Arial" w:hAnsi="Arial"/>
                <w:sz w:val="8"/>
                <w:szCs w:val="8"/>
                <w:b w:val="1"/>
                <w:bCs w:val="1"/>
                <w:color w:val="auto"/>
                <w:w w:val="97"/>
              </w:rPr>
              <w:t>(1)</w:t>
            </w:r>
          </w:p>
        </w:tc>
        <w:tc>
          <w:tcPr>
            <w:tcW w:w="220" w:type="dxa"/>
            <w:vAlign w:val="bottom"/>
            <w:tcBorders>
              <w:right w:val="single" w:sz="8" w:color="auto"/>
            </w:tcBorders>
          </w:tcPr>
          <w:p>
            <w:pPr>
              <w:spacing w:after="0"/>
              <w:rPr>
                <w:sz w:val="10"/>
                <w:szCs w:val="10"/>
                <w:color w:val="auto"/>
              </w:rPr>
            </w:pPr>
          </w:p>
        </w:tc>
        <w:tc>
          <w:tcPr>
            <w:tcW w:w="1400" w:type="dxa"/>
            <w:vAlign w:val="bottom"/>
            <w:gridSpan w:val="2"/>
          </w:tcPr>
          <w:p>
            <w:pPr>
              <w:jc w:val="center"/>
              <w:ind w:left="6"/>
              <w:spacing w:after="0"/>
              <w:rPr>
                <w:sz w:val="20"/>
                <w:szCs w:val="20"/>
                <w:color w:val="auto"/>
              </w:rPr>
            </w:pPr>
            <w:r>
              <w:rPr>
                <w:rFonts w:ascii="Arial" w:cs="Arial" w:eastAsia="Arial" w:hAnsi="Arial"/>
                <w:sz w:val="10"/>
                <w:szCs w:val="10"/>
                <w:b w:val="1"/>
                <w:bCs w:val="1"/>
                <w:color w:val="auto"/>
                <w:w w:val="96"/>
              </w:rPr>
              <w:t>Fee</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147"/>
        </w:trPr>
        <w:tc>
          <w:tcPr>
            <w:tcW w:w="3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Common Stock, par value $0.01 per share</w:t>
            </w:r>
          </w:p>
        </w:tc>
        <w:tc>
          <w:tcPr>
            <w:tcW w:w="1620" w:type="dxa"/>
            <w:vAlign w:val="bottom"/>
            <w:tcBorders>
              <w:top w:val="single" w:sz="8" w:color="auto"/>
              <w:bottom w:val="single" w:sz="8" w:color="auto"/>
              <w:right w:val="single" w:sz="8" w:color="auto"/>
            </w:tcBorders>
          </w:tcPr>
          <w:p>
            <w:pPr>
              <w:spacing w:after="0"/>
              <w:rPr>
                <w:sz w:val="12"/>
                <w:szCs w:val="12"/>
                <w:color w:val="auto"/>
              </w:rPr>
            </w:pPr>
          </w:p>
        </w:tc>
        <w:tc>
          <w:tcPr>
            <w:tcW w:w="1520" w:type="dxa"/>
            <w:vAlign w:val="bottom"/>
            <w:tcBorders>
              <w:top w:val="single" w:sz="8" w:color="auto"/>
              <w:bottom w:val="single" w:sz="8" w:color="auto"/>
              <w:right w:val="single" w:sz="8" w:color="auto"/>
            </w:tcBorders>
          </w:tcPr>
          <w:p>
            <w:pPr>
              <w:jc w:val="right"/>
              <w:ind w:right="459"/>
              <w:spacing w:after="0"/>
              <w:rPr>
                <w:sz w:val="20"/>
                <w:szCs w:val="20"/>
                <w:color w:val="auto"/>
              </w:rPr>
            </w:pPr>
            <w:r>
              <w:rPr>
                <w:rFonts w:ascii="Arial" w:cs="Arial" w:eastAsia="Arial" w:hAnsi="Arial"/>
                <w:sz w:val="12"/>
                <w:szCs w:val="12"/>
                <w:color w:val="auto"/>
              </w:rPr>
              <w:t>8,000,000</w:t>
            </w: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right w:val="single" w:sz="8" w:color="auto"/>
            </w:tcBorders>
          </w:tcPr>
          <w:p>
            <w:pPr>
              <w:jc w:val="center"/>
              <w:ind w:right="226"/>
              <w:spacing w:after="0"/>
              <w:rPr>
                <w:sz w:val="20"/>
                <w:szCs w:val="20"/>
                <w:color w:val="auto"/>
              </w:rPr>
            </w:pPr>
            <w:r>
              <w:rPr>
                <w:rFonts w:ascii="Arial" w:cs="Arial" w:eastAsia="Arial" w:hAnsi="Arial"/>
                <w:sz w:val="12"/>
                <w:szCs w:val="12"/>
                <w:color w:val="auto"/>
                <w:w w:val="87"/>
              </w:rPr>
              <w:t>$18.91</w:t>
            </w:r>
          </w:p>
        </w:tc>
        <w:tc>
          <w:tcPr>
            <w:tcW w:w="1280" w:type="dxa"/>
            <w:vAlign w:val="bottom"/>
            <w:tcBorders>
              <w:top w:val="single" w:sz="8" w:color="auto"/>
              <w:bottom w:val="single" w:sz="8" w:color="auto"/>
            </w:tcBorders>
          </w:tcPr>
          <w:p>
            <w:pPr>
              <w:jc w:val="center"/>
              <w:ind w:left="166"/>
              <w:spacing w:after="0"/>
              <w:rPr>
                <w:sz w:val="20"/>
                <w:szCs w:val="20"/>
                <w:color w:val="auto"/>
              </w:rPr>
            </w:pPr>
            <w:r>
              <w:rPr>
                <w:rFonts w:ascii="Arial" w:cs="Arial" w:eastAsia="Arial" w:hAnsi="Arial"/>
                <w:sz w:val="12"/>
                <w:szCs w:val="12"/>
                <w:color w:val="auto"/>
                <w:w w:val="89"/>
              </w:rPr>
              <w:t>$151,280,000</w:t>
            </w:r>
          </w:p>
        </w:tc>
        <w:tc>
          <w:tcPr>
            <w:tcW w:w="220" w:type="dxa"/>
            <w:vAlign w:val="bottom"/>
            <w:tcBorders>
              <w:top w:val="single" w:sz="8" w:color="auto"/>
              <w:bottom w:val="single" w:sz="8" w:color="auto"/>
              <w:right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left="46"/>
              <w:spacing w:after="0"/>
              <w:rPr>
                <w:sz w:val="20"/>
                <w:szCs w:val="20"/>
                <w:color w:val="auto"/>
              </w:rPr>
            </w:pPr>
            <w:r>
              <w:rPr>
                <w:rFonts w:ascii="Arial" w:cs="Arial" w:eastAsia="Arial" w:hAnsi="Arial"/>
                <w:sz w:val="12"/>
                <w:szCs w:val="12"/>
                <w:color w:val="auto"/>
                <w:w w:val="87"/>
              </w:rPr>
              <w:t>$8,442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right="60" w:hanging="254"/>
        <w:spacing w:after="0" w:line="276"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457(c) under the Securities Act on the basis of the average of the high and low prices of Grand Canyon Education, Inc.’s common stock as reported on The Nasdaq Global Market on August 25, 2009.</w:t>
      </w:r>
    </w:p>
    <w:p>
      <w:pPr>
        <w:spacing w:after="0" w:line="10" w:lineRule="exact"/>
        <w:rPr>
          <w:rFonts w:ascii="Arial" w:cs="Arial" w:eastAsia="Arial" w:hAnsi="Arial"/>
          <w:sz w:val="13"/>
          <w:szCs w:val="13"/>
          <w:color w:val="auto"/>
        </w:rPr>
      </w:pPr>
    </w:p>
    <w:p>
      <w:pPr>
        <w:ind w:left="660" w:right="60" w:hanging="254"/>
        <w:spacing w:after="0" w:line="276"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 including the offering price of shares that the underwriters have the option to purchase to cover over-allotments, if any.</w:t>
      </w:r>
    </w:p>
    <w:p>
      <w:pPr>
        <w:spacing w:after="0" w:line="55" w:lineRule="exact"/>
        <w:rPr>
          <w:sz w:val="20"/>
          <w:szCs w:val="20"/>
          <w:color w:val="auto"/>
        </w:rPr>
      </w:pPr>
    </w:p>
    <w:p>
      <w:pPr>
        <w:ind w:left="340" w:right="160" w:firstLine="324"/>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rPr>
          <w:sz w:val="20"/>
          <w:szCs w:val="20"/>
          <w:color w:val="auto"/>
        </w:rPr>
      </w:pPr>
      <w:r>
        <w:rPr>
          <w:rFonts w:ascii="Arial" w:cs="Arial" w:eastAsia="Arial" w:hAnsi="Arial"/>
          <w:sz w:val="10"/>
          <w:szCs w:val="10"/>
          <w:color w:val="E8112D"/>
        </w:rPr>
        <w:t>The information in this prospectus is not complete and may be changed. We and the selling stockholders may not sell these securities until the registration statement filed with the Securities and Exchange Commission is effective.</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0"/>
          <w:szCs w:val="10"/>
          <w:color w:val="E8112D"/>
        </w:rPr>
        <w:t>This prospectus is not an offer to sell these securities and it is not soliciting an offer to buy these securities in any jurisdiction where the offer or sale is not permitted.</w:t>
      </w: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E8112D"/>
        </w:rPr>
        <w:t>Subject to Completion</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E8112D"/>
        </w:rPr>
        <w:t>Preliminary Prospectus Dated August 27, 2009</w:t>
      </w:r>
    </w:p>
    <w:p>
      <w:pPr>
        <w:spacing w:after="0" w:line="24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p>
      <w:pPr>
        <w:spacing w:after="0" w:line="20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are offering 1,000,000 shares of our common stock and the selling stockholders identified in this prospectus are offering any of the proceeds from the sale of the shares being sold by the selling stockholders.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color w:val="auto"/>
        </w:rPr>
        <w:t>shares of our common stock. We will not receive</w:t>
      </w:r>
    </w:p>
    <w:p>
      <w:pPr>
        <w:spacing w:after="0" w:line="276" w:lineRule="exact"/>
        <w:rPr>
          <w:sz w:val="20"/>
          <w:szCs w:val="20"/>
          <w:color w:val="auto"/>
        </w:rPr>
      </w:pPr>
    </w:p>
    <w:p>
      <w:pPr>
        <w:sectPr>
          <w:pgSz w:w="11900" w:h="16838" w:orient="portrait"/>
          <w:cols w:equalWidth="0" w:num="2">
            <w:col w:w="7600" w:space="360"/>
            <w:col w:w="3500"/>
          </w:cols>
          <w:pgMar w:left="220" w:top="343" w:right="219" w:bottom="1440" w:gutter="0" w:footer="0" w:header="0"/>
          <w:type w:val="continuous"/>
        </w:sectPr>
      </w:pPr>
    </w:p>
    <w:p>
      <w:pPr>
        <w:ind w:left="1080"/>
        <w:spacing w:after="0"/>
        <w:rPr>
          <w:sz w:val="20"/>
          <w:szCs w:val="20"/>
          <w:color w:val="auto"/>
        </w:rPr>
      </w:pPr>
      <w:r>
        <w:rPr>
          <w:rFonts w:ascii="Arial" w:cs="Arial" w:eastAsia="Arial" w:hAnsi="Arial"/>
          <w:sz w:val="13"/>
          <w:szCs w:val="13"/>
          <w:color w:val="auto"/>
        </w:rPr>
        <w:t>Our common stock is listed on The Nasdaq Global Market under the symbol “LOPE.” The last reported sale price of our common stock on August 25, 2009 was $18.58 per share.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75565</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Total</w:t>
            </w:r>
          </w:p>
        </w:tc>
      </w:tr>
      <w:tr>
        <w:trPr>
          <w:trHeight w:val="178"/>
        </w:trPr>
        <w:tc>
          <w:tcPr>
            <w:tcW w:w="8300" w:type="dxa"/>
            <w:vAlign w:val="bottom"/>
          </w:tcPr>
          <w:p>
            <w:pPr>
              <w:spacing w:after="0"/>
              <w:rPr>
                <w:sz w:val="20"/>
                <w:szCs w:val="20"/>
                <w:color w:val="auto"/>
              </w:rPr>
            </w:pPr>
            <w:r>
              <w:rPr>
                <w:rFonts w:ascii="Arial" w:cs="Arial" w:eastAsia="Arial" w:hAnsi="Arial"/>
                <w:sz w:val="13"/>
                <w:szCs w:val="13"/>
                <w:color w:val="auto"/>
              </w:rPr>
              <w:t>Public offering price</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r>
        <w:trPr>
          <w:trHeight w:val="165"/>
        </w:trPr>
        <w:tc>
          <w:tcPr>
            <w:tcW w:w="8300" w:type="dxa"/>
            <w:vAlign w:val="bottom"/>
          </w:tcPr>
          <w:p>
            <w:pPr>
              <w:spacing w:after="0"/>
              <w:rPr>
                <w:sz w:val="20"/>
                <w:szCs w:val="20"/>
                <w:color w:val="auto"/>
              </w:rPr>
            </w:pPr>
            <w:r>
              <w:rPr>
                <w:rFonts w:ascii="Arial" w:cs="Arial" w:eastAsia="Arial" w:hAnsi="Arial"/>
                <w:sz w:val="13"/>
                <w:szCs w:val="13"/>
                <w:color w:val="auto"/>
              </w:rPr>
              <w:t>Proceeds, before expenses, to the selling stockholders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jc w:val="both"/>
        <w:ind w:left="680" w:right="880" w:firstLine="399"/>
        <w:spacing w:after="0" w:line="276" w:lineRule="auto"/>
        <w:rPr>
          <w:sz w:val="20"/>
          <w:szCs w:val="20"/>
          <w:color w:val="auto"/>
        </w:rPr>
      </w:pPr>
      <w:r>
        <w:rPr>
          <w:rFonts w:ascii="Arial" w:cs="Arial" w:eastAsia="Arial" w:hAnsi="Arial"/>
          <w:sz w:val="13"/>
          <w:szCs w:val="13"/>
          <w:color w:val="auto"/>
        </w:rPr>
        <w:t>Certain of the selling stockholders have granted the underwriters a 30-day option to purchase a maximum of additional shares on the same terms and conditions as set forth above, to cover over-allotments of shares, if any.</w:t>
      </w:r>
    </w:p>
    <w:p>
      <w:pPr>
        <w:spacing w:after="0" w:line="5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860" w:type="dxa"/>
            <w:vAlign w:val="bottom"/>
            <w:gridSpan w:val="2"/>
          </w:tcPr>
          <w:p>
            <w:pPr>
              <w:ind w:left="400"/>
              <w:spacing w:after="0"/>
              <w:rPr>
                <w:sz w:val="20"/>
                <w:szCs w:val="20"/>
                <w:color w:val="auto"/>
              </w:rPr>
            </w:pPr>
            <w:r>
              <w:rPr>
                <w:rFonts w:ascii="Arial" w:cs="Arial" w:eastAsia="Arial" w:hAnsi="Arial"/>
                <w:sz w:val="13"/>
                <w:szCs w:val="13"/>
                <w:color w:val="auto"/>
                <w:w w:val="92"/>
              </w:rPr>
              <w:t>Delivery of the shares of common stock will be made on or about</w:t>
            </w:r>
          </w:p>
        </w:tc>
        <w:tc>
          <w:tcPr>
            <w:tcW w:w="1720" w:type="dxa"/>
            <w:vAlign w:val="bottom"/>
          </w:tcPr>
          <w:p>
            <w:pPr>
              <w:ind w:left="300"/>
              <w:spacing w:after="0"/>
              <w:rPr>
                <w:sz w:val="20"/>
                <w:szCs w:val="20"/>
                <w:color w:val="auto"/>
              </w:rPr>
            </w:pPr>
            <w:r>
              <w:rPr>
                <w:rFonts w:ascii="Arial" w:cs="Arial" w:eastAsia="Arial" w:hAnsi="Arial"/>
                <w:sz w:val="13"/>
                <w:szCs w:val="13"/>
                <w:color w:val="auto"/>
              </w:rPr>
              <w:t>, 2009.</w:t>
            </w:r>
          </w:p>
        </w:tc>
        <w:tc>
          <w:tcPr>
            <w:tcW w:w="1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3500" w:type="dxa"/>
            <w:vAlign w:val="bottom"/>
            <w:gridSpan w:val="2"/>
            <w:vMerge w:val="restart"/>
          </w:tcPr>
          <w:p>
            <w:pPr>
              <w:ind w:left="320"/>
              <w:spacing w:after="0"/>
              <w:rPr>
                <w:sz w:val="20"/>
                <w:szCs w:val="20"/>
                <w:color w:val="auto"/>
              </w:rPr>
            </w:pPr>
            <w:r>
              <w:rPr>
                <w:rFonts w:ascii="Arial" w:cs="Arial" w:eastAsia="Arial" w:hAnsi="Arial"/>
                <w:sz w:val="13"/>
                <w:szCs w:val="13"/>
                <w:i w:val="1"/>
                <w:iCs w:val="1"/>
                <w:color w:val="auto"/>
              </w:rPr>
              <w:t>Joint Book-Running Managers</w:t>
            </w: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500" w:type="dxa"/>
            <w:vAlign w:val="bottom"/>
            <w:gridSpan w:val="2"/>
            <w:vMerge w:val="continue"/>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6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Arial" w:cs="Arial" w:eastAsia="Arial" w:hAnsi="Arial"/>
                <w:sz w:val="24"/>
                <w:szCs w:val="24"/>
                <w:b w:val="1"/>
                <w:bCs w:val="1"/>
                <w:color w:val="auto"/>
              </w:rPr>
              <w:t>Credit Suisse</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20" w:type="dxa"/>
            <w:vAlign w:val="bottom"/>
          </w:tcPr>
          <w:p>
            <w:pPr>
              <w:jc w:val="right"/>
              <w:ind w:right="698"/>
              <w:spacing w:after="0"/>
              <w:rPr>
                <w:sz w:val="20"/>
                <w:szCs w:val="20"/>
                <w:color w:val="auto"/>
              </w:rPr>
            </w:pPr>
            <w:r>
              <w:rPr>
                <w:rFonts w:ascii="Arial" w:cs="Arial" w:eastAsia="Arial" w:hAnsi="Arial"/>
                <w:sz w:val="24"/>
                <w:szCs w:val="24"/>
                <w:b w:val="1"/>
                <w:bCs w:val="1"/>
                <w:color w:val="auto"/>
              </w:rPr>
              <w:t>BofA Merrill Lynch</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980" w:type="dxa"/>
            <w:vAlign w:val="bottom"/>
            <w:gridSpan w:val="2"/>
          </w:tcPr>
          <w:p>
            <w:pPr>
              <w:spacing w:after="0"/>
              <w:rPr>
                <w:sz w:val="7"/>
                <w:szCs w:val="7"/>
                <w:color w:val="auto"/>
              </w:rPr>
            </w:pPr>
          </w:p>
        </w:tc>
        <w:tc>
          <w:tcPr>
            <w:tcW w:w="17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BMO Capital Markets</w:t>
            </w:r>
          </w:p>
        </w:tc>
        <w:tc>
          <w:tcPr>
            <w:tcW w:w="2980" w:type="dxa"/>
            <w:vAlign w:val="bottom"/>
            <w:gridSpan w:val="2"/>
          </w:tcPr>
          <w:p>
            <w:pPr>
              <w:ind w:left="180"/>
              <w:spacing w:after="0"/>
              <w:rPr>
                <w:sz w:val="20"/>
                <w:szCs w:val="20"/>
                <w:color w:val="auto"/>
              </w:rPr>
            </w:pPr>
            <w:r>
              <w:rPr>
                <w:rFonts w:ascii="Arial" w:cs="Arial" w:eastAsia="Arial" w:hAnsi="Arial"/>
                <w:sz w:val="17"/>
                <w:szCs w:val="17"/>
                <w:b w:val="1"/>
                <w:bCs w:val="1"/>
                <w:color w:val="auto"/>
              </w:rPr>
              <w:t>William Blair &amp; Company</w:t>
            </w:r>
          </w:p>
        </w:tc>
        <w:tc>
          <w:tcPr>
            <w:tcW w:w="1780" w:type="dxa"/>
            <w:vAlign w:val="bottom"/>
          </w:tcPr>
          <w:p>
            <w:pPr>
              <w:ind w:left="180"/>
              <w:spacing w:after="0"/>
              <w:rPr>
                <w:sz w:val="20"/>
                <w:szCs w:val="20"/>
                <w:color w:val="auto"/>
              </w:rPr>
            </w:pPr>
            <w:r>
              <w:rPr>
                <w:rFonts w:ascii="Arial" w:cs="Arial" w:eastAsia="Arial" w:hAnsi="Arial"/>
                <w:sz w:val="17"/>
                <w:szCs w:val="17"/>
                <w:b w:val="1"/>
                <w:bCs w:val="1"/>
                <w:color w:val="auto"/>
              </w:rPr>
              <w:t>Piper Jaffray</w:t>
            </w:r>
          </w:p>
        </w:tc>
        <w:tc>
          <w:tcPr>
            <w:tcW w:w="3420" w:type="dxa"/>
            <w:vAlign w:val="bottom"/>
          </w:tcPr>
          <w:p>
            <w:pPr>
              <w:jc w:val="right"/>
              <w:ind w:right="698"/>
              <w:spacing w:after="0"/>
              <w:rPr>
                <w:sz w:val="20"/>
                <w:szCs w:val="20"/>
                <w:color w:val="auto"/>
              </w:rPr>
            </w:pPr>
            <w:r>
              <w:rPr>
                <w:rFonts w:ascii="Arial" w:cs="Arial" w:eastAsia="Arial" w:hAnsi="Arial"/>
                <w:sz w:val="17"/>
                <w:szCs w:val="17"/>
                <w:b w:val="1"/>
                <w:bCs w:val="1"/>
                <w:color w:val="auto"/>
              </w:rPr>
              <w:t>Barrington Research</w:t>
            </w: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auto"/>
                <w:w w:val="98"/>
              </w:rPr>
              <w:t>The date of this prospectus is</w:t>
            </w:r>
          </w:p>
        </w:tc>
        <w:tc>
          <w:tcPr>
            <w:tcW w:w="1780" w:type="dxa"/>
            <w:vAlign w:val="bottom"/>
            <w:vMerge w:val="restart"/>
          </w:tcPr>
          <w:p>
            <w:pPr>
              <w:ind w:left="160"/>
              <w:spacing w:after="0"/>
              <w:rPr>
                <w:sz w:val="20"/>
                <w:szCs w:val="20"/>
                <w:color w:val="auto"/>
              </w:rPr>
            </w:pPr>
            <w:r>
              <w:rPr>
                <w:rFonts w:ascii="Arial" w:cs="Arial" w:eastAsia="Arial" w:hAnsi="Arial"/>
                <w:sz w:val="13"/>
                <w:szCs w:val="13"/>
                <w:color w:val="auto"/>
              </w:rPr>
              <w:t>, 2009.</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20" w:type="dxa"/>
            <w:vAlign w:val="bottom"/>
            <w:gridSpan w:val="2"/>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2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5">
              <w:r>
                <w:rPr>
                  <w:rFonts w:ascii="Arial" w:cs="Arial" w:eastAsia="Arial" w:hAnsi="Arial"/>
                  <w:sz w:val="13"/>
                  <w:szCs w:val="13"/>
                  <w:color w:val="0000EE"/>
                  <w:w w:val="88"/>
                </w:rPr>
                <w:t>Prospectus Summary</w:t>
              </w:r>
            </w:hyperlink>
          </w:p>
        </w:tc>
        <w:tc>
          <w:tcPr>
            <w:tcW w:w="6500" w:type="dxa"/>
            <w:vAlign w:val="bottom"/>
            <w:gridSpan w:val="11"/>
          </w:tcPr>
          <w:p>
            <w:pPr>
              <w:spacing w:after="0"/>
              <w:rPr>
                <w:sz w:val="15"/>
                <w:szCs w:val="15"/>
                <w:color w:val="auto"/>
              </w:rPr>
            </w:pPr>
          </w:p>
        </w:tc>
        <w:tc>
          <w:tcPr>
            <w:tcW w:w="2220" w:type="dxa"/>
            <w:vAlign w:val="bottom"/>
          </w:tcPr>
          <w:p>
            <w:pPr>
              <w:jc w:val="right"/>
              <w:ind w:right="75"/>
              <w:spacing w:after="0"/>
              <w:rPr>
                <w:sz w:val="20"/>
                <w:szCs w:val="20"/>
                <w:color w:val="auto"/>
              </w:rPr>
            </w:pPr>
            <w:r>
              <w:rPr>
                <w:rFonts w:ascii="Arial" w:cs="Arial" w:eastAsia="Arial" w:hAnsi="Arial"/>
                <w:sz w:val="13"/>
                <w:szCs w:val="13"/>
                <w:color w:val="auto"/>
              </w:rPr>
              <w:t>1</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Risk Factors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41">
              <w:r>
                <w:rPr>
                  <w:rFonts w:ascii="Arial" w:cs="Arial" w:eastAsia="Arial" w:hAnsi="Arial"/>
                  <w:sz w:val="13"/>
                  <w:szCs w:val="13"/>
                  <w:color w:val="0000EE"/>
                </w:rPr>
                <w:t>Forward-Looking Statements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37</w:t>
            </w:r>
          </w:p>
        </w:tc>
      </w:tr>
      <w:tr>
        <w:trPr>
          <w:trHeight w:val="137"/>
        </w:trPr>
        <w:tc>
          <w:tcPr>
            <w:tcW w:w="8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87"/>
              </w:rPr>
            </w:pPr>
            <w:hyperlink w:anchor="page43">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80" w:type="dxa"/>
            <w:vAlign w:val="bottom"/>
            <w:gridSpan w:val="9"/>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39</w:t>
            </w:r>
          </w:p>
        </w:tc>
      </w:tr>
      <w:tr>
        <w:trPr>
          <w:trHeight w:val="137"/>
        </w:trPr>
        <w:tc>
          <w:tcPr>
            <w:tcW w:w="1640" w:type="dxa"/>
            <w:vAlign w:val="bottom"/>
            <w:tcBorders>
              <w:bottom w:val="single" w:sz="8" w:color="0000EE"/>
            </w:tcBorders>
            <w:gridSpan w:val="16"/>
          </w:tcPr>
          <w:p>
            <w:pPr>
              <w:spacing w:after="0" w:line="138" w:lineRule="exact"/>
              <w:rPr>
                <w:rFonts w:ascii="Arial" w:cs="Arial" w:eastAsia="Arial" w:hAnsi="Arial"/>
                <w:sz w:val="13"/>
                <w:szCs w:val="13"/>
                <w:color w:val="0000EE"/>
                <w:w w:val="90"/>
              </w:rPr>
            </w:pPr>
            <w:hyperlink w:anchor="page43">
              <w:r>
                <w:rPr>
                  <w:rFonts w:ascii="Arial" w:cs="Arial" w:eastAsia="Arial" w:hAnsi="Arial"/>
                  <w:sz w:val="13"/>
                  <w:szCs w:val="13"/>
                  <w:color w:val="0000EE"/>
                  <w:w w:val="90"/>
                </w:rPr>
                <w:t>Price Range of Common Stock</w:t>
              </w:r>
            </w:hyperlink>
          </w:p>
        </w:tc>
        <w:tc>
          <w:tcPr>
            <w:tcW w:w="5980" w:type="dxa"/>
            <w:vAlign w:val="bottom"/>
            <w:gridSpan w:val="7"/>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39</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Dividend Policy</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39</w:t>
            </w:r>
          </w:p>
        </w:tc>
      </w:tr>
      <w:tr>
        <w:trPr>
          <w:trHeight w:val="137"/>
        </w:trPr>
        <w:tc>
          <w:tcPr>
            <w:tcW w:w="7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4"/>
              </w:rPr>
            </w:pPr>
            <w:hyperlink w:anchor="page44">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60" w:type="dxa"/>
            <w:vAlign w:val="bottom"/>
            <w:gridSpan w:val="13"/>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40</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Regulation</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41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64">
              <w:r>
                <w:rPr>
                  <w:rFonts w:ascii="Arial" w:cs="Arial" w:eastAsia="Arial" w:hAnsi="Arial"/>
                  <w:sz w:val="13"/>
                  <w:szCs w:val="13"/>
                  <w:color w:val="0000EE"/>
                  <w:w w:val="90"/>
                </w:rPr>
                <w:t>Certain Relationships and Related Transactions</w:t>
              </w:r>
            </w:hyperlink>
          </w:p>
        </w:tc>
        <w:tc>
          <w:tcPr>
            <w:tcW w:w="5120" w:type="dxa"/>
            <w:vAlign w:val="bottom"/>
            <w:gridSpan w:val="2"/>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60</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Beneficial Ownership of Common Stock</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64</w:t>
            </w:r>
          </w:p>
        </w:tc>
      </w:tr>
      <w:tr>
        <w:trPr>
          <w:trHeight w:val="137"/>
        </w:trPr>
        <w:tc>
          <w:tcPr>
            <w:tcW w:w="110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1"/>
              </w:rPr>
            </w:pPr>
            <w:hyperlink w:anchor="page70">
              <w:r>
                <w:rPr>
                  <w:rFonts w:ascii="Arial" w:cs="Arial" w:eastAsia="Arial" w:hAnsi="Arial"/>
                  <w:sz w:val="13"/>
                  <w:szCs w:val="13"/>
                  <w:color w:val="0000EE"/>
                  <w:w w:val="91"/>
                </w:rPr>
                <w:t>Selling Stockholders</w:t>
              </w:r>
            </w:hyperlink>
          </w:p>
        </w:tc>
        <w:tc>
          <w:tcPr>
            <w:tcW w:w="1040" w:type="dxa"/>
            <w:vAlign w:val="bottom"/>
            <w:tcBorders>
              <w:top w:val="single" w:sz="8" w:color="0000EE"/>
            </w:tcBorders>
            <w:gridSpan w:val="8"/>
          </w:tcPr>
          <w:p>
            <w:pPr>
              <w:spacing w:after="0"/>
              <w:rPr>
                <w:sz w:val="11"/>
                <w:szCs w:val="11"/>
                <w:color w:val="auto"/>
              </w:rPr>
            </w:pPr>
          </w:p>
        </w:tc>
        <w:tc>
          <w:tcPr>
            <w:tcW w:w="5480" w:type="dxa"/>
            <w:vAlign w:val="bottom"/>
            <w:gridSpan w:val="4"/>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66</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Description of Capital Stock</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2"/>
          </w:tcPr>
          <w:p>
            <w:pPr>
              <w:spacing w:after="0" w:line="138" w:lineRule="exact"/>
              <w:rPr>
                <w:rFonts w:ascii="Arial" w:cs="Arial" w:eastAsia="Arial" w:hAnsi="Arial"/>
                <w:sz w:val="13"/>
                <w:szCs w:val="13"/>
                <w:color w:val="0000EE"/>
                <w:w w:val="91"/>
              </w:rPr>
            </w:pPr>
            <w:hyperlink w:anchor="page76">
              <w:r>
                <w:rPr>
                  <w:rFonts w:ascii="Arial" w:cs="Arial" w:eastAsia="Arial" w:hAnsi="Arial"/>
                  <w:sz w:val="13"/>
                  <w:szCs w:val="13"/>
                  <w:color w:val="0000EE"/>
                  <w:w w:val="91"/>
                </w:rPr>
                <w:t>Material U.S. Federal Income and Estate Tax Considerations for Non-U.S. Holders</w:t>
              </w:r>
            </w:hyperlink>
          </w:p>
        </w:tc>
        <w:tc>
          <w:tcPr>
            <w:tcW w:w="3260" w:type="dxa"/>
            <w:vAlign w:val="bottom"/>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72</w:t>
            </w:r>
          </w:p>
        </w:tc>
      </w:tr>
      <w:tr>
        <w:trPr>
          <w:trHeight w:val="137"/>
        </w:trPr>
        <w:tc>
          <w:tcPr>
            <w:tcW w:w="720" w:type="dxa"/>
            <w:vAlign w:val="bottom"/>
            <w:tcBorders>
              <w:bottom w:val="single" w:sz="8" w:color="0000EE"/>
            </w:tcBorders>
            <w:gridSpan w:val="7"/>
          </w:tcPr>
          <w:p>
            <w:pPr>
              <w:spacing w:after="0" w:line="138" w:lineRule="exact"/>
              <w:rPr>
                <w:rFonts w:ascii="Arial" w:cs="Arial" w:eastAsia="Arial" w:hAnsi="Arial"/>
                <w:sz w:val="13"/>
                <w:szCs w:val="13"/>
                <w:color w:val="0000EE"/>
                <w:w w:val="95"/>
              </w:rPr>
            </w:pPr>
            <w:hyperlink w:anchor="page79">
              <w:r>
                <w:rPr>
                  <w:rFonts w:ascii="Arial" w:cs="Arial" w:eastAsia="Arial" w:hAnsi="Arial"/>
                  <w:sz w:val="13"/>
                  <w:szCs w:val="13"/>
                  <w:color w:val="0000EE"/>
                  <w:w w:val="95"/>
                </w:rPr>
                <w:t>Underwriting</w:t>
              </w:r>
            </w:hyperlink>
          </w:p>
        </w:tc>
        <w:tc>
          <w:tcPr>
            <w:tcW w:w="6900" w:type="dxa"/>
            <w:vAlign w:val="bottom"/>
            <w:gridSpan w:val="16"/>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75</w:t>
            </w:r>
          </w:p>
        </w:tc>
      </w:tr>
      <w:tr>
        <w:trPr>
          <w:trHeight w:val="137"/>
        </w:trPr>
        <w:tc>
          <w:tcPr>
            <w:tcW w:w="2420" w:type="dxa"/>
            <w:vAlign w:val="bottom"/>
            <w:tcBorders>
              <w:bottom w:val="single" w:sz="8" w:color="0000EE"/>
            </w:tcBorders>
            <w:gridSpan w:val="20"/>
          </w:tcPr>
          <w:p>
            <w:pPr>
              <w:spacing w:after="0" w:line="138" w:lineRule="exact"/>
              <w:rPr>
                <w:rFonts w:ascii="Arial" w:cs="Arial" w:eastAsia="Arial" w:hAnsi="Arial"/>
                <w:sz w:val="13"/>
                <w:szCs w:val="13"/>
                <w:color w:val="0000EE"/>
                <w:w w:val="90"/>
              </w:rPr>
            </w:pPr>
            <w:hyperlink w:anchor="page82">
              <w:r>
                <w:rPr>
                  <w:rFonts w:ascii="Arial" w:cs="Arial" w:eastAsia="Arial" w:hAnsi="Arial"/>
                  <w:sz w:val="13"/>
                  <w:szCs w:val="13"/>
                  <w:color w:val="0000EE"/>
                  <w:w w:val="90"/>
                </w:rPr>
                <w:t>Notice to European Economic Area Residents</w:t>
              </w:r>
            </w:hyperlink>
          </w:p>
        </w:tc>
        <w:tc>
          <w:tcPr>
            <w:tcW w:w="5200" w:type="dxa"/>
            <w:vAlign w:val="bottom"/>
            <w:gridSpan w:val="3"/>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78</w:t>
            </w:r>
          </w:p>
        </w:tc>
      </w:tr>
      <w:tr>
        <w:trPr>
          <w:trHeight w:val="137"/>
        </w:trPr>
        <w:tc>
          <w:tcPr>
            <w:tcW w:w="1960" w:type="dxa"/>
            <w:vAlign w:val="bottom"/>
            <w:tcBorders>
              <w:bottom w:val="single" w:sz="8" w:color="0000EE"/>
            </w:tcBorders>
            <w:gridSpan w:val="17"/>
          </w:tcPr>
          <w:p>
            <w:pPr>
              <w:spacing w:after="0" w:line="138" w:lineRule="exact"/>
              <w:rPr>
                <w:rFonts w:ascii="Arial" w:cs="Arial" w:eastAsia="Arial" w:hAnsi="Arial"/>
                <w:sz w:val="13"/>
                <w:szCs w:val="13"/>
                <w:color w:val="0000EE"/>
                <w:w w:val="92"/>
              </w:rPr>
            </w:pPr>
            <w:hyperlink w:anchor="page82">
              <w:r>
                <w:rPr>
                  <w:rFonts w:ascii="Arial" w:cs="Arial" w:eastAsia="Arial" w:hAnsi="Arial"/>
                  <w:sz w:val="13"/>
                  <w:szCs w:val="13"/>
                  <w:color w:val="0000EE"/>
                  <w:w w:val="92"/>
                </w:rPr>
                <w:t>Notice to United Kingdom Residents</w:t>
              </w:r>
            </w:hyperlink>
          </w:p>
        </w:tc>
        <w:tc>
          <w:tcPr>
            <w:tcW w:w="5660" w:type="dxa"/>
            <w:vAlign w:val="bottom"/>
            <w:gridSpan w:val="6"/>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78</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Notice to Canadian Residents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79</w:t>
            </w:r>
          </w:p>
        </w:tc>
      </w:tr>
      <w:tr>
        <w:trPr>
          <w:trHeight w:val="137"/>
        </w:trPr>
        <w:tc>
          <w:tcPr>
            <w:tcW w:w="7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1"/>
              </w:rPr>
            </w:pPr>
            <w:hyperlink w:anchor="page85">
              <w:r>
                <w:rPr>
                  <w:rFonts w:ascii="Arial" w:cs="Arial" w:eastAsia="Arial" w:hAnsi="Arial"/>
                  <w:sz w:val="13"/>
                  <w:szCs w:val="13"/>
                  <w:color w:val="0000EE"/>
                  <w:w w:val="91"/>
                </w:rPr>
                <w:t>Legal Matters</w:t>
              </w:r>
            </w:hyperlink>
          </w:p>
        </w:tc>
        <w:tc>
          <w:tcPr>
            <w:tcW w:w="820" w:type="dxa"/>
            <w:vAlign w:val="bottom"/>
            <w:tcBorders>
              <w:top w:val="single" w:sz="8" w:color="0000EE"/>
            </w:tcBorders>
            <w:gridSpan w:val="7"/>
          </w:tcPr>
          <w:p>
            <w:pPr>
              <w:spacing w:after="0"/>
              <w:rPr>
                <w:sz w:val="11"/>
                <w:szCs w:val="11"/>
                <w:color w:val="auto"/>
              </w:rPr>
            </w:pPr>
          </w:p>
        </w:tc>
        <w:tc>
          <w:tcPr>
            <w:tcW w:w="6060" w:type="dxa"/>
            <w:vAlign w:val="bottom"/>
            <w:gridSpan w:val="8"/>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81</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Experts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8"/>
          </w:tcPr>
          <w:p>
            <w:pPr>
              <w:spacing w:after="0" w:line="138" w:lineRule="exact"/>
              <w:rPr>
                <w:rFonts w:ascii="Arial" w:cs="Arial" w:eastAsia="Arial" w:hAnsi="Arial"/>
                <w:sz w:val="13"/>
                <w:szCs w:val="13"/>
                <w:color w:val="0000EE"/>
                <w:w w:val="93"/>
              </w:rPr>
            </w:pPr>
            <w:hyperlink w:anchor="page85">
              <w:r>
                <w:rPr>
                  <w:rFonts w:ascii="Arial" w:cs="Arial" w:eastAsia="Arial" w:hAnsi="Arial"/>
                  <w:sz w:val="13"/>
                  <w:szCs w:val="13"/>
                  <w:color w:val="0000EE"/>
                  <w:w w:val="93"/>
                </w:rPr>
                <w:t>Where You Can Find More Information</w:t>
              </w:r>
            </w:hyperlink>
          </w:p>
        </w:tc>
        <w:tc>
          <w:tcPr>
            <w:tcW w:w="5520" w:type="dxa"/>
            <w:vAlign w:val="bottom"/>
            <w:gridSpan w:val="5"/>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81</w:t>
            </w:r>
          </w:p>
        </w:tc>
      </w:tr>
      <w:tr>
        <w:trPr>
          <w:trHeight w:val="137"/>
        </w:trPr>
        <w:tc>
          <w:tcPr>
            <w:tcW w:w="7620" w:type="dxa"/>
            <w:vAlign w:val="bottom"/>
            <w:gridSpan w:val="23"/>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Incorporation by Reference</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81</w:t>
            </w:r>
          </w:p>
        </w:tc>
      </w:tr>
      <w:tr>
        <w:trPr>
          <w:trHeight w:val="137"/>
        </w:trPr>
        <w:tc>
          <w:tcPr>
            <w:tcW w:w="40" w:type="dxa"/>
            <w:vAlign w:val="bottom"/>
            <w:tcBorders>
              <w:top w:val="single" w:sz="8" w:color="0000EE"/>
            </w:tcBorders>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EX-5.1</w:t>
            </w:r>
          </w:p>
        </w:tc>
        <w:tc>
          <w:tcPr>
            <w:tcW w:w="1080" w:type="dxa"/>
            <w:vAlign w:val="bottom"/>
            <w:tcBorders>
              <w:top w:val="single" w:sz="8" w:color="0000EE"/>
            </w:tcBorders>
            <w:gridSpan w:val="10"/>
          </w:tcPr>
          <w:p>
            <w:pPr>
              <w:spacing w:after="0"/>
              <w:rPr>
                <w:sz w:val="11"/>
                <w:szCs w:val="11"/>
                <w:color w:val="auto"/>
              </w:rPr>
            </w:pPr>
          </w:p>
        </w:tc>
        <w:tc>
          <w:tcPr>
            <w:tcW w:w="6120" w:type="dxa"/>
            <w:vAlign w:val="bottom"/>
            <w:gridSpan w:val="10"/>
          </w:tcPr>
          <w:p>
            <w:pPr>
              <w:spacing w:after="0"/>
              <w:rPr>
                <w:sz w:val="11"/>
                <w:szCs w:val="11"/>
                <w:color w:val="auto"/>
              </w:rPr>
            </w:pPr>
          </w:p>
        </w:tc>
        <w:tc>
          <w:tcPr>
            <w:tcW w:w="222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3"/>
          </w:tcPr>
          <w:p>
            <w:pPr>
              <w:spacing w:after="0" w:line="138" w:lineRule="exact"/>
              <w:rPr>
                <w:sz w:val="20"/>
                <w:szCs w:val="20"/>
                <w:color w:val="auto"/>
              </w:rPr>
            </w:pPr>
            <w:r>
              <w:rPr>
                <w:rFonts w:ascii="Arial" w:cs="Arial" w:eastAsia="Arial" w:hAnsi="Arial"/>
                <w:sz w:val="13"/>
                <w:szCs w:val="13"/>
                <w:color w:val="0000EE"/>
                <w:w w:val="89"/>
              </w:rPr>
              <w:t>EX-23.1</w:t>
            </w:r>
          </w:p>
        </w:tc>
        <w:tc>
          <w:tcPr>
            <w:tcW w:w="7140" w:type="dxa"/>
            <w:vAlign w:val="bottom"/>
            <w:gridSpan w:val="19"/>
          </w:tcPr>
          <w:p>
            <w:pPr>
              <w:spacing w:after="0"/>
              <w:rPr>
                <w:sz w:val="11"/>
                <w:szCs w:val="11"/>
                <w:color w:val="auto"/>
              </w:rPr>
            </w:pPr>
          </w:p>
        </w:tc>
        <w:tc>
          <w:tcPr>
            <w:tcW w:w="2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-2315210</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84" w:lineRule="auto"/>
        <w:rPr>
          <w:sz w:val="20"/>
          <w:szCs w:val="20"/>
          <w:color w:val="auto"/>
        </w:rPr>
      </w:pPr>
      <w:r>
        <w:rPr>
          <w:rFonts w:ascii="Arial" w:cs="Arial" w:eastAsia="Arial" w:hAnsi="Arial"/>
          <w:sz w:val="12"/>
          <w:szCs w:val="12"/>
          <w:b w:val="1"/>
          <w:bCs w:val="1"/>
          <w:color w:val="auto"/>
        </w:rPr>
        <w:t>You should rely only on the information contained in, or incorporated by reference in, this prospectus or in any free-writing prospectus that we specifically authorize to be delivered or made available to you. We have not, the selling stockholders have not, and the underwriters have not authorized anyone to provide you with additional or different information. We and the selling stockholders are offering to sell, and seeking offers to buy, shares of common stock only in jurisdictions where offers and sales are permitted. You should assume that the information contained in, or incorporated by reference in, this prospectus or in any free-writing prospectus that we specifically authorize to be delivered or made available to you is accurate only as of the date of this prospectus, regardless of its time of delivery or of any sale of shares of our common stock. Our business, financial condition, results of operations and prospects may have changed since that date.</w:t>
      </w:r>
    </w:p>
    <w:p>
      <w:pPr>
        <w:spacing w:after="0" w:line="52"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b w:val="1"/>
          <w:bCs w:val="1"/>
          <w:color w:val="auto"/>
        </w:rPr>
        <w:t xml:space="preserve">For investors outside the United States: </w:t>
      </w:r>
      <w:r>
        <w:rPr>
          <w:rFonts w:ascii="Arial" w:cs="Arial" w:eastAsia="Arial" w:hAnsi="Arial"/>
          <w:sz w:val="13"/>
          <w:szCs w:val="13"/>
          <w:color w:val="auto"/>
        </w:rPr>
        <w:t>We have not, the selling stockholders have not and the underwriters have not done anything that would permit this offering or possession or</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89535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firstLine="399"/>
        <w:spacing w:after="0" w:line="285" w:lineRule="auto"/>
        <w:rPr>
          <w:sz w:val="20"/>
          <w:szCs w:val="20"/>
          <w:color w:val="auto"/>
        </w:rPr>
      </w:pPr>
      <w:r>
        <w:rPr>
          <w:rFonts w:ascii="Arial" w:cs="Arial" w:eastAsia="Arial" w:hAnsi="Arial"/>
          <w:sz w:val="12"/>
          <w:szCs w:val="12"/>
          <w:i w:val="1"/>
          <w:iCs w:val="1"/>
          <w:color w:val="auto"/>
        </w:rPr>
        <w:t>This summary highlights information contained elsewhere in or incorporated by reference into this prospectus. This summary sets forth the material terms of the offering, but does not contain all of the information that you should consider before investing in our common stock. You should read the entire prospectus and the documents that are incorporated by reference into this prospectus carefully before making an investment decision, especially the risks of investing in our common stock described under “Risk Factors.” Unless the context otherwise requires, the terms “we,” “us,” “our,” “Grand Canyon,” and “Grand Canyon Education” refer to Grand Canyon Education, Inc. and our predecessor as the context requires, and references to “Grand Canyon University” refer to the postsecondary education institution operated by Grand Canyon Education, Inc.</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right="20" w:firstLine="399"/>
        <w:spacing w:after="0" w:line="312" w:lineRule="auto"/>
        <w:rPr>
          <w:sz w:val="20"/>
          <w:szCs w:val="20"/>
          <w:color w:val="auto"/>
        </w:rPr>
      </w:pPr>
      <w:r>
        <w:rPr>
          <w:rFonts w:ascii="Arial" w:cs="Arial" w:eastAsia="Arial" w:hAnsi="Arial"/>
          <w:sz w:val="11"/>
          <w:szCs w:val="11"/>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27,600 students at June 30, 2009, representing a compound annual growth rate of approximately 50% over that period and an increase of 67% over the approximately 16,500 students we had at June 30, 2008. At December 31, 2008, 89.1% of our students were enrolled in our online programs, and 52.9% of our students were pursuing master’s or doctoral degrees.</w:t>
      </w:r>
    </w:p>
    <w:p>
      <w:pPr>
        <w:spacing w:after="0" w:line="45" w:lineRule="exact"/>
        <w:rPr>
          <w:sz w:val="20"/>
          <w:szCs w:val="20"/>
          <w:color w:val="auto"/>
        </w:rPr>
      </w:pPr>
    </w:p>
    <w:p>
      <w:pPr>
        <w:ind w:left="860" w:right="300" w:firstLine="399"/>
        <w:spacing w:after="0" w:line="260"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2009 report from the U.S. Department of Education, National Center for Education Statistics, or NCES, these disciplines ranked as three of the four most popular fields of postsecondary education, based on degrees conferred in the 2006-07 school year. The U.S. Department of Labor, Bureau of Labor Statistics, or BLS, estimated in its 2008-09 Career Guide that these fields comprised over 40 million jobs in 2006, many of which require postsecondary education credentials.</w:t>
      </w:r>
    </w:p>
    <w:p>
      <w:pPr>
        <w:spacing w:after="0" w:line="70" w:lineRule="exact"/>
        <w:rPr>
          <w:sz w:val="20"/>
          <w:szCs w:val="20"/>
          <w:color w:val="auto"/>
        </w:rPr>
      </w:pPr>
    </w:p>
    <w:p>
      <w:pPr>
        <w:ind w:left="86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June 30, 2009, approximately 90%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860" w:right="140" w:firstLine="399"/>
        <w:spacing w:after="0" w:line="282" w:lineRule="auto"/>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2008 was approximately 24,600, representing an increase of approximately 67% over our enrollment at December 31, 2007. Our net revenue and operating income for the year ended December 31, 2008 were $161.3 million and $12.8 million, respectively, representing increases of 62.4% and 194.5%, respectively, over the year ended December 31, 2007. Our enrollment at June 30, 2009 was approximately 27,600, representing an increase of approximately 67% over our enrollment at June 30, 2008. Our net revenue and operating income for the six months ended June 30, 2009 were $118.4 million and $22.0 million, respectively, representing increases of 68.4% and 248.0%, respectively, over the six months ended June 30, 2008. We seek to achieve continued growth in a manner that reinforces our reputation for providing academically rigorous, career-oriented educational programs that advance the careers of our students.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 Training Education. We believe that our regional accreditation, together with these specialized accreditations, reflect the quality of our programs, enhance their marketability, and improve the employability of our graduates.</w:t>
      </w:r>
    </w:p>
    <w:p>
      <w:pPr>
        <w:spacing w:after="0" w:line="71" w:lineRule="exact"/>
        <w:rPr>
          <w:sz w:val="20"/>
          <w:szCs w:val="20"/>
          <w:color w:val="auto"/>
        </w:rPr>
      </w:pPr>
    </w:p>
    <w:p>
      <w:pPr>
        <w:ind w:left="860" w:right="100" w:firstLine="399"/>
        <w:spacing w:after="0" w:line="258" w:lineRule="auto"/>
        <w:rPr>
          <w:sz w:val="20"/>
          <w:szCs w:val="20"/>
          <w:color w:val="auto"/>
        </w:rPr>
      </w:pPr>
      <w:r>
        <w:rPr>
          <w:rFonts w:ascii="Arial" w:cs="Arial" w:eastAsia="Arial" w:hAnsi="Arial"/>
          <w:sz w:val="13"/>
          <w:szCs w:val="13"/>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an infrastructure and technology improvement plan and a marketing and branding effort to further differentiate us in the markets in which we operate and support our continued growth. We have also maintained our non-denominational Christian identity, with many of our ground programs including Christian study requirements and our online programs including ethics requirements and electives in religion.</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2009 NCES report, total revenue for all degree-granting postsecondary institutions was over $411 billion for the 2005-06 school year. In addition, according to a March 2009 NCES report, approximately 18.2 million students were projected to be enrolled in postsecondary institutions in 2008 and the number was projected to grow to 20.1 million by 2017.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right="20" w:firstLine="399"/>
        <w:spacing w:after="0" w:line="281" w:lineRule="auto"/>
        <w:rPr>
          <w:sz w:val="20"/>
          <w:szCs w:val="20"/>
          <w:color w:val="auto"/>
        </w:rPr>
      </w:pPr>
      <w:r>
        <w:rPr>
          <w:rFonts w:ascii="Arial" w:cs="Arial" w:eastAsia="Arial" w:hAnsi="Arial"/>
          <w:sz w:val="12"/>
          <w:szCs w:val="12"/>
          <w:color w:val="auto"/>
        </w:rPr>
        <w:t>The market for online postsecondary education has grown more rapidly than the overall postsecondary market. A 2008 study by Eduventures, LLC, an education consulting and research firm, projected that from 2002 to 2008 enrollment in online postsecondary programs increased from approximately 0.4 million to approximately 1.9 million, representing a compound annual growth rate of approximately 28.6%. In comparison, in March 2009 the NCES projected a compound annual growth rate of 1.5%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ind w:left="860" w:right="100" w:firstLine="399"/>
        <w:spacing w:after="0" w:line="276"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220"/>
        <w:spacing w:after="0" w:line="276" w:lineRule="auto"/>
        <w:rPr>
          <w:sz w:val="20"/>
          <w:szCs w:val="20"/>
          <w:color w:val="auto"/>
        </w:rPr>
      </w:pPr>
      <w:r>
        <w:rPr>
          <w:rFonts w:ascii="Arial" w:cs="Arial" w:eastAsia="Arial" w:hAnsi="Arial"/>
          <w:sz w:val="13"/>
          <w:szCs w:val="13"/>
          <w:color w:val="auto"/>
        </w:rPr>
        <w:t>develop our academic reputation and brand identity within our core disciplines, recruit and retain quality faculty and staff members, and meet the educational and career objectives of our students.</w:t>
      </w:r>
    </w:p>
    <w:p>
      <w:pPr>
        <w:spacing w:after="0" w:line="59" w:lineRule="exact"/>
        <w:rPr>
          <w:sz w:val="20"/>
          <w:szCs w:val="20"/>
          <w:color w:val="auto"/>
        </w:rPr>
      </w:pPr>
    </w:p>
    <w:p>
      <w:pPr>
        <w:ind w:left="860" w:right="28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i w:val="1"/>
          <w:iCs w:val="1"/>
          <w:color w:val="auto"/>
        </w:rPr>
        <w:t xml:space="preserve">Campus-based tradition that complements online capabilities. </w:t>
      </w:r>
      <w:r>
        <w:rPr>
          <w:rFonts w:ascii="Arial" w:cs="Arial" w:eastAsia="Arial" w:hAnsi="Arial"/>
          <w:sz w:val="13"/>
          <w:szCs w:val="13"/>
          <w:color w:val="auto"/>
        </w:rPr>
        <w:t>We believe that our 60-year heritage as a traditional campus-based university complements our online capabilities,</w:t>
      </w:r>
      <w:r>
        <w:rPr>
          <w:rFonts w:ascii="Arial" w:cs="Arial" w:eastAsia="Arial" w:hAnsi="Arial"/>
          <w:sz w:val="13"/>
          <w:szCs w:val="13"/>
          <w:i w:val="1"/>
          <w:iCs w:val="1"/>
          <w:color w:val="auto"/>
        </w:rPr>
        <w:t xml:space="preserve"> </w:t>
      </w:r>
      <w:r>
        <w:rPr>
          <w:rFonts w:ascii="Arial" w:cs="Arial" w:eastAsia="Arial" w:hAnsi="Arial"/>
          <w:sz w:val="13"/>
          <w:szCs w:val="13"/>
          <w:color w:val="auto"/>
        </w:rPr>
        <w:t>attracts students who seek to affiliate with a traditional university, enhances the reputation of our degree programs among prospective students and employers, and differentiates us in the for-profit postsecondary market.</w:t>
      </w:r>
    </w:p>
    <w:p>
      <w:pPr>
        <w:spacing w:after="0" w:line="67" w:lineRule="exact"/>
        <w:rPr>
          <w:sz w:val="20"/>
          <w:szCs w:val="20"/>
          <w:color w:val="auto"/>
        </w:rPr>
      </w:pPr>
    </w:p>
    <w:p>
      <w:pPr>
        <w:jc w:val="both"/>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 objectives. Our programs are taught by qualified faculty, substantially all of whom hold at least a master’s degree and often have practical experience in their respective fields.</w:t>
      </w:r>
    </w:p>
    <w:p>
      <w:pPr>
        <w:spacing w:after="0" w:line="67"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67" w:lineRule="exact"/>
        <w:rPr>
          <w:sz w:val="20"/>
          <w:szCs w:val="20"/>
          <w:color w:val="auto"/>
        </w:rPr>
      </w:pPr>
    </w:p>
    <w:p>
      <w:pPr>
        <w:ind w:left="860" w:right="12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280" w:firstLine="399"/>
        <w:spacing w:after="0" w:line="320"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intend to increase enrollment in existing programs within our three core disciplines, which we believe offer ample opportunity for</w:t>
      </w:r>
      <w:r>
        <w:rPr>
          <w:rFonts w:ascii="Arial" w:cs="Arial" w:eastAsia="Arial" w:hAnsi="Arial"/>
          <w:sz w:val="12"/>
          <w:szCs w:val="12"/>
          <w:i w:val="1"/>
          <w:iCs w:val="1"/>
          <w:color w:val="auto"/>
        </w:rPr>
        <w:t xml:space="preserve"> </w:t>
      </w:r>
      <w:r>
        <w:rPr>
          <w:rFonts w:ascii="Arial" w:cs="Arial" w:eastAsia="Arial" w:hAnsi="Arial"/>
          <w:sz w:val="12"/>
          <w:szCs w:val="12"/>
          <w:color w:val="auto"/>
        </w:rPr>
        <w:t>growth. We also intend to increase the number of our enrollment counselors and marketing and student services personnel to drive enrollment growth and enhance student retention.</w:t>
      </w:r>
    </w:p>
    <w:p>
      <w:pPr>
        <w:spacing w:after="0" w:line="35"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i w:val="1"/>
          <w:iCs w:val="1"/>
          <w:color w:val="auto"/>
        </w:rPr>
        <w:t xml:space="preserve">Expand online program and degree offerings consistent with student and employment demand trends. </w:t>
      </w:r>
      <w:r>
        <w:rPr>
          <w:rFonts w:ascii="Arial" w:cs="Arial" w:eastAsia="Arial" w:hAnsi="Arial"/>
          <w:sz w:val="13"/>
          <w:szCs w:val="13"/>
          <w:color w:val="auto"/>
        </w:rPr>
        <w:t>We develop and offer new programs that we believe have attractive demand</w:t>
      </w:r>
      <w:r>
        <w:rPr>
          <w:rFonts w:ascii="Arial" w:cs="Arial" w:eastAsia="Arial" w:hAnsi="Arial"/>
          <w:sz w:val="13"/>
          <w:szCs w:val="13"/>
          <w:i w:val="1"/>
          <w:iCs w:val="1"/>
          <w:color w:val="auto"/>
        </w:rPr>
        <w:t xml:space="preserve"> </w:t>
      </w:r>
      <w:r>
        <w:rPr>
          <w:rFonts w:ascii="Arial" w:cs="Arial" w:eastAsia="Arial" w:hAnsi="Arial"/>
          <w:sz w:val="13"/>
          <w:szCs w:val="13"/>
          <w:color w:val="auto"/>
        </w:rPr>
        <w:t>characteristics and that are consistent with employment trends in the country. In this regard, we seek to develop additional programs in healthcare, education, business and liberal arts that are relevant to employers in these fields.</w:t>
      </w:r>
    </w:p>
    <w:p>
      <w:pPr>
        <w:spacing w:after="0" w:line="67" w:lineRule="exact"/>
        <w:rPr>
          <w:sz w:val="20"/>
          <w:szCs w:val="20"/>
          <w:color w:val="auto"/>
        </w:rPr>
      </w:pPr>
    </w:p>
    <w:p>
      <w:pPr>
        <w:ind w:left="860" w:right="180" w:firstLine="399"/>
        <w:spacing w:after="0" w:line="260" w:lineRule="auto"/>
        <w:rPr>
          <w:sz w:val="20"/>
          <w:szCs w:val="20"/>
          <w:color w:val="auto"/>
        </w:rPr>
      </w:pPr>
      <w:r>
        <w:rPr>
          <w:rFonts w:ascii="Arial" w:cs="Arial" w:eastAsia="Arial" w:hAnsi="Arial"/>
          <w:sz w:val="13"/>
          <w:szCs w:val="13"/>
          <w:i w:val="1"/>
          <w:iCs w:val="1"/>
          <w:color w:val="auto"/>
        </w:rPr>
        <w:t xml:space="preserve">Continue to enhance the profile and reputation of our traditional ground campus. </w:t>
      </w:r>
      <w:r>
        <w:rPr>
          <w:rFonts w:ascii="Arial" w:cs="Arial" w:eastAsia="Arial" w:hAnsi="Arial"/>
          <w:sz w:val="13"/>
          <w:szCs w:val="13"/>
          <w:color w:val="auto"/>
        </w:rPr>
        <w:t>We intend to continue to enhance the profile and reputation of our traditional ground campus by</w:t>
      </w:r>
      <w:r>
        <w:rPr>
          <w:rFonts w:ascii="Arial" w:cs="Arial" w:eastAsia="Arial" w:hAnsi="Arial"/>
          <w:sz w:val="13"/>
          <w:szCs w:val="13"/>
          <w:i w:val="1"/>
          <w:iCs w:val="1"/>
          <w:color w:val="auto"/>
        </w:rPr>
        <w:t xml:space="preserve"> </w:t>
      </w:r>
      <w:r>
        <w:rPr>
          <w:rFonts w:ascii="Arial" w:cs="Arial" w:eastAsia="Arial" w:hAnsi="Arial"/>
          <w:sz w:val="13"/>
          <w:szCs w:val="13"/>
          <w:color w:val="auto"/>
        </w:rPr>
        <w:t>leveraging the capabilities of our full-time ground faculty, attracting additional faculty with strong academic credentials, expanding upon and modernizing our campus infrastructure and technological capabilities, and strengthening our athletic programs. We believe these activities will continue to sustain and enhance the reputation of our programs and help drive, and support, increased ground and online enrollments.</w:t>
      </w:r>
    </w:p>
    <w:p>
      <w:pPr>
        <w:spacing w:after="0" w:line="70" w:lineRule="exact"/>
        <w:rPr>
          <w:sz w:val="20"/>
          <w:szCs w:val="20"/>
          <w:color w:val="auto"/>
        </w:rPr>
      </w:pPr>
    </w:p>
    <w:p>
      <w:pPr>
        <w:ind w:left="860" w:right="280" w:firstLine="399"/>
        <w:spacing w:after="0" w:line="264"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developing our ground campus and</w:t>
      </w:r>
      <w:r>
        <w:rPr>
          <w:rFonts w:ascii="Arial" w:cs="Arial" w:eastAsia="Arial" w:hAnsi="Arial"/>
          <w:sz w:val="13"/>
          <w:szCs w:val="13"/>
          <w:i w:val="1"/>
          <w:iCs w:val="1"/>
          <w:color w:val="auto"/>
        </w:rPr>
        <w:t xml:space="preserve"> </w:t>
      </w:r>
      <w:r>
        <w:rPr>
          <w:rFonts w:ascii="Arial" w:cs="Arial" w:eastAsia="Arial" w:hAnsi="Arial"/>
          <w:sz w:val="13"/>
          <w:szCs w:val="13"/>
          <w:color w:val="auto"/>
        </w:rPr>
        <w:t>traditional university programs to increase awareness of the university, establishing strategic branding relationships with recognized industry leaders, and developing complementary resources in our core disciplines that increase the overall awareness of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100" w:firstLine="399"/>
        <w:spacing w:after="0" w:line="289"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and will continue to make significant investments in our people, processes, and technology infrastructure. We</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that these investments have prepared us to deliver our academic programs to a much larger student population with only modest incremental investment, and have also enabled us to increase the effectiveness of our academic, administrative and student services in ways that will assist in our efforts to increase student success and retention levels. We intend to continue leveraging our historical investments over our increasing enrollment, which we believe will allow us to increase our operating margins over time.</w:t>
      </w:r>
    </w:p>
    <w:p>
      <w:pPr>
        <w:spacing w:after="0" w:line="53"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86" w:lineRule="exact"/>
        <w:rPr>
          <w:rFonts w:ascii="Arial" w:cs="Arial" w:eastAsia="Arial" w:hAnsi="Arial"/>
          <w:sz w:val="13"/>
          <w:szCs w:val="13"/>
          <w:color w:val="auto"/>
        </w:rPr>
      </w:pPr>
    </w:p>
    <w:p>
      <w:pPr>
        <w:ind w:left="1860" w:right="38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constantly evolving and extensive regulatory requirements to which our business is subject, including requirements governing the Title IV federal student financial aid programs, state laws and regulations, and accrediting commission requirements;</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degree offerings;</w:t>
      </w:r>
    </w:p>
    <w:p>
      <w:pPr>
        <w:spacing w:after="0" w:line="86" w:lineRule="exact"/>
        <w:rPr>
          <w:rFonts w:ascii="Arial" w:cs="Arial" w:eastAsia="Arial" w:hAnsi="Arial"/>
          <w:sz w:val="13"/>
          <w:szCs w:val="13"/>
          <w:color w:val="auto"/>
        </w:rPr>
      </w:pPr>
    </w:p>
    <w:p>
      <w:pPr>
        <w:ind w:left="1860" w:right="22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 change in control under applicable regulatory or accrediting standards, and we are unable to obtain appropriate approvals for such an event in a timely manner, or at all;</w:t>
      </w:r>
    </w:p>
    <w:p>
      <w:pPr>
        <w:spacing w:after="0" w:line="49" w:lineRule="exact"/>
        <w:rPr>
          <w:rFonts w:ascii="Arial" w:cs="Arial" w:eastAsia="Arial" w:hAnsi="Arial"/>
          <w:sz w:val="13"/>
          <w:szCs w:val="13"/>
          <w:color w:val="auto"/>
        </w:rPr>
      </w:pPr>
    </w:p>
    <w:p>
      <w:pPr>
        <w:jc w:val="both"/>
        <w:ind w:left="1860" w:right="100" w:hanging="200"/>
        <w:spacing w:after="0" w:line="264"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w:t>
      </w:r>
    </w:p>
    <w:p>
      <w:pPr>
        <w:spacing w:after="0" w:line="57" w:lineRule="exact"/>
        <w:rPr>
          <w:rFonts w:ascii="Arial" w:cs="Arial" w:eastAsia="Arial" w:hAnsi="Arial"/>
          <w:sz w:val="13"/>
          <w:szCs w:val="13"/>
          <w:color w:val="auto"/>
        </w:rPr>
      </w:pPr>
    </w:p>
    <w:p>
      <w:pPr>
        <w:ind w:left="1860" w:right="8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damage to our reputation or other adverse effects as a result of negative publicity in the media, in industry or governmental reports, or otherwise, affecting us or other companies in the for-profit postsecondary education sector;</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0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publicly-available information and private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which in some cases preceded the current economic downturn,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6660" w:type="dxa"/>
            <w:vAlign w:val="bottom"/>
            <w:gridSpan w:val="2"/>
          </w:tcPr>
          <w:p>
            <w:pPr>
              <w:ind w:left="1100"/>
              <w:spacing w:after="0"/>
              <w:rPr>
                <w:sz w:val="20"/>
                <w:szCs w:val="20"/>
                <w:color w:val="auto"/>
              </w:rPr>
            </w:pPr>
            <w:r>
              <w:rPr>
                <w:rFonts w:ascii="Arial" w:cs="Arial" w:eastAsia="Arial" w:hAnsi="Arial"/>
                <w:sz w:val="13"/>
                <w:szCs w:val="13"/>
                <w:b w:val="1"/>
                <w:bCs w:val="1"/>
                <w:color w:val="auto"/>
              </w:rPr>
              <w:t>OFFERING SUMMARY</w:t>
            </w:r>
          </w:p>
        </w:tc>
      </w:tr>
      <w:tr>
        <w:trPr>
          <w:trHeight w:val="246"/>
        </w:trPr>
        <w:tc>
          <w:tcPr>
            <w:tcW w:w="318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1520" w:type="dxa"/>
            <w:vAlign w:val="bottom"/>
          </w:tcPr>
          <w:p>
            <w:pPr>
              <w:ind w:left="500"/>
              <w:spacing w:after="0"/>
              <w:rPr>
                <w:sz w:val="20"/>
                <w:szCs w:val="20"/>
                <w:color w:val="auto"/>
              </w:rPr>
            </w:pPr>
            <w:r>
              <w:rPr>
                <w:rFonts w:ascii="Arial" w:cs="Arial" w:eastAsia="Arial" w:hAnsi="Arial"/>
                <w:sz w:val="13"/>
                <w:szCs w:val="13"/>
                <w:color w:val="auto"/>
                <w:w w:val="99"/>
              </w:rPr>
              <w:t>1,000,000 shares</w:t>
            </w:r>
          </w:p>
        </w:tc>
        <w:tc>
          <w:tcPr>
            <w:tcW w:w="5140" w:type="dxa"/>
            <w:vAlign w:val="bottom"/>
          </w:tcPr>
          <w:p>
            <w:pPr>
              <w:spacing w:after="0"/>
              <w:rPr>
                <w:sz w:val="21"/>
                <w:szCs w:val="21"/>
                <w:color w:val="auto"/>
              </w:rPr>
            </w:pPr>
          </w:p>
        </w:tc>
      </w:tr>
      <w:tr>
        <w:trPr>
          <w:trHeight w:val="236"/>
        </w:trPr>
        <w:tc>
          <w:tcPr>
            <w:tcW w:w="3180" w:type="dxa"/>
            <w:vAlign w:val="bottom"/>
          </w:tcPr>
          <w:p>
            <w:pPr>
              <w:spacing w:after="0"/>
              <w:rPr>
                <w:sz w:val="20"/>
                <w:szCs w:val="20"/>
                <w:color w:val="auto"/>
              </w:rPr>
            </w:pPr>
            <w:r>
              <w:rPr>
                <w:rFonts w:ascii="Arial" w:cs="Arial" w:eastAsia="Arial" w:hAnsi="Arial"/>
                <w:sz w:val="13"/>
                <w:szCs w:val="13"/>
                <w:color w:val="auto"/>
              </w:rPr>
              <w:t>Common stock offering by the selling stockholders</w:t>
            </w:r>
          </w:p>
        </w:tc>
        <w:tc>
          <w:tcPr>
            <w:tcW w:w="1520" w:type="dxa"/>
            <w:vAlign w:val="bottom"/>
          </w:tcPr>
          <w:p>
            <w:pPr>
              <w:ind w:left="840"/>
              <w:spacing w:after="0"/>
              <w:rPr>
                <w:sz w:val="20"/>
                <w:szCs w:val="20"/>
                <w:color w:val="auto"/>
              </w:rPr>
            </w:pPr>
            <w:r>
              <w:rPr>
                <w:rFonts w:ascii="Arial" w:cs="Arial" w:eastAsia="Arial" w:hAnsi="Arial"/>
                <w:sz w:val="13"/>
                <w:szCs w:val="13"/>
                <w:color w:val="auto"/>
              </w:rPr>
              <w:t>shares</w:t>
            </w:r>
          </w:p>
        </w:tc>
        <w:tc>
          <w:tcPr>
            <w:tcW w:w="5140" w:type="dxa"/>
            <w:vAlign w:val="bottom"/>
          </w:tcPr>
          <w:p>
            <w:pPr>
              <w:spacing w:after="0"/>
              <w:rPr>
                <w:sz w:val="20"/>
                <w:szCs w:val="20"/>
                <w:color w:val="auto"/>
              </w:rPr>
            </w:pPr>
          </w:p>
        </w:tc>
      </w:tr>
      <w:tr>
        <w:trPr>
          <w:trHeight w:val="236"/>
        </w:trPr>
        <w:tc>
          <w:tcPr>
            <w:tcW w:w="3180" w:type="dxa"/>
            <w:vAlign w:val="bottom"/>
          </w:tcPr>
          <w:p>
            <w:pPr>
              <w:spacing w:after="0"/>
              <w:rPr>
                <w:sz w:val="20"/>
                <w:szCs w:val="20"/>
                <w:color w:val="auto"/>
              </w:rPr>
            </w:pPr>
            <w:r>
              <w:rPr>
                <w:rFonts w:ascii="Arial" w:cs="Arial" w:eastAsia="Arial" w:hAnsi="Arial"/>
                <w:sz w:val="13"/>
                <w:szCs w:val="13"/>
                <w:color w:val="auto"/>
              </w:rPr>
              <w:t>Total common stock offered</w:t>
            </w:r>
          </w:p>
        </w:tc>
        <w:tc>
          <w:tcPr>
            <w:tcW w:w="1520" w:type="dxa"/>
            <w:vAlign w:val="bottom"/>
          </w:tcPr>
          <w:p>
            <w:pPr>
              <w:ind w:left="840"/>
              <w:spacing w:after="0"/>
              <w:rPr>
                <w:sz w:val="20"/>
                <w:szCs w:val="20"/>
                <w:color w:val="auto"/>
              </w:rPr>
            </w:pPr>
            <w:r>
              <w:rPr>
                <w:rFonts w:ascii="Arial" w:cs="Arial" w:eastAsia="Arial" w:hAnsi="Arial"/>
                <w:sz w:val="13"/>
                <w:szCs w:val="13"/>
                <w:color w:val="auto"/>
              </w:rPr>
              <w:t>shares</w:t>
            </w:r>
          </w:p>
        </w:tc>
        <w:tc>
          <w:tcPr>
            <w:tcW w:w="5140" w:type="dxa"/>
            <w:vAlign w:val="bottom"/>
          </w:tcPr>
          <w:p>
            <w:pPr>
              <w:spacing w:after="0"/>
              <w:rPr>
                <w:sz w:val="20"/>
                <w:szCs w:val="20"/>
                <w:color w:val="auto"/>
              </w:rPr>
            </w:pPr>
          </w:p>
        </w:tc>
      </w:tr>
      <w:tr>
        <w:trPr>
          <w:trHeight w:val="236"/>
        </w:trPr>
        <w:tc>
          <w:tcPr>
            <w:tcW w:w="3180" w:type="dxa"/>
            <w:vAlign w:val="bottom"/>
          </w:tcPr>
          <w:p>
            <w:pPr>
              <w:spacing w:after="0"/>
              <w:rPr>
                <w:sz w:val="20"/>
                <w:szCs w:val="20"/>
                <w:color w:val="auto"/>
              </w:rPr>
            </w:pPr>
            <w:r>
              <w:rPr>
                <w:rFonts w:ascii="Arial" w:cs="Arial" w:eastAsia="Arial" w:hAnsi="Arial"/>
                <w:sz w:val="13"/>
                <w:szCs w:val="13"/>
                <w:color w:val="auto"/>
              </w:rPr>
              <w:t>Total common stock outstanding after this offering</w:t>
            </w:r>
          </w:p>
        </w:tc>
        <w:tc>
          <w:tcPr>
            <w:tcW w:w="1520" w:type="dxa"/>
            <w:vAlign w:val="bottom"/>
          </w:tcPr>
          <w:p>
            <w:pPr>
              <w:ind w:left="500"/>
              <w:spacing w:after="0"/>
              <w:rPr>
                <w:sz w:val="20"/>
                <w:szCs w:val="20"/>
                <w:color w:val="auto"/>
              </w:rPr>
            </w:pPr>
            <w:r>
              <w:rPr>
                <w:rFonts w:ascii="Arial" w:cs="Arial" w:eastAsia="Arial" w:hAnsi="Arial"/>
                <w:sz w:val="13"/>
                <w:szCs w:val="13"/>
                <w:color w:val="auto"/>
                <w:w w:val="92"/>
              </w:rPr>
              <w:t>45,576,417 shares</w:t>
            </w:r>
          </w:p>
        </w:tc>
        <w:tc>
          <w:tcPr>
            <w:tcW w:w="5140" w:type="dxa"/>
            <w:vAlign w:val="bottom"/>
          </w:tcPr>
          <w:p>
            <w:pPr>
              <w:spacing w:after="0"/>
              <w:rPr>
                <w:sz w:val="20"/>
                <w:szCs w:val="20"/>
                <w:color w:val="auto"/>
              </w:rPr>
            </w:pPr>
          </w:p>
        </w:tc>
      </w:tr>
      <w:tr>
        <w:trPr>
          <w:trHeight w:val="228"/>
        </w:trPr>
        <w:tc>
          <w:tcPr>
            <w:tcW w:w="3180" w:type="dxa"/>
            <w:vAlign w:val="bottom"/>
          </w:tcPr>
          <w:p>
            <w:pPr>
              <w:spacing w:after="0"/>
              <w:rPr>
                <w:sz w:val="20"/>
                <w:szCs w:val="20"/>
                <w:color w:val="auto"/>
              </w:rPr>
            </w:pPr>
            <w:r>
              <w:rPr>
                <w:rFonts w:ascii="Arial" w:cs="Arial" w:eastAsia="Arial" w:hAnsi="Arial"/>
                <w:sz w:val="13"/>
                <w:szCs w:val="13"/>
                <w:color w:val="auto"/>
              </w:rPr>
              <w:t>Use of proceeds</w:t>
            </w:r>
          </w:p>
        </w:tc>
        <w:tc>
          <w:tcPr>
            <w:tcW w:w="6660" w:type="dxa"/>
            <w:vAlign w:val="bottom"/>
            <w:gridSpan w:val="2"/>
          </w:tcPr>
          <w:p>
            <w:pPr>
              <w:ind w:left="500"/>
              <w:spacing w:after="0"/>
              <w:rPr>
                <w:sz w:val="20"/>
                <w:szCs w:val="20"/>
                <w:color w:val="auto"/>
              </w:rPr>
            </w:pPr>
            <w:r>
              <w:rPr>
                <w:rFonts w:ascii="Arial" w:cs="Arial" w:eastAsia="Arial" w:hAnsi="Arial"/>
                <w:sz w:val="13"/>
                <w:szCs w:val="13"/>
                <w:color w:val="auto"/>
                <w:w w:val="98"/>
              </w:rPr>
              <w:t>We estimate that the proceeds to us from this offering will be approximately $   million, based on an assumed</w:t>
            </w:r>
          </w:p>
        </w:tc>
      </w:tr>
      <w:tr>
        <w:trPr>
          <w:trHeight w:val="157"/>
        </w:trPr>
        <w:tc>
          <w:tcPr>
            <w:tcW w:w="3180" w:type="dxa"/>
            <w:vAlign w:val="bottom"/>
          </w:tcPr>
          <w:p>
            <w:pPr>
              <w:spacing w:after="0"/>
              <w:rPr>
                <w:sz w:val="13"/>
                <w:szCs w:val="13"/>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w w:val="99"/>
              </w:rPr>
              <w:t>offering price of $</w:t>
            </w:r>
          </w:p>
        </w:tc>
        <w:tc>
          <w:tcPr>
            <w:tcW w:w="5140" w:type="dxa"/>
            <w:vAlign w:val="bottom"/>
          </w:tcPr>
          <w:p>
            <w:pPr>
              <w:ind w:left="140"/>
              <w:spacing w:after="0"/>
              <w:rPr>
                <w:sz w:val="20"/>
                <w:szCs w:val="20"/>
                <w:color w:val="auto"/>
              </w:rPr>
            </w:pPr>
            <w:r>
              <w:rPr>
                <w:rFonts w:ascii="Arial" w:cs="Arial" w:eastAsia="Arial" w:hAnsi="Arial"/>
                <w:sz w:val="13"/>
                <w:szCs w:val="13"/>
                <w:color w:val="auto"/>
                <w:w w:val="93"/>
              </w:rPr>
              <w:t>per share, which is the closing price of our common stock as reported on The Nasdaq Global</w:t>
            </w:r>
          </w:p>
        </w:tc>
      </w:tr>
      <w:tr>
        <w:trPr>
          <w:trHeight w:val="157"/>
        </w:trPr>
        <w:tc>
          <w:tcPr>
            <w:tcW w:w="3180" w:type="dxa"/>
            <w:vAlign w:val="bottom"/>
          </w:tcPr>
          <w:p>
            <w:pPr>
              <w:spacing w:after="0"/>
              <w:rPr>
                <w:sz w:val="13"/>
                <w:szCs w:val="13"/>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w w:val="98"/>
              </w:rPr>
              <w:t>Market on August</w:t>
            </w:r>
          </w:p>
        </w:tc>
        <w:tc>
          <w:tcPr>
            <w:tcW w:w="5140" w:type="dxa"/>
            <w:vAlign w:val="bottom"/>
          </w:tcPr>
          <w:p>
            <w:pPr>
              <w:ind w:left="40"/>
              <w:spacing w:after="0"/>
              <w:rPr>
                <w:sz w:val="20"/>
                <w:szCs w:val="20"/>
                <w:color w:val="auto"/>
              </w:rPr>
            </w:pPr>
            <w:r>
              <w:rPr>
                <w:rFonts w:ascii="Arial" w:cs="Arial" w:eastAsia="Arial" w:hAnsi="Arial"/>
                <w:sz w:val="13"/>
                <w:szCs w:val="13"/>
                <w:color w:val="auto"/>
                <w:w w:val="93"/>
              </w:rPr>
              <w:t>, 2009 and after deducting the underwriting discounts and commissions and estimated offering</w:t>
            </w:r>
          </w:p>
        </w:tc>
      </w:tr>
      <w:tr>
        <w:trPr>
          <w:trHeight w:val="157"/>
        </w:trPr>
        <w:tc>
          <w:tcPr>
            <w:tcW w:w="3180" w:type="dxa"/>
            <w:vAlign w:val="bottom"/>
          </w:tcPr>
          <w:p>
            <w:pPr>
              <w:spacing w:after="0"/>
              <w:rPr>
                <w:sz w:val="13"/>
                <w:szCs w:val="13"/>
                <w:color w:val="auto"/>
              </w:rPr>
            </w:pPr>
          </w:p>
        </w:tc>
        <w:tc>
          <w:tcPr>
            <w:tcW w:w="6660" w:type="dxa"/>
            <w:vAlign w:val="bottom"/>
            <w:gridSpan w:val="2"/>
          </w:tcPr>
          <w:p>
            <w:pPr>
              <w:ind w:left="500"/>
              <w:spacing w:after="0"/>
              <w:rPr>
                <w:sz w:val="20"/>
                <w:szCs w:val="20"/>
                <w:color w:val="auto"/>
              </w:rPr>
            </w:pPr>
            <w:r>
              <w:rPr>
                <w:rFonts w:ascii="Arial" w:cs="Arial" w:eastAsia="Arial" w:hAnsi="Arial"/>
                <w:sz w:val="13"/>
                <w:szCs w:val="13"/>
                <w:color w:val="auto"/>
                <w:w w:val="92"/>
              </w:rPr>
              <w:t>expenses payable by us. We intend to use the proceeds to us from this offering to pay the fees and expenses of this</w:t>
            </w:r>
          </w:p>
        </w:tc>
      </w:tr>
      <w:tr>
        <w:trPr>
          <w:trHeight w:val="157"/>
        </w:trPr>
        <w:tc>
          <w:tcPr>
            <w:tcW w:w="3180" w:type="dxa"/>
            <w:vAlign w:val="bottom"/>
          </w:tcPr>
          <w:p>
            <w:pPr>
              <w:spacing w:after="0"/>
              <w:rPr>
                <w:sz w:val="13"/>
                <w:szCs w:val="13"/>
                <w:color w:val="auto"/>
              </w:rPr>
            </w:pPr>
          </w:p>
        </w:tc>
        <w:tc>
          <w:tcPr>
            <w:tcW w:w="6660" w:type="dxa"/>
            <w:vAlign w:val="bottom"/>
            <w:gridSpan w:val="2"/>
          </w:tcPr>
          <w:p>
            <w:pPr>
              <w:ind w:left="500"/>
              <w:spacing w:after="0"/>
              <w:rPr>
                <w:sz w:val="20"/>
                <w:szCs w:val="20"/>
                <w:color w:val="auto"/>
              </w:rPr>
            </w:pPr>
            <w:r>
              <w:rPr>
                <w:rFonts w:ascii="Arial" w:cs="Arial" w:eastAsia="Arial" w:hAnsi="Arial"/>
                <w:sz w:val="13"/>
                <w:szCs w:val="13"/>
                <w:color w:val="auto"/>
                <w:w w:val="90"/>
              </w:rPr>
              <w:t>offering that are payable by us, and for working capital and other general corporate purposes. See “Use of Proceeds.”</w:t>
            </w:r>
          </w:p>
        </w:tc>
      </w:tr>
      <w:tr>
        <w:trPr>
          <w:trHeight w:val="165"/>
        </w:trPr>
        <w:tc>
          <w:tcPr>
            <w:tcW w:w="3180" w:type="dxa"/>
            <w:vAlign w:val="bottom"/>
          </w:tcPr>
          <w:p>
            <w:pPr>
              <w:spacing w:after="0"/>
              <w:rPr>
                <w:sz w:val="14"/>
                <w:szCs w:val="14"/>
                <w:color w:val="auto"/>
              </w:rPr>
            </w:pPr>
          </w:p>
        </w:tc>
        <w:tc>
          <w:tcPr>
            <w:tcW w:w="6660" w:type="dxa"/>
            <w:vAlign w:val="bottom"/>
            <w:gridSpan w:val="2"/>
          </w:tcPr>
          <w:p>
            <w:pPr>
              <w:ind w:left="500"/>
              <w:spacing w:after="0"/>
              <w:rPr>
                <w:sz w:val="20"/>
                <w:szCs w:val="20"/>
                <w:color w:val="auto"/>
              </w:rPr>
            </w:pPr>
            <w:r>
              <w:rPr>
                <w:rFonts w:ascii="Arial" w:cs="Arial" w:eastAsia="Arial" w:hAnsi="Arial"/>
                <w:sz w:val="13"/>
                <w:szCs w:val="13"/>
                <w:color w:val="auto"/>
              </w:rPr>
              <w:t>We will not receive any proceeds from the shares sold by the selling stockholders.</w:t>
            </w:r>
          </w:p>
        </w:tc>
      </w:tr>
      <w:tr>
        <w:trPr>
          <w:trHeight w:val="228"/>
        </w:trPr>
        <w:tc>
          <w:tcPr>
            <w:tcW w:w="3180" w:type="dxa"/>
            <w:vAlign w:val="bottom"/>
          </w:tcPr>
          <w:p>
            <w:pPr>
              <w:spacing w:after="0"/>
              <w:rPr>
                <w:sz w:val="20"/>
                <w:szCs w:val="20"/>
                <w:color w:val="auto"/>
              </w:rPr>
            </w:pPr>
            <w:r>
              <w:rPr>
                <w:rFonts w:ascii="Arial" w:cs="Arial" w:eastAsia="Arial" w:hAnsi="Arial"/>
                <w:sz w:val="13"/>
                <w:szCs w:val="13"/>
                <w:color w:val="auto"/>
              </w:rPr>
              <w:t>Risk factors</w:t>
            </w:r>
          </w:p>
        </w:tc>
        <w:tc>
          <w:tcPr>
            <w:tcW w:w="6660" w:type="dxa"/>
            <w:vAlign w:val="bottom"/>
            <w:gridSpan w:val="2"/>
          </w:tcPr>
          <w:p>
            <w:pPr>
              <w:ind w:left="500"/>
              <w:spacing w:after="0"/>
              <w:rPr>
                <w:sz w:val="20"/>
                <w:szCs w:val="20"/>
                <w:color w:val="auto"/>
              </w:rPr>
            </w:pPr>
            <w:r>
              <w:rPr>
                <w:rFonts w:ascii="Arial" w:cs="Arial" w:eastAsia="Arial" w:hAnsi="Arial"/>
                <w:sz w:val="13"/>
                <w:szCs w:val="13"/>
                <w:color w:val="auto"/>
                <w:w w:val="93"/>
              </w:rPr>
              <w:t>You should carefully read and consider the information set forth under the section titled “Risk Factors” and all other</w:t>
            </w:r>
          </w:p>
        </w:tc>
      </w:tr>
      <w:tr>
        <w:trPr>
          <w:trHeight w:val="157"/>
        </w:trPr>
        <w:tc>
          <w:tcPr>
            <w:tcW w:w="3180" w:type="dxa"/>
            <w:vAlign w:val="bottom"/>
          </w:tcPr>
          <w:p>
            <w:pPr>
              <w:spacing w:after="0"/>
              <w:rPr>
                <w:sz w:val="13"/>
                <w:szCs w:val="13"/>
                <w:color w:val="auto"/>
              </w:rPr>
            </w:pPr>
          </w:p>
        </w:tc>
        <w:tc>
          <w:tcPr>
            <w:tcW w:w="6660" w:type="dxa"/>
            <w:vAlign w:val="bottom"/>
            <w:gridSpan w:val="2"/>
          </w:tcPr>
          <w:p>
            <w:pPr>
              <w:ind w:left="500"/>
              <w:spacing w:after="0"/>
              <w:rPr>
                <w:sz w:val="20"/>
                <w:szCs w:val="20"/>
                <w:color w:val="auto"/>
              </w:rPr>
            </w:pPr>
            <w:r>
              <w:rPr>
                <w:rFonts w:ascii="Arial" w:cs="Arial" w:eastAsia="Arial" w:hAnsi="Arial"/>
                <w:sz w:val="13"/>
                <w:szCs w:val="13"/>
                <w:color w:val="auto"/>
                <w:w w:val="94"/>
              </w:rPr>
              <w:t>information set forth in or incorporated by reference into this prospectus before deciding to invest in shares of our</w:t>
            </w:r>
          </w:p>
        </w:tc>
      </w:tr>
      <w:tr>
        <w:trPr>
          <w:trHeight w:val="165"/>
        </w:trPr>
        <w:tc>
          <w:tcPr>
            <w:tcW w:w="318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rPr>
              <w:t>common stock.</w:t>
            </w:r>
          </w:p>
        </w:tc>
        <w:tc>
          <w:tcPr>
            <w:tcW w:w="5140" w:type="dxa"/>
            <w:vAlign w:val="bottom"/>
          </w:tcPr>
          <w:p>
            <w:pPr>
              <w:spacing w:after="0"/>
              <w:rPr>
                <w:sz w:val="14"/>
                <w:szCs w:val="14"/>
                <w:color w:val="auto"/>
              </w:rPr>
            </w:pPr>
          </w:p>
        </w:tc>
      </w:tr>
      <w:tr>
        <w:trPr>
          <w:trHeight w:val="236"/>
        </w:trPr>
        <w:tc>
          <w:tcPr>
            <w:tcW w:w="3180" w:type="dxa"/>
            <w:vAlign w:val="bottom"/>
          </w:tcPr>
          <w:p>
            <w:pPr>
              <w:spacing w:after="0"/>
              <w:rPr>
                <w:sz w:val="20"/>
                <w:szCs w:val="20"/>
                <w:color w:val="auto"/>
              </w:rPr>
            </w:pPr>
            <w:r>
              <w:rPr>
                <w:rFonts w:ascii="Arial" w:cs="Arial" w:eastAsia="Arial" w:hAnsi="Arial"/>
                <w:sz w:val="13"/>
                <w:szCs w:val="13"/>
                <w:color w:val="auto"/>
              </w:rPr>
              <w:t>Nasdaq Global Market symbol</w:t>
            </w:r>
          </w:p>
        </w:tc>
        <w:tc>
          <w:tcPr>
            <w:tcW w:w="1520" w:type="dxa"/>
            <w:vAlign w:val="bottom"/>
          </w:tcPr>
          <w:p>
            <w:pPr>
              <w:ind w:left="500"/>
              <w:spacing w:after="0"/>
              <w:rPr>
                <w:sz w:val="20"/>
                <w:szCs w:val="20"/>
                <w:color w:val="auto"/>
              </w:rPr>
            </w:pPr>
            <w:r>
              <w:rPr>
                <w:rFonts w:ascii="Arial" w:cs="Arial" w:eastAsia="Arial" w:hAnsi="Arial"/>
                <w:sz w:val="13"/>
                <w:szCs w:val="13"/>
                <w:color w:val="auto"/>
              </w:rPr>
              <w:t>LOPE</w:t>
            </w:r>
          </w:p>
        </w:tc>
        <w:tc>
          <w:tcPr>
            <w:tcW w:w="5140" w:type="dxa"/>
            <w:vAlign w:val="bottom"/>
          </w:tcPr>
          <w:p>
            <w:pPr>
              <w:spacing w:after="0"/>
              <w:rPr>
                <w:sz w:val="20"/>
                <w:szCs w:val="20"/>
                <w:color w:val="auto"/>
              </w:rPr>
            </w:pPr>
          </w:p>
        </w:tc>
      </w:tr>
    </w:tbl>
    <w:p>
      <w:pPr>
        <w:spacing w:after="0" w:line="81" w:lineRule="exact"/>
        <w:rPr>
          <w:sz w:val="20"/>
          <w:szCs w:val="20"/>
          <w:color w:val="auto"/>
        </w:rPr>
      </w:pPr>
    </w:p>
    <w:p>
      <w:pPr>
        <w:ind w:left="860" w:right="30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44,576,417 shares of our common stock outstanding as of June 30, 2009. This number does not include:</w:t>
      </w:r>
    </w:p>
    <w:p>
      <w:pPr>
        <w:spacing w:after="0" w:line="59" w:lineRule="exact"/>
        <w:rPr>
          <w:sz w:val="20"/>
          <w:szCs w:val="20"/>
          <w:color w:val="auto"/>
        </w:rPr>
      </w:pPr>
    </w:p>
    <w:p>
      <w:pPr>
        <w:ind w:left="1860" w:right="80" w:hanging="200"/>
        <w:spacing w:after="0" w:line="276"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3,310,532 shares of common stock issuable upon the exercise of stock options outstanding as of June 30, 2009 under our equity incentive plan, with a weighted average exercise price of $12.11 per share;</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22,377 shares of common stock that were issued upon the exercise of stock options subsequent to June 30, 2009; and</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1,956,107 shares of common stock reserved for future issuance under our equity incentive plan as of June 30, 2009.</w:t>
      </w:r>
    </w:p>
    <w:p>
      <w:pPr>
        <w:sectPr>
          <w:pgSz w:w="11900" w:h="16838" w:orient="portrait"/>
          <w:cols w:equalWidth="0" w:num="1">
            <w:col w:w="10740"/>
          </w:cols>
          <w:pgMar w:left="220" w:top="343" w:right="939" w:bottom="1440" w:gutter="0" w:footer="0" w:header="0"/>
        </w:sectPr>
      </w:pPr>
    </w:p>
    <w:p>
      <w:pPr>
        <w:spacing w:after="0" w:line="96" w:lineRule="exact"/>
        <w:rPr>
          <w:sz w:val="20"/>
          <w:szCs w:val="20"/>
          <w:color w:val="auto"/>
        </w:rPr>
      </w:pPr>
    </w:p>
    <w:p>
      <w:pPr>
        <w:ind w:left="860" w:firstLine="399"/>
        <w:spacing w:after="0" w:line="276" w:lineRule="auto"/>
        <w:rPr>
          <w:sz w:val="20"/>
          <w:szCs w:val="20"/>
          <w:color w:val="auto"/>
        </w:rPr>
      </w:pPr>
      <w:r>
        <w:rPr>
          <w:rFonts w:ascii="Arial" w:cs="Arial" w:eastAsia="Arial" w:hAnsi="Arial"/>
          <w:sz w:val="13"/>
          <w:szCs w:val="13"/>
          <w:color w:val="auto"/>
        </w:rPr>
        <w:t>Unless otherwise indicated, the information in this prospectus reflects and assumes no exercise by the underwriters of their option to purchase up to an additional common stock from certain of the selling stockholders to cover over-allotments, if any.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shares of our</w:t>
      </w:r>
    </w:p>
    <w:p>
      <w:pPr>
        <w:spacing w:after="0" w:line="417" w:lineRule="exact"/>
        <w:rPr>
          <w:sz w:val="20"/>
          <w:szCs w:val="20"/>
          <w:color w:val="auto"/>
        </w:rPr>
      </w:pPr>
    </w:p>
    <w:p>
      <w:pPr>
        <w:sectPr>
          <w:pgSz w:w="11900" w:h="16838" w:orient="portrait"/>
          <w:cols w:equalWidth="0" w:num="2">
            <w:col w:w="9700" w:space="360"/>
            <w:col w:w="680"/>
          </w:cols>
          <w:pgMar w:left="220" w:top="343"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4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220" w:top="343" w:right="93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right="80" w:firstLine="399"/>
        <w:spacing w:after="0" w:line="256" w:lineRule="auto"/>
        <w:rPr>
          <w:sz w:val="20"/>
          <w:szCs w:val="20"/>
          <w:color w:val="auto"/>
        </w:rPr>
      </w:pPr>
      <w:r>
        <w:rPr>
          <w:rFonts w:ascii="Arial" w:cs="Arial" w:eastAsia="Arial" w:hAnsi="Arial"/>
          <w:sz w:val="13"/>
          <w:szCs w:val="13"/>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2008, have been derived from our audited financial statements, which are included with our Annual Report on Form 10-K for the year ended December 31, 2008, which is incorporated by reference into this prospectus. The statement of operations and other data, excluding period end enrollment, for each of the six month periods ended June 30, 2008 and 2009, and the balance sheet data as of June 30, 2009, have been derived from our unaudited financial statements, which are included with our Quarterly Report on Form 10-Q for the quarter ended June 30, 2009, which is incorporated by reference into this prospectus. In the opinion of management, our unaudited financial statements include all adjustments, consisting of normal, recurring adjustments, necessary for a fair presentation of such data. Our historical results are not necessarily indicative of our results for any future period.</w:t>
      </w:r>
    </w:p>
    <w:p>
      <w:pPr>
        <w:spacing w:after="0" w:line="73" w:lineRule="exact"/>
        <w:rPr>
          <w:sz w:val="20"/>
          <w:szCs w:val="20"/>
          <w:color w:val="auto"/>
        </w:rPr>
      </w:pPr>
    </w:p>
    <w:p>
      <w:pPr>
        <w:ind w:left="860" w:right="340" w:firstLine="399"/>
        <w:spacing w:after="0" w:line="320" w:lineRule="auto"/>
        <w:rPr>
          <w:sz w:val="20"/>
          <w:szCs w:val="20"/>
          <w:color w:val="auto"/>
        </w:rPr>
      </w:pPr>
      <w:r>
        <w:rPr>
          <w:rFonts w:ascii="Arial" w:cs="Arial" w:eastAsia="Arial" w:hAnsi="Arial"/>
          <w:sz w:val="12"/>
          <w:szCs w:val="12"/>
          <w:color w:val="auto"/>
        </w:rPr>
        <w:t>You should read the following summary financial and other data in conjunction with “Selected Financial and Other Data,” “Management’s Discussion and Analysis of Financial Condition and Results of Operations,” and our financial statements and related notes, all of which are incorporated by reference into this prospectus.</w:t>
      </w:r>
    </w:p>
    <w:p>
      <w:pPr>
        <w:spacing w:after="0" w:line="37"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6"/>
          </w:tcPr>
          <w:p>
            <w:pPr>
              <w:jc w:val="right"/>
              <w:ind w:right="240"/>
              <w:spacing w:after="0"/>
              <w:rPr>
                <w:sz w:val="20"/>
                <w:szCs w:val="20"/>
                <w:color w:val="auto"/>
              </w:rPr>
            </w:pPr>
            <w:r>
              <w:rPr>
                <w:rFonts w:ascii="Arial" w:cs="Arial" w:eastAsia="Arial" w:hAnsi="Arial"/>
                <w:sz w:val="10"/>
                <w:szCs w:val="10"/>
                <w:b w:val="1"/>
                <w:bCs w:val="1"/>
                <w:color w:val="auto"/>
                <w:w w:val="97"/>
              </w:rPr>
              <w:t>Year Ended December 31,</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2008</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0"/>
                <w:szCs w:val="10"/>
                <w:b w:val="1"/>
                <w:bCs w:val="1"/>
                <w:color w:val="auto"/>
                <w:w w:val="89"/>
              </w:rPr>
              <w:t>(In thousands, except enrollment</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0"/>
                <w:szCs w:val="10"/>
                <w:b w:val="1"/>
                <w:bCs w:val="1"/>
                <w:color w:val="auto"/>
              </w:rPr>
              <w:t>and per share 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Net 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72,111</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99,326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161,309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70,275</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118,364</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31,287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39,050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54,450</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24,028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38,379</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20,093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35,148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65,551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27,473</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40,301</w:t>
            </w:r>
          </w:p>
        </w:tc>
        <w:tc>
          <w:tcPr>
            <w:tcW w:w="0" w:type="dxa"/>
            <w:vAlign w:val="bottom"/>
          </w:tcPr>
          <w:p>
            <w:pPr>
              <w:spacing w:after="0"/>
              <w:rPr>
                <w:sz w:val="1"/>
                <w:szCs w:val="1"/>
                <w:color w:val="auto"/>
              </w:rPr>
            </w:pPr>
          </w:p>
        </w:tc>
      </w:tr>
      <w:tr>
        <w:trPr>
          <w:trHeight w:val="157"/>
        </w:trPr>
        <w:tc>
          <w:tcPr>
            <w:tcW w:w="50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15,011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17,001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26,825</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10,960</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17,521</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2,678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3,782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1,686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1,488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69,069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94,981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148,512</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63,949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96,349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3,042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4,345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12,797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6,326</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22,015</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(2,827)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(2,975)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(2,897)</w:t>
            </w:r>
          </w:p>
        </w:tc>
        <w:tc>
          <w:tcPr>
            <w:tcW w:w="140" w:type="dxa"/>
            <w:vAlign w:val="bottom"/>
          </w:tcPr>
          <w:p>
            <w:pPr>
              <w:spacing w:after="0"/>
              <w:rPr>
                <w:sz w:val="13"/>
                <w:szCs w:val="13"/>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3"/>
                <w:szCs w:val="13"/>
                <w:color w:val="auto"/>
              </w:rPr>
              <w:t>(1,507)</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432</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1,127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2,542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10,540</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5,251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21,157</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529</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1,016</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2,027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598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1,526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6,685</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3,224</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(527)</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(521)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71</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1,177</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5,747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2,703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Earnings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0.00</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0.06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0.26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0.14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Arial" w:cs="Arial" w:eastAsia="Arial" w:hAnsi="Arial"/>
                <w:sz w:val="13"/>
                <w:szCs w:val="13"/>
                <w:color w:val="auto"/>
              </w:rPr>
              <w:t>Shares used in computing earnings per common share</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18,853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18,923</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22,185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19,089</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45,159</w:t>
            </w:r>
          </w:p>
        </w:tc>
        <w:tc>
          <w:tcPr>
            <w:tcW w:w="0" w:type="dxa"/>
            <w:vAlign w:val="bottom"/>
          </w:tcPr>
          <w:p>
            <w:pPr>
              <w:spacing w:after="0"/>
              <w:rPr>
                <w:sz w:val="1"/>
                <w:szCs w:val="1"/>
                <w:color w:val="auto"/>
              </w:rPr>
            </w:pPr>
          </w:p>
        </w:tc>
      </w:tr>
      <w:tr>
        <w:trPr>
          <w:trHeight w:val="29"/>
        </w:trPr>
        <w:tc>
          <w:tcPr>
            <w:tcW w:w="500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36,858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35,143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33,430</w:t>
            </w:r>
          </w:p>
        </w:tc>
        <w:tc>
          <w:tcPr>
            <w:tcW w:w="140" w:type="dxa"/>
            <w:vAlign w:val="bottom"/>
          </w:tcPr>
          <w:p>
            <w:pPr>
              <w:spacing w:after="0"/>
              <w:rPr>
                <w:sz w:val="15"/>
                <w:szCs w:val="15"/>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32,623</w:t>
            </w: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45,437</w:t>
            </w: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2,387</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7,406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8,374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3,504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11,111</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Purchase of campus land and buildings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35,505</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2,396</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3,300</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5,095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2,269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9,074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25,675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10,294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26,978</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Period end enrollment: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Online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8,406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12,497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14,847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26,234</w:t>
            </w:r>
          </w:p>
        </w:tc>
        <w:tc>
          <w:tcPr>
            <w:tcW w:w="0" w:type="dxa"/>
            <w:vAlign w:val="bottom"/>
          </w:tcPr>
          <w:p>
            <w:pPr>
              <w:spacing w:after="0"/>
              <w:rPr>
                <w:sz w:val="1"/>
                <w:szCs w:val="1"/>
                <w:color w:val="auto"/>
              </w:rPr>
            </w:pPr>
          </w:p>
        </w:tc>
      </w:tr>
      <w:tr>
        <w:trPr>
          <w:trHeight w:val="165"/>
        </w:trPr>
        <w:tc>
          <w:tcPr>
            <w:tcW w:w="5000" w:type="dxa"/>
            <w:vAlign w:val="bottom"/>
          </w:tcPr>
          <w:p>
            <w:pPr>
              <w:ind w:left="120"/>
              <w:spacing w:after="0"/>
              <w:rPr>
                <w:sz w:val="20"/>
                <w:szCs w:val="20"/>
                <w:color w:val="auto"/>
              </w:rPr>
            </w:pPr>
            <w:r>
              <w:rPr>
                <w:rFonts w:ascii="Arial" w:cs="Arial" w:eastAsia="Arial" w:hAnsi="Arial"/>
                <w:sz w:val="13"/>
                <w:szCs w:val="13"/>
                <w:color w:val="auto"/>
              </w:rPr>
              <w:t>Ground</w:t>
            </w:r>
          </w:p>
        </w:tc>
        <w:tc>
          <w:tcPr>
            <w:tcW w:w="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2,256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2,257</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2,681</w:t>
            </w:r>
          </w:p>
        </w:tc>
        <w:tc>
          <w:tcPr>
            <w:tcW w:w="140" w:type="dxa"/>
            <w:vAlign w:val="bottom"/>
          </w:tcPr>
          <w:p>
            <w:pPr>
              <w:spacing w:after="0"/>
              <w:rPr>
                <w:sz w:val="14"/>
                <w:szCs w:val="14"/>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1,663</w:t>
            </w: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0"/>
                <w:szCs w:val="10"/>
                <w:b w:val="1"/>
                <w:bCs w:val="1"/>
                <w:color w:val="auto"/>
                <w:w w:val="94"/>
              </w:rPr>
              <w:t>As of June 30, 2009</w:t>
            </w:r>
          </w:p>
        </w:tc>
      </w:tr>
      <w:tr>
        <w:trPr>
          <w:trHeight w:val="98"/>
        </w:trPr>
        <w:tc>
          <w:tcPr>
            <w:tcW w:w="13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Actual</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jc w:val="right"/>
              <w:ind w:right="68"/>
              <w:spacing w:after="0" w:line="98" w:lineRule="exact"/>
              <w:rPr>
                <w:sz w:val="20"/>
                <w:szCs w:val="20"/>
                <w:color w:val="auto"/>
              </w:rPr>
            </w:pPr>
            <w:r>
              <w:rPr>
                <w:rFonts w:ascii="Arial" w:cs="Arial" w:eastAsia="Arial" w:hAnsi="Arial"/>
                <w:sz w:val="10"/>
                <w:szCs w:val="10"/>
                <w:b w:val="1"/>
                <w:bCs w:val="1"/>
                <w:color w:val="auto"/>
              </w:rPr>
              <w:t>As Adjusted</w:t>
            </w:r>
            <w:r>
              <w:rPr>
                <w:rFonts w:ascii="Arial" w:cs="Arial" w:eastAsia="Arial" w:hAnsi="Arial"/>
                <w:sz w:val="8"/>
                <w:szCs w:val="8"/>
                <w:b w:val="1"/>
                <w:bCs w:val="1"/>
                <w:color w:val="auto"/>
              </w:rPr>
              <w:t>(2)</w:t>
            </w:r>
          </w:p>
        </w:tc>
        <w:tc>
          <w:tcPr>
            <w:tcW w:w="100" w:type="dxa"/>
            <w:vAlign w:val="bottom"/>
          </w:tcPr>
          <w:p>
            <w:pPr>
              <w:spacing w:after="0"/>
              <w:rPr>
                <w:sz w:val="8"/>
                <w:szCs w:val="8"/>
                <w:color w:val="auto"/>
              </w:rPr>
            </w:pPr>
          </w:p>
        </w:tc>
      </w:tr>
      <w:tr>
        <w:trPr>
          <w:trHeight w:val="81"/>
        </w:trPr>
        <w:tc>
          <w:tcPr>
            <w:tcW w:w="1300" w:type="dxa"/>
            <w:vAlign w:val="bottom"/>
          </w:tcPr>
          <w:p>
            <w:pPr>
              <w:spacing w:after="0"/>
              <w:rPr>
                <w:sz w:val="7"/>
                <w:szCs w:val="7"/>
                <w:color w:val="auto"/>
              </w:rPr>
            </w:pPr>
          </w:p>
        </w:tc>
        <w:tc>
          <w:tcPr>
            <w:tcW w:w="6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tcPr>
          <w:p>
            <w:pPr>
              <w:jc w:val="center"/>
              <w:ind w:right="648"/>
              <w:spacing w:after="0" w:line="81" w:lineRule="exact"/>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7"/>
                <w:szCs w:val="7"/>
                <w:color w:val="auto"/>
              </w:rPr>
            </w:pPr>
          </w:p>
        </w:tc>
      </w:tr>
      <w:tr>
        <w:trPr>
          <w:trHeight w:val="135"/>
        </w:trPr>
        <w:tc>
          <w:tcPr>
            <w:tcW w:w="13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0"/>
                <w:szCs w:val="10"/>
                <w:b w:val="1"/>
                <w:bCs w:val="1"/>
                <w:color w:val="auto"/>
                <w:w w:val="92"/>
              </w:rPr>
              <w:t>(In thousands)</w:t>
            </w:r>
          </w:p>
        </w:tc>
      </w:tr>
      <w:tr>
        <w:trPr>
          <w:trHeight w:val="29"/>
        </w:trPr>
        <w:tc>
          <w:tcPr>
            <w:tcW w:w="13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80" w:type="dxa"/>
            <w:vAlign w:val="bottom"/>
            <w:gridSpan w:val="2"/>
          </w:tcPr>
          <w:p>
            <w:pPr>
              <w:spacing w:after="0"/>
              <w:rPr>
                <w:sz w:val="20"/>
                <w:szCs w:val="20"/>
                <w:color w:val="auto"/>
              </w:rPr>
            </w:pPr>
            <w:r>
              <w:rPr>
                <w:rFonts w:ascii="Arial" w:cs="Arial" w:eastAsia="Arial" w:hAnsi="Arial"/>
                <w:sz w:val="13"/>
                <w:szCs w:val="13"/>
                <w:color w:val="auto"/>
              </w:rPr>
              <w:t>Cash, cash equivalents and investments — unrestricted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25,225</w:t>
            </w:r>
          </w:p>
        </w:tc>
        <w:tc>
          <w:tcPr>
            <w:tcW w:w="128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 — restricted</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6,230</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8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126,506</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 (including short-term)</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2,013</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80" w:type="dxa"/>
            <w:vAlign w:val="bottom"/>
            <w:gridSpan w:val="2"/>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27,681</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53,965</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160" w:right="60" w:hanging="252"/>
        <w:spacing w:after="0" w:line="285"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included with our Quarterly Report on Form 10-Q for the quarter ended June 30, 2009, which is incorporated by reference into this prospectus; (ii) management fees and expenses that are no longer paid; (iii) contributions made to Arizona school tuition organizations in lieu of the payment of state income taxes; and (iv) share-based compensation.</w:t>
      </w:r>
    </w:p>
    <w:p>
      <w:pPr>
        <w:spacing w:after="0" w:line="6" w:lineRule="exact"/>
        <w:rPr>
          <w:rFonts w:ascii="Arial" w:cs="Arial" w:eastAsia="Arial" w:hAnsi="Arial"/>
          <w:sz w:val="12"/>
          <w:szCs w:val="12"/>
          <w:color w:val="auto"/>
        </w:rPr>
      </w:pPr>
    </w:p>
    <w:p>
      <w:pPr>
        <w:ind w:left="1160" w:right="140"/>
        <w:spacing w:after="0" w:line="282" w:lineRule="auto"/>
        <w:rPr>
          <w:rFonts w:ascii="Arial" w:cs="Arial" w:eastAsia="Arial" w:hAnsi="Arial"/>
          <w:sz w:val="12"/>
          <w:szCs w:val="12"/>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financing arrangements, and share-based compensation are not considered reflective of our core operating performance.</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96" w:lineRule="exact"/>
        <w:rPr>
          <w:sz w:val="20"/>
          <w:szCs w:val="20"/>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in part, assess compliance with our loan agreement; and</w:t>
      </w:r>
    </w:p>
    <w:p>
      <w:pPr>
        <w:spacing w:after="0" w:line="86" w:lineRule="exact"/>
        <w:rPr>
          <w:rFonts w:ascii="Arial" w:cs="Arial" w:eastAsia="Arial" w:hAnsi="Arial"/>
          <w:sz w:val="13"/>
          <w:szCs w:val="13"/>
          <w:color w:val="auto"/>
        </w:rPr>
      </w:pPr>
    </w:p>
    <w:p>
      <w:pPr>
        <w:ind w:left="1860" w:right="14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59" w:lineRule="exact"/>
        <w:rPr>
          <w:sz w:val="20"/>
          <w:szCs w:val="20"/>
          <w:color w:val="auto"/>
        </w:rPr>
      </w:pPr>
    </w:p>
    <w:p>
      <w:pPr>
        <w:ind w:left="860" w:right="60" w:firstLine="399"/>
        <w:spacing w:after="0" w:line="289" w:lineRule="auto"/>
        <w:rPr>
          <w:sz w:val="20"/>
          <w:szCs w:val="20"/>
          <w:color w:val="auto"/>
        </w:rPr>
      </w:pPr>
      <w:r>
        <w:rPr>
          <w:rFonts w:ascii="Arial" w:cs="Arial" w:eastAsia="Arial" w:hAnsi="Arial"/>
          <w:sz w:val="12"/>
          <w:szCs w:val="12"/>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460"/>
        <w:spacing w:after="0" w:line="276" w:lineRule="auto"/>
        <w:rPr>
          <w:sz w:val="20"/>
          <w:szCs w:val="20"/>
          <w:color w:val="auto"/>
        </w:rPr>
      </w:pPr>
      <w:r>
        <w:rPr>
          <w:rFonts w:ascii="Arial" w:cs="Arial" w:eastAsia="Arial" w:hAnsi="Arial"/>
          <w:sz w:val="13"/>
          <w:szCs w:val="13"/>
          <w:color w:val="auto"/>
        </w:rPr>
        <w:t>Results of Operations — Non-GAAP Discussion” included with our Quarterly Report on Form 10-Q for the quarter ended June 30, 2009, which is incorporated by reference into this prospectus.</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6"/>
          </w:tcPr>
          <w:p>
            <w:pPr>
              <w:ind w:left="240"/>
              <w:spacing w:after="0"/>
              <w:rPr>
                <w:sz w:val="20"/>
                <w:szCs w:val="20"/>
                <w:color w:val="auto"/>
              </w:rPr>
            </w:pPr>
            <w:r>
              <w:rPr>
                <w:rFonts w:ascii="Arial" w:cs="Arial" w:eastAsia="Arial" w:hAnsi="Arial"/>
                <w:sz w:val="10"/>
                <w:szCs w:val="10"/>
                <w:b w:val="1"/>
                <w:bCs w:val="1"/>
                <w:color w:val="auto"/>
              </w:rPr>
              <w:t>Year Ended December 31,</w:t>
            </w: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4"/>
            <w:vMerge w:val="restart"/>
          </w:tcPr>
          <w:p>
            <w:pPr>
              <w:ind w:left="140"/>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5"/>
          </w:tcPr>
          <w:p>
            <w:pPr>
              <w:jc w:val="right"/>
              <w:ind w:right="760"/>
              <w:spacing w:after="0" w:line="98" w:lineRule="exact"/>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760" w:type="dxa"/>
            <w:vAlign w:val="bottom"/>
            <w:gridSpan w:val="3"/>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598</w:t>
            </w: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1,526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6,685</w:t>
            </w: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3,224</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1,915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2,257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1,075</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income tax expense</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529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1,016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3,855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2,027</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8,439</w:t>
            </w:r>
          </w:p>
        </w:tc>
        <w:tc>
          <w:tcPr>
            <w:tcW w:w="0" w:type="dxa"/>
            <w:vAlign w:val="bottom"/>
          </w:tcPr>
          <w:p>
            <w:pPr>
              <w:spacing w:after="0"/>
              <w:rPr>
                <w:sz w:val="1"/>
                <w:szCs w:val="1"/>
                <w:color w:val="auto"/>
              </w:rPr>
            </w:pPr>
          </w:p>
        </w:tc>
      </w:tr>
      <w:tr>
        <w:trPr>
          <w:trHeight w:val="165"/>
        </w:trPr>
        <w:tc>
          <w:tcPr>
            <w:tcW w:w="476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5,095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2,269</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3,238</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3"/>
                <w:szCs w:val="13"/>
                <w:color w:val="auto"/>
              </w:rPr>
              <w:t>EBITDA</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5,438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7,645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17,892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8,595</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25,253</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w w:val="85"/>
              </w:rPr>
              <w:t>2,678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3,782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1,686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1,488</w:t>
            </w:r>
          </w:p>
        </w:tc>
        <w:tc>
          <w:tcPr>
            <w:tcW w:w="1360" w:type="dxa"/>
            <w:vAlign w:val="bottom"/>
            <w:gridSpan w:val="5"/>
          </w:tcPr>
          <w:p>
            <w:pPr>
              <w:jc w:val="right"/>
              <w:ind w:right="280"/>
              <w:spacing w:after="0" w:line="148"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958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296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356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211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contributions made in lieu of state income taxes</w:t>
            </w:r>
            <w:r>
              <w:rPr>
                <w:rFonts w:ascii="Arial" w:cs="Arial" w:eastAsia="Arial" w:hAnsi="Arial"/>
                <w:sz w:val="11"/>
                <w:szCs w:val="11"/>
                <w:color w:val="auto"/>
              </w:rPr>
              <w:t>(c)</w:t>
            </w:r>
          </w:p>
        </w:tc>
        <w:tc>
          <w:tcPr>
            <w:tcW w:w="16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4"/>
          </w:tcPr>
          <w:p>
            <w:pPr>
              <w:jc w:val="right"/>
              <w:ind w:righ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750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760" w:type="dxa"/>
            <w:vAlign w:val="bottom"/>
            <w:gridSpan w:val="3"/>
          </w:tcPr>
          <w:p>
            <w:pPr>
              <w:spacing w:after="0"/>
              <w:rPr>
                <w:sz w:val="20"/>
                <w:szCs w:val="20"/>
                <w:color w:val="auto"/>
              </w:rPr>
            </w:pPr>
            <w:r>
              <w:rPr>
                <w:rFonts w:ascii="Arial" w:cs="Arial" w:eastAsia="Arial" w:hAnsi="Arial"/>
                <w:sz w:val="13"/>
                <w:szCs w:val="13"/>
                <w:color w:val="auto"/>
              </w:rPr>
              <w:t>Plus: share-based compensation</w:t>
            </w:r>
            <w:r>
              <w:rPr>
                <w:rFonts w:ascii="Arial" w:cs="Arial" w:eastAsia="Arial" w:hAnsi="Arial"/>
                <w:sz w:val="11"/>
                <w:szCs w:val="11"/>
                <w:color w:val="auto"/>
              </w:rPr>
              <w:t>(d)</w:t>
            </w:r>
          </w:p>
        </w:tc>
        <w:tc>
          <w:tcPr>
            <w:tcW w:w="16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jc w:val="right"/>
              <w:ind w:righ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4,991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1,577</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60" w:type="dxa"/>
            <w:vAlign w:val="bottom"/>
            <w:gridSpan w:val="3"/>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9,074</w:t>
            </w: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25,675</w:t>
            </w: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10,294</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$26,978</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20" w:hanging="244"/>
        <w:spacing w:after="0" w:line="258" w:lineRule="auto"/>
        <w:tabs>
          <w:tab w:leader="none" w:pos="1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included with our Quarterly Report on Form 10-Q for the quarter ended June 30, 2009, which is incorporated by reference into this prospectus.</w:t>
      </w:r>
    </w:p>
    <w:p>
      <w:pPr>
        <w:spacing w:after="0" w:line="22" w:lineRule="exact"/>
        <w:rPr>
          <w:rFonts w:ascii="Arial" w:cs="Arial" w:eastAsia="Arial" w:hAnsi="Arial"/>
          <w:sz w:val="13"/>
          <w:szCs w:val="13"/>
          <w:color w:val="auto"/>
        </w:rPr>
      </w:pPr>
    </w:p>
    <w:p>
      <w:pPr>
        <w:jc w:val="both"/>
        <w:ind w:left="1660" w:right="20" w:hanging="251"/>
        <w:spacing w:after="0" w:line="260" w:lineRule="auto"/>
        <w:tabs>
          <w:tab w:leader="none" w:pos="1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management fees and expenses of $0.3 million, $0.3 million, and $0.4 million for the years ended December 31, 2006, 2007, and 2008, respectively, and $0.2 million for the six months ended June 30, 2008, to the general partner of Endeavour Capital Fund IV, L.P., one of our significant stockholders, and an aggregate of $0.7 million for the year ended December 31, 2006, to an entity affiliated with a former director and another affiliated with a significant stockholder, in each case following their investment in us. The agreements relating to these arrangements have all terminated.</w:t>
      </w:r>
    </w:p>
    <w:p>
      <w:pPr>
        <w:spacing w:after="0" w:line="20" w:lineRule="exact"/>
        <w:rPr>
          <w:rFonts w:ascii="Arial" w:cs="Arial" w:eastAsia="Arial" w:hAnsi="Arial"/>
          <w:sz w:val="13"/>
          <w:szCs w:val="13"/>
          <w:color w:val="auto"/>
        </w:rPr>
      </w:pPr>
    </w:p>
    <w:p>
      <w:pPr>
        <w:ind w:left="1660" w:right="60" w:hanging="244"/>
        <w:spacing w:after="0" w:line="260" w:lineRule="auto"/>
        <w:tabs>
          <w:tab w:leader="none" w:pos="1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contributions made in 2008 to various Arizona school tuition organizations to assist with funding for education. In connection with such contributions, we received a dollar-for-dollar state income tax credit, which resulted in a reduction in our effective income tax rate to 36.6% for the year ended December 31, 2008. Had this payment not been made, our effective tax rate would have been 40.8%. Such contributions were made in lieu of payments of state income taxes and are therefore excluded from evaluation of our core operating performance for the year ended December 31, 2008.</w:t>
      </w:r>
    </w:p>
    <w:p>
      <w:pPr>
        <w:spacing w:after="0" w:line="20" w:lineRule="exact"/>
        <w:rPr>
          <w:rFonts w:ascii="Arial" w:cs="Arial" w:eastAsia="Arial" w:hAnsi="Arial"/>
          <w:sz w:val="13"/>
          <w:szCs w:val="13"/>
          <w:color w:val="auto"/>
        </w:rPr>
      </w:pPr>
    </w:p>
    <w:p>
      <w:pPr>
        <w:ind w:left="1660" w:hanging="251"/>
        <w:spacing w:after="0"/>
        <w:tabs>
          <w:tab w:leader="none" w:pos="166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Reflects share-based compensation expense relating to stock and option grants made to employees and directors in connection with our initial public offering and thereafter.</w:t>
      </w:r>
    </w:p>
    <w:p>
      <w:pPr>
        <w:spacing w:after="0" w:line="68" w:lineRule="exact"/>
        <w:rPr>
          <w:sz w:val="20"/>
          <w:szCs w:val="20"/>
          <w:color w:val="auto"/>
        </w:rPr>
      </w:pPr>
    </w:p>
    <w:p>
      <w:pPr>
        <w:ind w:left="1160" w:right="220" w:hanging="259"/>
        <w:spacing w:after="0" w:line="264" w:lineRule="auto"/>
        <w:tabs>
          <w:tab w:leader="none" w:pos="1140" w:val="left"/>
        </w:tabs>
        <w:rPr>
          <w:sz w:val="20"/>
          <w:szCs w:val="20"/>
          <w:color w:val="auto"/>
        </w:rPr>
      </w:pPr>
      <w:r>
        <w:rPr>
          <w:rFonts w:ascii="Arial" w:cs="Arial" w:eastAsia="Arial" w:hAnsi="Arial"/>
          <w:sz w:val="13"/>
          <w:szCs w:val="13"/>
          <w:color w:val="auto"/>
        </w:rPr>
        <w:t>(2)</w:t>
        <w:tab/>
        <w:t>As adjusted to give effect to the sale of shares of common stock by us in this offering at an assumed offering price of $ per share, which is the closing price of our common stock as reported on The Nasdaq Global Market on August , 2009, and the receipt by us of the estimated net proceeds of that sale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Investing in our common stock involves a high degree of risk. Before making an investment in our common stock, you should carefully consider the following risks and the other information contained in or incorporated by reference into this prospectus, including our financial statements and related notes, “Management’s Discussion and Analysis of Financial Condition and Results of Operations,” and “Regulation.” See “Where You Can Find More Information” and “Incorporation By Reference.”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Regulation of Our Industry</w:t>
      </w:r>
    </w:p>
    <w:p>
      <w:pPr>
        <w:spacing w:after="0" w:line="100"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59"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For our fiscal years ended December 31, 2007 and 2008, we derived cash receipts equal to approximately 70.2% and 74.4%, respectively, of our net revenue from tuition financed under federal student financial aid programs authorized under Title IV of the Higher Education Act of 1965, as amended, referred to in this prospectus as the Title IV programs, which are administered by the U.S. Department of Education, or the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65"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3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Education regulations, and may be subject to similar review if it expands its operations or educational programs in certain ways.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Our most recent recertification, which was issued on a provisional basis in May 2005 after an extended review by the Department of Education following the change in control that occurred in February 2004, 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2006 and 2007, the Department of Education eliminated the letter of credit requirement, allowed the growth restrictions to expire, eliminated the heightened cash monitoring restrictions and returned us to the advance payment method.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to approving our pending recertification application or with respect to any future recertification. See “— The Office of Inspector General of the Department of Education has commenced an investigation of Grand Canyon University, which is ongoing and which may result in fines, penalties, other sanctions, and damage to our reputation in the industry” and “— A qui tam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Department of Education imposed on us in connection with our recertification in 2005. Any of these outcomes would have a material adverse effect on our enrollments and us.</w:t>
      </w:r>
    </w:p>
    <w:p>
      <w:pPr>
        <w:spacing w:after="0" w:line="142"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5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been cooperating with the Office of Inspector General to facilitate its investigation and have completed production of all requested documents. We cannot presently predict the ultimate outcome of the investigation or any liability or other sanctions that may result. The outcome of the Office of Inspector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General investigation may depend in part on information contained in the materials we produced or information or testimony provided by former employees or other third parties.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w:t>
      </w:r>
    </w:p>
    <w:p>
      <w:pPr>
        <w:spacing w:after="0" w:line="150"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tam </w:t>
      </w:r>
      <w:r>
        <w:rPr>
          <w:rFonts w:ascii="Arial" w:cs="Arial" w:eastAsia="Arial" w:hAnsi="Arial"/>
          <w:sz w:val="12"/>
          <w:szCs w:val="12"/>
          <w:color w:val="auto"/>
        </w:rPr>
        <w:t>lawsuit was initially filed under seal in August 2007 and was unsealed and served on us following the government’s decision not to intervene at that time.</w:t>
      </w:r>
    </w:p>
    <w:p>
      <w:pPr>
        <w:spacing w:after="0" w:line="5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 If it were determined that any of our compensation practices violated the incentive compensation law, we could experience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or any liability or other sanctions that may result. It is possible that during the course of the litigation or the related Office of Inspector General investigation other information may be discovered that would adversely affect the outcome of the litigation.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Pursuant to the court’s mandatory scheduling order, we have entered into settlement discussions with respect to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While we cannot assure you that this matter will be settled on terms acceptable to us or at all, we do not believe that any potential settlement, if in the amount (which we believe is generally in the range of other settlements of similar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against other for-profit education companies)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37"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the Department of Education reviewed our fiscal year 2004 audited financial statements and advised us that our composite score under the Department of Education’s financial responsibility formula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2006 and 2007, the Department of Education eliminated each of these requirements and restrictions.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to us, require us to post a letter of credit, place us on provisional certification status, or limit or terminate our participation in the Title IV programs, any of which could materially adversely affect us.</w:t>
      </w:r>
    </w:p>
    <w:p>
      <w:pPr>
        <w:spacing w:after="0" w:line="13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9"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While, during the 2007 reaccreditation process, the Higher Learning Commission concluded that we were in compliance with its accreditation standards, it did note certain deficiencies to be addressed by us. See “Regulation — Accreditation.” In February 2009, we filed a monitoring report with the Higher Learning Commission addressing our progress in resolving these deficiencies and in March 2009, we received notification from the Higher Learning Commission that our report was accepted and that no further reports are required. The Higher Learning Commission is currently reviewing our request to operate at nine additional off-campus sites.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educational programs, which would also cause us to lose our eligibility to participate in the Title IV programs and have a material adverse effect on us.</w:t>
      </w:r>
    </w:p>
    <w:p>
      <w:pPr>
        <w:spacing w:after="0" w:line="175"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59"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4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In connection with our initial public offering in November 2008, we submitted a description of the offering to the Department of Education, including a description of a proxy and voting agreement that certain of our stockholders entered into upon completion of the public offering, pursuant to which Brent D. Richardson, our Executive Chairman, and Christopher C. Richardson, our General Counsel and a director (collectively, the “Richardson Voting Group”), controlled the voting power of approximately 42.9% of our total outstanding voting stock after the initial public offering. See “Certain Relationships and Related Transactions — Voting Agreement.” Based on this description, the Department of Education concluded that the initial public offering did not result in a change in control under the Department of Education’s regulations. The Higher Learning Commission did consider our initial public offering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our ongoing operations and that no further action would be required as a result of the change in control. As a result, the Higher Learning Commission formally approved the change in control in June 2009. 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pacing w:after="0" w:line="6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With respect to publicly-traded corporations, like us, Department of Education regulations provide that a change in control occurs if either: (i) there is an event that would obligate the corporation to file a Current Report on Form 8-K with the Securities and Exchange Commission, or the SEC, disclosing a change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control, or (ii) the corporation has a stockholder that owns, or has voting control over, at least 25% of the total outstanding voting stock of the corporation and is the largest stockholder of the corporation, and that stockholder ceases to own, or have voting control over, at least 25% of such stock or ceases to be the largest stockholder. The Higher Learning Commission adopted new policies and procedures with respect to changes in control in June 2009, and one such policy provides that an institution is considered to undergo a change in control if a person or group increases or decreases its control of shares to greater than or less than 25% of the total outstanding shares of the stock of a parent corporation that owns or controls the accredited institution and, in such event, requires the institution to obtain its approval in advance of the change. In addition, the standards of the Arizona State Board for Private Postsecondary Education provide that an institution that is owned by a publicly-traded corporation whose control is vested in the voting members of the board of directors, like us, undergoes a change in control if 50% or more of the voting members of the board of directors change within a 12-month period or the chief executive officer of the corporation changes. Based on the number of shares of common stock expected to be sold by us and the selling stockholders in this offering, we believe that the Richardson Voting Group will continue to have voting power over 25% or more of our total outstanding voting stock after the completion of the offering and that this offering will not constitute a change in control under the Department of Education’s regulations or the Higher Learning Commission’s policies. In addition, because no such changes with respect to our board of directors or chief executive officer will occur in connection with this offering, we believe that this offering will not constitute a change in control under the rules of the Arizona State Board for Private Postsecondary Education.</w:t>
      </w:r>
    </w:p>
    <w:p>
      <w:pPr>
        <w:spacing w:after="0" w:line="6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pursuant to the voting agreement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we will lose our eligibility to participate in the Title IV programs and must apply to the Department of Education in order to reestablish such eligibility. If we file the required application and follow other procedures, the Department of Education may temporarily certify us on a provisional basis following the change in control, so that our students retain access to Title IV program funds until the Department of Education completes its full review. In addition, the Department of Education will extend such temporary provisional certification if we timely file other required materials. While we expect to file all such applications and other materials within applicable deadlines, there is no assurance that we will be able to do so because we cannot be certain of the percentage of stock that is subject to the Richardson Voting Group at any given time in order to be certain if and when the Richardson Voting Group falls below the applicable 25% threshold. If we fail to meet any of these application and other deadlines, our certification will expire and our students will not be eligible to receive Title IV program funds until the Department of Education completes its full review, which commonly takes several months and may take longer. If the Department of Education approves our application after a change in control, it will certify us on a provisional basis for a period of up to approximately three years, although we cannot predict how the Department of Education will process this provisional recertification or what restrictions may be imposed if such change in control occurs while we remain on month-to-month status and subject to the ongoing investigation by the Office of Inspector General of the Department of Education or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See “Regulation — Regulatory Standards that May Restrict Institutional Expansion or Other Changes — Change in ownership resulting in a change in control.”</w:t>
      </w:r>
    </w:p>
    <w:p>
      <w:pPr>
        <w:spacing w:after="0" w:line="6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plan to seek the cooperation of the Higher Learning Commission to allow us to arrange an appropriate review procedure at that time since there may not be an opportunity to obtain the Higher Learning Commission’s advance review and approval, as is typically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required by its policies. In that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of accreditation would result in our loss of eligibility to participate in the Title IV programs and cause a significant decline in our student enrollments.</w:t>
      </w:r>
    </w:p>
    <w:p>
      <w:pPr>
        <w:spacing w:after="0" w:line="146"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cumulative impact of recent regulatory and market developments and conditions, including the widespread disruption in the credit and financial markets, has caused some lenders to cease providing Title IV loans to students, including some lenders that previously provided our students with Title IV loans, also known as Federal Family Education program loans, or FFEL loans. Other lenders have reduced the benefits and increased the fees associated with the Title IV loans they provide. We and other schools have had to modify student loan practices in ways that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59" w:lineRule="exact"/>
        <w:rPr>
          <w:sz w:val="20"/>
          <w:szCs w:val="20"/>
          <w:color w:val="auto"/>
        </w:rPr>
      </w:pPr>
    </w:p>
    <w:p>
      <w:pPr>
        <w:ind w:left="1680" w:right="60" w:hanging="187"/>
        <w:spacing w:after="0" w:line="276" w:lineRule="auto"/>
        <w:tabs>
          <w:tab w:leader="none" w:pos="16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authorized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140" w:hanging="187"/>
        <w:spacing w:after="0" w:line="276" w:lineRule="auto"/>
        <w:tabs>
          <w:tab w:leader="none" w:pos="16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59"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in the process of considering legislation to eliminate the FFEL loan program and move all federal student lending into the Federal Direct Loan Program, known as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51"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new regulations promulgated by the Department of Education could result in financial penalties, or the limitation, suspension, or termination of our continued participation in the Title IV programs.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Department of Education has been working since December 2008 to develop regulations through a negotiated rulemaking process to carry out the numerous revisions to the Title IV program regulations required by the reauthorization of the Higher Education Act in August 2008.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Following the conclusion of such</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negotiated rulemaking, in July and August 2009, the Department of Education proposed regulations relating to, among other things, the relationships between schools and lenders of both private and Title IV loans, the approval and oversight of accrediting agencies, and general programmatic requirements applicable to the Title IV programs, including the “90/10 Rule.” The Department of Education is expected to publish new final regulations by November 1, 2009, which is the required deadline in order for such regulations to take effect on July 1, 2010. In addition, in May 2009, the Department of Education announced its intent to establish new negotiated rulemaking committees that are expected to begin their discussions as soon as the fall of 2009, and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on student financial aid applications; and the definition of a high school diploma as a condition of a student’s eligibility for Title IV aid.</w:t>
      </w:r>
    </w:p>
    <w:p>
      <w:pPr>
        <w:spacing w:after="0" w:line="7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issues addressed in the regulations that have been or are expected to be proposed by the Department of Education, as well as the issues to be addressed in the upcoming negotiated rulemaking process, are broad and complex and concern a number of significant aspects of the Title IV programs, including eligibility and certification, administrative capability, school-lender relationships, the “90/10 Rule,” incentive compensation, and student loan default rates. See “Regulation — Regulation of Student Financial Aid Programs — The 90/10 Rule.” At this time, we cannot be certain whether and to what extent any changes may affect our ability to remain eligible to participate in the Title IV programs or require us to incur additional costs in connection with our administration of the Title IV programs. Any future changes that jeopardize our eligibility to participate in some or all of the Title IV programs could materially adversely affect us.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For our fiscal years ended December 31, 2007 and 2008, we derived cash receipts equal to approximately 70.2% and 74.4%,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39"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in the state but that have some activity in the state, such as enrolling or offering educational services to students who</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67"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7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14"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8" w:lineRule="exact"/>
        <w:rPr>
          <w:sz w:val="20"/>
          <w:szCs w:val="20"/>
          <w:color w:val="auto"/>
        </w:rPr>
      </w:pPr>
    </w:p>
    <w:p>
      <w:pPr>
        <w:jc w:val="both"/>
        <w:ind w:left="880" w:right="40"/>
        <w:spacing w:after="0" w:line="296" w:lineRule="auto"/>
        <w:rPr>
          <w:sz w:val="20"/>
          <w:szCs w:val="20"/>
          <w:color w:val="auto"/>
        </w:rPr>
      </w:pPr>
      <w:r>
        <w:rPr>
          <w:rFonts w:ascii="Arial" w:cs="Arial" w:eastAsia="Arial" w:hAnsi="Arial"/>
          <w:sz w:val="12"/>
          <w:szCs w:val="12"/>
          <w:b w:val="1"/>
          <w:bCs w:val="1"/>
          <w:i w:val="1"/>
          <w:iCs w:val="1"/>
          <w:color w:val="auto"/>
        </w:rPr>
        <w:t>Increased scrutiny and regulation by various governmental agencies of relationships between student loan providers and educational institutions and their employees have produced significant uncertainty concerning restrictions applicable to the administration of both Title IV and private student loan programs and the funding for those programs which, if not satisfactorily or timely resolved, could result in increased regulatory burdens and costs for us and could adversely affect our student enrollments.</w:t>
      </w:r>
    </w:p>
    <w:p>
      <w:pPr>
        <w:spacing w:after="0" w:line="5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During 2007 and 2008, both Title IV and private student loan programs came under increased scrutiny by the Department of Education, Congress, state attorneys general, and other parties. Issues that received extensive attention included allegations of conflicts of interest between some institutions and lenders that provide student loans, questionable incentives given by lenders to some schools and school employees, allegations of deceptive practices in the marketing of student loans, and schools leading students to use certain lenders. Several institutions and lenders were cited for these problems and paid several million dollars in the aggregate to settle those claims. The practices of numerous other schools and lenders were, and in some cases continue to be, examined by government agencies at the federal and state level. The Attorney General of the State of Arizona requested extensive documentation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 Assurance, whereby we agreed to conduct referrals of students to lenders in accordance with our existing</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policies or any new policies promulgated by the State of Arizona in the future and to reimburse the state for the costs of its investigation in the amount of approximately $20,000.</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As a result of the increased scrutiny of student loan programs, Congress has passed new laws, the Department of Education and the Board of Governors of the Federal Reserve System have promulgated or proposed new and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and require schools and lenders to provide additional information to students concerning institutionally preferred lenders and the terms of available student loans. The environment surrounding access to and cost of student loans remains in a state of flux, with additional legislation and regulatory changes being considered at the state and federal levels. The Department of Education proposed new regulations regarding student loans in July 2009, which could go into effect on July 1, 2010, and Congress is considering legislation to eliminate the FFEL loan program and move all federal student lending into the FDL program. This uncertainty, and any resolution of these issues that increases loan costs or reduces students’ access to student loans, may adversely affect our student enrollments, which could have an adverse effect on us.</w:t>
      </w:r>
    </w:p>
    <w:p>
      <w:pPr>
        <w:spacing w:after="0" w:line="153" w:lineRule="exact"/>
        <w:rPr>
          <w:sz w:val="20"/>
          <w:szCs w:val="20"/>
          <w:color w:val="auto"/>
        </w:rPr>
      </w:pPr>
    </w:p>
    <w:p>
      <w:pPr>
        <w:ind w:left="880" w:right="10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67"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is focused on the manner in which we have compensated our enrollment counselors and managers, and a </w:t>
      </w:r>
      <w:r>
        <w:rPr>
          <w:rFonts w:ascii="Arial" w:cs="Arial" w:eastAsia="Arial" w:hAnsi="Arial"/>
          <w:sz w:val="12"/>
          <w:szCs w:val="12"/>
          <w:i w:val="1"/>
          <w:iCs w:val="1"/>
          <w:color w:val="auto"/>
        </w:rPr>
        <w:t xml:space="preserve">qui tam </w:t>
      </w:r>
      <w:r>
        <w:rPr>
          <w:rFonts w:ascii="Arial" w:cs="Arial" w:eastAsia="Arial" w:hAnsi="Arial"/>
          <w:sz w:val="12"/>
          <w:szCs w:val="12"/>
          <w:color w:val="auto"/>
        </w:rPr>
        <w:t>lawsuit brought by a former employee alleging violations in the same area. See “Risk Factors — The Office of Inspector General of the Department of Education has commenced an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investigation of Grand Canyon University, which is ongoing and which may result in fines, penalties, other sanctions, and damage to our reputation in the industry,” “Risk Factors — A </w:t>
      </w:r>
      <w:r>
        <w:rPr>
          <w:rFonts w:ascii="Arial" w:cs="Arial" w:eastAsia="Arial" w:hAnsi="Arial"/>
          <w:sz w:val="12"/>
          <w:szCs w:val="12"/>
          <w:i w:val="1"/>
          <w:iCs w:val="1"/>
          <w:color w:val="auto"/>
        </w:rPr>
        <w:t>qui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tam </w:t>
      </w:r>
      <w:r>
        <w:rPr>
          <w:rFonts w:ascii="Arial" w:cs="Arial" w:eastAsia="Arial" w:hAnsi="Arial"/>
          <w:sz w:val="12"/>
          <w:szCs w:val="12"/>
          <w:color w:val="auto"/>
        </w:rPr>
        <w:t>lawsuit has been filed against us alleging, among other things, that we have improperly compensated certain of our enrollment counselors, and we may incur liability, be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41" w:lineRule="exact"/>
        <w:rPr>
          <w:sz w:val="20"/>
          <w:szCs w:val="20"/>
          <w:color w:val="auto"/>
        </w:rPr>
      </w:pPr>
    </w:p>
    <w:p>
      <w:pPr>
        <w:ind w:left="880" w:right="50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According to a March 2009 report from the NCES, enrollment in degree-granting, postsecondary institutions is projected to grow 10.0% over the ten-year period ending fall 2017 to approximately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20.1 million. This growth is slower than the 25.8% increase reported in the prior ten-year period ended in fall 2007, when enrollment increased from 14.5 million in 1997 to 18.2 million in 2007. Similarly, a 2008 study by Eduventures, LLC, projects a compound annual growth rate of 12.5% in online postsecondary education enrollment over the five-year period ending fall 2013, which represents an aggregate increase in online enrollment of 1.5 million. This growth is slower than the 25.3% compound annual growth rate in the prior five-year period ending fall 2008, which represented an aggregate increase in online enrollment of 1.3 million.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39" w:lineRule="exact"/>
        <w:rPr>
          <w:sz w:val="20"/>
          <w:szCs w:val="20"/>
          <w:color w:val="auto"/>
        </w:rPr>
      </w:pPr>
    </w:p>
    <w:p>
      <w:pPr>
        <w:ind w:left="880" w:right="3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students’ reliance on such loans to satisfy their educational expenses.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During the fiscal year ended December 31, 2008, private loans to students at our school represented approximately 2.9% of our revenue (calculated on a cash basis) as compared to 5.1% of revenue in fiscal 2007.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This increased regulatory burden, coupled with recent adverse market conditions for consumer and federally guaranteed student loans (including lenders’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41"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In addition, such safe harbors do not address non-cash awards to enrollment personnel.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A qui tam lawsuit has been filed against us alleging, among other things, that we have improperly compensated certain of our enrollment counselors, and we may incur liability, be subject to sanctions, or experience damage to our reputation as a result of this lawsuit.”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adverse publicity or by the actions of other postsecondary educational institutions.</w:t>
      </w:r>
    </w:p>
    <w:p>
      <w:pPr>
        <w:spacing w:after="0" w:line="96"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two consecutive fiscal years. The period of ineligibility covers at least the next two succeeding fiscal years and any Title IV funds already received by the institution and its students during the period of ineligibility would have to be returned to the applicable lender or the Department of Education. An institution whose rate exceeds 90% for any single year will be placed on provisional certification for at least two fiscal years. The August 2008 reauthorization of the Higher Education Act made significant changes to this revenue requirement, including certain changes to the formula used to calculate a school’s ratio. Using the Department of Education’s formula that was in effect prior to the August 2008 reauthorization of the Higher Education Act, we have calculated that, for our 2007 and 2008 fiscal years, we derived approximately 74.0% and 78.6%, respectively, of our revenue from the Title IV programs. We are currently assessing what impact, if any, the revised formula and other changes in federal law will have on our 90/10 calculation. As a result of recent changes in federal law that increased Title IV grant and loan limits, as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2008 federal fiscal year to increase (but remain well below the Department of Education’s thresholds) due primarily to the impact of current economic conditions on our students and former students. In addition,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11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we may be liable for repayment of Title IV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52" w:lineRule="exact"/>
        <w:rPr>
          <w:sz w:val="20"/>
          <w:szCs w:val="20"/>
          <w:color w:val="auto"/>
        </w:rPr>
      </w:pPr>
    </w:p>
    <w:p>
      <w:pPr>
        <w:ind w:left="880" w:right="2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67" w:lineRule="exact"/>
        <w:rPr>
          <w:sz w:val="20"/>
          <w:szCs w:val="20"/>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86"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49" w:lineRule="exact"/>
        <w:rPr>
          <w:rFonts w:ascii="Arial" w:cs="Arial" w:eastAsia="Arial" w:hAnsi="Arial"/>
          <w:sz w:val="13"/>
          <w:szCs w:val="13"/>
          <w:color w:val="auto"/>
        </w:rPr>
      </w:pPr>
    </w:p>
    <w:p>
      <w:pPr>
        <w:ind w:left="1680" w:right="160" w:hanging="187"/>
        <w:spacing w:after="0" w:line="276" w:lineRule="auto"/>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1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1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46" w:lineRule="exact"/>
        <w:rPr>
          <w:sz w:val="20"/>
          <w:szCs w:val="20"/>
          <w:color w:val="auto"/>
        </w:rPr>
      </w:pPr>
    </w:p>
    <w:p>
      <w:pPr>
        <w:ind w:left="880" w:right="320"/>
        <w:spacing w:after="0" w:line="320" w:lineRule="auto"/>
        <w:rPr>
          <w:sz w:val="20"/>
          <w:szCs w:val="20"/>
          <w:color w:val="auto"/>
        </w:rPr>
      </w:pPr>
      <w:r>
        <w:rPr>
          <w:rFonts w:ascii="Arial" w:cs="Arial" w:eastAsia="Arial" w:hAnsi="Arial"/>
          <w:sz w:val="12"/>
          <w:szCs w:val="12"/>
          <w:b w:val="1"/>
          <w:bCs w:val="1"/>
          <w:i w:val="1"/>
          <w:iCs w:val="1"/>
          <w:color w:val="auto"/>
        </w:rPr>
        <w:t>The implementation of our new back office systems could impact our ability to timely and accurately admit students to the university and register them for classes, bill students, certify and disburse financial aid, prepare financial reports, or impact the effectiveness of our internal controls over financial reporting.</w:t>
      </w:r>
    </w:p>
    <w:p>
      <w:pPr>
        <w:spacing w:after="0" w:line="35"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We plan to transition our online 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are converting our back office system from Datatel, Inc. to a series of programs developed by Campus Management Corp., including CampusVue and CampusPortal, and also implementing Microsoft’s Great Plains accounting system. These new systems are intended to allow us to manage our non-traditional online students with greater ease and flexibility by providing for rolling and flexible start dates. While we intend to maintain redundancies between our old and new systems for a period of time while we complete the conversions and ensure the that the new systems operate as intended, if we do not effectively transition our student and financial aid data to these systems or if these systems do not operate as intended, it could adversely impact the effectiveness of our internal controls over financial reporting, as well as our ability to timely and accurately admit students to the university and register them for classes, bill students, certify and disburse financial aid, and prepare financial reports. This may in turn affect our ability to comply with the Department of Education’s administrative capability standards, as discussed under “Risk Factors — 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39"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58"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finance our expansion activities, and interest and other expenses may increase.</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20" w:lineRule="auto"/>
        <w:rPr>
          <w:sz w:val="20"/>
          <w:szCs w:val="20"/>
          <w:color w:val="auto"/>
        </w:rPr>
      </w:pPr>
      <w:r>
        <w:rPr>
          <w:rFonts w:ascii="Arial" w:cs="Arial" w:eastAsia="Arial" w:hAnsi="Arial"/>
          <w:sz w:val="12"/>
          <w:szCs w:val="12"/>
          <w:color w:val="auto"/>
        </w:rPr>
        <w:t>equity securities, or a combination of the foregoing. There can be no guarantee that any such financing will be available on terms acceptable to us, or at all. Furthermore, our loan agreement contains covenants that restrict our ability to incur debt, and there can be no guarantee that we will be able to secure the consent of our lender for any financing.</w:t>
      </w:r>
    </w:p>
    <w:p>
      <w:pPr>
        <w:spacing w:after="0" w:line="35"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146" w:lineRule="exact"/>
        <w:rPr>
          <w:sz w:val="20"/>
          <w:szCs w:val="20"/>
          <w:color w:val="auto"/>
        </w:rPr>
      </w:pPr>
    </w:p>
    <w:p>
      <w:pPr>
        <w:ind w:left="880" w:right="280"/>
        <w:spacing w:after="0" w:line="320" w:lineRule="auto"/>
        <w:rPr>
          <w:sz w:val="20"/>
          <w:szCs w:val="20"/>
          <w:color w:val="auto"/>
        </w:rPr>
      </w:pPr>
      <w:r>
        <w:rPr>
          <w:rFonts w:ascii="Arial" w:cs="Arial" w:eastAsia="Arial" w:hAnsi="Arial"/>
          <w:sz w:val="12"/>
          <w:szCs w:val="12"/>
          <w:b w:val="1"/>
          <w:bCs w:val="1"/>
          <w:i w:val="1"/>
          <w:iCs w:val="1"/>
          <w:color w:val="auto"/>
        </w:rPr>
        <w:t>If we fail to maintain proper and effective disclosure controls and procedures and internal controls over financial reporting, our ability to produce accurate financial statements could be impaired, which could adversely affect our stock price, our ability to operate our business and investors’ views of us.</w:t>
      </w:r>
    </w:p>
    <w:p>
      <w:pPr>
        <w:spacing w:after="0" w:line="3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Ensuring that we have adequate disclosure controls and procedures, including internal controls over financial reporting, in place so that we can produce accurate financial statements on a timely basis is a costly and time- consuming effort that needs to be re-evaluated frequently. We are continuing the process of documenting, reviewing and, if appropriate, improving our internal controls and procedures as we will eventually be subject to the requirements of Section 404 of the Sarbanes-Oxley Act of 2002, or the Sarbanes-Oxley Act, which will require annual management assessments of the effectiveness of our internal controls over financial reporting and a report by our independent auditors addressing these assessments. We will be required to comply with the internal controls evaluation and certification requirements of Section 404 of the Sarbanes-Oxley Act by no later than the end of our 2009 fiscal year.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34"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incurring increased costs as a result of being a public company, and the requirements of being a public company may divert management attention from our business.</w:t>
      </w:r>
    </w:p>
    <w:p>
      <w:pPr>
        <w:spacing w:after="0" w:line="11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have operated as a public company since November 19, 2008. As a public company, we incur significant legal, accounting and other expenses that we did not incur as a private company. In addition, we are subject to a number of additional requirements, including the reporting requirements of the Securities Exchange Act of 1934, as amended, or the Exchange Act, the Sarbanes-Oxley Act, and the listing standards of Nasdaq. These requirements have caused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fiscal year commencing with our fiscal year ending December 31, 2009. In order to maintain and improve the effectiveness of our disclosure controls and procedures and internal control over financial reporting, significant resources and management oversight is required. As a result, our management’s attention might be diverted from other business concerns, which could have a material adverse effect on our business, prospects, financial condition,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As of December 31, 2008, 52.9% of our students were graduate students, which includes master’s and doctoral students. This percentage has declined in recent periods, and we anticipate that this percentage will continue to decline over time, due to our recent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8" w:lineRule="exact"/>
        <w:rPr>
          <w:sz w:val="20"/>
          <w:szCs w:val="20"/>
          <w:color w:val="auto"/>
        </w:rPr>
      </w:pPr>
    </w:p>
    <w:p>
      <w:pPr>
        <w:ind w:left="880" w:right="360"/>
        <w:spacing w:after="0" w:line="276" w:lineRule="auto"/>
        <w:rPr>
          <w:sz w:val="20"/>
          <w:szCs w:val="20"/>
          <w:color w:val="auto"/>
        </w:rPr>
      </w:pPr>
      <w:r>
        <w:rPr>
          <w:rFonts w:ascii="Arial" w:cs="Arial" w:eastAsia="Arial" w:hAnsi="Arial"/>
          <w:sz w:val="13"/>
          <w:szCs w:val="13"/>
          <w:b w:val="1"/>
          <w:bCs w:val="1"/>
          <w:i w:val="1"/>
          <w:iCs w:val="1"/>
          <w:color w:val="auto"/>
        </w:rPr>
        <w:t>The provider of third-party software for our online classroom has been acquired by a competitor, and we may have difficulty maintaining the software required for our online classroom or updating it for future technological changes, which could adversely affect our performance.</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In May 2009, ANGEL Learning, Inc. was acquired by Blackboard, Inc., a competitor in the provision of online educational software and tools. We now rely on Blackboard, Inc. for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administrative support of the ANGEL system and, if Blackboard, Inc. ceased to operate or was unable or unwilling to continue to provide us with services or upgrades on a timely basis, we may have difficulty maintaining the software required for our online classroom or updating it for future technological changes. We cannot predict what effect, if any, Blackboard, Inc.’s acquisition of ANGEL Learning, Inc. will have on our use of, or the support for or the efficacy of, the ANGEL Learning Management Suite. Any failure to maintain our online classroom would have an adverse impact on our operations, damage our reputation, and limit our ability to attract and retain students.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loan agreement may restrict our operations and our ability to complete certain transactions.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59" w:lineRule="exact"/>
        <w:rPr>
          <w:sz w:val="20"/>
          <w:szCs w:val="20"/>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incur additional indebtedness or liens;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sell, assign, lease, transfer or otherwise dispose of any part of our assets other than in the ordinary course of business;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make investments or capital contributions to any individual or entity;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enter into any consolidation, merger, or other combination, or become a partner in a partnership, a member of a joint venture, or a member of a limited liability company;</w:t>
      </w:r>
    </w:p>
    <w:p>
      <w:pPr>
        <w:spacing w:after="0" w:line="97" w:lineRule="exact"/>
        <w:rPr>
          <w:rFonts w:ascii="Arial" w:cs="Arial" w:eastAsia="Arial" w:hAnsi="Arial"/>
          <w:sz w:val="12"/>
          <w:szCs w:val="12"/>
          <w:color w:val="auto"/>
        </w:rPr>
      </w:pPr>
    </w:p>
    <w:p>
      <w:pPr>
        <w:ind w:left="1680" w:right="540" w:hanging="187"/>
        <w:spacing w:after="0" w:line="276"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acquire or purchase a business or all or substantially all of the assets of a business in an aggregate amount exceeding an amount equal to 25% of our tangible net worth;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engage in any business activities substantially different from our present business.</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108" w:lineRule="exact"/>
        <w:rPr>
          <w:sz w:val="20"/>
          <w:szCs w:val="20"/>
          <w:color w:val="auto"/>
        </w:rPr>
      </w:pPr>
    </w:p>
    <w:p>
      <w:pPr>
        <w:ind w:left="1680" w:hanging="187"/>
        <w:spacing w:after="0"/>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1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96"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funds from operations, cash on hand, and investments will be adequate to fund our current operating and growth plans for the foreseeable future. However, we may need additional financing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96" w:lineRule="auto"/>
        <w:rPr>
          <w:sz w:val="20"/>
          <w:szCs w:val="20"/>
          <w:color w:val="auto"/>
        </w:rPr>
      </w:pPr>
      <w:r>
        <w:rPr>
          <w:rFonts w:ascii="Arial" w:cs="Arial" w:eastAsia="Arial" w:hAnsi="Arial"/>
          <w:sz w:val="12"/>
          <w:szCs w:val="12"/>
          <w:color w:val="auto"/>
        </w:rPr>
        <w:t>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108" w:lineRule="exact"/>
        <w:rPr>
          <w:sz w:val="20"/>
          <w:szCs w:val="20"/>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100" w:lineRule="exact"/>
        <w:rPr>
          <w:sz w:val="20"/>
          <w:szCs w:val="20"/>
          <w:color w:val="auto"/>
        </w:rPr>
      </w:pPr>
    </w:p>
    <w:p>
      <w:pPr>
        <w:ind w:left="880" w:right="340"/>
        <w:spacing w:after="0" w:line="371" w:lineRule="auto"/>
        <w:rPr>
          <w:sz w:val="20"/>
          <w:szCs w:val="20"/>
          <w:color w:val="auto"/>
        </w:rPr>
      </w:pPr>
      <w:r>
        <w:rPr>
          <w:rFonts w:ascii="Arial" w:cs="Arial" w:eastAsia="Arial" w:hAnsi="Arial"/>
          <w:sz w:val="11"/>
          <w:szCs w:val="11"/>
          <w:b w:val="1"/>
          <w:bCs w:val="1"/>
          <w:i w:val="1"/>
          <w:iCs w:val="1"/>
          <w:color w:val="auto"/>
        </w:rPr>
        <w:t>Our executive officers, directors, and principal existing stockholders own a large percentage of our voting stock, which may allow them to collectively control substantially all matters requiring stockholder approval and, in the case of certain of our principal stockholders, will have other unique rights that may afford them access to our management.</w:t>
      </w:r>
    </w:p>
    <w:p>
      <w:pPr>
        <w:spacing w:after="0" w:line="12"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In connection with our initial public offering, certain of our stockholders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w:t>
      </w:r>
    </w:p>
    <w:p>
      <w:pPr>
        <w:ind w:left="680" w:right="60"/>
        <w:spacing w:after="0" w:line="258" w:lineRule="auto"/>
        <w:rPr>
          <w:sz w:val="20"/>
          <w:szCs w:val="20"/>
          <w:color w:val="auto"/>
        </w:rPr>
      </w:pPr>
      <w:r>
        <w:rPr>
          <w:rFonts w:ascii="Arial" w:cs="Arial" w:eastAsia="Arial" w:hAnsi="Arial"/>
          <w:sz w:val="13"/>
          <w:szCs w:val="13"/>
          <w:color w:val="auto"/>
        </w:rPr>
        <w:t>42.9% of our common stock. Under the terms of the proxy and voting agreement, if any person party to the voting agreement transfers shares covered by the proxy in registered or open-market transactions, the proxy is no longer effective as to such shares. Accordingly, the number of shares as to which the Richardson Voting Group has voting power will decrease over time as shares held by other parties to the proxy and voting agreement are sold. See “Beneficial Ownership of Common Stock.”</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a result of the proxy and voting agreement, the Richardson Voting Group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10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4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be volatile, and as a result returns on an investment in our common stock may be volatile.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market price of our common stock could fluctuate significantly for various reasons, which include:</w:t>
      </w:r>
    </w:p>
    <w:p>
      <w:pPr>
        <w:spacing w:after="0" w:line="96"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new or proposed laws or regulations or new or proposed interpretations of laws or regulations applicable to our business;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80" w:hanging="187"/>
        <w:spacing w:after="0" w:line="276"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86" w:lineRule="exact"/>
        <w:rPr>
          <w:rFonts w:ascii="Arial" w:cs="Arial" w:eastAsia="Arial" w:hAnsi="Arial"/>
          <w:sz w:val="13"/>
          <w:szCs w:val="13"/>
          <w:color w:val="auto"/>
        </w:rPr>
      </w:pPr>
    </w:p>
    <w:p>
      <w:pPr>
        <w:ind w:left="1680" w:right="80" w:hanging="187"/>
        <w:spacing w:after="0" w:line="264"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w:t>
      </w:r>
    </w:p>
    <w:p>
      <w:pPr>
        <w:spacing w:after="0" w:line="57"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securities analysts do not publish research or reports about our business or if they downgrade their evaluations of our stock, the price of our stock could decline.</w:t>
      </w:r>
    </w:p>
    <w:p>
      <w:pPr>
        <w:spacing w:after="0" w:line="10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company, we could lose visibility in the market for our stock, which in turn could cause our stock price to decline.</w:t>
      </w:r>
    </w:p>
    <w:p>
      <w:pPr>
        <w:spacing w:after="0" w:line="146"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significant flexibility in applying the net proceeds we will receive in this offering. We will use the proceeds that we receive from the sale of stock in this offering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This prospectus contains “forward-looking statements” within the meaning of Section 27A of the Securities Act of 1933, as amended, or the Securities Act, and Section 21E of the Exchange Act. Forward-looking statements include information relating to future events, future financial performance, strategies, expectations, competitive environment, regulation, and availability of resources, and include, without limitation, statements regarding: proposed new programs; expectations that regulatory developments or other matters will not have a material adverse effect or material impact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5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53" w:lineRule="exact"/>
        <w:rPr>
          <w:sz w:val="20"/>
          <w:szCs w:val="20"/>
          <w:color w:val="auto"/>
        </w:rPr>
      </w:pPr>
    </w:p>
    <w:p>
      <w:pPr>
        <w:ind w:left="1680" w:right="14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9" w:lineRule="exact"/>
        <w:rPr>
          <w:rFonts w:ascii="Arial" w:cs="Arial" w:eastAsia="Arial" w:hAnsi="Arial"/>
          <w:sz w:val="13"/>
          <w:szCs w:val="13"/>
          <w:color w:val="auto"/>
        </w:rPr>
      </w:pPr>
    </w:p>
    <w:p>
      <w:pPr>
        <w:ind w:left="1680" w:right="16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experience a change in control under applicable regulatory or accrediting standards, and we are unable to obtain appropriate approvals for such an event in a timely manner, or at all;</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86" w:lineRule="exact"/>
        <w:rPr>
          <w:rFonts w:ascii="Arial" w:cs="Arial" w:eastAsia="Arial" w:hAnsi="Arial"/>
          <w:sz w:val="13"/>
          <w:szCs w:val="13"/>
          <w:color w:val="auto"/>
        </w:rPr>
      </w:pPr>
    </w:p>
    <w:p>
      <w:pPr>
        <w:ind w:left="1680" w:hanging="187"/>
        <w:spacing w:after="0" w:line="289" w:lineRule="auto"/>
        <w:tabs>
          <w:tab w:leader="none" w:pos="1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 factors discussed under the headings “Risk Factors” and “Regulation” in this prospectus, and in the sections entitled “Business,” which is incorporated by reference into this prospectus from our Annual Report on Form 10-K for the fiscal year ended December 31, 2008, and “Management’s Discussion and Analysis of Financial Condition and Results of Operations,” which is incorporated by reference into this prospectus from our Annual Report on Form 10-K for the fiscal year ended December 31, 2008, and our Quarterly Reports on Form 10-Q for our quarters ended March 31, 2009 and June 30, 2009, as applicable.</w:t>
      </w:r>
    </w:p>
    <w:p>
      <w:pPr>
        <w:spacing w:after="0" w:line="53"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estimate that the proceeds from the sale of 1,000,000 shares of common stock offered by us in this offering will be approximately $ million, based on an assumed offering price of $ per share, the last reported sale price of our common stock on The Nasdaq Global Market on August , 2009, and after deducting the underwriting discounts and commissions and estimated offering expenses payable by us. Each $1.00 increase or decrease in the assumed public offering price of $ per share would increase or decrease, as applicable, the net proceeds to us by approximately $ million, assuming the number of shares offered by us as set forth on the cover of this prospectus remains the same and after deducting estimated underwriting discounts and commissions payable by us. We will not receive any proceeds from the sale of shares by the selling stockholders.</w:t>
      </w:r>
    </w:p>
    <w:p>
      <w:pPr>
        <w:sectPr>
          <w:pgSz w:w="11900" w:h="16838" w:orient="portrait"/>
          <w:cols w:equalWidth="0" w:num="1">
            <w:col w:w="10660"/>
          </w:cols>
          <w:pgMar w:left="220" w:top="343" w:right="1019" w:bottom="1440" w:gutter="0" w:footer="0" w:header="0"/>
        </w:sectPr>
      </w:pPr>
    </w:p>
    <w:p>
      <w:pPr>
        <w:spacing w:after="0" w:line="55"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We intend to use the net proceeds we receive from this offering to pay transaction fees and expenses of approximately $ purposes. Our management will have broad discretion in the application of such remaining net proceeds from this offering.</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million, and for working capital and general corporate</w:t>
      </w:r>
    </w:p>
    <w:p>
      <w:pPr>
        <w:spacing w:after="0" w:line="418" w:lineRule="exact"/>
        <w:rPr>
          <w:sz w:val="20"/>
          <w:szCs w:val="20"/>
          <w:color w:val="auto"/>
        </w:rPr>
      </w:pPr>
    </w:p>
    <w:p>
      <w:pPr>
        <w:sectPr>
          <w:pgSz w:w="11900" w:h="16838" w:orient="portrait"/>
          <w:cols w:equalWidth="0" w:num="2">
            <w:col w:w="7360" w:space="200"/>
            <w:col w:w="3100"/>
          </w:cols>
          <w:pgMar w:left="220" w:top="343" w:right="1019" w:bottom="1440" w:gutter="0" w:footer="0" w:header="0"/>
          <w:type w:val="continuous"/>
        </w:sectPr>
      </w:pPr>
    </w:p>
    <w:p>
      <w:pPr>
        <w:jc w:val="center"/>
        <w:ind w:right="-699"/>
        <w:spacing w:after="0"/>
        <w:rPr>
          <w:sz w:val="20"/>
          <w:szCs w:val="20"/>
          <w:color w:val="auto"/>
        </w:rPr>
      </w:pPr>
      <w:r>
        <w:rPr>
          <w:rFonts w:ascii="Arial" w:cs="Arial" w:eastAsia="Arial" w:hAnsi="Arial"/>
          <w:sz w:val="13"/>
          <w:szCs w:val="13"/>
          <w:b w:val="1"/>
          <w:bCs w:val="1"/>
          <w:color w:val="auto"/>
        </w:rPr>
        <w:t>PRICE RANGE OF COMMON STOCK</w:t>
      </w:r>
    </w:p>
    <w:p>
      <w:pPr>
        <w:spacing w:after="0" w:line="10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Our common stock has traded on the Nasdaq Global Market under the symbol “LOPE” since it began trading on November 20, 2008. Our initial public offering was priced at $12.00 per share on November 19, 2008. The following table sets forth, for the periods indicated, the high and low sales prices for our common stock as reported on the Nasdaq Global Market.</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Fourth Quarter (from November 20,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9.49</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12.53</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12.74</w:t>
            </w:r>
          </w:p>
        </w:tc>
      </w:tr>
      <w:tr>
        <w:trPr>
          <w:trHeight w:val="165"/>
        </w:trPr>
        <w:tc>
          <w:tcPr>
            <w:tcW w:w="8500" w:type="dxa"/>
            <w:vAlign w:val="bottom"/>
          </w:tcPr>
          <w:p>
            <w:pPr>
              <w:spacing w:after="0"/>
              <w:rPr>
                <w:sz w:val="20"/>
                <w:szCs w:val="20"/>
                <w:color w:val="auto"/>
              </w:rPr>
            </w:pPr>
            <w:r>
              <w:rPr>
                <w:rFonts w:ascii="Arial" w:cs="Arial" w:eastAsia="Arial" w:hAnsi="Arial"/>
                <w:sz w:val="13"/>
                <w:szCs w:val="13"/>
                <w:color w:val="auto"/>
              </w:rPr>
              <w:t>Third Quarter (through August 24, 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15.69</w:t>
            </w:r>
          </w:p>
        </w:tc>
      </w:tr>
    </w:tbl>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On August 25, 2009, the last reported sale price of our common stock on the Nasdaq Global Market was $18.58. As of such date, we had approximately 34 holders of record of our common stock.</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cash and cash equivalents and our capitalization as of June 30, 2009:</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an actual basis; and</w:t>
      </w:r>
    </w:p>
    <w:p>
      <w:pPr>
        <w:spacing w:after="0" w:line="86"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an as adjusted basis to reflect the receipt of the estimated net proceeds from the sale by us of 1,000,000 shares of common stock in this offering at the assumed public offering price of $18.58 per share (the last reported sale price of our common stock on August 25, 2009), after deducting the estimated underwriting discounts and commissions and estimated offering expenses payable by us.</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consolidated financial statements and related notes included elsewhere in or incorporated by reference into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2"/>
              </w:rPr>
              <w:t>As of June 30, 2009</w:t>
            </w:r>
          </w:p>
        </w:tc>
      </w:tr>
      <w:tr>
        <w:trPr>
          <w:trHeight w:val="98"/>
        </w:trPr>
        <w:tc>
          <w:tcPr>
            <w:tcW w:w="1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rPr>
              <w:t>Actual</w:t>
            </w:r>
          </w:p>
        </w:tc>
        <w:tc>
          <w:tcPr>
            <w:tcW w:w="380" w:type="dxa"/>
            <w:vAlign w:val="bottom"/>
            <w:tcBorders>
              <w:top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61"/>
              <w:spacing w:after="0" w:line="98" w:lineRule="exact"/>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jc w:val="center"/>
              <w:ind w:right="541"/>
              <w:spacing w:after="0" w:line="98" w:lineRule="exact"/>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ind w:right="21"/>
              <w:spacing w:after="0"/>
              <w:rPr>
                <w:sz w:val="20"/>
                <w:szCs w:val="20"/>
                <w:color w:val="auto"/>
              </w:rPr>
            </w:pPr>
            <w:r>
              <w:rPr>
                <w:rFonts w:ascii="Arial" w:cs="Arial" w:eastAsia="Arial" w:hAnsi="Arial"/>
                <w:sz w:val="10"/>
                <w:szCs w:val="10"/>
                <w:b w:val="1"/>
                <w:bCs w:val="1"/>
                <w:color w:val="auto"/>
                <w:w w:val="93"/>
              </w:rPr>
              <w:t>(In thousands, except share data)</w:t>
            </w:r>
          </w:p>
        </w:tc>
        <w:tc>
          <w:tcPr>
            <w:tcW w:w="100" w:type="dxa"/>
            <w:vAlign w:val="bottom"/>
          </w:tcPr>
          <w:p>
            <w:pPr>
              <w:spacing w:after="0"/>
              <w:rPr>
                <w:sz w:val="11"/>
                <w:szCs w:val="11"/>
                <w:color w:val="auto"/>
              </w:rPr>
            </w:pPr>
          </w:p>
        </w:tc>
      </w:tr>
      <w:tr>
        <w:trPr>
          <w:trHeight w:val="173"/>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36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24,742</w:t>
            </w:r>
          </w:p>
        </w:tc>
        <w:tc>
          <w:tcPr>
            <w:tcW w:w="1180" w:type="dxa"/>
            <w:vAlign w:val="bottom"/>
            <w:gridSpan w:val="2"/>
            <w:shd w:val="clear" w:color="auto" w:fill="CCEEFF"/>
          </w:tcPr>
          <w:p>
            <w:pPr>
              <w:jc w:val="right"/>
              <w:ind w:right="66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r>
      <w:tr>
        <w:trPr>
          <w:trHeight w:val="166"/>
        </w:trPr>
        <w:tc>
          <w:tcPr>
            <w:tcW w:w="424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2,013</w:t>
            </w:r>
          </w:p>
        </w:tc>
        <w:tc>
          <w:tcPr>
            <w:tcW w:w="3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3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27,681</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Stockholders’ equity:</w:t>
            </w:r>
          </w:p>
        </w:tc>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Preferred stock, $0.01 par value, 10,000,000 shares authorized, no shares issued and outstanding, actual and as adjusted</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r>
      <w:tr>
        <w:trPr>
          <w:trHeight w:val="148"/>
        </w:trPr>
        <w:tc>
          <w:tcPr>
            <w:tcW w:w="7860" w:type="dxa"/>
            <w:vAlign w:val="bottom"/>
            <w:gridSpan w:val="3"/>
          </w:tcPr>
          <w:p>
            <w:pPr>
              <w:ind w:left="140"/>
              <w:spacing w:after="0" w:line="149" w:lineRule="exact"/>
              <w:rPr>
                <w:sz w:val="20"/>
                <w:szCs w:val="20"/>
                <w:color w:val="auto"/>
              </w:rPr>
            </w:pPr>
            <w:r>
              <w:rPr>
                <w:rFonts w:ascii="Arial" w:cs="Arial" w:eastAsia="Arial" w:hAnsi="Arial"/>
                <w:sz w:val="13"/>
                <w:szCs w:val="13"/>
                <w:color w:val="auto"/>
                <w:w w:val="90"/>
              </w:rPr>
              <w:t>Common stock, $0.01 par value, 100,000,000 shares authorized, 44,576,417 shares issued and outstanding, actual; 100,000,000 shares authorized,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240" w:type="dxa"/>
            <w:vAlign w:val="bottom"/>
            <w:gridSpan w:val="2"/>
          </w:tcPr>
          <w:p>
            <w:pPr>
              <w:ind w:left="280"/>
              <w:spacing w:after="0"/>
              <w:rPr>
                <w:sz w:val="20"/>
                <w:szCs w:val="20"/>
                <w:color w:val="auto"/>
              </w:rPr>
            </w:pPr>
            <w:r>
              <w:rPr>
                <w:rFonts w:ascii="Arial" w:cs="Arial" w:eastAsia="Arial" w:hAnsi="Arial"/>
                <w:sz w:val="13"/>
                <w:szCs w:val="13"/>
                <w:color w:val="auto"/>
              </w:rPr>
              <w:t>45,576,417 shares issued and outstanding, as adjusted</w:t>
            </w: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446</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3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52,469</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240" w:type="dxa"/>
            <w:vAlign w:val="bottom"/>
            <w:gridSpan w:val="2"/>
          </w:tcPr>
          <w:p>
            <w:pPr>
              <w:ind w:left="140"/>
              <w:spacing w:after="0"/>
              <w:rPr>
                <w:sz w:val="20"/>
                <w:szCs w:val="20"/>
                <w:color w:val="auto"/>
              </w:rPr>
            </w:pPr>
            <w:r>
              <w:rPr>
                <w:rFonts w:ascii="Arial" w:cs="Arial" w:eastAsia="Arial" w:hAnsi="Arial"/>
                <w:sz w:val="13"/>
                <w:szCs w:val="13"/>
                <w:color w:val="auto"/>
              </w:rPr>
              <w:t>Accumulated and other comprehensive income</w:t>
            </w:r>
          </w:p>
        </w:tc>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earnings</w:t>
            </w:r>
          </w:p>
        </w:tc>
        <w:tc>
          <w:tcPr>
            <w:tcW w:w="3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3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240" w:type="dxa"/>
            <w:vAlign w:val="bottom"/>
            <w:gridSpan w:val="2"/>
          </w:tcPr>
          <w:p>
            <w:pPr>
              <w:ind w:left="280"/>
              <w:spacing w:after="0"/>
              <w:rPr>
                <w:sz w:val="20"/>
                <w:szCs w:val="20"/>
                <w:color w:val="auto"/>
              </w:rPr>
            </w:pPr>
            <w:r>
              <w:rPr>
                <w:rFonts w:ascii="Arial" w:cs="Arial" w:eastAsia="Arial" w:hAnsi="Arial"/>
                <w:sz w:val="13"/>
                <w:szCs w:val="13"/>
                <w:color w:val="auto"/>
              </w:rPr>
              <w:t>Total stockholders’ equity</w:t>
            </w:r>
            <w:r>
              <w:rPr>
                <w:rFonts w:ascii="Arial" w:cs="Arial" w:eastAsia="Arial" w:hAnsi="Arial"/>
                <w:sz w:val="11"/>
                <w:szCs w:val="11"/>
                <w:color w:val="auto"/>
              </w:rPr>
              <w:t>(1)</w:t>
            </w:r>
          </w:p>
        </w:tc>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53,965</w:t>
            </w:r>
          </w:p>
        </w:tc>
        <w:tc>
          <w:tcPr>
            <w:tcW w:w="3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capitalization</w:t>
            </w:r>
          </w:p>
        </w:tc>
        <w:tc>
          <w:tcPr>
            <w:tcW w:w="36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83,659</w:t>
            </w:r>
          </w:p>
        </w:tc>
        <w:tc>
          <w:tcPr>
            <w:tcW w:w="1180" w:type="dxa"/>
            <w:vAlign w:val="bottom"/>
            <w:gridSpan w:val="2"/>
            <w:shd w:val="clear" w:color="auto" w:fill="CCEEFF"/>
          </w:tcPr>
          <w:p>
            <w:pPr>
              <w:jc w:val="right"/>
              <w:ind w:right="66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87"/>
        </w:trPr>
        <w:tc>
          <w:tcPr>
            <w:tcW w:w="4240" w:type="dxa"/>
            <w:vAlign w:val="bottom"/>
            <w:gridSpan w:val="2"/>
          </w:tcPr>
          <w:p>
            <w:pPr>
              <w:ind w:left="60"/>
              <w:spacing w:after="0"/>
              <w:rPr>
                <w:sz w:val="20"/>
                <w:szCs w:val="20"/>
                <w:color w:val="auto"/>
              </w:rPr>
            </w:pPr>
            <w:r>
              <w:rPr>
                <w:rFonts w:ascii="Arial" w:cs="Arial" w:eastAsia="Arial" w:hAnsi="Arial"/>
                <w:sz w:val="13"/>
                <w:szCs w:val="13"/>
                <w:color w:val="auto"/>
                <w:w w:val="93"/>
              </w:rPr>
              <w:t>(1)  Each $1.00 increase or decrease in the assumed public offering price of $</w:t>
            </w:r>
          </w:p>
        </w:tc>
        <w:tc>
          <w:tcPr>
            <w:tcW w:w="3620" w:type="dxa"/>
            <w:vAlign w:val="bottom"/>
          </w:tcPr>
          <w:p>
            <w:pPr>
              <w:ind w:left="100"/>
              <w:spacing w:after="0"/>
              <w:rPr>
                <w:sz w:val="20"/>
                <w:szCs w:val="20"/>
                <w:color w:val="auto"/>
              </w:rPr>
            </w:pPr>
            <w:r>
              <w:rPr>
                <w:rFonts w:ascii="Arial" w:cs="Arial" w:eastAsia="Arial" w:hAnsi="Arial"/>
                <w:sz w:val="13"/>
                <w:szCs w:val="13"/>
                <w:color w:val="auto"/>
                <w:w w:val="97"/>
              </w:rPr>
              <w:t>per share (the last reported sale price of our common stock on</w:t>
            </w:r>
          </w:p>
        </w:tc>
        <w:tc>
          <w:tcPr>
            <w:tcW w:w="2120" w:type="dxa"/>
            <w:vAlign w:val="bottom"/>
            <w:gridSpan w:val="6"/>
          </w:tcPr>
          <w:p>
            <w:pPr>
              <w:jc w:val="right"/>
              <w:ind w:right="220"/>
              <w:spacing w:after="0"/>
              <w:rPr>
                <w:sz w:val="20"/>
                <w:szCs w:val="20"/>
                <w:color w:val="auto"/>
              </w:rPr>
            </w:pPr>
            <w:r>
              <w:rPr>
                <w:rFonts w:ascii="Arial" w:cs="Arial" w:eastAsia="Arial" w:hAnsi="Arial"/>
                <w:sz w:val="13"/>
                <w:szCs w:val="13"/>
                <w:color w:val="auto"/>
                <w:w w:val="90"/>
              </w:rPr>
              <w:t>, 2009) would increase or decrease,</w:t>
            </w:r>
          </w:p>
        </w:tc>
      </w:tr>
      <w:tr>
        <w:trPr>
          <w:trHeight w:val="165"/>
        </w:trPr>
        <w:tc>
          <w:tcPr>
            <w:tcW w:w="7860" w:type="dxa"/>
            <w:vAlign w:val="bottom"/>
            <w:gridSpan w:val="3"/>
          </w:tcPr>
          <w:p>
            <w:pPr>
              <w:ind w:left="320"/>
              <w:spacing w:after="0"/>
              <w:rPr>
                <w:sz w:val="20"/>
                <w:szCs w:val="20"/>
                <w:color w:val="auto"/>
              </w:rPr>
            </w:pPr>
            <w:r>
              <w:rPr>
                <w:rFonts w:ascii="Arial" w:cs="Arial" w:eastAsia="Arial" w:hAnsi="Arial"/>
                <w:sz w:val="13"/>
                <w:szCs w:val="13"/>
                <w:color w:val="auto"/>
                <w:w w:val="91"/>
              </w:rPr>
              <w:t>respectively, the amount of cash and cash equivalents, additional paid-in capital and total stockholders’ equity, in each case by approximately $</w:t>
            </w:r>
          </w:p>
        </w:tc>
        <w:tc>
          <w:tcPr>
            <w:tcW w:w="2120" w:type="dxa"/>
            <w:vAlign w:val="bottom"/>
            <w:gridSpan w:val="6"/>
          </w:tcPr>
          <w:p>
            <w:pPr>
              <w:ind w:left="160"/>
              <w:spacing w:after="0"/>
              <w:rPr>
                <w:sz w:val="20"/>
                <w:szCs w:val="20"/>
                <w:color w:val="auto"/>
              </w:rPr>
            </w:pPr>
            <w:r>
              <w:rPr>
                <w:rFonts w:ascii="Arial" w:cs="Arial" w:eastAsia="Arial" w:hAnsi="Arial"/>
                <w:sz w:val="13"/>
                <w:szCs w:val="13"/>
                <w:color w:val="auto"/>
              </w:rPr>
              <w:t>million, assuming the number of</w:t>
            </w:r>
          </w:p>
        </w:tc>
      </w:tr>
    </w:tbl>
    <w:p>
      <w:pPr>
        <w:ind w:left="1000"/>
        <w:spacing w:after="0"/>
        <w:rPr>
          <w:sz w:val="20"/>
          <w:szCs w:val="20"/>
          <w:color w:val="auto"/>
        </w:rPr>
      </w:pPr>
      <w:r>
        <w:rPr>
          <w:rFonts w:ascii="Arial" w:cs="Arial" w:eastAsia="Arial" w:hAnsi="Arial"/>
          <w:sz w:val="12"/>
          <w:szCs w:val="12"/>
          <w:color w:val="auto"/>
        </w:rPr>
        <w:t>shares offered by us, as set forth on the cover of this prospectus, remains the same and after deducting the estimated underwriting discounts and commissions payable to us.</w:t>
      </w: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Those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director of compliance who is knowledgeable about regulatory matters relevant to student financial aid programs and our Chief Financial Officer, Chief Risk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jc w:val="both"/>
        <w:ind w:left="680" w:right="22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The reauthorization of the Higher Education Act in 2008, and proposed regulations issued by the Department of Education,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proposed regulations, which could take effect on July 1, 2010, that would require the Higher Learning Commission to notify the Department of Education if an institution it accredits that offers distance learning programs experiences an increase in its headcount enrollment of 50% or more in any fiscal year, which could include us based on our historical enrollment growth rates, and the Department of Education may consider that information in connection with its own regulatory oversight activities.</w:t>
      </w:r>
    </w:p>
    <w:p>
      <w:pPr>
        <w:spacing w:after="0" w:line="7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agencies. In addition to being accredited by the Higher Learning Commission, we also have the following specialized accreditations:</w:t>
      </w:r>
    </w:p>
    <w:p>
      <w:pPr>
        <w:spacing w:after="0" w:line="96" w:lineRule="exact"/>
        <w:rPr>
          <w:sz w:val="20"/>
          <w:szCs w:val="20"/>
          <w:color w:val="auto"/>
        </w:rPr>
      </w:pPr>
    </w:p>
    <w:p>
      <w:pPr>
        <w:ind w:left="1680" w:right="380" w:hanging="187"/>
        <w:spacing w:after="0" w:line="276" w:lineRule="auto"/>
        <w:tabs>
          <w:tab w:leader="none" w:pos="1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72"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2009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In addition, Congress is currently considering the Student Aid and Fiscal Responsibility Act which, among other things, could eliminate the federally guaranteed student loan program and require all future student loans to be made through the FDL program. We are not in a position to predict with certainty whether any of the pending legislation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programs could increase our costs of compliance, reduce the ability of some students to finance their education at our institution, require us to seek to arrange for other sources of financial aid for our students and materially decrease our student enrollment.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Pending regulatory changes. </w:t>
      </w:r>
      <w:r>
        <w:rPr>
          <w:rFonts w:ascii="Arial" w:cs="Arial" w:eastAsia="Arial" w:hAnsi="Arial"/>
          <w:sz w:val="13"/>
          <w:szCs w:val="13"/>
          <w:color w:val="auto"/>
        </w:rPr>
        <w:t>In connection with the 2008 reauthorization of the Higher Education Act, Congress directed the Department of Education to promulgate regulations to</w:t>
      </w:r>
      <w:r>
        <w:rPr>
          <w:rFonts w:ascii="Arial" w:cs="Arial" w:eastAsia="Arial" w:hAnsi="Arial"/>
          <w:sz w:val="13"/>
          <w:szCs w:val="13"/>
          <w:i w:val="1"/>
          <w:iCs w:val="1"/>
          <w:color w:val="auto"/>
        </w:rPr>
        <w:t xml:space="preserve"> </w:t>
      </w:r>
      <w:r>
        <w:rPr>
          <w:rFonts w:ascii="Arial" w:cs="Arial" w:eastAsia="Arial" w:hAnsi="Arial"/>
          <w:sz w:val="13"/>
          <w:szCs w:val="13"/>
          <w:color w:val="auto"/>
        </w:rPr>
        <w:t>clarify and carry out the numerous revisions made in such reauthorization. In December 2008, the Department of Education established five negotiated rulemaking committees to begin to work on developing such regulations.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The five negotiated rulemaking committees established by the Department of Education were divided as follows, based on the regulatory issues to be covered by each committee:</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 — Lender and General Loan Issues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II — School-Based Loan Issues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III — Accreditation</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IV — Discretionary Grants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V — General and Non-Loan Programmatic Issues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July and August 2009, the Department of Education proposed and invited public comment on regulations relating to the issues covered by Committees I, II, and III, each of which reached consensus, and issues covered by Committee V, which did not reach consensus. The Department of Education has yet to propose regulations with regard to the topics covered by Committee IV, but the Department of Education is expected to issue such proposed regulations in the near future. Following review and consideration of any public comments, the Department of Education will publish final regulations relating to the issues covered by the negotiated rulemaking committees. If such final regulations are published by November 1, 2009, which is expected, such new regulations will take effect on July 1, 2010.</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May 2009, the Department of Education announced its intent to initiate another round of negotiated rulemaking to address regulations to improve the administration of the Title IV programs. The Department of Education has not yet identified the participants in this next round of negotiated rulemaking, but the process is expected to begin as soon as the fall of 2009, and is expected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and the definition of a high school diploma as a condition of a student’s receipt of Title IV aid. We are still assessing the impact of these proposed regulations and the upcoming negotiated rulemaking on our financial aid policies and other plans and strategies.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Eligibility and certification procedures. </w:t>
      </w:r>
      <w:r>
        <w:rPr>
          <w:rFonts w:ascii="Arial" w:cs="Arial" w:eastAsia="Arial" w:hAnsi="Arial"/>
          <w:sz w:val="12"/>
          <w:szCs w:val="12"/>
          <w:color w:val="auto"/>
        </w:rPr>
        <w:t>Each institution must apply periodically to the Department of Education for continued certification to participate in the Title IV programs.</w:t>
      </w:r>
      <w:r>
        <w:rPr>
          <w:rFonts w:ascii="Arial" w:cs="Arial" w:eastAsia="Arial" w:hAnsi="Arial"/>
          <w:sz w:val="12"/>
          <w:szCs w:val="12"/>
          <w:i w:val="1"/>
          <w:iCs w:val="1"/>
          <w:color w:val="auto"/>
        </w:rPr>
        <w:t xml:space="preserve"> </w:t>
      </w:r>
      <w:r>
        <w:rPr>
          <w:rFonts w:ascii="Arial" w:cs="Arial" w:eastAsia="Arial" w:hAnsi="Arial"/>
          <w:sz w:val="12"/>
          <w:szCs w:val="12"/>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and the identity of the members of our board of directors. Based on our provisional certification, the Department of Education may more closely review any application we may file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initiate new educational programs, acquire other schools, or make other significant changes in our operations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the Department of Education imposed on us in connection with our recertification in 2005. Any of these outcomes would have a material adverse effect on our enrollments and us.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86" w:lineRule="exact"/>
        <w:rPr>
          <w:rFonts w:ascii="Arial" w:cs="Arial" w:eastAsia="Arial" w:hAnsi="Arial"/>
          <w:sz w:val="13"/>
          <w:szCs w:val="13"/>
          <w:color w:val="auto"/>
        </w:rPr>
      </w:pPr>
    </w:p>
    <w:p>
      <w:pPr>
        <w:ind w:left="1680" w:right="220" w:hanging="187"/>
        <w:spacing w:after="0" w:line="276" w:lineRule="auto"/>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96" w:lineRule="exact"/>
        <w:rPr>
          <w:sz w:val="20"/>
          <w:szCs w:val="20"/>
          <w:color w:val="auto"/>
        </w:rPr>
      </w:pPr>
    </w:p>
    <w:p>
      <w:pPr>
        <w:ind w:left="1680" w:hanging="187"/>
        <w:spacing w:after="0"/>
        <w:tabs>
          <w:tab w:leader="none" w:pos="1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Department of Education also recently published proposed revisions to the administrative capability regulations. These revisions include provisions related to (i) reporting to the Department of Education any reasonable reimbursements paid or provided by a lender to institutional employees with loan or other financial aid responsibilities and (ii) implementation of the new three year cohort default rate rules. Following review of any comments, the Department of Education will publish final regulations. If such final regulations are published by November 1, 2009, which is expected, such new regulations will be effective on July 1, 2010. We will have to make certain administrative and reporting changes to adapt our systems and practices to meet the requirements of these new regulations when they take effect, and we are still assessing the other potential impacts, if any, of these proposed regulations on our business.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we are converting our back office system from Datatel to a series of programs developed by Campus Management Corp., including CampusVue and CampusPortal. This conversion is intended to allow us to manage our non-traditional online students with greater ease and flexibility by providing for rolling and flexible start dates. If we do not effectively implement this system or if the system does not operate as intended, it could affect our ability to comply with the Department of Education’s administrative capability requirements. If we are found not to have satisfied the Department of</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Education’s administrative capability requirements, our students could lose, or be limited in their access to, Title IV program funding.</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have subsequently submitted our fiscal year 2006, 2007, and 2008 financial statements to the Department of Education as required, and we calculated that our composite score for each such fiscal year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5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post a required letter of credit or comply with the alternative bases for establishing financial responsibility, our students could lose their access to Title IV program funding.</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in our 2006, 2007, or 2008 fiscal years.</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The “90/10 Rule.” </w:t>
      </w:r>
      <w:r>
        <w:rPr>
          <w:rFonts w:ascii="Arial" w:cs="Arial" w:eastAsia="Arial" w:hAnsi="Arial"/>
          <w:sz w:val="12"/>
          <w:szCs w:val="12"/>
          <w:color w:val="auto"/>
        </w:rPr>
        <w:t>A requirement of the Higher Education Act, commonly referred to as the “90/10 Rule,” that is applicable only to for-profit, postsecondary educational institutions</w:t>
      </w:r>
      <w:r>
        <w:rPr>
          <w:rFonts w:ascii="Arial" w:cs="Arial" w:eastAsia="Arial" w:hAnsi="Arial"/>
          <w:sz w:val="12"/>
          <w:szCs w:val="12"/>
          <w:i w:val="1"/>
          <w:iCs w:val="1"/>
          <w:color w:val="auto"/>
        </w:rPr>
        <w:t xml:space="preserve"> </w:t>
      </w:r>
      <w:r>
        <w:rPr>
          <w:rFonts w:ascii="Arial" w:cs="Arial" w:eastAsia="Arial" w:hAnsi="Arial"/>
          <w:sz w:val="12"/>
          <w:szCs w:val="12"/>
          <w:color w:val="auto"/>
        </w:rPr>
        <w:t>like us, provides that an institution loses its eligibility to participate in the Title IV programs, if, under a complex regulatory formula that requires cash basis accounting and other adjustments to the calculation of revenue, the institution derives more than 90% of its revenues for each of two consecutive fiscal years from Title IV program funds.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the employment circumstances of our students or their parents, or that reduce the availability of private loans for our students, could also increase their reliance on Title IV programs. However, such effects may be mitigated by other provisions of the 2008 Higher Education Act reauthorization that allow institutions, when calculating their compliance with this revenue test, to exclude from their Title IV revenues for a three-year period the additional federal student loan amounts that became available through the Unsubsidized Stafford Loan Program starting in July 2008, and to include more non-Title IV revenues, such as revenues from institutional loans under certain circumstances. Using the Department of Education’s formula under the “90/10 Rule” that was in effect prior to the August 2008 reauthorization of the Higher Education Act, for our 2007 and 2008 fiscal years, we derived approximately 74.0% and 78.6%, respectively, of our revenues (calculated on a cash basis) from Title IV program funds. These rates have been reviewed by our financial accounting firm as reflected in the notes to our audited financial statements for each fiscal year. We are reviewing the Department of Education’s proposed regulations and other factors bearing on the trends in our percentage under the 90/10 Rule for our 2009 fiscal year and future years. However, as a result of recent changes in federal law that increased Title IV grant and loan limits, as 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Exceeding the 90% threshold such that we lost our eligibility to participate in the Title IV programs would have a material adverse effect on our business, prospects, financial condition, and results of operations.</w:t>
      </w:r>
    </w:p>
    <w:p>
      <w:pPr>
        <w:spacing w:after="0" w:line="59" w:lineRule="exact"/>
        <w:rPr>
          <w:sz w:val="20"/>
          <w:szCs w:val="20"/>
          <w:color w:val="auto"/>
        </w:rPr>
      </w:pPr>
    </w:p>
    <w:p>
      <w:pPr>
        <w:ind w:left="680" w:right="200" w:firstLine="399"/>
        <w:spacing w:after="0" w:line="281" w:lineRule="auto"/>
        <w:rPr>
          <w:sz w:val="20"/>
          <w:szCs w:val="20"/>
          <w:color w:val="auto"/>
        </w:rPr>
      </w:pPr>
      <w:r>
        <w:rPr>
          <w:rFonts w:ascii="Arial" w:cs="Arial" w:eastAsia="Arial" w:hAnsi="Arial"/>
          <w:sz w:val="12"/>
          <w:szCs w:val="12"/>
          <w:i w:val="1"/>
          <w:iCs w:val="1"/>
          <w:color w:val="auto"/>
        </w:rPr>
        <w:t xml:space="preserve">Student loan defaults. </w:t>
      </w:r>
      <w:r>
        <w:rPr>
          <w:rFonts w:ascii="Arial" w:cs="Arial" w:eastAsia="Arial" w:hAnsi="Arial"/>
          <w:sz w:val="12"/>
          <w:szCs w:val="12"/>
          <w:color w:val="auto"/>
        </w:rPr>
        <w:t>Under the Higher Education Act, an educational institution may lose its eligibility to participate in some or all of the Title IV programs if defaults by its</w:t>
      </w:r>
      <w:r>
        <w:rPr>
          <w:rFonts w:ascii="Arial" w:cs="Arial" w:eastAsia="Arial" w:hAnsi="Arial"/>
          <w:sz w:val="12"/>
          <w:szCs w:val="12"/>
          <w:i w:val="1"/>
          <w:iCs w:val="1"/>
          <w:color w:val="auto"/>
        </w:rPr>
        <w:t xml:space="preserve"> </w:t>
      </w:r>
      <w:r>
        <w:rPr>
          <w:rFonts w:ascii="Arial" w:cs="Arial" w:eastAsia="Arial" w:hAnsi="Arial"/>
          <w:sz w:val="12"/>
          <w:szCs w:val="12"/>
          <w:color w:val="auto"/>
        </w:rPr>
        <w:t>students on the repayment of their FFEL student loans or Federal Direct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Department of Education has proposed a regulation indicating that it will begin to implement this extended measurement period for the cohort default rates that will be calculated for loans that enter repayment in federal fiscal year 2009, which is the year that ends on September 30, 2009. The Department of Education has proposed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 2009, 2010 and 2011, as calculated under the new three-year method, are not expected to be published until calendar years 2012, 2013 and 2014.</w:t>
      </w:r>
    </w:p>
    <w:p>
      <w:pPr>
        <w:spacing w:after="0" w:line="71"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the three most recent federal fiscal years, the institution’s participation in the FFEL program, the FDL program and the Pell program ends 30 days after that notification, unless the institution appeals that determination in a timely manner on specified grounds and according to specified procedures. In addition, an institution’s participation in the FFEL program and the FDL program ends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6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cohort default rates on FFEL program loans for the 2004, 2005 and 2006 federal fiscal years, the three most recent years for which such rates have been calculated, were 1.4%, 1.8% and 1.6%, respectively. Our draft cohort default rate for the 2007 federal fiscal year is 1.4%. We expect our cohort default rate for the 2008 federal fiscal year to increase due primarily to the impact of current economic conditions on our students and former students, although we expect such rate to remain well below the Department of Education’s thresholds.</w:t>
      </w:r>
    </w:p>
    <w:p>
      <w:pPr>
        <w:spacing w:after="0" w:line="50"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Our students have begun the process of applying for loans under the FDL program for the fall of 2009. When these loans are disbursed, they will be combined with our students’ FFEL loans in calculating our annual student loan cohort default rate. In such case, the potential sanctions discussed in this section would be based on the combined cohort default rate.</w:t>
      </w:r>
    </w:p>
    <w:p>
      <w:pPr>
        <w:spacing w:after="0" w:line="1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Incentive compensation rule. </w:t>
      </w:r>
      <w:r>
        <w:rPr>
          <w:rFonts w:ascii="Arial" w:cs="Arial" w:eastAsia="Arial" w:hAnsi="Arial"/>
          <w:sz w:val="13"/>
          <w:szCs w:val="13"/>
          <w:color w:val="auto"/>
        </w:rPr>
        <w:t>An institution that participates in the Title IV programs may not provide any commission, bonus, or other incentive payment based directly or indirectly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on success in securing enrollments or financial aid to any person or entity engaged in any student recruitment, admissions, or financial aid awarding activity. The Department of Education’s regulations set forth 12 “safe harbors” which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72"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w:t>
      </w:r>
    </w:p>
    <w:p>
      <w:pPr>
        <w:spacing w:after="0" w:line="6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Pursuant to the court’s mandatory scheduling order, we have entered into settlement discussions with respect to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While we cannot assure you that this matter will be settled on terms acceptable to us or at all, we do not believe that any potential settlement, if in the amount (which we believe is generally in the range of other settlements of similar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against other for-profit education companies)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5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Office of Inspector General of the Department of Education is responsible for, among other things, promoting the effectiveness and integrity of the Department of Education’s programs and operations, including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We have been cooperating with the Office of Inspector General to facilitate its investigation and have completed production of all requested documents. See “Risk Factors — The Office of Inspector General of the Department of Education has commenced an investigation of Grand Canyon University, which is ongoing and which may result in fines, penalties, other sanctions, and damage to our reputation in the industry.”</w:t>
      </w:r>
    </w:p>
    <w:p>
      <w:pPr>
        <w:spacing w:after="0" w:line="59"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 xml:space="preserve">Any fine or other sanction resulting from the Office of Inspector General investigation or otherwise, or any monetary liability resulting from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qui tam lawsuit or the Office of Inspector General investigation or any liability or other sanctions that might result.</w:t>
      </w:r>
    </w:p>
    <w:p>
      <w:pPr>
        <w:spacing w:after="0" w:line="50" w:lineRule="exact"/>
        <w:rPr>
          <w:sz w:val="20"/>
          <w:szCs w:val="20"/>
          <w:color w:val="auto"/>
        </w:rPr>
      </w:pPr>
    </w:p>
    <w:p>
      <w:pPr>
        <w:ind w:left="680" w:right="200" w:firstLine="399"/>
        <w:spacing w:after="0" w:line="256" w:lineRule="auto"/>
        <w:rPr>
          <w:sz w:val="20"/>
          <w:szCs w:val="20"/>
          <w:color w:val="auto"/>
        </w:rPr>
      </w:pPr>
      <w:r>
        <w:rPr>
          <w:rFonts w:ascii="Arial" w:cs="Arial" w:eastAsia="Arial" w:hAnsi="Arial"/>
          <w:sz w:val="13"/>
          <w:szCs w:val="13"/>
          <w:color w:val="auto"/>
        </w:rPr>
        <w:t>In May 2009, the Department of Education announced that it was initiating a process to revise its regulations in certain areas, including the regulations implementing the incentive compensation rule. The process will involve convening one or more “negotiated rulemaking” teams composed of various representatives of the postsecondary education community nationally, as well as Department of Education employees, to consider how the current regulations should be revised. The Department of Education has stated that it intends for the committees to be appointed and to begin their work in the fall of 2009. Following a committee’s review and drafting of possible revisions to the incentive compensation regulations, the Department of Education will develop and publish proposed revisions to the regulations, on which members of the public will be invited to provide comments. Following review of any public comments, the Department of Education will publish final new regulations. Under current law, any such revisions to the current incentive compensation regulations would not take effect any earlier than July 1, 2011.</w:t>
      </w:r>
    </w:p>
    <w:p>
      <w:pPr>
        <w:spacing w:after="0" w:line="7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Privacy of student records. </w:t>
      </w:r>
      <w:r>
        <w:rPr>
          <w:rFonts w:ascii="Arial" w:cs="Arial" w:eastAsia="Arial" w:hAnsi="Arial"/>
          <w:sz w:val="13"/>
          <w:szCs w:val="13"/>
          <w:color w:val="auto"/>
        </w:rPr>
        <w:t>The Family Educational Rights and Privacy Act of 1974, or FERPA, and the Department of Education’s FERPA regulations require educational</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Potential effect of regulatory violations. </w:t>
      </w:r>
      <w:r>
        <w:rPr>
          <w:rFonts w:ascii="Arial" w:cs="Arial" w:eastAsia="Arial" w:hAnsi="Arial"/>
          <w:sz w:val="12"/>
          <w:szCs w:val="12"/>
          <w:color w:val="auto"/>
        </w:rPr>
        <w:t>If we fail to comply with the regulatory standards governing the Title IV programs, the Department of Education could impose one or more</w:t>
      </w:r>
      <w:r>
        <w:rPr>
          <w:rFonts w:ascii="Arial" w:cs="Arial" w:eastAsia="Arial" w:hAnsi="Arial"/>
          <w:sz w:val="12"/>
          <w:szCs w:val="12"/>
          <w:i w:val="1"/>
          <w:iCs w:val="1"/>
          <w:color w:val="auto"/>
        </w:rPr>
        <w:t xml:space="preserve"> </w:t>
      </w:r>
      <w:r>
        <w:rPr>
          <w:rFonts w:ascii="Arial" w:cs="Arial" w:eastAsia="Arial" w:hAnsi="Arial"/>
          <w:sz w:val="12"/>
          <w:szCs w:val="12"/>
          <w:color w:val="auto"/>
        </w:rPr>
        <w:t>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Uncertainties, increased oversight, and changes in student loan environment. </w:t>
      </w:r>
      <w:r>
        <w:rPr>
          <w:rFonts w:ascii="Arial" w:cs="Arial" w:eastAsia="Arial" w:hAnsi="Arial"/>
          <w:sz w:val="12"/>
          <w:szCs w:val="12"/>
          <w:color w:val="auto"/>
        </w:rPr>
        <w:t>Since 2007, student loan programs, including the Title IV programs, have come under increased</w:t>
      </w:r>
      <w:r>
        <w:rPr>
          <w:rFonts w:ascii="Arial" w:cs="Arial" w:eastAsia="Arial" w:hAnsi="Arial"/>
          <w:sz w:val="12"/>
          <w:szCs w:val="12"/>
          <w:i w:val="1"/>
          <w:iCs w:val="1"/>
          <w:color w:val="auto"/>
        </w:rPr>
        <w:t xml:space="preserve"> </w:t>
      </w:r>
      <w:r>
        <w:rPr>
          <w:rFonts w:ascii="Arial" w:cs="Arial" w:eastAsia="Arial" w:hAnsi="Arial"/>
          <w:sz w:val="12"/>
          <w:szCs w:val="12"/>
          <w:color w:val="auto"/>
        </w:rPr>
        <w:t>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w:t>
      </w:r>
    </w:p>
    <w:p>
      <w:pPr>
        <w:spacing w:after="0" w:line="5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60" w:lineRule="auto"/>
        <w:rPr>
          <w:sz w:val="20"/>
          <w:szCs w:val="20"/>
          <w:color w:val="auto"/>
        </w:rPr>
      </w:pPr>
      <w:r>
        <w:rPr>
          <w:rFonts w:ascii="Arial" w:cs="Arial" w:eastAsia="Arial" w:hAnsi="Arial"/>
          <w:sz w:val="13"/>
          <w:szCs w:val="13"/>
          <w:color w:val="auto"/>
        </w:rPr>
        <w:t>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adversely affected the student lending marketplace.</w:t>
      </w:r>
    </w:p>
    <w:p>
      <w:pPr>
        <w:spacing w:after="0" w:line="7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cumulative impact of these developments and conditions has caused some lenders to cease providing Title IV loans to students, including some lenders that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55" w:lineRule="exact"/>
        <w:rPr>
          <w:sz w:val="20"/>
          <w:szCs w:val="20"/>
          <w:color w:val="auto"/>
        </w:rPr>
      </w:pPr>
    </w:p>
    <w:p>
      <w:pPr>
        <w:ind w:left="1680" w:right="60" w:hanging="187"/>
        <w:spacing w:after="0" w:line="276" w:lineRule="auto"/>
        <w:tabs>
          <w:tab w:leader="none" w:pos="1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authorized the Department of Education to purchase Title IV loans from lenders, thereby providing capital to the lenders to enable them to continue making Title IV loans to students; and</w:t>
      </w:r>
    </w:p>
    <w:p>
      <w:pPr>
        <w:spacing w:after="0" w:line="49" w:lineRule="exact"/>
        <w:rPr>
          <w:rFonts w:ascii="Arial" w:cs="Arial" w:eastAsia="Arial" w:hAnsi="Arial"/>
          <w:sz w:val="13"/>
          <w:szCs w:val="13"/>
          <w:color w:val="auto"/>
        </w:rPr>
      </w:pPr>
    </w:p>
    <w:p>
      <w:pPr>
        <w:ind w:left="1680" w:right="140" w:hanging="187"/>
        <w:spacing w:after="0" w:line="276" w:lineRule="auto"/>
        <w:tabs>
          <w:tab w:leader="none" w:pos="1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59"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considering legislation to eliminate the FFEL loan program and move all federal student lending into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Adding teaching locations, implementing new educational programs, and increasing enrollment. </w:t>
      </w:r>
      <w:r>
        <w:rPr>
          <w:rFonts w:ascii="Arial" w:cs="Arial" w:eastAsia="Arial" w:hAnsi="Arial"/>
          <w:sz w:val="13"/>
          <w:szCs w:val="13"/>
          <w:color w:val="auto"/>
        </w:rPr>
        <w:t>The requirements and standards of state education agencies, accrediting</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6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Acquiring other schools. </w:t>
      </w:r>
      <w:r>
        <w:rPr>
          <w:rFonts w:ascii="Arial" w:cs="Arial" w:eastAsia="Arial" w:hAnsi="Arial"/>
          <w:sz w:val="13"/>
          <w:szCs w:val="13"/>
          <w:color w:val="auto"/>
        </w:rPr>
        <w:t>While we have not acquired any other schools in the past, we may seek to do so in the future. The Department of Education and virtually all state education</w:t>
      </w:r>
      <w:r>
        <w:rPr>
          <w:rFonts w:ascii="Arial" w:cs="Arial" w:eastAsia="Arial" w:hAnsi="Arial"/>
          <w:sz w:val="13"/>
          <w:szCs w:val="13"/>
          <w:i w:val="1"/>
          <w:iCs w:val="1"/>
          <w:color w:val="auto"/>
        </w:rPr>
        <w:t xml:space="preserve"> </w:t>
      </w:r>
      <w:r>
        <w:rPr>
          <w:rFonts w:ascii="Arial" w:cs="Arial" w:eastAsia="Arial" w:hAnsi="Arial"/>
          <w:sz w:val="13"/>
          <w:szCs w:val="13"/>
          <w:color w:val="auto"/>
        </w:rPr>
        <w:t>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7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after the initial public offering and the identity of the members of our board of directors.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of approving our pending recertification application or with respect to any future recertification.</w:t>
      </w:r>
    </w:p>
    <w:p>
      <w:pPr>
        <w:spacing w:after="0" w:line="65"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Change in ownership resulting in a change in control. </w:t>
      </w:r>
      <w:r>
        <w:rPr>
          <w:rFonts w:ascii="Arial" w:cs="Arial" w:eastAsia="Arial" w:hAnsi="Arial"/>
          <w:sz w:val="13"/>
          <w:szCs w:val="13"/>
          <w:color w:val="auto"/>
        </w:rPr>
        <w:t>The Department of Education and the Higher Learning Commission, as well as many accrediting commissions and states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 institutions of higher education to report or obtain approval of certain changes in control and changes in other aspects of institutional organization or control. The types of and thresholds for such reporting and approval vary among the various regulatory bodies.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 In connection with our initial public offering in November 2008, we submitted a description of the offering to the Department of Education, including a description of the voting agreement that forms the basis for the Richardson Voting Group. Based on this description, the Department of Education concluded that our initial public offering did not result in a change in control under the Department of Education’s regulations that were applicable to us before we became a publicly-traded corporation. With respect to publicly-traded corporations, like us, Department of Education regulations provide that a change in control occurs if either: (i) 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Department of Education’s regulations. See “Beneficial Ownership of Common Stock.” We have notified the Department of Education of this offering and we plan to initiate further communications with the Department of Education to seek its confirmation that the offering will not constitute a change in control under its standards.</w:t>
      </w:r>
    </w:p>
    <w:p>
      <w:pPr>
        <w:spacing w:after="0" w:line="65"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 The Higher Learning Commission did consider our initial public offering in November 2008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after conducting its site visit in March 2009, determined, among other things, that the initial public offering was conducted in a manner that did not disrupt our ongoing operations and that no further action would be required as a result of the change in control, and formally approved the change in control in June 2009.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Higher Learning Commission’s policies. See “Beneficial Ownership of Common Stock.” We have submitted a description of this offering to the Higher Learning Commission and requested its confirmation that the offering will not constitute a change in control under its policies and standards, and the Higher Learning Commission has informed us that it is reviewing our inquiry.</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if we file a timely and materially complete application, the Department of Education may temporarily certify us on a provisional basis following the change in control, so that our students would retain access to Title IV program funds until the Department of Education completes its full review. In addition, the Department of Education will extend our temporary provisional certification if we timely file other required materials, including any approval of the change of control by the Higher Learning Commission and the Arizona State Board for Private Postsecondary Education, as required, and certain required financial information (consisting of our recent SEC filings) showing our financial condition. As a general matter, an institution is required to file the materially complete application within ten business days after the change in control, as measured from the date of the event that constitutes the change in control. The deadline for an institution to timely file the other materials, including the financial documentation, that are required following a change in control is the last day of the month following the month in which the change of control occurs. For an institution that is owned by a publicly traded corporation, like us, a related Department of Education regulation provides that the deadline to notify the Department of Education of a significant change in the distribution of the ownership of the institution is ten days, as measured from the date on which management of the corporation learns of such significant change or, alternatively, the date that the institution notifies its accrediting agency of such change. If the Department of Education were to determine that we failed to meet any of these application and other deadlines, our certification would expire and our students would not be eligible to receive Title IV program funds until the Department of Education completes its full review, which commonly takes several months and may take longer. If the Department of Education approves the application after a change in control, it would normally certify us on a provisional basis for a period of up to approximately three years. The precise conditions and duration of our provisional certification in this circumstance and what restrictions, if any, may be imposed, are difficult to predict because we have been certified on a month-to-month basis for an extended period and are subject to the ongoing investigation</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 xml:space="preserve">by the Office of Inspector General of the Department of Education and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which may affect the Department of Education’s decision regarding the terms to attach when it next renews our certification.</w:t>
      </w:r>
    </w:p>
    <w:p>
      <w:pPr>
        <w:spacing w:after="0" w:line="59"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plan to seek the cooperation of the Higher Learning Commission to allow us to arrange an appropriate review procedure at that time since there may not be an opportunity to obtain the Higher Learning Commission’s advance review and approval, as is typically required by its policies. Another policy of the Higher Learning Commission provides that an institution is obligated to provide notice of certain transactions, such as the transfer of stock by an investor, promptly after the institution becomes reasonably knowledgeable of such transaction. This policy suggests that, in certain circumstances, the Higher Learning Commission can adapt its procedures to allow an institution, like us, to provide notice and seek the necessary approval after the institution gains knowledge of an investor transaction such as the sale of shares by other parties to the voting agreement, but there can be no assurance that would be the case with respect to this offering or any such sales of stock that may occur following the completion of this offering. In such a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would result in our loss of eligibility to participate in the Title IV programs and cause a significant decline in our student enrollments.</w:t>
      </w:r>
    </w:p>
    <w:p>
      <w:pPr>
        <w:spacing w:after="0" w:line="78"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notified the Arizona State Board for Private Postsecondary Education of our initial public offering and, based on our communications with that agency before and after the consummation of the initial public offering , we do not believe that our initial public offering constituted a change in control under Arizona law that was applicable to us before we were a publicly traded corporation. We believe that this offering will not constitute a change in control under the standards of the Arizona State Board for Private Postsecondary Education that are applicable to publicly-traded companies because it will not result in a change to 50% or more of the voting members of the board of directors in a 12-month period or since the date that we became a publicly-traded corporation, and because it will not result in a change to the chief executive officer of the corporation.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and cause a significant decline in our student enrollments.</w:t>
      </w:r>
    </w:p>
    <w:p>
      <w:pPr>
        <w:spacing w:after="0" w:line="60" w:lineRule="exact"/>
        <w:rPr>
          <w:sz w:val="20"/>
          <w:szCs w:val="20"/>
          <w:color w:val="auto"/>
        </w:rPr>
      </w:pPr>
    </w:p>
    <w:p>
      <w:pPr>
        <w:ind w:left="680" w:right="360" w:firstLine="399"/>
        <w:spacing w:after="0" w:line="260" w:lineRule="auto"/>
        <w:rPr>
          <w:sz w:val="20"/>
          <w:szCs w:val="20"/>
          <w:color w:val="auto"/>
        </w:rPr>
      </w:pPr>
      <w:r>
        <w:rPr>
          <w:rFonts w:ascii="Arial" w:cs="Arial" w:eastAsia="Arial" w:hAnsi="Arial"/>
          <w:sz w:val="13"/>
          <w:szCs w:val="13"/>
          <w:color w:val="auto"/>
        </w:rPr>
        <w:t>We also notified other accrediting commissions and state agencies, as we believed necessary, of our initial public offering and the reasons why we believed that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advised us that it concluded that the offering constituted a change in control under its policies or that it required us to take any further action. We plan to provide each of these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96" w:lineRule="auto"/>
        <w:rPr>
          <w:sz w:val="20"/>
          <w:szCs w:val="20"/>
          <w:color w:val="auto"/>
        </w:rPr>
      </w:pPr>
      <w:r>
        <w:rPr>
          <w:rFonts w:ascii="Arial" w:cs="Arial" w:eastAsia="Arial" w:hAnsi="Arial"/>
          <w:sz w:val="12"/>
          <w:szCs w:val="12"/>
          <w:color w:val="auto"/>
        </w:rPr>
        <w:t>other accrediting commissions and state agencies with a notice and description of this offering before the consummation of the offering. We do not believe that any of them will require us to obtain their approval in connection with this offering, but we cannot be certain of that. If this offering were considered a change of control under the standards of any of these commissions or agencies, and we failed to obtain the approval of that commission or agency, we could lose accreditation, state licensure, or be subject to other limitations or penalties.</w:t>
      </w:r>
    </w:p>
    <w:p>
      <w:pPr>
        <w:spacing w:after="0" w:line="5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require licensure or authorization by the respective state education agencies. Because state regulatory requirements, including agency interpretations, can change frequently, and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 state other than Arizona could prohibit us from recruiting prospective students or offering services to current students in that state, which could significantly reduce our enrollments.</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We have a written related party transactions policy, pursuant to which our executive officers, directors and principal stockholders, including their immediate family members, are not permitted to enter into a related person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person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person transactions that have not been pre-approved, the audit committee will be notified and will determine the appropriate action, including ratification, rescission or amendment of the transaction.</w:t>
      </w:r>
    </w:p>
    <w:p>
      <w:pPr>
        <w:spacing w:after="0" w:line="76"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Set forth below is a summary of certain transactions since January 1, 2006, in which the Company was or is to be a participant and involving our directors, our executive officers, beneficial owners of more than 5% of our common stock, and some of the entities with which the foregoing persons are affiliated or associated, and in which the amount involved exceeds or will exceed $120,000.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 and Financing Transactions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Endeavour Capital and its affiliates (the “Endeavour Entities”), and certain other investors on August 24, 2005, we entered into an investor rights agreement. The investor rights agreement, as currently in effect, contains agreements among the parties with respect to registration rights. See “Description of Capital Stock — Registration Rights.” On December 18, 2007, we sold an aggregate of 3,829 shares of Series C preferred stock at a purchase price of $3,500.00 per share, or approximately $13.4 million in total gross proceeds, of which 1,675 shares were sold to the Endeavour Entities, and 834 shares were sold to an investment entity controlled by Brent D. Richardson, our Executive Chairman, and Christopher C. Richardson, our General Counsel and a director (which shares were paid for, in part, by the exchange of 865 outstanding shares of Series B preferred stock purchased in 2006). All outstanding shares of the Series C preferred stock were automatically converted into common stock in connection with our initial public offering.</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Department of Education, the Higher Learning Commission, and other accrediting commissions and states require institutions of higher education to report or obtain approval of certain changes in control and changes in other aspects of institutional organization or control. In connection with our initial public offering, certain of our stockholders entered into a proxy and voting agreement, pursuant to which such persons granted to Brent D. Richardson, our Executive Chairman, and Christopher C. Richardson, our General Counsel and a director, on behalf of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00" w:firstLine="399"/>
        <w:spacing w:after="0" w:line="256" w:lineRule="auto"/>
        <w:rPr>
          <w:sz w:val="20"/>
          <w:szCs w:val="20"/>
          <w:color w:val="auto"/>
        </w:rPr>
      </w:pPr>
      <w:r>
        <w:rPr>
          <w:rFonts w:ascii="Arial" w:cs="Arial" w:eastAsia="Arial" w:hAnsi="Arial"/>
          <w:sz w:val="13"/>
          <w:szCs w:val="13"/>
          <w:color w:val="auto"/>
        </w:rPr>
        <w:t>Under the terms of the voting agreement, if any person party to the voting agreement transfers shares covered by the proxy in open-market or other transactions, the proxy is no longer effective as to such shares. Accordingly, the number of shares over which the Richardson Voting Group will continue to hold voting power will decrease over time as shares held by other parties to the voting agreement are sold, which sales we may be not be aware of since many of the shares held by such other parties are held in “street name.” Based on information available to us, we believe that, as of July 31, 2009, the Richardson Voting Group had the power to exercise voting authority with respect to approximately 17.0 million shares of our common stock, or approximately 38% of our common stock. After giving effect to this offering, and based on the number of shares expected to be sold by us and the selling stockholders participating in this offering, we believe that the Richardson Voting Group will continue to have the power to exercise voting authority with respect to more than 25% of our common stock. See “Regulation” and “Beneficial Ownership of Common Stock.”</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We declared a special distribution that was paid promptly after the completion of our initial public offering in November 2008 to our stockholders who owned shares of record immediately prior to the consummation of our initial public offering. The aggregate amount of the special distribution was equal to 75% of the gross proceeds from the sale of common stock in our initial public offering, including 75% of the gross proceeds received by us from the underwriters’ exercise of their over-allotment option. The aggregate amount of the special distribution was $108.7 million, or approximately $3.27 per common share on an as if converted basis.</w:t>
      </w:r>
    </w:p>
    <w:p>
      <w:pPr>
        <w:spacing w:after="0" w:line="70"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The following table sets forth the amount of cash paid as a result of the special distribution in respect of outstanding shares of our capital stock as to which each of our executive officers and directors, as well as persons who were holders of 5% or more of our common stock at the time, was deemed to have sole or shared voting or investment power as of the date of the special distribution.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Shares Beneficially</w:t>
            </w:r>
          </w:p>
        </w:tc>
        <w:tc>
          <w:tcPr>
            <w:tcW w:w="1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vMerge w:val="restart"/>
          </w:tcPr>
          <w:p>
            <w:pPr>
              <w:jc w:val="center"/>
              <w:ind w:right="328"/>
              <w:spacing w:after="0"/>
              <w:rPr>
                <w:sz w:val="20"/>
                <w:szCs w:val="20"/>
                <w:color w:val="auto"/>
              </w:rPr>
            </w:pPr>
            <w:r>
              <w:rPr>
                <w:rFonts w:ascii="Arial" w:cs="Arial" w:eastAsia="Arial" w:hAnsi="Arial"/>
                <w:sz w:val="10"/>
                <w:szCs w:val="10"/>
                <w:b w:val="1"/>
                <w:bCs w:val="1"/>
                <w:color w:val="auto"/>
                <w:w w:val="96"/>
              </w:rPr>
              <w:t>Original Acquisition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Owned and</w:t>
            </w: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Distribution</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Outstanding as of</w:t>
            </w: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tcPr>
          <w:p>
            <w:pPr>
              <w:jc w:val="center"/>
              <w:ind w:right="328"/>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Amount for Shares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Name of Beneficial Owner</w:t>
            </w:r>
          </w:p>
        </w:tc>
        <w:tc>
          <w:tcPr>
            <w:tcW w:w="1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November 18,</w:t>
            </w: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7"/>
              </w:rPr>
              <w:t>Beneficially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tcPr>
          <w:p>
            <w:pPr>
              <w:jc w:val="center"/>
              <w:ind w:right="328"/>
              <w:spacing w:after="0"/>
              <w:rPr>
                <w:sz w:val="20"/>
                <w:szCs w:val="20"/>
                <w:color w:val="auto"/>
              </w:rPr>
            </w:pPr>
            <w:r>
              <w:rPr>
                <w:rFonts w:ascii="Arial" w:cs="Arial" w:eastAsia="Arial" w:hAnsi="Arial"/>
                <w:sz w:val="10"/>
                <w:szCs w:val="10"/>
                <w:b w:val="1"/>
                <w:bCs w:val="1"/>
                <w:color w:val="auto"/>
                <w:w w:val="93"/>
              </w:rPr>
              <w:t>Special Distribution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Beneficially</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2008</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0"/>
                <w:szCs w:val="10"/>
                <w:b w:val="1"/>
                <w:bCs w:val="1"/>
                <w:color w:val="auto"/>
                <w:w w:val="95"/>
              </w:rPr>
              <w:t>Related</w:t>
            </w:r>
            <w:r>
              <w:rPr>
                <w:rFonts w:ascii="Arial" w:cs="Arial" w:eastAsia="Arial" w:hAnsi="Arial"/>
                <w:sz w:val="8"/>
                <w:szCs w:val="8"/>
                <w:b w:val="1"/>
                <w:bCs w:val="1"/>
                <w:color w:val="auto"/>
                <w:w w:val="95"/>
              </w:rPr>
              <w:t>(2)</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ind w:left="900"/>
              <w:spacing w:after="0"/>
              <w:rPr>
                <w:sz w:val="20"/>
                <w:szCs w:val="20"/>
                <w:color w:val="auto"/>
              </w:rPr>
            </w:pPr>
            <w:r>
              <w:rPr>
                <w:rFonts w:ascii="Arial" w:cs="Arial" w:eastAsia="Arial" w:hAnsi="Arial"/>
                <w:sz w:val="10"/>
                <w:szCs w:val="10"/>
                <w:b w:val="1"/>
                <w:bCs w:val="1"/>
                <w:color w:val="auto"/>
              </w:rPr>
              <w:t>(Dollars in</w:t>
            </w: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Endeavour Capital Fund IV and affiliates</w:t>
            </w:r>
            <w:r>
              <w:rPr>
                <w:rFonts w:ascii="Arial" w:cs="Arial" w:eastAsia="Arial" w:hAnsi="Arial"/>
                <w:sz w:val="11"/>
                <w:szCs w:val="11"/>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9,035,048</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29,547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977,090</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5,863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10,012,138</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21,863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32,742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4,756,328</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3,042</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1,835,130</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3,250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6,001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545,218</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3,271</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7,136,676</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9,563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23,338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(5)</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3,347,452</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1,443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155,719</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934</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3,503,171</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2,377</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Significant Ventures, LLC</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2,767,321</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36</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9,050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203,823</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1,223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2,971,144</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1,259</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9,717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9,035,048</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29,547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977,090</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5,863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10,012,138</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21,863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32,742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9,035,048</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977,090</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5,863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10,012,138</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21,863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1497"/>
              <w:spacing w:after="0"/>
              <w:rPr>
                <w:sz w:val="20"/>
                <w:szCs w:val="20"/>
                <w:color w:val="auto"/>
              </w:rPr>
            </w:pPr>
            <w:r>
              <w:rPr>
                <w:rFonts w:ascii="Arial" w:cs="Arial" w:eastAsia="Arial" w:hAnsi="Arial"/>
                <w:sz w:val="13"/>
                <w:szCs w:val="13"/>
                <w:color w:val="auto"/>
                <w:w w:val="82"/>
              </w:rPr>
              <w:t>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-2673985</wp:posOffset>
            </wp:positionV>
            <wp:extent cx="2476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Shares Beneficially</w:t>
            </w:r>
          </w:p>
        </w:tc>
        <w:tc>
          <w:tcPr>
            <w:tcW w:w="1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vMerge w:val="restart"/>
          </w:tcPr>
          <w:p>
            <w:pPr>
              <w:jc w:val="center"/>
              <w:ind w:right="328"/>
              <w:spacing w:after="0"/>
              <w:rPr>
                <w:sz w:val="20"/>
                <w:szCs w:val="20"/>
                <w:color w:val="auto"/>
              </w:rPr>
            </w:pPr>
            <w:r>
              <w:rPr>
                <w:rFonts w:ascii="Arial" w:cs="Arial" w:eastAsia="Arial" w:hAnsi="Arial"/>
                <w:sz w:val="10"/>
                <w:szCs w:val="10"/>
                <w:b w:val="1"/>
                <w:bCs w:val="1"/>
                <w:color w:val="auto"/>
                <w:w w:val="96"/>
              </w:rPr>
              <w:t>Original Acquisition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Owned and</w:t>
            </w: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Distribution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Outstanding as of</w:t>
            </w: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tcPr>
          <w:p>
            <w:pPr>
              <w:jc w:val="center"/>
              <w:ind w:right="328"/>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Amount for Shares</w:t>
            </w:r>
          </w:p>
        </w:tc>
        <w:tc>
          <w:tcPr>
            <w:tcW w:w="0" w:type="dxa"/>
            <w:vAlign w:val="bottom"/>
          </w:tcPr>
          <w:p>
            <w:pPr>
              <w:spacing w:after="0"/>
              <w:rPr>
                <w:sz w:val="1"/>
                <w:szCs w:val="1"/>
                <w:color w:val="auto"/>
              </w:rPr>
            </w:pPr>
          </w:p>
        </w:tc>
      </w:tr>
      <w:tr>
        <w:trPr>
          <w:trHeight w:val="118"/>
        </w:trPr>
        <w:tc>
          <w:tcPr>
            <w:tcW w:w="3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Beneficial Owner</w:t>
            </w:r>
          </w:p>
        </w:tc>
        <w:tc>
          <w:tcPr>
            <w:tcW w:w="1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November 18,</w:t>
            </w: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7"/>
              </w:rPr>
              <w:t>Beneficially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tcPr>
          <w:p>
            <w:pPr>
              <w:jc w:val="center"/>
              <w:ind w:right="328"/>
              <w:spacing w:after="0"/>
              <w:rPr>
                <w:sz w:val="20"/>
                <w:szCs w:val="20"/>
                <w:color w:val="auto"/>
              </w:rPr>
            </w:pPr>
            <w:r>
              <w:rPr>
                <w:rFonts w:ascii="Arial" w:cs="Arial" w:eastAsia="Arial" w:hAnsi="Arial"/>
                <w:sz w:val="10"/>
                <w:szCs w:val="10"/>
                <w:b w:val="1"/>
                <w:bCs w:val="1"/>
                <w:color w:val="auto"/>
                <w:w w:val="93"/>
              </w:rPr>
              <w:t>Special Distribution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Beneficially</w:t>
            </w:r>
          </w:p>
        </w:tc>
        <w:tc>
          <w:tcPr>
            <w:tcW w:w="0" w:type="dxa"/>
            <w:vAlign w:val="bottom"/>
          </w:tcPr>
          <w:p>
            <w:pPr>
              <w:spacing w:after="0"/>
              <w:rPr>
                <w:sz w:val="1"/>
                <w:szCs w:val="1"/>
                <w:color w:val="auto"/>
              </w:rPr>
            </w:pPr>
          </w:p>
        </w:tc>
      </w:tr>
      <w:tr>
        <w:trPr>
          <w:trHeight w:val="125"/>
        </w:trPr>
        <w:tc>
          <w:tcPr>
            <w:tcW w:w="3400" w:type="dxa"/>
            <w:vAlign w:val="bottom"/>
            <w:gridSpan w:val="2"/>
            <w:vMerge w:val="continue"/>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2008</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18"/>
              <w:spacing w:after="0"/>
              <w:rPr>
                <w:sz w:val="20"/>
                <w:szCs w:val="20"/>
                <w:color w:val="auto"/>
              </w:rPr>
            </w:pPr>
            <w:r>
              <w:rPr>
                <w:rFonts w:ascii="Arial" w:cs="Arial" w:eastAsia="Arial" w:hAnsi="Arial"/>
                <w:sz w:val="10"/>
                <w:szCs w:val="10"/>
                <w:b w:val="1"/>
                <w:bCs w:val="1"/>
                <w:color w:val="auto"/>
                <w:w w:val="95"/>
              </w:rPr>
              <w:t>Related</w:t>
            </w:r>
            <w:r>
              <w:rPr>
                <w:rFonts w:ascii="Arial" w:cs="Arial" w:eastAsia="Arial" w:hAnsi="Arial"/>
                <w:sz w:val="8"/>
                <w:szCs w:val="8"/>
                <w:b w:val="1"/>
                <w:bCs w:val="1"/>
                <w:color w:val="auto"/>
                <w:w w:val="95"/>
              </w:rPr>
              <w:t>(2)</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ind w:left="900"/>
              <w:spacing w:after="0"/>
              <w:rPr>
                <w:sz w:val="20"/>
                <w:szCs w:val="20"/>
                <w:color w:val="auto"/>
              </w:rPr>
            </w:pPr>
            <w:r>
              <w:rPr>
                <w:rFonts w:ascii="Arial" w:cs="Arial" w:eastAsia="Arial" w:hAnsi="Arial"/>
                <w:sz w:val="10"/>
                <w:szCs w:val="10"/>
                <w:b w:val="1"/>
                <w:bCs w:val="1"/>
                <w:color w:val="auto"/>
              </w:rPr>
              <w:t>(Dollars in</w:t>
            </w: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00" w:type="dxa"/>
            <w:vAlign w:val="bottom"/>
            <w:gridSpan w:val="2"/>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(5)</w:t>
            </w:r>
          </w:p>
        </w:tc>
        <w:tc>
          <w:tcPr>
            <w:tcW w:w="1320" w:type="dxa"/>
            <w:vAlign w:val="bottom"/>
          </w:tcPr>
          <w:p>
            <w:pPr>
              <w:jc w:val="right"/>
              <w:spacing w:after="0"/>
              <w:rPr>
                <w:sz w:val="20"/>
                <w:szCs w:val="20"/>
                <w:color w:val="auto"/>
              </w:rPr>
            </w:pPr>
            <w:r>
              <w:rPr>
                <w:rFonts w:ascii="Arial" w:cs="Arial" w:eastAsia="Arial" w:hAnsi="Arial"/>
                <w:sz w:val="13"/>
                <w:szCs w:val="13"/>
                <w:color w:val="auto"/>
              </w:rPr>
              <w:t>3,347,452</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1,443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10,947</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155,719</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934</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3,503,171</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2,377</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11,456</w:t>
            </w:r>
          </w:p>
        </w:tc>
        <w:tc>
          <w:tcPr>
            <w:tcW w:w="0" w:type="dxa"/>
            <w:vAlign w:val="bottom"/>
          </w:tcPr>
          <w:p>
            <w:pPr>
              <w:spacing w:after="0"/>
              <w:rPr>
                <w:sz w:val="1"/>
                <w:szCs w:val="1"/>
                <w:color w:val="auto"/>
              </w:rPr>
            </w:pPr>
          </w:p>
        </w:tc>
      </w:tr>
      <w:tr>
        <w:trPr>
          <w:trHeight w:val="158"/>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382,435</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164</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19,465</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117</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401,900</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281</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157"/>
        </w:trPr>
        <w:tc>
          <w:tcPr>
            <w:tcW w:w="3400" w:type="dxa"/>
            <w:vAlign w:val="bottom"/>
            <w:gridSpan w:val="2"/>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w:t>
            </w:r>
          </w:p>
        </w:tc>
        <w:tc>
          <w:tcPr>
            <w:tcW w:w="1320" w:type="dxa"/>
            <w:vAlign w:val="bottom"/>
          </w:tcPr>
          <w:p>
            <w:pPr>
              <w:jc w:val="right"/>
              <w:spacing w:after="0"/>
              <w:rPr>
                <w:sz w:val="20"/>
                <w:szCs w:val="20"/>
                <w:color w:val="auto"/>
              </w:rPr>
            </w:pPr>
            <w:r>
              <w:rPr>
                <w:rFonts w:ascii="Arial" w:cs="Arial" w:eastAsia="Arial" w:hAnsi="Arial"/>
                <w:sz w:val="13"/>
                <w:szCs w:val="13"/>
                <w:color w:val="auto"/>
              </w:rPr>
              <w:t>3,348,317</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1,443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10,950</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155,719</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934</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3,504,036</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2,377</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11,459</w:t>
            </w:r>
          </w:p>
        </w:tc>
        <w:tc>
          <w:tcPr>
            <w:tcW w:w="0" w:type="dxa"/>
            <w:vAlign w:val="bottom"/>
          </w:tcPr>
          <w:p>
            <w:pPr>
              <w:spacing w:after="0"/>
              <w:rPr>
                <w:sz w:val="1"/>
                <w:szCs w:val="1"/>
                <w:color w:val="auto"/>
              </w:rPr>
            </w:pPr>
          </w:p>
        </w:tc>
      </w:tr>
      <w:tr>
        <w:trPr>
          <w:trHeight w:val="158"/>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7,078,204</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3,050</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23,148</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9,035,048</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29,547</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1,307,993</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7,848</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17,421,245</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26,898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56,972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-1640840</wp:posOffset>
            </wp:positionV>
            <wp:extent cx="2476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000" w:hanging="259"/>
        <w:spacing w:after="0" w:line="257"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 the purpose of calculating shares beneficially owned and outstanding as of November 18, 2008, which was the date immediately prior to our initial public offering and the record date for purposes of determining the stockholders entitled to receive the special distribution, the number of shares of common stock deemed outstanding included all shares of common stock issuable upon the conversion of all outstanding shares of our Series A and Series C preferred stock. Beneficial ownership is determined in accordance with the rules of the SEC that generally attribute beneficial ownership of securities to persons that possess sole or shared voting power and/or investment power with respect to those securities. The persons identified in this table have sole voting and investment power with respect to all shares shown as beneficially owned by them, except as set forth in the footnotes to the table included in “Beneficial Ownership of Common Stock.”</w:t>
      </w:r>
    </w:p>
    <w:p>
      <w:pPr>
        <w:spacing w:after="0" w:line="22"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Arial" w:cs="Arial" w:eastAsia="Arial" w:hAnsi="Arial"/>
          <w:sz w:val="13"/>
          <w:szCs w:val="13"/>
          <w:color w:val="auto"/>
        </w:rPr>
      </w:pPr>
    </w:p>
    <w:p>
      <w:pPr>
        <w:ind w:left="1000" w:right="280" w:hanging="259"/>
        <w:spacing w:after="0" w:line="276"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0" w:lineRule="exact"/>
        <w:rPr>
          <w:rFonts w:ascii="Arial" w:cs="Arial" w:eastAsia="Arial" w:hAnsi="Arial"/>
          <w:sz w:val="13"/>
          <w:szCs w:val="13"/>
          <w:color w:val="auto"/>
        </w:rPr>
      </w:pPr>
    </w:p>
    <w:p>
      <w:pPr>
        <w:ind w:left="1000" w:right="80" w:hanging="259"/>
        <w:spacing w:after="0" w:line="276"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shares previously held of record by 220 GCU, L.P., 220 Education, L.P., 220-SigEd, L.P., and SV One, L.P., which, prior to our initial public offering, were collectively the beneficial owners of more than 5% of our common stock.</w:t>
      </w:r>
    </w:p>
    <w:p>
      <w:pPr>
        <w:spacing w:after="0" w:line="10" w:lineRule="exact"/>
        <w:rPr>
          <w:rFonts w:ascii="Arial" w:cs="Arial" w:eastAsia="Arial" w:hAnsi="Arial"/>
          <w:sz w:val="13"/>
          <w:szCs w:val="13"/>
          <w:color w:val="auto"/>
        </w:rPr>
      </w:pPr>
    </w:p>
    <w:p>
      <w:pPr>
        <w:ind w:left="1000" w:right="180" w:hanging="259"/>
        <w:spacing w:after="0" w:line="307" w:lineRule="auto"/>
        <w:tabs>
          <w:tab w:leader="none" w:pos="10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shares previously held of record by Rich Crow Enterprises, LLC, and Masters Online, LLC, of which Brent D. Richardson, Christopher C. Richardson, and Staci L. Buse were members and, in each case, which were attributable to, and beneficially owned by, Brent D. Richardson, Christopher C. Richardson, or Staci L. Buse, as applicable.</w:t>
      </w:r>
    </w:p>
    <w:p>
      <w:pPr>
        <w:ind w:left="1000" w:right="140" w:hanging="259"/>
        <w:spacing w:after="0" w:line="276"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shares previously held of record by Rich Crow Enterprises, LLC, of which John E. Crowley, our former chief operating officer, was a member, which were attributable to, and beneficially owned by, John E. Crowley. Mr. Crowley resigned his position as chief operating officer on February 17,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D. Richardson, our Executive Chairman, and Christopher C. Richardson, our General Counsel and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For the years ended December 31, 2006, 2007, and 2008, and for the six months ended June 30, 2009, we expensed $3.7 million, $4.3 million, $5.9 million, and $1.8 million, respectively, to Mind Streams pursuant to this arrangement for students enrolled and expenses reimbursed.</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D. Richardson, our Executive Chairman, is a significant stockholder and chief executive officer. For the years ended December 31, 2007 and 2008, and for the six months ended June 30, 2009, we paid Vergo Marketing, Inc. $0.5 million, $0.4 million, and $0.2 million, respectively, for such services.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connection with the investment by the Endeavour Entities, among others, on August 24, 2005,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For the years ended December 31, 2006, 2007, and 2008, we paid fees to Endeavour Capital IV, LLC in the amount of $0.3 million, $0.3 million, and $0.4 million, respectively, which amounts, in each year, constituted less than 5% of Endeavour Capital IV, LLC’s consolidated gross revenues for such year. The professional services agreement terminated by its terms upon the closing of our initial public offering.</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Center for Educational Excellence, LLC was created to explore opportunities to promote and enhance the academic experience we offer. John Crowley, our former Chief Operating Officer, is a member of The Center for Educational Excellence, LLC. For the year ended December 31, 2007, we paid approximately $0.6 million of expenses incurred by The Center for Educational Excellence, LLC, of which $0.3 million was reimbursed to us, and $0.3 million was owed to us and included in due from related parties as of December 31, 2007. No amounts were paid by us to The Center for Educational Excellence, LLC in 2008 or in the six months ended June 30, 2009. The Center for Educational Excellence, LLC was dissolved on April 29, 2009.</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January 8, 2004, we entered into consulting agreements with Significant Ventures, Inc., predecessor to Significant Ventures, LLC, which is one of our significant stockholders, and with 220 Partners, LLC, which is affiliated with Charles M. Preston III, one of our former directors. For the year ended December 31, 2006, we paid $0.4 million and $0.3 million to Significant Ventures and 220 Partners, respectively, for services rendered and expenses reimbursed pursuant to these agreements. These consulting agreements terminated by their terms on December 31, 2006.</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the beneficial ownership of our common stock as of June 30, 2009 for:</w:t>
      </w:r>
    </w:p>
    <w:p>
      <w:pPr>
        <w:spacing w:after="0" w:line="96" w:lineRule="exact"/>
        <w:rPr>
          <w:sz w:val="20"/>
          <w:szCs w:val="20"/>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of our directors and named executive officers as a group.</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information in the following table and related footnotes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calculations of beneficial ownership in this table are based on 44,576,417 shares outstanding at June 30, 2009 and assumes the termination of the voting agreement described above under “Certain Relationships and Related Transactions — Voting Agreement” in connection with this offering.</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Common Stock</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700" w:type="dxa"/>
            <w:vAlign w:val="bottom"/>
          </w:tcPr>
          <w:p>
            <w:pPr>
              <w:spacing w:after="0"/>
              <w:rPr>
                <w:sz w:val="7"/>
                <w:szCs w:val="7"/>
                <w:color w:val="auto"/>
              </w:rPr>
            </w:pPr>
          </w:p>
        </w:tc>
        <w:tc>
          <w:tcPr>
            <w:tcW w:w="1980" w:type="dxa"/>
            <w:vAlign w:val="bottom"/>
            <w:gridSpan w:val="2"/>
          </w:tcPr>
          <w:p>
            <w:pPr>
              <w:jc w:val="right"/>
              <w:ind w:right="680"/>
              <w:spacing w:after="0" w:line="81" w:lineRule="exact"/>
              <w:rPr>
                <w:sz w:val="20"/>
                <w:szCs w:val="20"/>
                <w:color w:val="auto"/>
              </w:rPr>
            </w:pPr>
            <w:r>
              <w:rPr>
                <w:rFonts w:ascii="Arial" w:cs="Arial" w:eastAsia="Arial" w:hAnsi="Arial"/>
                <w:sz w:val="9"/>
                <w:szCs w:val="9"/>
                <w:b w:val="1"/>
                <w:bCs w:val="1"/>
                <w:color w:val="auto"/>
              </w:rPr>
              <w:t>Amount and Nature of</w:t>
            </w: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Percent of Class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9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Beneficial Ownership</w:t>
            </w: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Principal Stockholders:</w:t>
            </w:r>
          </w:p>
        </w:tc>
        <w:tc>
          <w:tcPr>
            <w:tcW w:w="1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(2)</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10,012,138</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Luke M. Buse and Staci Lin Buse Revocable Trust</w:t>
            </w:r>
            <w:r>
              <w:rPr>
                <w:rFonts w:ascii="Arial" w:cs="Arial" w:eastAsia="Arial" w:hAnsi="Arial"/>
                <w:sz w:val="11"/>
                <w:szCs w:val="11"/>
                <w:color w:val="auto"/>
              </w:rPr>
              <w:t>(3)(8)</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3,503,171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(4)(8)</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3,503,171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Brian E. Mueller</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109,329</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(5)(8)</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3,504,036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Daniel E. Bachus</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10,000</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Dr. W. Stan Meyer</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Michael S. Lacrosse</w:t>
            </w:r>
            <w:r>
              <w:rPr>
                <w:rFonts w:ascii="Arial" w:cs="Arial" w:eastAsia="Arial" w:hAnsi="Arial"/>
                <w:sz w:val="11"/>
                <w:szCs w:val="11"/>
                <w:color w:val="auto"/>
              </w:rPr>
              <w:t>(6)</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30,603</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r>
              <w:rPr>
                <w:rFonts w:ascii="Arial" w:cs="Arial" w:eastAsia="Arial" w:hAnsi="Arial"/>
                <w:sz w:val="11"/>
                <w:szCs w:val="11"/>
                <w:color w:val="auto"/>
              </w:rPr>
              <w:t>(6)</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30,463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(7)</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10,012,138</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(7)</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10,012,138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David J. Johnson</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11,298</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3"/>
                <w:szCs w:val="13"/>
                <w:b w:val="1"/>
                <w:bCs w:val="1"/>
                <w:color w:val="auto"/>
              </w:rPr>
              <w:t>All directors and executive officers as a group (11 persons)</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17,220,286</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55245</wp:posOffset>
            </wp:positionV>
            <wp:extent cx="8235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7"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4"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20"/>
        <w:spacing w:after="0" w:line="276" w:lineRule="auto"/>
        <w:rPr>
          <w:sz w:val="20"/>
          <w:szCs w:val="20"/>
          <w:color w:val="auto"/>
        </w:rPr>
      </w:pPr>
      <w:r>
        <w:rPr>
          <w:rFonts w:ascii="Arial" w:cs="Arial" w:eastAsia="Arial" w:hAnsi="Arial"/>
          <w:sz w:val="13"/>
          <w:szCs w:val="13"/>
          <w:color w:val="auto"/>
        </w:rPr>
        <w:t>the right to acquire voting or investment power within 60 days after such date. Consequently, the denominator for calculating beneficial ownership percentages may be different for each beneficial owner.</w:t>
      </w:r>
    </w:p>
    <w:p>
      <w:pPr>
        <w:spacing w:after="0" w:line="10" w:lineRule="exact"/>
        <w:rPr>
          <w:sz w:val="20"/>
          <w:szCs w:val="20"/>
          <w:color w:val="auto"/>
        </w:rPr>
      </w:pPr>
    </w:p>
    <w:p>
      <w:pPr>
        <w:ind w:left="1000" w:hanging="259"/>
        <w:spacing w:after="0"/>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Endeavour Capital IV, LLC is the general partner of the Endeavour Entities, and has voting and dispositive power with respect to the shares held by the Endeavour Entities.</w:t>
      </w:r>
    </w:p>
    <w:p>
      <w:pPr>
        <w:spacing w:after="0" w:line="26" w:lineRule="exact"/>
        <w:rPr>
          <w:rFonts w:ascii="Arial" w:cs="Arial" w:eastAsia="Arial" w:hAnsi="Arial"/>
          <w:sz w:val="12"/>
          <w:szCs w:val="12"/>
          <w:color w:val="auto"/>
        </w:rPr>
      </w:pPr>
    </w:p>
    <w:p>
      <w:pPr>
        <w:ind w:left="1000" w:right="40"/>
        <w:spacing w:after="0" w:line="301" w:lineRule="auto"/>
        <w:rPr>
          <w:rFonts w:ascii="Arial" w:cs="Arial" w:eastAsia="Arial" w:hAnsi="Arial"/>
          <w:sz w:val="12"/>
          <w:szCs w:val="12"/>
          <w:color w:val="auto"/>
        </w:rPr>
      </w:pPr>
      <w:r>
        <w:rPr>
          <w:rFonts w:ascii="Arial" w:cs="Arial" w:eastAsia="Arial" w:hAnsi="Arial"/>
          <w:sz w:val="12"/>
          <w:szCs w:val="12"/>
          <w:color w:val="auto"/>
        </w:rPr>
        <w:t>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w:t>
      </w:r>
    </w:p>
    <w:p>
      <w:pPr>
        <w:ind w:left="1000" w:right="240" w:hanging="259"/>
        <w:spacing w:after="0" w:line="305" w:lineRule="auto"/>
        <w:tabs>
          <w:tab w:leader="none" w:pos="10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Luke M. Buse and Staci Lin Buse, as co-trustees, share voting and dispositive power with respect to the shares owned by of the Luke M. Buse and Staci Lin Buse Revocable Trust. Staci Lin Buse is the sister of Brent D. Richardson, our Executive Chairman, and Christopher C. Richardson, our General Counsel and director. The address for this trust is</w:t>
      </w:r>
    </w:p>
    <w:p>
      <w:pPr>
        <w:ind w:left="1000"/>
        <w:spacing w:after="0"/>
        <w:rPr>
          <w:rFonts w:ascii="Arial" w:cs="Arial" w:eastAsia="Arial" w:hAnsi="Arial"/>
          <w:sz w:val="11"/>
          <w:szCs w:val="11"/>
          <w:color w:val="auto"/>
        </w:rPr>
      </w:pPr>
      <w:r>
        <w:rPr>
          <w:rFonts w:ascii="Arial" w:cs="Arial" w:eastAsia="Arial" w:hAnsi="Arial"/>
          <w:sz w:val="13"/>
          <w:szCs w:val="13"/>
          <w:color w:val="auto"/>
        </w:rPr>
        <w:t>6236 E. Montecito Avenue, Scottsdale, Arizona 85251.</w:t>
      </w:r>
    </w:p>
    <w:p>
      <w:pPr>
        <w:spacing w:after="0" w:line="39" w:lineRule="exact"/>
        <w:rPr>
          <w:rFonts w:ascii="Arial" w:cs="Arial" w:eastAsia="Arial" w:hAnsi="Arial"/>
          <w:sz w:val="11"/>
          <w:szCs w:val="11"/>
          <w:color w:val="auto"/>
        </w:rPr>
      </w:pPr>
    </w:p>
    <w:p>
      <w:pPr>
        <w:ind w:left="1000" w:right="8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shares held of record by Exeter Capital, LLC, a limited liability company of which Brent D. Richardson, our Executive Chairman and a member of our Board of Directors, is the manager. Mr. Richardson has sole voting and dispositive power with respect to the shares held by Exeter Capital, LLC.</w:t>
      </w:r>
    </w:p>
    <w:p>
      <w:pPr>
        <w:spacing w:after="0" w:line="10" w:lineRule="exact"/>
        <w:rPr>
          <w:rFonts w:ascii="Arial" w:cs="Arial" w:eastAsia="Arial" w:hAnsi="Arial"/>
          <w:sz w:val="13"/>
          <w:szCs w:val="13"/>
          <w:color w:val="auto"/>
        </w:rPr>
      </w:pPr>
    </w:p>
    <w:p>
      <w:pPr>
        <w:ind w:left="1000" w:right="380" w:hanging="259"/>
        <w:spacing w:after="0" w:line="335" w:lineRule="auto"/>
        <w:tabs>
          <w:tab w:leader="none" w:pos="10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Represents shares held by Calle Camilia Investments, LLC, a limited liability company of which Christopher C. Richardson, our General Counsel and a member of our Board of Directors, is a manager. Mr. Richardson shares voting and dispositive power with respect to the shares held by Calle Camilia Investments, LLC with his wife and a family trust.</w:t>
      </w:r>
    </w:p>
    <w:p>
      <w:pPr>
        <w:ind w:left="1000" w:hanging="259"/>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29,463 shares of common stock issuable upon exercise of vested stock options.</w:t>
      </w:r>
    </w:p>
    <w:p>
      <w:pPr>
        <w:spacing w:after="0" w:line="47" w:lineRule="exact"/>
        <w:rPr>
          <w:rFonts w:ascii="Arial" w:cs="Arial" w:eastAsia="Arial" w:hAnsi="Arial"/>
          <w:sz w:val="13"/>
          <w:szCs w:val="13"/>
          <w:color w:val="auto"/>
        </w:rPr>
      </w:pPr>
    </w:p>
    <w:p>
      <w:pPr>
        <w:ind w:left="1000" w:right="200" w:hanging="259"/>
        <w:spacing w:after="0" w:line="264"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10,012,138 shares of common stock held of record by the Endeavour Entities (see note (2) above). Messrs. Chad N. Heath and D. Mark Dorman, each of whom is a managing member of Endeavour Capital IV, LLC, the general partner of the Endeavour Entities, and serves on our Board of Directors, disclaim beneficial ownership of these shares except to the extent of their respective pecuniary interests.</w:t>
      </w:r>
    </w:p>
    <w:p>
      <w:pPr>
        <w:spacing w:after="0" w:line="17" w:lineRule="exact"/>
        <w:rPr>
          <w:rFonts w:ascii="Arial" w:cs="Arial" w:eastAsia="Arial" w:hAnsi="Arial"/>
          <w:sz w:val="13"/>
          <w:szCs w:val="13"/>
          <w:color w:val="auto"/>
        </w:rPr>
      </w:pPr>
    </w:p>
    <w:p>
      <w:pPr>
        <w:ind w:left="1000" w:right="40" w:hanging="259"/>
        <w:spacing w:after="0" w:line="260"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connection with our initial public offering, certain of our stockholders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20" w:lineRule="exact"/>
        <w:rPr>
          <w:rFonts w:ascii="Arial" w:cs="Arial" w:eastAsia="Arial" w:hAnsi="Arial"/>
          <w:sz w:val="13"/>
          <w:szCs w:val="13"/>
          <w:color w:val="auto"/>
        </w:rPr>
      </w:pPr>
    </w:p>
    <w:p>
      <w:pPr>
        <w:ind w:left="1000"/>
        <w:spacing w:after="0" w:line="281" w:lineRule="auto"/>
        <w:rPr>
          <w:rFonts w:ascii="Arial" w:cs="Arial" w:eastAsia="Arial" w:hAnsi="Arial"/>
          <w:sz w:val="13"/>
          <w:szCs w:val="13"/>
          <w:color w:val="auto"/>
        </w:rPr>
      </w:pPr>
      <w:r>
        <w:rPr>
          <w:rFonts w:ascii="Arial" w:cs="Arial" w:eastAsia="Arial" w:hAnsi="Arial"/>
          <w:sz w:val="12"/>
          <w:szCs w:val="12"/>
          <w:color w:val="auto"/>
        </w:rPr>
        <w:t>Under the terms of the voting agreement, if any person party to the voting agreement transfers shares covered by the proxy in open-market or other transactions, the proxy is no longer effective as to such shares. Accordingly, the number of shares as to which the Richardson Voting Group has the shared power to vote or direct the vote will decrease over time as shares held by other parties to the voting agreement are sold, which sales we may not be aware of since many of the shares held by such other parties are held in “street name.” Based on information available to us, we believe that, as of July 31, 2009, the Richardson Voting Group had the power to exercise voting authority with respect to approximately 17.0 million shares of our common stock, or approximately 38% of our common stock. After giving effect to this offering, and based on the number of shares expected to be sold by us and the selling stockholders participating in this offering, we believe that the Richardson Voting Group will continue to have the power to exercise voting authority with respect to more than 25% of our common stock. See “Certain Relationships and Related Transactions — Voting Agreement.”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SELLING STOCKHOLDERS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following table sets forth information with respect to the number of shares of common stock beneficially owned by the selling stockholders named below and as adjusted to give effect to the sale of the shares offered hereby. The following table is prepared based on information supplied to us by the selling stockholders. 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Over-</w:t>
            </w: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3"/>
          </w:tcPr>
          <w:p>
            <w:pPr>
              <w:jc w:val="center"/>
              <w:spacing w:after="0" w:line="98" w:lineRule="exact"/>
              <w:rPr>
                <w:sz w:val="20"/>
                <w:szCs w:val="20"/>
                <w:color w:val="auto"/>
              </w:rPr>
            </w:pPr>
            <w:r>
              <w:rPr>
                <w:rFonts w:ascii="Arial" w:cs="Arial" w:eastAsia="Arial" w:hAnsi="Arial"/>
                <w:sz w:val="9"/>
                <w:szCs w:val="9"/>
                <w:b w:val="1"/>
                <w:bCs w:val="1"/>
                <w:color w:val="auto"/>
                <w:w w:val="92"/>
              </w:rPr>
              <w:t>Shares Beneficially</w:t>
            </w:r>
          </w:p>
        </w:tc>
        <w:tc>
          <w:tcPr>
            <w:tcW w:w="180" w:type="dxa"/>
            <w:vAlign w:val="bottom"/>
          </w:tcPr>
          <w:p>
            <w:pPr>
              <w:spacing w:after="0"/>
              <w:rPr>
                <w:sz w:val="8"/>
                <w:szCs w:val="8"/>
                <w:color w:val="auto"/>
              </w:rPr>
            </w:pPr>
          </w:p>
        </w:tc>
        <w:tc>
          <w:tcPr>
            <w:tcW w:w="7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4"/>
              </w:rPr>
              <w:t>allotment</w:t>
            </w: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340" w:type="dxa"/>
            <w:vAlign w:val="bottom"/>
            <w:gridSpan w:val="3"/>
          </w:tcPr>
          <w:p>
            <w:pPr>
              <w:jc w:val="center"/>
              <w:ind w:left="187"/>
              <w:spacing w:after="0" w:line="98" w:lineRule="exact"/>
              <w:rPr>
                <w:sz w:val="20"/>
                <w:szCs w:val="20"/>
                <w:color w:val="auto"/>
              </w:rPr>
            </w:pPr>
            <w:r>
              <w:rPr>
                <w:rFonts w:ascii="Arial" w:cs="Arial" w:eastAsia="Arial" w:hAnsi="Arial"/>
                <w:sz w:val="9"/>
                <w:szCs w:val="9"/>
                <w:b w:val="1"/>
                <w:bCs w:val="1"/>
                <w:color w:val="auto"/>
                <w:w w:val="92"/>
              </w:rPr>
              <w:t>Shares Beneficially Owned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6"/>
              </w:rPr>
              <w:t>Shares</w:t>
            </w:r>
          </w:p>
        </w:tc>
        <w:tc>
          <w:tcPr>
            <w:tcW w:w="1000" w:type="dxa"/>
            <w:vAlign w:val="bottom"/>
            <w:gridSpan w:val="3"/>
          </w:tcPr>
          <w:p>
            <w:pPr>
              <w:jc w:val="center"/>
              <w:spacing w:after="0" w:line="98" w:lineRule="exact"/>
              <w:rPr>
                <w:sz w:val="20"/>
                <w:szCs w:val="20"/>
                <w:color w:val="auto"/>
              </w:rPr>
            </w:pPr>
            <w:r>
              <w:rPr>
                <w:rFonts w:ascii="Arial" w:cs="Arial" w:eastAsia="Arial" w:hAnsi="Arial"/>
                <w:sz w:val="9"/>
                <w:szCs w:val="9"/>
                <w:b w:val="1"/>
                <w:bCs w:val="1"/>
                <w:color w:val="auto"/>
                <w:w w:val="94"/>
              </w:rPr>
              <w:t>Owned After to the</w:t>
            </w:r>
          </w:p>
        </w:tc>
        <w:tc>
          <w:tcPr>
            <w:tcW w:w="180" w:type="dxa"/>
            <w:vAlign w:val="bottom"/>
          </w:tcPr>
          <w:p>
            <w:pPr>
              <w:spacing w:after="0"/>
              <w:rPr>
                <w:sz w:val="8"/>
                <w:szCs w:val="8"/>
                <w:color w:val="auto"/>
              </w:rPr>
            </w:pPr>
          </w:p>
        </w:tc>
        <w:tc>
          <w:tcPr>
            <w:tcW w:w="7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6"/>
              </w:rPr>
              <w:t>Shares</w:t>
            </w: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1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340" w:type="dxa"/>
            <w:vAlign w:val="bottom"/>
            <w:gridSpan w:val="3"/>
          </w:tcPr>
          <w:p>
            <w:pPr>
              <w:jc w:val="center"/>
              <w:ind w:left="187"/>
              <w:spacing w:after="0"/>
              <w:rPr>
                <w:sz w:val="20"/>
                <w:szCs w:val="20"/>
                <w:color w:val="auto"/>
              </w:rPr>
            </w:pPr>
            <w:r>
              <w:rPr>
                <w:rFonts w:ascii="Arial" w:cs="Arial" w:eastAsia="Arial" w:hAnsi="Arial"/>
                <w:sz w:val="9"/>
                <w:szCs w:val="9"/>
                <w:b w:val="1"/>
                <w:bCs w:val="1"/>
                <w:color w:val="auto"/>
                <w:w w:val="95"/>
              </w:rPr>
              <w:t>Prior to the Offering</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7"/>
              </w:rPr>
              <w:t>Being</w:t>
            </w:r>
          </w:p>
        </w:tc>
        <w:tc>
          <w:tcPr>
            <w:tcW w:w="300" w:type="dxa"/>
            <w:vAlign w:val="bottom"/>
          </w:tcPr>
          <w:p>
            <w:pPr>
              <w:spacing w:after="0"/>
              <w:rPr>
                <w:sz w:val="9"/>
                <w:szCs w:val="9"/>
                <w:color w:val="auto"/>
              </w:rPr>
            </w:pPr>
          </w:p>
        </w:tc>
        <w:tc>
          <w:tcPr>
            <w:tcW w:w="700" w:type="dxa"/>
            <w:vAlign w:val="bottom"/>
            <w:gridSpan w:val="2"/>
          </w:tcPr>
          <w:p>
            <w:pPr>
              <w:jc w:val="center"/>
              <w:ind w:right="234"/>
              <w:spacing w:after="0"/>
              <w:rPr>
                <w:sz w:val="20"/>
                <w:szCs w:val="20"/>
                <w:color w:val="auto"/>
              </w:rPr>
            </w:pPr>
            <w:r>
              <w:rPr>
                <w:rFonts w:ascii="Arial" w:cs="Arial" w:eastAsia="Arial" w:hAnsi="Arial"/>
                <w:sz w:val="9"/>
                <w:szCs w:val="9"/>
                <w:b w:val="1"/>
                <w:bCs w:val="1"/>
                <w:color w:val="auto"/>
                <w:w w:val="96"/>
              </w:rPr>
              <w:t>Offering</w:t>
            </w:r>
          </w:p>
        </w:tc>
        <w:tc>
          <w:tcPr>
            <w:tcW w:w="180" w:type="dxa"/>
            <w:vAlign w:val="bottom"/>
          </w:tcPr>
          <w:p>
            <w:pPr>
              <w:spacing w:after="0"/>
              <w:rPr>
                <w:sz w:val="9"/>
                <w:szCs w:val="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7"/>
              </w:rPr>
              <w:t>Being</w:t>
            </w:r>
          </w:p>
        </w:tc>
        <w:tc>
          <w:tcPr>
            <w:tcW w:w="1900" w:type="dxa"/>
            <w:vAlign w:val="bottom"/>
            <w:gridSpan w:val="4"/>
          </w:tcPr>
          <w:p>
            <w:pPr>
              <w:spacing w:after="0"/>
              <w:rPr>
                <w:sz w:val="20"/>
                <w:szCs w:val="20"/>
                <w:color w:val="auto"/>
              </w:rPr>
            </w:pPr>
            <w:r>
              <w:rPr>
                <w:rFonts w:ascii="Arial" w:cs="Arial" w:eastAsia="Arial" w:hAnsi="Arial"/>
                <w:sz w:val="9"/>
                <w:szCs w:val="9"/>
                <w:b w:val="1"/>
                <w:bCs w:val="1"/>
                <w:color w:val="auto"/>
                <w:w w:val="95"/>
              </w:rPr>
              <w:t>Shares Beneficially After the Over-allotment</w:t>
            </w:r>
            <w:r>
              <w:rPr>
                <w:rFonts w:ascii="Arial" w:cs="Arial" w:eastAsia="Arial" w:hAnsi="Arial"/>
                <w:sz w:val="7"/>
                <w:szCs w:val="7"/>
                <w:b w:val="1"/>
                <w:bCs w:val="1"/>
                <w:color w:val="auto"/>
                <w:w w:val="95"/>
              </w:rPr>
              <w:t>(3)</w:t>
            </w:r>
          </w:p>
        </w:tc>
      </w:tr>
      <w:tr>
        <w:trPr>
          <w:trHeight w:val="88"/>
        </w:trPr>
        <w:tc>
          <w:tcPr>
            <w:tcW w:w="13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80" w:type="dxa"/>
            <w:vAlign w:val="bottom"/>
            <w:tcBorders>
              <w:top w:val="single" w:sz="8" w:color="auto"/>
            </w:tcBorders>
            <w:gridSpan w:val="2"/>
          </w:tcPr>
          <w:p>
            <w:pPr>
              <w:ind w:left="220"/>
              <w:spacing w:after="0" w:line="88" w:lineRule="exact"/>
              <w:rPr>
                <w:sz w:val="20"/>
                <w:szCs w:val="20"/>
                <w:color w:val="auto"/>
              </w:rPr>
            </w:pPr>
            <w:r>
              <w:rPr>
                <w:rFonts w:ascii="Arial" w:cs="Arial" w:eastAsia="Arial" w:hAnsi="Arial"/>
                <w:sz w:val="9"/>
                <w:szCs w:val="9"/>
                <w:b w:val="1"/>
                <w:bCs w:val="1"/>
                <w:color w:val="auto"/>
              </w:rPr>
              <w:t>Shares</w:t>
            </w:r>
          </w:p>
        </w:tc>
        <w:tc>
          <w:tcPr>
            <w:tcW w:w="48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Percent</w:t>
            </w:r>
            <w:r>
              <w:rPr>
                <w:rFonts w:ascii="Arial" w:cs="Arial" w:eastAsia="Arial" w:hAnsi="Arial"/>
                <w:sz w:val="7"/>
                <w:szCs w:val="7"/>
                <w:b w:val="1"/>
                <w:bCs w:val="1"/>
                <w:color w:val="auto"/>
              </w:rPr>
              <w:t>(1)</w:t>
            </w:r>
          </w:p>
        </w:tc>
        <w:tc>
          <w:tcPr>
            <w:tcW w:w="200" w:type="dxa"/>
            <w:vAlign w:val="bottom"/>
          </w:tcPr>
          <w:p>
            <w:pPr>
              <w:spacing w:after="0"/>
              <w:rPr>
                <w:sz w:val="7"/>
                <w:szCs w:val="7"/>
                <w:color w:val="auto"/>
              </w:rPr>
            </w:pPr>
          </w:p>
        </w:tc>
        <w:tc>
          <w:tcPr>
            <w:tcW w:w="580" w:type="dxa"/>
            <w:vAlign w:val="bottom"/>
            <w:gridSpan w:val="2"/>
          </w:tcPr>
          <w:p>
            <w:pPr>
              <w:jc w:val="center"/>
              <w:ind w:right="200"/>
              <w:spacing w:after="0" w:line="88" w:lineRule="exact"/>
              <w:rPr>
                <w:sz w:val="20"/>
                <w:szCs w:val="20"/>
                <w:color w:val="auto"/>
              </w:rPr>
            </w:pPr>
            <w:r>
              <w:rPr>
                <w:rFonts w:ascii="Arial" w:cs="Arial" w:eastAsia="Arial" w:hAnsi="Arial"/>
                <w:sz w:val="9"/>
                <w:szCs w:val="9"/>
                <w:b w:val="1"/>
                <w:bCs w:val="1"/>
                <w:color w:val="auto"/>
                <w:w w:val="93"/>
              </w:rPr>
              <w:t>Offered</w:t>
            </w:r>
          </w:p>
        </w:tc>
        <w:tc>
          <w:tcPr>
            <w:tcW w:w="300" w:type="dxa"/>
            <w:vAlign w:val="bottom"/>
            <w:tcBorders>
              <w:top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86"/>
              </w:rPr>
              <w:t>Shares</w:t>
            </w:r>
          </w:p>
        </w:tc>
        <w:tc>
          <w:tcPr>
            <w:tcW w:w="2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ind w:left="60"/>
              <w:spacing w:after="0" w:line="88" w:lineRule="exact"/>
              <w:rPr>
                <w:sz w:val="20"/>
                <w:szCs w:val="20"/>
                <w:color w:val="auto"/>
              </w:rPr>
            </w:pPr>
            <w:r>
              <w:rPr>
                <w:rFonts w:ascii="Arial" w:cs="Arial" w:eastAsia="Arial" w:hAnsi="Arial"/>
                <w:sz w:val="9"/>
                <w:szCs w:val="9"/>
                <w:b w:val="1"/>
                <w:bCs w:val="1"/>
                <w:color w:val="auto"/>
              </w:rPr>
              <w:t>Percent</w:t>
            </w:r>
            <w:r>
              <w:rPr>
                <w:rFonts w:ascii="Arial" w:cs="Arial" w:eastAsia="Arial" w:hAnsi="Arial"/>
                <w:sz w:val="7"/>
                <w:szCs w:val="7"/>
                <w:b w:val="1"/>
                <w:bCs w:val="1"/>
                <w:color w:val="auto"/>
              </w:rPr>
              <w:t>(2)</w:t>
            </w:r>
          </w:p>
        </w:tc>
        <w:tc>
          <w:tcPr>
            <w:tcW w:w="180" w:type="dxa"/>
            <w:vAlign w:val="bottom"/>
          </w:tcPr>
          <w:p>
            <w:pPr>
              <w:spacing w:after="0"/>
              <w:rPr>
                <w:sz w:val="7"/>
                <w:szCs w:val="7"/>
                <w:color w:val="auto"/>
              </w:rPr>
            </w:pPr>
          </w:p>
        </w:tc>
        <w:tc>
          <w:tcPr>
            <w:tcW w:w="700" w:type="dxa"/>
            <w:vAlign w:val="bottom"/>
            <w:gridSpan w:val="2"/>
          </w:tcPr>
          <w:p>
            <w:pPr>
              <w:jc w:val="center"/>
              <w:ind w:right="180"/>
              <w:spacing w:after="0" w:line="88" w:lineRule="exact"/>
              <w:rPr>
                <w:sz w:val="20"/>
                <w:szCs w:val="20"/>
                <w:color w:val="auto"/>
              </w:rPr>
            </w:pPr>
            <w:r>
              <w:rPr>
                <w:rFonts w:ascii="Arial" w:cs="Arial" w:eastAsia="Arial" w:hAnsi="Arial"/>
                <w:sz w:val="9"/>
                <w:szCs w:val="9"/>
                <w:b w:val="1"/>
                <w:bCs w:val="1"/>
                <w:color w:val="auto"/>
                <w:w w:val="98"/>
              </w:rPr>
              <w:t>Offered</w:t>
            </w:r>
            <w:r>
              <w:rPr>
                <w:rFonts w:ascii="Arial" w:cs="Arial" w:eastAsia="Arial" w:hAnsi="Arial"/>
                <w:sz w:val="7"/>
                <w:szCs w:val="7"/>
                <w:b w:val="1"/>
                <w:bCs w:val="1"/>
                <w:color w:val="auto"/>
                <w:w w:val="98"/>
              </w:rPr>
              <w:t>(3)</w:t>
            </w:r>
          </w:p>
        </w:tc>
        <w:tc>
          <w:tcPr>
            <w:tcW w:w="440" w:type="dxa"/>
            <w:vAlign w:val="bottom"/>
            <w:tcBorders>
              <w:top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rPr>
              <w:t>Shares</w:t>
            </w:r>
          </w:p>
        </w:tc>
        <w:tc>
          <w:tcPr>
            <w:tcW w:w="6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ind w:left="200"/>
              <w:spacing w:after="0" w:line="88" w:lineRule="exact"/>
              <w:rPr>
                <w:sz w:val="20"/>
                <w:szCs w:val="20"/>
                <w:color w:val="auto"/>
              </w:rPr>
            </w:pPr>
            <w:r>
              <w:rPr>
                <w:rFonts w:ascii="Arial" w:cs="Arial" w:eastAsia="Arial" w:hAnsi="Arial"/>
                <w:sz w:val="9"/>
                <w:szCs w:val="9"/>
                <w:b w:val="1"/>
                <w:bCs w:val="1"/>
                <w:color w:val="auto"/>
              </w:rPr>
              <w:t>Percent</w:t>
            </w:r>
            <w:r>
              <w:rPr>
                <w:rFonts w:ascii="Arial" w:cs="Arial" w:eastAsia="Arial" w:hAnsi="Arial"/>
                <w:sz w:val="7"/>
                <w:szCs w:val="7"/>
                <w:b w:val="1"/>
                <w:bCs w:val="1"/>
                <w:color w:val="auto"/>
              </w:rPr>
              <w:t>(2)</w:t>
            </w:r>
          </w:p>
        </w:tc>
        <w:tc>
          <w:tcPr>
            <w:tcW w:w="100" w:type="dxa"/>
            <w:vAlign w:val="bottom"/>
          </w:tcPr>
          <w:p>
            <w:pPr>
              <w:spacing w:after="0"/>
              <w:rPr>
                <w:sz w:val="7"/>
                <w:szCs w:val="7"/>
                <w:color w:val="auto"/>
              </w:rPr>
            </w:pPr>
          </w:p>
        </w:tc>
      </w:tr>
      <w:tr>
        <w:trPr>
          <w:trHeight w:val="29"/>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38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Stockholders</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0"/>
                <w:szCs w:val="10"/>
                <w:color w:val="auto"/>
              </w:rPr>
              <w:t>Endeavor Associates Fund IV, L.P. and affiliates</w:t>
            </w:r>
            <w:r>
              <w:rPr>
                <w:rFonts w:ascii="Arial" w:cs="Arial" w:eastAsia="Arial" w:hAnsi="Arial"/>
                <w:sz w:val="17"/>
                <w:szCs w:val="17"/>
                <w:color w:val="auto"/>
                <w:vertAlign w:val="superscript"/>
              </w:rPr>
              <w:t>(4)</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10,012,138</w:t>
            </w:r>
          </w:p>
        </w:tc>
        <w:tc>
          <w:tcPr>
            <w:tcW w:w="2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88"/>
              </w:rPr>
              <w:t>22.5%</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86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(5)(8)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3,503,171</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860" w:type="dxa"/>
            <w:vAlign w:val="bottom"/>
            <w:gridSpan w:val="2"/>
          </w:tcPr>
          <w:p>
            <w:pPr>
              <w:spacing w:after="0" w:line="14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(6)(8)</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3,504,036</w:t>
            </w:r>
          </w:p>
        </w:tc>
        <w:tc>
          <w:tcPr>
            <w:tcW w:w="2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7.9%</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86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Luke M. Buse and Staci Lin Buse Revocable Trust</w:t>
            </w:r>
            <w:r>
              <w:rPr>
                <w:rFonts w:ascii="Arial" w:cs="Arial" w:eastAsia="Arial" w:hAnsi="Arial"/>
                <w:sz w:val="17"/>
                <w:szCs w:val="17"/>
                <w:color w:val="auto"/>
                <w:vertAlign w:val="superscript"/>
              </w:rPr>
              <w:t>(7)(8)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3,503,171</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860" w:type="dxa"/>
            <w:vAlign w:val="bottom"/>
            <w:gridSpan w:val="2"/>
          </w:tcPr>
          <w:p>
            <w:pPr>
              <w:spacing w:after="0"/>
              <w:rPr>
                <w:sz w:val="20"/>
                <w:szCs w:val="20"/>
                <w:color w:val="auto"/>
              </w:rPr>
            </w:pPr>
            <w:r>
              <w:rPr>
                <w:rFonts w:ascii="Arial" w:cs="Arial" w:eastAsia="Arial" w:hAnsi="Arial"/>
                <w:sz w:val="12"/>
                <w:szCs w:val="12"/>
                <w:color w:val="auto"/>
              </w:rPr>
              <w:t>Other Selling Stockholders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8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Less than 1.0%</w:t>
      </w:r>
    </w:p>
    <w:p>
      <w:pPr>
        <w:spacing w:after="0" w:line="47" w:lineRule="exact"/>
        <w:rPr>
          <w:sz w:val="20"/>
          <w:szCs w:val="20"/>
          <w:color w:val="auto"/>
        </w:rPr>
      </w:pPr>
    </w:p>
    <w:p>
      <w:pPr>
        <w:ind w:left="1000" w:hanging="25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44,576,417 shares outstanding at June 30, 2009.</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45,576,417 shares outstanding, which reflects shares outstanding at June 30, 2009 plus 1,000,000 shares issued by the Company in connection with this offering.</w:t>
      </w:r>
    </w:p>
    <w:p>
      <w:pPr>
        <w:spacing w:after="0" w:line="58" w:lineRule="exact"/>
        <w:rPr>
          <w:rFonts w:ascii="Arial" w:cs="Arial" w:eastAsia="Arial" w:hAnsi="Arial"/>
          <w:sz w:val="12"/>
          <w:szCs w:val="12"/>
          <w:color w:val="auto"/>
        </w:rPr>
      </w:pPr>
    </w:p>
    <w:p>
      <w:pPr>
        <w:ind w:left="1000" w:hanging="25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000" w:right="120" w:hanging="259"/>
        <w:spacing w:after="0" w:line="260"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Messrs. Chad N. Heath and D. Mark Dorman, each of whom serves on our Board of Directors, are managing members of Endeavour Capital IV, LLC, the general partner of the Endeavour Entities. Endeavour Capital IV, LLC has voting and dispositive power with respect to the shares of the Endeavour Entities. Messrs. Chad N. Heath and D. Mark Dorman disclaim beneficial ownership of these shares except to the extent of their respective pecuniary interests therein. See “Certain Relationships and Related Transactions” for information regarding a professional services agreement we were previously a party to with Endeavour Capital IV, LLC.</w:t>
      </w:r>
    </w:p>
    <w:p>
      <w:pPr>
        <w:spacing w:after="0" w:line="20" w:lineRule="exact"/>
        <w:rPr>
          <w:rFonts w:ascii="Arial" w:cs="Arial" w:eastAsia="Arial" w:hAnsi="Arial"/>
          <w:sz w:val="13"/>
          <w:szCs w:val="13"/>
          <w:color w:val="auto"/>
        </w:rPr>
      </w:pPr>
    </w:p>
    <w:p>
      <w:pPr>
        <w:ind w:left="1000" w:right="100" w:hanging="259"/>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shares held of record by Exeter Capital, LLC, a limited liability company of which Brent D. Richardson, our Executive Chairman and a member of our Board of Directors, is the manager. Mr. Richardson has sole voting and dispositive power with respect to the shares held by Exeter Capital, LLC.</w:t>
      </w:r>
    </w:p>
    <w:p>
      <w:pPr>
        <w:spacing w:after="0" w:line="10" w:lineRule="exact"/>
        <w:rPr>
          <w:rFonts w:ascii="Arial" w:cs="Arial" w:eastAsia="Arial" w:hAnsi="Arial"/>
          <w:sz w:val="13"/>
          <w:szCs w:val="13"/>
          <w:color w:val="auto"/>
        </w:rPr>
      </w:pPr>
    </w:p>
    <w:p>
      <w:pPr>
        <w:ind w:left="1000" w:right="400" w:hanging="259"/>
        <w:spacing w:after="0" w:line="335" w:lineRule="auto"/>
        <w:tabs>
          <w:tab w:leader="none" w:pos="10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Represents shares held by Calle Camilia Investments, LLC, a limited liability company of which Christopher C. Richardson, our General Counsel and a member of our Board of Directors, is a manager. Mr. Richardson shares voting and dispositive power with respect to the shares held by Calle Camilia Investments, LLC with his wife and a family trust.</w:t>
      </w:r>
    </w:p>
    <w:p>
      <w:pPr>
        <w:ind w:left="1000" w:right="140" w:hanging="259"/>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Staci L. Buse, the sister of Brent D. Richardson and Christopher C. Richardson, and Luke M. Buse, the brother-in-law of Brent D. Richardson and Christopher C. Richardson, are co-trustees of this selling stockholder, and each shares voting and dispositive power with respect to the shares of this selling stockholder.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40" w:hanging="259"/>
        <w:spacing w:after="0" w:line="260"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connection with our initial public offering, certain of our stockholders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20" w:lineRule="exact"/>
        <w:rPr>
          <w:rFonts w:ascii="Arial" w:cs="Arial" w:eastAsia="Arial" w:hAnsi="Arial"/>
          <w:sz w:val="13"/>
          <w:szCs w:val="13"/>
          <w:color w:val="auto"/>
        </w:rPr>
      </w:pPr>
    </w:p>
    <w:p>
      <w:pPr>
        <w:ind w:left="1000"/>
        <w:spacing w:after="0" w:line="281" w:lineRule="auto"/>
        <w:rPr>
          <w:rFonts w:ascii="Arial" w:cs="Arial" w:eastAsia="Arial" w:hAnsi="Arial"/>
          <w:sz w:val="13"/>
          <w:szCs w:val="13"/>
          <w:color w:val="auto"/>
        </w:rPr>
      </w:pPr>
      <w:r>
        <w:rPr>
          <w:rFonts w:ascii="Arial" w:cs="Arial" w:eastAsia="Arial" w:hAnsi="Arial"/>
          <w:sz w:val="12"/>
          <w:szCs w:val="12"/>
          <w:color w:val="auto"/>
        </w:rPr>
        <w:t>Under the terms of the voting agreement, if any person party to the voting agreement transfers shares covered by the proxy in open-market or other transactions, the proxy is no longer effective as to such shares. Accordingly, the number of shares as to which the Richardson Voting Group has the shared power to vote or direct the vote will decrease over time as shares held by other parties to the voting agreement are sold, which sales we may not be aware of since many of the shares held by such other parties are held in “street name.” Based on information available to us, we believe that, as of July 31, 2009, the Richardson Voting Group had the power to exercise voting authority with respect to approximately 17.0 million shares of our common stock, or approximately 38% of our common stock. After giving effect to this offering, and based on the number of shares expected to be sold by us and the selling stockholders participating in this offering, we believe that the Richardson Voting Group will continue to have the power to exercise voting authority with respect to more than 25% of our common stock. See “Certain Relationships and Related Transactions — Voting Agreement.”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DESCRIPTION OF CAPITAL STOCK</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following description of our capital stock summarizes provisions of our amended and restated certificate of incorporation and amended and restated bylaws. As of the date of this prospectus, our authorized capital stock consists of 100,000,000 shares of common stock, $0.01 par value per share, and 10,000,000 shares of undesignated preferred stock, $0.01 par value per share. Immediately after completion of the offering, 45,576,417 shares of common stock and no shares of preferred stock will be outstanding.</w:t>
      </w:r>
    </w:p>
    <w:p>
      <w:pPr>
        <w:spacing w:after="0" w:line="50"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following description of the material provisions of our capital stock and amended and restated certificate of incorporation and amended and restated bylaws is only a summary, does not purport to be complete and is qualified by applicable law and the full provisions of our amended and restated certificate of incorporation and amended and restated bylaws.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our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our amended and restated certificate of incorporation, our Board of Directors has authority to issue undesignated preferred stock without stockholder approval. Our Board of Directors may also determine or alter for each class of preferred stock the voting powers, designations, preferences, and special rights, qualifications, limitations, or restrictions as permitted by law. Our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are a party to an amended investor rights agreement with the Endeavour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Entities the right, beginning 90 days following the completion of our initial public offering, to cause us, at our expense, to use our reasonable commercial efforts to register such securities held by the Endeavour Entities for public resale, subject to certain limitations. The exercise of this right will be limited to two requests. In the event that we register any of our common stock following completion of this offering, the Endeavour Entities and certain other holders are entitled to “piggyback” registration rights in which they may require us to include their securities in future registration statements that we may file, either for our own account or for the account of other security holders exercising registration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rights. In addition, such holders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amended and restated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provide that directors may be removed only for cause by the affirmative vote of the holders of a majority of the voting power</w:t>
      </w:r>
      <w:r>
        <w:rPr>
          <w:rFonts w:ascii="Arial" w:cs="Arial" w:eastAsia="Arial" w:hAnsi="Arial"/>
          <w:sz w:val="13"/>
          <w:szCs w:val="13"/>
          <w:i w:val="1"/>
          <w:iCs w:val="1"/>
          <w:color w:val="auto"/>
        </w:rPr>
        <w:t xml:space="preserve"> </w:t>
      </w:r>
      <w:r>
        <w:rPr>
          <w:rFonts w:ascii="Arial" w:cs="Arial" w:eastAsia="Arial" w:hAnsi="Arial"/>
          <w:sz w:val="13"/>
          <w:szCs w:val="13"/>
          <w:color w:val="auto"/>
        </w:rPr>
        <w:t>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provides that all stockholder actions are required to be taken by a vote of the stockholders at an annual or special meeting, and that</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may not take any action by written consent in lieu of a meeting.</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provide that only a majority of the members of our Board of Directors then in office may call special meetings of stockholders and only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67" w:lineRule="exact"/>
        <w:rPr>
          <w:sz w:val="20"/>
          <w:szCs w:val="20"/>
          <w:color w:val="auto"/>
        </w:rPr>
      </w:pPr>
    </w:p>
    <w:p>
      <w:pPr>
        <w:jc w:val="both"/>
        <w:ind w:left="680" w:right="40" w:firstLine="399"/>
        <w:spacing w:after="0" w:line="303" w:lineRule="auto"/>
        <w:rPr>
          <w:sz w:val="20"/>
          <w:szCs w:val="20"/>
          <w:color w:val="auto"/>
        </w:rPr>
      </w:pPr>
      <w:r>
        <w:rPr>
          <w:rFonts w:ascii="Arial" w:cs="Arial" w:eastAsia="Arial" w:hAnsi="Arial"/>
          <w:sz w:val="11"/>
          <w:szCs w:val="11"/>
          <w:i w:val="1"/>
          <w:iCs w:val="1"/>
          <w:color w:val="auto"/>
        </w:rPr>
        <w:t xml:space="preserve">Advance Notice Requirements. </w:t>
      </w:r>
      <w:r>
        <w:rPr>
          <w:rFonts w:ascii="Arial" w:cs="Arial" w:eastAsia="Arial" w:hAnsi="Arial"/>
          <w:sz w:val="11"/>
          <w:szCs w:val="11"/>
          <w:color w:val="auto"/>
        </w:rPr>
        <w:t>Our bylaws establish advance notice procedures with regard to stockholder proposals relating to the nomination of candidates for election as directors</w:t>
      </w:r>
      <w:r>
        <w:rPr>
          <w:rFonts w:ascii="Arial" w:cs="Arial" w:eastAsia="Arial" w:hAnsi="Arial"/>
          <w:sz w:val="11"/>
          <w:szCs w:val="11"/>
          <w:i w:val="1"/>
          <w:iCs w:val="1"/>
          <w:color w:val="auto"/>
        </w:rPr>
        <w:t xml:space="preserve"> </w:t>
      </w:r>
      <w:r>
        <w:rPr>
          <w:rFonts w:ascii="Arial" w:cs="Arial" w:eastAsia="Arial" w:hAnsi="Arial"/>
          <w:sz w:val="11"/>
          <w:szCs w:val="11"/>
          <w:color w:val="auto"/>
        </w:rPr>
        <w:t>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earlier than the close of business on the</w:t>
      </w:r>
    </w:p>
    <w:p>
      <w:pPr>
        <w:ind w:left="680" w:right="220"/>
        <w:spacing w:after="0" w:line="264" w:lineRule="auto"/>
        <w:rPr>
          <w:sz w:val="20"/>
          <w:szCs w:val="20"/>
          <w:color w:val="auto"/>
        </w:rPr>
      </w:pPr>
      <w:r>
        <w:rPr>
          <w:rFonts w:ascii="Arial" w:cs="Arial" w:eastAsia="Arial" w:hAnsi="Arial"/>
          <w:sz w:val="13"/>
          <w:szCs w:val="13"/>
          <w:color w:val="auto"/>
        </w:rPr>
        <w:t>120th day, nor later than the close of business on the 90th day, prior to the first anniversary date of the annual meeting for the preceding year. The notice must contain certain information specified in the bylaws.</w:t>
      </w:r>
    </w:p>
    <w:p>
      <w:pPr>
        <w:spacing w:after="0" w:line="67"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w:t>
      </w:r>
      <w:r>
        <w:rPr>
          <w:rFonts w:ascii="Arial" w:cs="Arial" w:eastAsia="Arial" w:hAnsi="Arial"/>
          <w:sz w:val="13"/>
          <w:szCs w:val="13"/>
          <w:i w:val="1"/>
          <w:iCs w:val="1"/>
          <w:color w:val="auto"/>
        </w:rPr>
        <w:t xml:space="preserve"> </w:t>
      </w:r>
      <w:r>
        <w:rPr>
          <w:rFonts w:ascii="Arial" w:cs="Arial" w:eastAsia="Arial" w:hAnsi="Arial"/>
          <w:sz w:val="13"/>
          <w:szCs w:val="13"/>
          <w:color w:val="auto"/>
        </w:rPr>
        <w:t>or 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provides for 10,000,000 authorized shares of preferred stock. The existence of authorized but unissued shares of preferred stock may enable</w:t>
      </w:r>
      <w:r>
        <w:rPr>
          <w:rFonts w:ascii="Arial" w:cs="Arial" w:eastAsia="Arial" w:hAnsi="Arial"/>
          <w:sz w:val="13"/>
          <w:szCs w:val="13"/>
          <w:i w:val="1"/>
          <w:iCs w:val="1"/>
          <w:color w:val="auto"/>
        </w:rPr>
        <w:t xml:space="preserve"> </w:t>
      </w:r>
      <w:r>
        <w:rPr>
          <w:rFonts w:ascii="Arial" w:cs="Arial" w:eastAsia="Arial" w:hAnsi="Arial"/>
          <w:sz w:val="13"/>
          <w:szCs w:val="13"/>
          <w:color w:val="auto"/>
        </w:rPr>
        <w:t>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42" w:lineRule="exact"/>
        <w:rPr>
          <w:sz w:val="20"/>
          <w:szCs w:val="20"/>
          <w:color w:val="auto"/>
        </w:rPr>
      </w:pPr>
    </w:p>
    <w:p>
      <w:pPr>
        <w:ind w:left="1680" w:hanging="187"/>
        <w:spacing w:after="0" w:line="276" w:lineRule="auto"/>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permitted by the DGCL, provisions in our charter and bylaws limit or eliminate the personal liability of our directors. Consequently, directors will not be personally liable to us or our stockholders for monetary damages or breach of fiduciary duty as a director, except for liability for:</w:t>
      </w:r>
    </w:p>
    <w:p>
      <w:pPr>
        <w:spacing w:after="0" w:line="59" w:lineRule="exact"/>
        <w:rPr>
          <w:sz w:val="20"/>
          <w:szCs w:val="20"/>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18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have entered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Education,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common stock is listed on the Nasdaq Global Market under the symbol “LOPE.”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80" w:hanging="187"/>
        <w:spacing w:after="0" w:line="276"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Internal Revenue Code of 1986, as amended, or the Code;</w:t>
      </w:r>
    </w:p>
    <w:p>
      <w:pPr>
        <w:spacing w:after="0" w:line="49"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as to, 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2009, we and the selling stockholders have agreed to sell to the underwriters</w:t>
      </w:r>
    </w:p>
    <w:p>
      <w:pPr>
        <w:spacing w:after="0" w:line="15" w:lineRule="exact"/>
        <w:rPr>
          <w:sz w:val="20"/>
          <w:szCs w:val="20"/>
          <w:color w:val="auto"/>
        </w:rPr>
      </w:pPr>
    </w:p>
    <w:p>
      <w:pPr>
        <w:ind w:left="680" w:right="300"/>
        <w:spacing w:after="0" w:line="264" w:lineRule="auto"/>
        <w:rPr>
          <w:sz w:val="20"/>
          <w:szCs w:val="20"/>
          <w:color w:val="auto"/>
        </w:rPr>
      </w:pPr>
      <w:r>
        <w:rPr>
          <w:rFonts w:ascii="Arial" w:cs="Arial" w:eastAsia="Arial" w:hAnsi="Arial"/>
          <w:sz w:val="13"/>
          <w:szCs w:val="13"/>
          <w:color w:val="auto"/>
        </w:rPr>
        <w:t>named below, for whom Credit Suisse Securities (USA) LLC and Merrill Lynch, Pierce, Fenner &amp; Smith Incorporated are acting as representatives, the following respective numbers of shares of common stock:</w:t>
      </w:r>
    </w:p>
    <w:p>
      <w:pPr>
        <w:spacing w:after="0" w:line="68" w:lineRule="exact"/>
        <w:rPr>
          <w:sz w:val="20"/>
          <w:szCs w:val="20"/>
          <w:color w:val="auto"/>
        </w:rPr>
      </w:pPr>
    </w:p>
    <w:p>
      <w:pPr>
        <w:ind w:left="680"/>
        <w:spacing w:after="0"/>
        <w:tabs>
          <w:tab w:leader="none" w:pos="9440" w:val="left"/>
        </w:tabs>
        <w:rPr>
          <w:sz w:val="20"/>
          <w:szCs w:val="20"/>
          <w:color w:val="auto"/>
        </w:rPr>
      </w:pPr>
      <w:r>
        <w:rPr>
          <w:rFonts w:ascii="Arial" w:cs="Arial" w:eastAsia="Arial" w:hAnsi="Arial"/>
          <w:sz w:val="10"/>
          <w:szCs w:val="10"/>
          <w:b w:val="1"/>
          <w:bCs w:val="1"/>
          <w:u w:val="single" w:color="auto"/>
          <w:color w:val="auto"/>
        </w:rPr>
        <w:t>U</w:t>
      </w:r>
      <w:r>
        <w:rPr>
          <w:rFonts w:ascii="Arial" w:cs="Arial" w:eastAsia="Arial" w:hAnsi="Arial"/>
          <w:sz w:val="10"/>
          <w:szCs w:val="10"/>
          <w:b w:val="1"/>
          <w:bCs w:val="1"/>
          <w:color w:val="auto"/>
        </w:rPr>
        <w:t>nderwriter</w:t>
      </w:r>
      <w:r>
        <w:rPr>
          <w:sz w:val="20"/>
          <w:szCs w:val="20"/>
          <w:color w:val="auto"/>
        </w:rPr>
        <w:tab/>
      </w:r>
      <w:r>
        <w:rPr>
          <w:rFonts w:ascii="Arial" w:cs="Arial" w:eastAsia="Arial" w:hAnsi="Arial"/>
          <w:sz w:val="9"/>
          <w:szCs w:val="9"/>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5828665</wp:posOffset>
            </wp:positionH>
            <wp:positionV relativeFrom="paragraph">
              <wp:posOffset>12700</wp:posOffset>
            </wp:positionV>
            <wp:extent cx="88011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Merrill Lynch, Pierce, Fenner &amp; Smith</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Incorporated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William Blair &amp;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Barrington Research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5828665</wp:posOffset>
            </wp:positionH>
            <wp:positionV relativeFrom="paragraph">
              <wp:posOffset>5715</wp:posOffset>
            </wp:positionV>
            <wp:extent cx="88011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0110" cy="635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118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11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jc w:val="both"/>
        <w:ind w:left="680" w:right="260" w:firstLine="399"/>
        <w:spacing w:after="0" w:line="371" w:lineRule="auto"/>
        <w:rPr>
          <w:sz w:val="20"/>
          <w:szCs w:val="20"/>
          <w:color w:val="auto"/>
        </w:rPr>
      </w:pPr>
      <w:r>
        <w:rPr>
          <w:rFonts w:ascii="Arial" w:cs="Arial" w:eastAsia="Arial" w:hAnsi="Arial"/>
          <w:sz w:val="11"/>
          <w:szCs w:val="11"/>
          <w:color w:val="auto"/>
        </w:rPr>
        <w:t>Certain of the selling stockholders have granted to the underwriters a 30-day option to purchase on a pro rata basis up to an aggregate of additional outstanding shares from such selling stockholders at the public offering price less the underwriting discounts and commissions. The option may be exercised only to cover any over-allotments of common stock.</w:t>
      </w:r>
    </w:p>
    <w:p>
      <w:pPr>
        <w:spacing w:after="0" w:line="1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Thereafter,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and the selling stockholders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Per Share</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gridSpan w:val="4"/>
          </w:tcPr>
          <w:p>
            <w:pPr>
              <w:ind w:left="60"/>
              <w:spacing w:after="0"/>
              <w:rPr>
                <w:sz w:val="20"/>
                <w:szCs w:val="20"/>
                <w:color w:val="auto"/>
              </w:rPr>
            </w:pPr>
            <w:r>
              <w:rPr>
                <w:rFonts w:ascii="Arial" w:cs="Arial" w:eastAsia="Arial" w:hAnsi="Arial"/>
                <w:sz w:val="10"/>
                <w:szCs w:val="10"/>
                <w:b w:val="1"/>
                <w:bCs w:val="1"/>
                <w:color w:val="auto"/>
              </w:rPr>
              <w:t>Total</w:t>
            </w:r>
          </w:p>
        </w:tc>
      </w:tr>
      <w:tr>
        <w:trPr>
          <w:trHeight w:val="81"/>
        </w:trPr>
        <w:tc>
          <w:tcPr>
            <w:tcW w:w="5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gridSpan w:val="3"/>
          </w:tcPr>
          <w:p>
            <w:pPr>
              <w:jc w:val="right"/>
              <w:ind w:right="640"/>
              <w:spacing w:after="0" w:line="81" w:lineRule="exact"/>
              <w:rPr>
                <w:sz w:val="20"/>
                <w:szCs w:val="20"/>
                <w:color w:val="auto"/>
              </w:rPr>
            </w:pPr>
            <w:r>
              <w:rPr>
                <w:rFonts w:ascii="Arial" w:cs="Arial" w:eastAsia="Arial" w:hAnsi="Arial"/>
                <w:sz w:val="9"/>
                <w:szCs w:val="9"/>
                <w:b w:val="1"/>
                <w:bCs w:val="1"/>
                <w:color w:val="auto"/>
              </w:rPr>
              <w:t>Without</w:t>
            </w:r>
          </w:p>
        </w:tc>
        <w:tc>
          <w:tcPr>
            <w:tcW w:w="860" w:type="dxa"/>
            <w:vAlign w:val="bottom"/>
            <w:tcBorders>
              <w:top w:val="single" w:sz="8" w:color="auto"/>
            </w:tcBorders>
          </w:tcPr>
          <w:p>
            <w:pPr>
              <w:jc w:val="center"/>
              <w:ind w:right="70"/>
              <w:spacing w:after="0" w:line="81" w:lineRule="exact"/>
              <w:rPr>
                <w:sz w:val="20"/>
                <w:szCs w:val="20"/>
                <w:color w:val="auto"/>
              </w:rPr>
            </w:pPr>
            <w:r>
              <w:rPr>
                <w:rFonts w:ascii="Arial" w:cs="Arial" w:eastAsia="Arial" w:hAnsi="Arial"/>
                <w:sz w:val="9"/>
                <w:szCs w:val="9"/>
                <w:b w:val="1"/>
                <w:bCs w:val="1"/>
                <w:color w:val="auto"/>
              </w:rPr>
              <w:t>With</w:t>
            </w:r>
          </w:p>
        </w:tc>
        <w:tc>
          <w:tcPr>
            <w:tcW w:w="200" w:type="dxa"/>
            <w:vAlign w:val="bottom"/>
          </w:tcPr>
          <w:p>
            <w:pPr>
              <w:spacing w:after="0"/>
              <w:rPr>
                <w:sz w:val="7"/>
                <w:szCs w:val="7"/>
                <w:color w:val="auto"/>
              </w:rPr>
            </w:pPr>
          </w:p>
        </w:tc>
        <w:tc>
          <w:tcPr>
            <w:tcW w:w="920" w:type="dxa"/>
            <w:vAlign w:val="bottom"/>
            <w:tcBorders>
              <w:top w:val="single" w:sz="8" w:color="auto"/>
            </w:tcBorders>
          </w:tcPr>
          <w:p>
            <w:pPr>
              <w:jc w:val="right"/>
              <w:ind w:right="190"/>
              <w:spacing w:after="0" w:line="81" w:lineRule="exact"/>
              <w:rPr>
                <w:sz w:val="20"/>
                <w:szCs w:val="20"/>
                <w:color w:val="auto"/>
              </w:rPr>
            </w:pPr>
            <w:r>
              <w:rPr>
                <w:rFonts w:ascii="Arial" w:cs="Arial" w:eastAsia="Arial" w:hAnsi="Arial"/>
                <w:sz w:val="9"/>
                <w:szCs w:val="9"/>
                <w:b w:val="1"/>
                <w:bCs w:val="1"/>
                <w:color w:val="auto"/>
              </w:rPr>
              <w:t>Without</w:t>
            </w: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100" w:type="dxa"/>
            <w:vAlign w:val="bottom"/>
          </w:tcPr>
          <w:p>
            <w:pPr>
              <w:spacing w:after="0"/>
              <w:rPr>
                <w:sz w:val="7"/>
                <w:szCs w:val="7"/>
                <w:color w:val="auto"/>
              </w:rPr>
            </w:pPr>
          </w:p>
        </w:tc>
      </w:tr>
      <w:tr>
        <w:trPr>
          <w:trHeight w:val="12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Over-allotment</w:t>
            </w:r>
          </w:p>
        </w:tc>
        <w:tc>
          <w:tcPr>
            <w:tcW w:w="860" w:type="dxa"/>
            <w:vAlign w:val="bottom"/>
          </w:tcPr>
          <w:p>
            <w:pPr>
              <w:jc w:val="center"/>
              <w:ind w:right="50"/>
              <w:spacing w:after="0"/>
              <w:rPr>
                <w:sz w:val="20"/>
                <w:szCs w:val="20"/>
                <w:color w:val="auto"/>
              </w:rPr>
            </w:pPr>
            <w:r>
              <w:rPr>
                <w:rFonts w:ascii="Arial" w:cs="Arial" w:eastAsia="Arial" w:hAnsi="Arial"/>
                <w:sz w:val="10"/>
                <w:szCs w:val="10"/>
                <w:b w:val="1"/>
                <w:bCs w:val="1"/>
                <w:color w:val="auto"/>
                <w:w w:val="96"/>
              </w:rPr>
              <w:t>Over-allotment</w:t>
            </w:r>
          </w:p>
        </w:tc>
        <w:tc>
          <w:tcPr>
            <w:tcW w:w="200" w:type="dxa"/>
            <w:vAlign w:val="bottom"/>
          </w:tcPr>
          <w:p>
            <w:pPr>
              <w:spacing w:after="0"/>
              <w:rPr>
                <w:sz w:val="10"/>
                <w:szCs w:val="10"/>
                <w:color w:val="auto"/>
              </w:rPr>
            </w:pPr>
          </w:p>
        </w:tc>
        <w:tc>
          <w:tcPr>
            <w:tcW w:w="920" w:type="dxa"/>
            <w:vAlign w:val="bottom"/>
          </w:tcPr>
          <w:p>
            <w:pPr>
              <w:jc w:val="right"/>
              <w:ind w:right="30"/>
              <w:spacing w:after="0"/>
              <w:rPr>
                <w:sz w:val="20"/>
                <w:szCs w:val="20"/>
                <w:color w:val="auto"/>
              </w:rPr>
            </w:pPr>
            <w:r>
              <w:rPr>
                <w:rFonts w:ascii="Arial" w:cs="Arial" w:eastAsia="Arial" w:hAnsi="Arial"/>
                <w:sz w:val="10"/>
                <w:szCs w:val="10"/>
                <w:b w:val="1"/>
                <w:bCs w:val="1"/>
                <w:color w:val="auto"/>
              </w:rPr>
              <w:t>Over-allotment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Over-allotment</w:t>
            </w:r>
          </w:p>
        </w:tc>
      </w:tr>
      <w:tr>
        <w:trPr>
          <w:trHeight w:val="29"/>
        </w:trPr>
        <w:tc>
          <w:tcPr>
            <w:tcW w:w="5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 paid by us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Expenses payable by us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1120" w:type="dxa"/>
            <w:vAlign w:val="bottom"/>
            <w:gridSpan w:val="2"/>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 paid by the selling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Expenses payable by the selling stockholders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1120" w:type="dxa"/>
            <w:vAlign w:val="bottom"/>
            <w:gridSpan w:val="2"/>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bl>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our directors and executive officers, and the selling stockholders have agreed that we and they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disposition, or filing, or to enter into any transaction, swap, hedge, or other arrangement, without, in each case, the prior written consent of Credit Suisse Securities (USA) LLC and Merrill Lynch, Pierce, Fenner &amp; Smith Incorporated,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85" w:lineRule="auto"/>
        <w:rPr>
          <w:sz w:val="20"/>
          <w:szCs w:val="20"/>
          <w:color w:val="auto"/>
        </w:rPr>
      </w:pPr>
      <w:r>
        <w:rPr>
          <w:rFonts w:ascii="Arial" w:cs="Arial" w:eastAsia="Arial" w:hAnsi="Arial"/>
          <w:sz w:val="12"/>
          <w:szCs w:val="12"/>
          <w:color w:val="auto"/>
        </w:rPr>
        <w:t>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 The restrictions described in this paragraph do not apply to, among other things, the sale of shares to the underwriters, transactions by any person other than us relating to shares of common stock or other securities acquired in open-market transactions after the completion of the offering of shares or the offer, sale, issuance, or disposal by us of any of our securities, or any securities convertible into or exchangeable or exercisable for any of our securities, pursuant to our equity compensation plan.</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and the selling stockholders have agreed to indemnify the underwriters against liabilities under the Securities Act, or contribute to payments that the underwriters may be required to make in that respect.</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 An affiliate of Merrill Lynch, Pierce, Fenner &amp; Smith Incorporated has also acted as lender under our term loan due 2014.</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59" w:lineRule="exact"/>
        <w:rPr>
          <w:sz w:val="20"/>
          <w:szCs w:val="20"/>
          <w:color w:val="auto"/>
        </w:rPr>
      </w:pPr>
    </w:p>
    <w:p>
      <w:pPr>
        <w:ind w:left="1680" w:hanging="187"/>
        <w:spacing w:after="0"/>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that might otherwise exist in the open market. These transactions may be effected on the Nasdaq Global Market or otherwise and, if commenced, may be discontinued at any time.</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43" w:right="12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81"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which we refer to as a Relevant Member State, with effect from and including the date on which the Prospectus Directive is implemented in that Relevant Member State, which we refer to as the Relevant Implementation Date, an offer of shares of common stock to the public may not be made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of any shares of common stock may be made at any time under the following exemptions under the Prospectus Directive if they have been implemented in the Relevant Member State,</w:t>
      </w:r>
    </w:p>
    <w:p>
      <w:pPr>
        <w:spacing w:after="0" w:line="42"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59" w:lineRule="exact"/>
        <w:rPr>
          <w:sz w:val="20"/>
          <w:szCs w:val="20"/>
          <w:color w:val="auto"/>
        </w:rPr>
      </w:pPr>
    </w:p>
    <w:p>
      <w:pPr>
        <w:ind w:left="1680" w:hanging="195"/>
        <w:spacing w:after="0"/>
        <w:tabs>
          <w:tab w:leader="none" w:pos="1680" w:val="left"/>
        </w:tabs>
        <w:numPr>
          <w:ilvl w:val="1"/>
          <w:numId w:val="37"/>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 or</w:t>
      </w:r>
    </w:p>
    <w:p>
      <w:pPr>
        <w:spacing w:after="0" w:line="69" w:lineRule="exact"/>
        <w:rPr>
          <w:rFonts w:ascii="Arial" w:cs="Arial" w:eastAsia="Arial" w:hAnsi="Arial"/>
          <w:sz w:val="13"/>
          <w:szCs w:val="13"/>
          <w:color w:val="auto"/>
        </w:rPr>
      </w:pPr>
    </w:p>
    <w:p>
      <w:pPr>
        <w:ind w:left="1660" w:hanging="175"/>
        <w:spacing w:after="0"/>
        <w:tabs>
          <w:tab w:leader="none" w:pos="1660" w:val="left"/>
        </w:tabs>
        <w:numPr>
          <w:ilvl w:val="1"/>
          <w:numId w:val="38"/>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provided that no such offer of shares shall result in a requirement for the publication of a prospectus pursuant to Article 3 of the Prospectus Directive.</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UNITED KINGDOM RESIDENTS</w:t>
      </w:r>
    </w:p>
    <w:p>
      <w:pPr>
        <w:spacing w:after="0" w:line="8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2"/>
          <w:szCs w:val="12"/>
          <w:color w:val="auto"/>
        </w:rPr>
        <w:t>An invitation or inducement to engage in investment activity (within the meaning of Section 21 of the Financial Services and Markets Act 2000, or the FSMA) has only been communicated or caused to be communicated and will only be communicated or caused to be communicated in connection with the issue or sale of the shares in circumstances in which Section 21(1) of the FSMA does not apply to us. All applicable provisions of the FSMA have been complied with and will be complied with, with respect to anything done in relation to the shares in, from or otherwise involving the United Kingdom. This document is only being distributed to and is only directed at (i) persons who are outside the United Kingdom or</w:t>
      </w:r>
    </w:p>
    <w:p>
      <w:pPr>
        <w:spacing w:after="0" w:line="2" w:lineRule="exact"/>
        <w:rPr>
          <w:sz w:val="20"/>
          <w:szCs w:val="20"/>
          <w:color w:val="auto"/>
        </w:rPr>
      </w:pPr>
    </w:p>
    <w:p>
      <w:pPr>
        <w:ind w:left="680" w:right="100" w:firstLine="7"/>
        <w:spacing w:after="0" w:line="256" w:lineRule="auto"/>
        <w:tabs>
          <w:tab w:leader="none" w:pos="873"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investment professionals falling within Article 19(5) of the Financial Services and Markets Act 2000 (Financial Promotion) Order 2005, or the Order, or (iii) high net worth entities, and other persons to whom it may lawfully be communicated, falling within Article 49(2)(a) to (d) of the Order (all such persons together, we refer to as relevant persons). The shares are only available to, and any invitation, offer or agreement to subscribe, purchase or otherwise acquire such shares will be engaged only with, relevant persons. Any person who is not a relevant person should not act or rely on this document or any of its contents.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SWISS INVESTORS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This document, as well as any other material relating to the shares which are the subject of the offering contemplated by this prospectus, do not constitute an issue prospectus pursuant to Article 652a of the Swiss Code of Obligations. The shares will not be listed on the SWX Swiss Exchange and, therefore the documents relating to the shares, including, but not limited to, this document, do not claim to comply with the disclosure standards of the listing rules of SWX Swiss Exchange and corresponding prospectus schemes annexed to the listing rules of the SWX Swiss Exchange. The shares are being offered in Switzerland by way of a private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 xml:space="preserve">placement, </w:t>
      </w:r>
      <w:r>
        <w:rPr>
          <w:rFonts w:ascii="Arial" w:cs="Arial" w:eastAsia="Arial" w:hAnsi="Arial"/>
          <w:sz w:val="13"/>
          <w:szCs w:val="13"/>
          <w:i w:val="1"/>
          <w:iCs w:val="1"/>
          <w:color w:val="auto"/>
        </w:rPr>
        <w:t>i.e.</w:t>
      </w:r>
      <w:r>
        <w:rPr>
          <w:rFonts w:ascii="Arial" w:cs="Arial" w:eastAsia="Arial" w:hAnsi="Arial"/>
          <w:sz w:val="13"/>
          <w:szCs w:val="13"/>
          <w:color w:val="auto"/>
        </w:rPr>
        <w:t xml:space="preserve"> to a small number of selected investors only, without any public offer and only to investors who do not purchase the shares with the intention to distribute them to the public. The investors will be individually approached by us from time to time. 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our express consent. It may not be used in connection with any other offer and shall in particular not be copied and/or distributed to the public in (or from) Switzerland.</w:t>
      </w:r>
    </w:p>
    <w:p>
      <w:pPr>
        <w:spacing w:after="0" w:line="146"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NOTICE TO INVESTORS IN THE DUBAI INTERNATIONAL FINANCIAL CENTRE</w:t>
      </w:r>
    </w:p>
    <w:p>
      <w:pPr>
        <w:spacing w:after="0" w:line="8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which are the subject of the offering contemplated by this prospectus may be illiquid and/or subject to restrictions on their resale. Prospective purchasers of the shares offered should conduct their own due diligence on the shares. If you do not understand the contents of this document you should consult an authorized financial adviser.</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81"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and the selling stockholders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common stock.</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8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By purchasing the common stock in Canada and accepting a purchase confirmation a purchaser is representing to us, the selling stockholders, and the dealer from whom the purchase confirmation is received that:</w:t>
      </w:r>
    </w:p>
    <w:p>
      <w:pPr>
        <w:spacing w:after="0" w:line="30" w:lineRule="exact"/>
        <w:rPr>
          <w:sz w:val="20"/>
          <w:szCs w:val="20"/>
          <w:color w:val="auto"/>
        </w:rPr>
      </w:pPr>
    </w:p>
    <w:p>
      <w:pPr>
        <w:ind w:left="1680" w:hanging="187"/>
        <w:spacing w:after="0"/>
        <w:tabs>
          <w:tab w:leader="none" w:pos="16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79" w:lineRule="exact"/>
        <w:rPr>
          <w:rFonts w:ascii="Arial" w:cs="Arial" w:eastAsia="Arial" w:hAnsi="Arial"/>
          <w:sz w:val="11"/>
          <w:szCs w:val="11"/>
          <w:color w:val="auto"/>
        </w:rPr>
      </w:pPr>
    </w:p>
    <w:p>
      <w:pPr>
        <w:ind w:left="1680" w:hanging="187"/>
        <w:spacing w:after="0"/>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5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7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and the selling stockholders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date on which payment is made for the common stock. If a purchaser elects to exercise the right of action for rescission, the purchaser will have no right of action for damages against us or the selling stockholders. In no case will the amount recoverable in any action exceed the price at which the common stock were offered to the purchaser and if the purchaser is shown to have purchased the securities with knowledge of the misrepresentation, we and the selling stockholders will have no liability. In the case of an action for damages, we and the selling stockholders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All of our directors and officers as well as the experts named herein and the selling stockholders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71"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financial statements of Grand Canyon Education, Inc. appearing in Grand Canyon Education, Inc.’s Annual Report (Form 10-K) for the year ended December 31, 2008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20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3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We are subject to the reporting and information requirements of the Exchange Act and, as a result, we are required to file periodic and current reports, proxy statements and other information with the SEC. You may read and copy the registration statement, including exhibits and schedules filed with it, and reports or other information we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INCORPORATION BY REFERENCE</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SEC allows us to “incorporate by reference” information in this prospectus that we have filed with it. This means that we can disclose important information to you by referring you to another document already on file with the SEC. The information incorporated by reference is an important part of this prospectus, except for any information that is superseded by information that is included directly in this prospectus.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This prospectus incorporates by reference the documents listed below that we have previously filed with the SEC (excluding any document, or portion thereof, to the extent disclosure is furnished and not filed).</w:t>
      </w:r>
    </w:p>
    <w:p>
      <w:pPr>
        <w:spacing w:after="0" w:line="59" w:lineRule="exact"/>
        <w:rPr>
          <w:sz w:val="20"/>
          <w:szCs w:val="20"/>
          <w:color w:val="auto"/>
        </w:rPr>
      </w:pPr>
    </w:p>
    <w:p>
      <w:pPr>
        <w:ind w:left="1680" w:right="8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Annual Report on Form 10-K for the year ended December 31, 2008, filed with the SEC on February 20, 2009, which incorporates by reference certain sections from our proxy statement filed with the SEC on April 10, 2009, which we also incorporate by reference into this prospectus;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Quarterly Reports on Form 10-Q for the quarters ended March 31, 2009 and June 30, 2009;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Current Reports on Form 8-K filed with the SEC on February 19, 2009, March 25, 2009, April 3, 2009, April 27, 2009, May 4, 2009, and August 3, 2009.</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will provide to each person, including any beneficial owner, to whom a prospectus is delivered, a copy of the reports and documents that have been incorporated by reference in this prospectus, at no cost. Any such request may be made by writing or telephoning us at the following address or phone number:</w:t>
      </w: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Grand Canyon Education, Inc.</w:t>
      </w:r>
    </w:p>
    <w:p>
      <w:pPr>
        <w:spacing w:after="0" w:line="15"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3300 West Camelback Road</w:t>
      </w:r>
    </w:p>
    <w:p>
      <w:pPr>
        <w:spacing w:after="0" w:line="8"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Phoenix, Arizona 85017</w:t>
      </w:r>
    </w:p>
    <w:p>
      <w:pPr>
        <w:spacing w:after="0" w:line="8"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Attention: Corporate Secretary</w:t>
      </w:r>
    </w:p>
    <w:p>
      <w:pPr>
        <w:spacing w:after="0" w:line="8"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(602) 639-7500</w:t>
      </w:r>
    </w:p>
    <w:p>
      <w:pPr>
        <w:spacing w:after="0" w:line="8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These documents can also be requested through, and are available in, the Investor Relations section of our website, which is located at www.gcu.edu, or as described under “Where You Can Find Additional Information” above. The information on, or accessible through, our website does not constitute part of, and is not incorporated into, this prospectus.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86" w:name="page87"/>
    <w:bookmarkEnd w:id="86"/>
    <w:p>
      <w:pPr>
        <w:spacing w:after="0"/>
        <w:rPr>
          <w:rFonts w:ascii="Arial" w:cs="Arial" w:eastAsia="Arial" w:hAnsi="Arial"/>
          <w:sz w:val="11"/>
          <w:szCs w:val="11"/>
          <w:b w:val="1"/>
          <w:bCs w:val="1"/>
          <w:u w:val="single" w:color="auto"/>
          <w:color w:val="0000EE"/>
        </w:rPr>
      </w:pP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933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9334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Authority, Inc. filing fee. The following expenses will be borne solely by the registrant.</w:t>
      </w:r>
    </w:p>
    <w:p>
      <w:pPr>
        <w:sectPr>
          <w:pgSz w:w="11900" w:h="16838" w:orient="portrait"/>
          <w:cols w:equalWidth="0" w:num="1">
            <w:col w:w="10660"/>
          </w:cols>
          <w:pgMar w:left="220" w:top="343" w:right="1019" w:bottom="1440" w:gutter="0" w:footer="0" w:header="0"/>
        </w:sectPr>
      </w:pPr>
    </w:p>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97790</wp:posOffset>
            </wp:positionV>
            <wp:extent cx="82359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8,442</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15,628</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5715</wp:posOffset>
            </wp:positionV>
            <wp:extent cx="31178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118110</wp:posOffset>
            </wp:positionV>
            <wp:extent cx="31178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130810</wp:posOffset>
            </wp:positionV>
            <wp:extent cx="31178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9480" w:space="720"/>
            <w:col w:w="460"/>
          </w:cols>
          <w:pgMar w:left="220" w:top="343" w:right="1019" w:bottom="1440" w:gutter="0" w:footer="0" w:header="0"/>
          <w:type w:val="continuous"/>
        </w:sectPr>
      </w:pPr>
    </w:p>
    <w:p>
      <w:pPr>
        <w:spacing w:after="0" w:line="4"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  Estimate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Section 8.1 of our bylaws provides that we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further provides for the advancement of expenses to each of our officers and directors.</w:t>
      </w:r>
    </w:p>
    <w:p>
      <w:pPr>
        <w:spacing w:after="0" w:line="4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Article VIII of our charter provides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5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have entered into indemnification agreements with each of our directors and our executive officers. These agreements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January 1, 2006,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 investment entity controlled by Brent D. Richardson, our Executive Chairman, and Christopher C. Richardson, our General Counsel and a director), and 935 shares were sold to 220 GCU, L.P. and its affiliates. The purchase price payable by Rich Crow Enterprises for its shares of Series C preferred stock was paid in part by the exchange of the 865 outstanding shares of Series B preferred stock it purchased in 2006. The sales were made in reliance on Rule 506 of Regulation D promulgated under the Securities Act.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November 2008, we issued, in reliance on Section 4(2) of the Securities Act, 909,348 shares of our common stock upon the exercise of a warrant that was issued in June 2004. The exercise price of the warrant was approximately $0.58 per share, or $526,316 of the aggregate.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November 2008, we granted, in reliance on Section 4(2) of the Securities Act, 109,329 shares of our common stock to our Chief Executive Officer.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40" w:type="dxa"/>
            <w:vAlign w:val="bottom"/>
          </w:tcPr>
          <w:p>
            <w:pPr>
              <w:spacing w:after="0"/>
              <w:rPr>
                <w:sz w:val="20"/>
                <w:szCs w:val="20"/>
                <w:color w:val="auto"/>
              </w:rPr>
            </w:pPr>
            <w:r>
              <w:rPr>
                <w:rFonts w:ascii="Arial" w:cs="Arial" w:eastAsia="Arial" w:hAnsi="Arial"/>
                <w:sz w:val="13"/>
                <w:szCs w:val="13"/>
                <w:b w:val="1"/>
                <w:bCs w:val="1"/>
                <w:color w:val="auto"/>
              </w:rPr>
              <w:t>Item 16.</w:t>
            </w:r>
          </w:p>
        </w:tc>
        <w:tc>
          <w:tcPr>
            <w:tcW w:w="43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r>
      <w:tr>
        <w:trPr>
          <w:trHeight w:val="246"/>
        </w:trPr>
        <w:tc>
          <w:tcPr>
            <w:tcW w:w="5220" w:type="dxa"/>
            <w:vAlign w:val="bottom"/>
            <w:gridSpan w:val="2"/>
          </w:tcPr>
          <w:p>
            <w:pPr>
              <w:ind w:left="400"/>
              <w:spacing w:after="0"/>
              <w:rPr>
                <w:sz w:val="20"/>
                <w:szCs w:val="20"/>
                <w:color w:val="auto"/>
              </w:rPr>
            </w:pPr>
            <w:r>
              <w:rPr>
                <w:rFonts w:ascii="Arial" w:cs="Arial" w:eastAsia="Arial" w:hAnsi="Arial"/>
                <w:sz w:val="13"/>
                <w:szCs w:val="13"/>
                <w:color w:val="auto"/>
              </w:rPr>
              <w:t>(a) Exhibits</w:t>
            </w:r>
          </w:p>
        </w:tc>
      </w:tr>
      <w:tr>
        <w:trPr>
          <w:trHeight w:val="218"/>
        </w:trPr>
        <w:tc>
          <w:tcPr>
            <w:tcW w:w="84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380" w:type="dxa"/>
            <w:vAlign w:val="bottom"/>
          </w:tcPr>
          <w:p>
            <w:pPr>
              <w:ind w:left="22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40" w:type="dxa"/>
            <w:vAlign w:val="bottom"/>
          </w:tcPr>
          <w:p>
            <w:pPr>
              <w:spacing w:after="0"/>
              <w:rPr>
                <w:sz w:val="20"/>
                <w:szCs w:val="20"/>
                <w:color w:val="auto"/>
              </w:rPr>
            </w:pPr>
            <w:r>
              <w:rPr>
                <w:rFonts w:ascii="Arial" w:cs="Arial" w:eastAsia="Arial" w:hAnsi="Arial"/>
                <w:sz w:val="13"/>
                <w:szCs w:val="13"/>
                <w:color w:val="auto"/>
              </w:rPr>
              <w:t>1.1</w:t>
            </w:r>
          </w:p>
        </w:tc>
        <w:tc>
          <w:tcPr>
            <w:tcW w:w="438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r>
      <w:tr>
        <w:trPr>
          <w:trHeight w:val="165"/>
        </w:trPr>
        <w:tc>
          <w:tcPr>
            <w:tcW w:w="840" w:type="dxa"/>
            <w:vAlign w:val="bottom"/>
          </w:tcPr>
          <w:p>
            <w:pPr>
              <w:spacing w:after="0"/>
              <w:rPr>
                <w:sz w:val="20"/>
                <w:szCs w:val="20"/>
                <w:color w:val="auto"/>
              </w:rPr>
            </w:pPr>
            <w:r>
              <w:rPr>
                <w:rFonts w:ascii="Arial" w:cs="Arial" w:eastAsia="Arial" w:hAnsi="Arial"/>
                <w:sz w:val="13"/>
                <w:szCs w:val="13"/>
                <w:color w:val="auto"/>
              </w:rPr>
              <w:t>3.1</w:t>
            </w:r>
          </w:p>
        </w:tc>
        <w:tc>
          <w:tcPr>
            <w:tcW w:w="4380" w:type="dxa"/>
            <w:vAlign w:val="bottom"/>
          </w:tcPr>
          <w:p>
            <w:pPr>
              <w:ind w:left="80"/>
              <w:spacing w:after="0"/>
              <w:rPr>
                <w:sz w:val="20"/>
                <w:szCs w:val="20"/>
                <w:color w:val="auto"/>
              </w:rPr>
            </w:pPr>
            <w:r>
              <w:rPr>
                <w:rFonts w:ascii="Arial" w:cs="Arial" w:eastAsia="Arial" w:hAnsi="Arial"/>
                <w:sz w:val="13"/>
                <w:szCs w:val="13"/>
                <w:color w:val="auto"/>
              </w:rPr>
              <w:t>Amended and Restated Certificate of Incorporation</w:t>
            </w:r>
          </w:p>
        </w:tc>
      </w:tr>
      <w:tr>
        <w:trPr>
          <w:trHeight w:val="315"/>
        </w:trPr>
        <w:tc>
          <w:tcPr>
            <w:tcW w:w="840" w:type="dxa"/>
            <w:vAlign w:val="bottom"/>
          </w:tcPr>
          <w:p>
            <w:pPr>
              <w:spacing w:after="0"/>
              <w:rPr>
                <w:sz w:val="20"/>
                <w:szCs w:val="20"/>
                <w:color w:val="auto"/>
              </w:rPr>
            </w:pPr>
            <w:r>
              <w:rPr>
                <w:rFonts w:ascii="Arial" w:cs="Arial" w:eastAsia="Arial" w:hAnsi="Arial"/>
                <w:sz w:val="13"/>
                <w:szCs w:val="13"/>
                <w:color w:val="auto"/>
              </w:rPr>
              <w:t>3.2</w:t>
            </w:r>
          </w:p>
        </w:tc>
        <w:tc>
          <w:tcPr>
            <w:tcW w:w="4380" w:type="dxa"/>
            <w:vAlign w:val="bottom"/>
          </w:tcPr>
          <w:p>
            <w:pPr>
              <w:ind w:left="80"/>
              <w:spacing w:after="0"/>
              <w:rPr>
                <w:sz w:val="20"/>
                <w:szCs w:val="20"/>
                <w:color w:val="auto"/>
              </w:rPr>
            </w:pPr>
            <w:r>
              <w:rPr>
                <w:rFonts w:ascii="Arial" w:cs="Arial" w:eastAsia="Arial" w:hAnsi="Arial"/>
                <w:sz w:val="13"/>
                <w:szCs w:val="13"/>
                <w:color w:val="auto"/>
              </w:rPr>
              <w:t>Amended and Restated Bylaws</w:t>
            </w:r>
          </w:p>
        </w:tc>
      </w:tr>
      <w:tr>
        <w:trPr>
          <w:trHeight w:val="315"/>
        </w:trPr>
        <w:tc>
          <w:tcPr>
            <w:tcW w:w="840" w:type="dxa"/>
            <w:vAlign w:val="bottom"/>
          </w:tcPr>
          <w:p>
            <w:pPr>
              <w:spacing w:after="0"/>
              <w:rPr>
                <w:sz w:val="20"/>
                <w:szCs w:val="20"/>
                <w:color w:val="auto"/>
              </w:rPr>
            </w:pPr>
            <w:r>
              <w:rPr>
                <w:rFonts w:ascii="Arial" w:cs="Arial" w:eastAsia="Arial" w:hAnsi="Arial"/>
                <w:sz w:val="13"/>
                <w:szCs w:val="13"/>
                <w:color w:val="auto"/>
              </w:rPr>
              <w:t>4.1</w:t>
            </w:r>
          </w:p>
        </w:tc>
        <w:tc>
          <w:tcPr>
            <w:tcW w:w="4380" w:type="dxa"/>
            <w:vAlign w:val="bottom"/>
          </w:tcPr>
          <w:p>
            <w:pPr>
              <w:ind w:left="80"/>
              <w:spacing w:after="0"/>
              <w:rPr>
                <w:sz w:val="20"/>
                <w:szCs w:val="20"/>
                <w:color w:val="auto"/>
              </w:rPr>
            </w:pPr>
            <w:r>
              <w:rPr>
                <w:rFonts w:ascii="Arial" w:cs="Arial" w:eastAsia="Arial" w:hAnsi="Arial"/>
                <w:sz w:val="13"/>
                <w:szCs w:val="13"/>
                <w:color w:val="auto"/>
              </w:rPr>
              <w:t>Specimen of Stock Certificate</w:t>
            </w:r>
          </w:p>
        </w:tc>
      </w:tr>
      <w:tr>
        <w:trPr>
          <w:trHeight w:val="307"/>
        </w:trPr>
        <w:tc>
          <w:tcPr>
            <w:tcW w:w="840" w:type="dxa"/>
            <w:vAlign w:val="bottom"/>
          </w:tcPr>
          <w:p>
            <w:pPr>
              <w:spacing w:after="0"/>
              <w:rPr>
                <w:sz w:val="20"/>
                <w:szCs w:val="20"/>
                <w:color w:val="auto"/>
              </w:rPr>
            </w:pPr>
            <w:r>
              <w:rPr>
                <w:rFonts w:ascii="Arial" w:cs="Arial" w:eastAsia="Arial" w:hAnsi="Arial"/>
                <w:sz w:val="13"/>
                <w:szCs w:val="13"/>
                <w:color w:val="auto"/>
              </w:rPr>
              <w:t>4.2</w:t>
            </w:r>
          </w:p>
        </w:tc>
        <w:tc>
          <w:tcPr>
            <w:tcW w:w="4380" w:type="dxa"/>
            <w:vAlign w:val="bottom"/>
          </w:tcPr>
          <w:p>
            <w:pPr>
              <w:ind w:left="80"/>
              <w:spacing w:after="0"/>
              <w:rPr>
                <w:sz w:val="20"/>
                <w:szCs w:val="20"/>
                <w:color w:val="auto"/>
              </w:rPr>
            </w:pPr>
            <w:r>
              <w:rPr>
                <w:rFonts w:ascii="Arial" w:cs="Arial" w:eastAsia="Arial" w:hAnsi="Arial"/>
                <w:sz w:val="13"/>
                <w:szCs w:val="13"/>
                <w:color w:val="auto"/>
                <w:w w:val="89"/>
              </w:rPr>
              <w:t>Amended and Restated Investor Rights Agreement, dated September 17, 2008, by</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w w:val="94"/>
              </w:rPr>
              <w:t>and among Grand Canyon Education, Inc. and the other parties named therein</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5.1</w:t>
            </w:r>
          </w:p>
        </w:tc>
        <w:tc>
          <w:tcPr>
            <w:tcW w:w="4380" w:type="dxa"/>
            <w:vAlign w:val="bottom"/>
          </w:tcPr>
          <w:p>
            <w:pPr>
              <w:ind w:left="80"/>
              <w:spacing w:after="0"/>
              <w:rPr>
                <w:sz w:val="20"/>
                <w:szCs w:val="20"/>
                <w:color w:val="auto"/>
              </w:rPr>
            </w:pPr>
            <w:r>
              <w:rPr>
                <w:rFonts w:ascii="Arial" w:cs="Arial" w:eastAsia="Arial" w:hAnsi="Arial"/>
                <w:sz w:val="13"/>
                <w:szCs w:val="13"/>
                <w:color w:val="auto"/>
                <w:w w:val="96"/>
              </w:rPr>
              <w:t>Opinion of DLA Piper LLP (US) regarding the validating of the common stock</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w:t>
            </w:r>
          </w:p>
        </w:tc>
        <w:tc>
          <w:tcPr>
            <w:tcW w:w="4380" w:type="dxa"/>
            <w:vAlign w:val="bottom"/>
          </w:tcPr>
          <w:p>
            <w:pPr>
              <w:ind w:left="8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w w:val="93"/>
              </w:rPr>
              <w:t>2008, by and between Grand Canyon Education, Inc. and Brent D. Richardson†</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w:t>
            </w:r>
          </w:p>
        </w:tc>
        <w:tc>
          <w:tcPr>
            <w:tcW w:w="4380" w:type="dxa"/>
            <w:vAlign w:val="bottom"/>
          </w:tcPr>
          <w:p>
            <w:pPr>
              <w:ind w:left="8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2008, by and between Grand Canyon Education, Inc. and Christopher C.</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Richardson†</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w:t>
            </w:r>
          </w:p>
        </w:tc>
        <w:tc>
          <w:tcPr>
            <w:tcW w:w="4380" w:type="dxa"/>
            <w:vAlign w:val="bottom"/>
          </w:tcPr>
          <w:p>
            <w:pPr>
              <w:ind w:left="80"/>
              <w:spacing w:after="0"/>
              <w:rPr>
                <w:sz w:val="20"/>
                <w:szCs w:val="20"/>
                <w:color w:val="auto"/>
              </w:rPr>
            </w:pPr>
            <w:r>
              <w:rPr>
                <w:rFonts w:ascii="Arial" w:cs="Arial" w:eastAsia="Arial" w:hAnsi="Arial"/>
                <w:sz w:val="13"/>
                <w:szCs w:val="13"/>
                <w:color w:val="auto"/>
                <w:w w:val="94"/>
              </w:rPr>
              <w:t>Executive Employment Agreement, dated September 1, 2008, by and between</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Grand Canyon Education, Inc. and Kathy Player†</w:t>
            </w:r>
          </w:p>
        </w:tc>
      </w:tr>
      <w:tr>
        <w:trPr>
          <w:trHeight w:val="165"/>
        </w:trPr>
        <w:tc>
          <w:tcPr>
            <w:tcW w:w="840" w:type="dxa"/>
            <w:vAlign w:val="bottom"/>
          </w:tcPr>
          <w:p>
            <w:pPr>
              <w:spacing w:after="0"/>
              <w:rPr>
                <w:sz w:val="20"/>
                <w:szCs w:val="20"/>
                <w:color w:val="auto"/>
              </w:rPr>
            </w:pPr>
            <w:r>
              <w:rPr>
                <w:rFonts w:ascii="Arial" w:cs="Arial" w:eastAsia="Arial" w:hAnsi="Arial"/>
                <w:sz w:val="13"/>
                <w:szCs w:val="13"/>
                <w:color w:val="auto"/>
              </w:rPr>
              <w:t>10.4</w:t>
            </w:r>
          </w:p>
        </w:tc>
        <w:tc>
          <w:tcPr>
            <w:tcW w:w="4380" w:type="dxa"/>
            <w:vAlign w:val="bottom"/>
          </w:tcPr>
          <w:p>
            <w:pPr>
              <w:ind w:left="80"/>
              <w:spacing w:after="0"/>
              <w:rPr>
                <w:sz w:val="20"/>
                <w:szCs w:val="20"/>
                <w:color w:val="auto"/>
              </w:rPr>
            </w:pPr>
            <w:r>
              <w:rPr>
                <w:rFonts w:ascii="Arial" w:cs="Arial" w:eastAsia="Arial" w:hAnsi="Arial"/>
                <w:sz w:val="13"/>
                <w:szCs w:val="13"/>
                <w:color w:val="auto"/>
              </w:rPr>
              <w:t>2008 Equity Incentive Plan†</w:t>
            </w:r>
          </w:p>
        </w:tc>
      </w:tr>
      <w:tr>
        <w:trPr>
          <w:trHeight w:val="315"/>
        </w:trPr>
        <w:tc>
          <w:tcPr>
            <w:tcW w:w="840" w:type="dxa"/>
            <w:vAlign w:val="bottom"/>
          </w:tcPr>
          <w:p>
            <w:pPr>
              <w:spacing w:after="0"/>
              <w:rPr>
                <w:sz w:val="20"/>
                <w:szCs w:val="20"/>
                <w:color w:val="auto"/>
              </w:rPr>
            </w:pPr>
            <w:r>
              <w:rPr>
                <w:rFonts w:ascii="Arial" w:cs="Arial" w:eastAsia="Arial" w:hAnsi="Arial"/>
                <w:sz w:val="13"/>
                <w:szCs w:val="13"/>
                <w:color w:val="auto"/>
              </w:rPr>
              <w:t>10.5</w:t>
            </w:r>
          </w:p>
        </w:tc>
        <w:tc>
          <w:tcPr>
            <w:tcW w:w="4380" w:type="dxa"/>
            <w:vAlign w:val="bottom"/>
          </w:tcPr>
          <w:p>
            <w:pPr>
              <w:ind w:left="80"/>
              <w:spacing w:after="0"/>
              <w:rPr>
                <w:sz w:val="20"/>
                <w:szCs w:val="20"/>
                <w:color w:val="auto"/>
              </w:rPr>
            </w:pPr>
            <w:r>
              <w:rPr>
                <w:rFonts w:ascii="Arial" w:cs="Arial" w:eastAsia="Arial" w:hAnsi="Arial"/>
                <w:sz w:val="13"/>
                <w:szCs w:val="13"/>
                <w:color w:val="auto"/>
              </w:rPr>
              <w:t>2008 Employee Stock Purchase Plan†</w:t>
            </w:r>
          </w:p>
        </w:tc>
      </w:tr>
      <w:tr>
        <w:trPr>
          <w:trHeight w:val="307"/>
        </w:trPr>
        <w:tc>
          <w:tcPr>
            <w:tcW w:w="840" w:type="dxa"/>
            <w:vAlign w:val="bottom"/>
          </w:tcPr>
          <w:p>
            <w:pPr>
              <w:spacing w:after="0"/>
              <w:rPr>
                <w:sz w:val="20"/>
                <w:szCs w:val="20"/>
                <w:color w:val="auto"/>
              </w:rPr>
            </w:pPr>
            <w:r>
              <w:rPr>
                <w:rFonts w:ascii="Arial" w:cs="Arial" w:eastAsia="Arial" w:hAnsi="Arial"/>
                <w:sz w:val="13"/>
                <w:szCs w:val="13"/>
                <w:color w:val="auto"/>
              </w:rPr>
              <w:t>10.6</w:t>
            </w:r>
          </w:p>
        </w:tc>
        <w:tc>
          <w:tcPr>
            <w:tcW w:w="4380" w:type="dxa"/>
            <w:vAlign w:val="bottom"/>
          </w:tcPr>
          <w:p>
            <w:pPr>
              <w:ind w:left="80"/>
              <w:spacing w:after="0"/>
              <w:rPr>
                <w:sz w:val="20"/>
                <w:szCs w:val="20"/>
                <w:color w:val="auto"/>
              </w:rPr>
            </w:pPr>
            <w:r>
              <w:rPr>
                <w:rFonts w:ascii="Arial" w:cs="Arial" w:eastAsia="Arial" w:hAnsi="Arial"/>
                <w:sz w:val="13"/>
                <w:szCs w:val="13"/>
                <w:color w:val="auto"/>
              </w:rPr>
              <w:t>Lease Agreement, effective June 28, 2004, by and between Spirit Finance</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Acquisitions, LLC and Significant Education, LLC</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10.7</w:t>
            </w:r>
          </w:p>
        </w:tc>
        <w:tc>
          <w:tcPr>
            <w:tcW w:w="4380" w:type="dxa"/>
            <w:vAlign w:val="bottom"/>
          </w:tcPr>
          <w:p>
            <w:pPr>
              <w:ind w:left="80"/>
              <w:spacing w:after="0"/>
              <w:rPr>
                <w:sz w:val="20"/>
                <w:szCs w:val="20"/>
                <w:color w:val="auto"/>
              </w:rPr>
            </w:pPr>
            <w:r>
              <w:rPr>
                <w:rFonts w:ascii="Arial" w:cs="Arial" w:eastAsia="Arial" w:hAnsi="Arial"/>
                <w:sz w:val="13"/>
                <w:szCs w:val="13"/>
                <w:color w:val="auto"/>
                <w:w w:val="96"/>
              </w:rPr>
              <w:t>First Amendment to Lease Agreement, effective September 24, 2004, by and</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between Spirit Finance Acquisitions, LLC and Significant Education, LLC</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w:t>
            </w:r>
          </w:p>
        </w:tc>
        <w:tc>
          <w:tcPr>
            <w:tcW w:w="4380" w:type="dxa"/>
            <w:vAlign w:val="bottom"/>
          </w:tcPr>
          <w:p>
            <w:pPr>
              <w:ind w:left="80"/>
              <w:spacing w:after="0"/>
              <w:rPr>
                <w:sz w:val="20"/>
                <w:szCs w:val="20"/>
                <w:color w:val="auto"/>
              </w:rPr>
            </w:pPr>
            <w:r>
              <w:rPr>
                <w:rFonts w:ascii="Arial" w:cs="Arial" w:eastAsia="Arial" w:hAnsi="Arial"/>
                <w:sz w:val="13"/>
                <w:szCs w:val="13"/>
                <w:color w:val="auto"/>
                <w:w w:val="97"/>
              </w:rPr>
              <w:t>Second Amendment to Lease Agreement, effective August 23, 2005, by and</w:t>
            </w:r>
          </w:p>
        </w:tc>
      </w:tr>
      <w:tr>
        <w:trPr>
          <w:trHeight w:val="165"/>
        </w:trPr>
        <w:tc>
          <w:tcPr>
            <w:tcW w:w="8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between Spirit Master Funding, LLC and Significant Education,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-2726055</wp:posOffset>
            </wp:positionV>
            <wp:extent cx="635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 be filed by amendment.</w:t>
      </w:r>
    </w:p>
    <w:p>
      <w:pPr>
        <w:spacing w:after="0" w:line="15" w:lineRule="exact"/>
        <w:rPr>
          <w:sz w:val="20"/>
          <w:szCs w:val="20"/>
          <w:color w:val="auto"/>
        </w:rPr>
      </w:pPr>
    </w:p>
    <w:p>
      <w:pPr>
        <w:jc w:val="both"/>
        <w:ind w:right="160"/>
        <w:spacing w:after="0" w:line="273" w:lineRule="auto"/>
        <w:rPr>
          <w:sz w:val="20"/>
          <w:szCs w:val="20"/>
          <w:color w:val="auto"/>
        </w:rPr>
      </w:pPr>
      <w:r>
        <w:rPr>
          <w:rFonts w:ascii="Arial" w:cs="Arial" w:eastAsia="Arial" w:hAnsi="Arial"/>
          <w:sz w:val="12"/>
          <w:szCs w:val="12"/>
          <w:color w:val="auto"/>
        </w:rPr>
        <w:t>Incorporated by reference to Exhibit 3.1 to Amendment No. 6 to the Company’s Registration Statement on Form S-1 filed with the SEC on November 12, 2008. Incorporated by reference to Exhibit 3.2 to Amendment No. 6 to the Company’s Registration Statement on Form S-1 filed with the SEC on November 12, 2008. Incorporated by reference to Exhibit 4.1 to Amendment No. 2 to the Company’s Registration Statement on Form S-1 filed with the SEC on September 29, 2008. Incorporated by reference to Exhibit 4.2 to Amendment No. 2 to the Company’s Registration Statement on Form S-1 filed with the SEC on September 29, 2008. Filed herewith.</w:t>
      </w:r>
    </w:p>
    <w:p>
      <w:pPr>
        <w:spacing w:after="0" w:line="3" w:lineRule="exact"/>
        <w:rPr>
          <w:sz w:val="20"/>
          <w:szCs w:val="20"/>
          <w:color w:val="auto"/>
        </w:rPr>
      </w:pPr>
    </w:p>
    <w:p>
      <w:pPr>
        <w:ind w:right="100"/>
        <w:spacing w:after="0" w:line="317" w:lineRule="auto"/>
        <w:rPr>
          <w:sz w:val="20"/>
          <w:szCs w:val="20"/>
          <w:color w:val="auto"/>
        </w:rPr>
      </w:pPr>
      <w:r>
        <w:rPr>
          <w:rFonts w:ascii="Arial" w:cs="Arial" w:eastAsia="Arial" w:hAnsi="Arial"/>
          <w:sz w:val="11"/>
          <w:szCs w:val="11"/>
          <w:color w:val="auto"/>
        </w:rPr>
        <w:t>Incorporated by reference to Exhibit 10.1 to Amendment No. 2 to the Company’s Registration Statement on Form S-1 filed with the SEC on September 29, 2008. Incorporated by reference to Exhibit 10.2 to Amendment No. 2 to the Company’s Registration Statement on Form S-1 filed with the SEC on September 29, 2008.</w:t>
      </w:r>
    </w:p>
    <w:p>
      <w:pPr>
        <w:spacing w:after="0" w:line="111"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Incorporated by reference to Exhibit 10.1 to the Company’s Current Report on Form 8-K filed with the SEC on March 25, 2009.</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Incorporated by reference to Exhibit 10.4 to Amendment No. 2 to the Company’s Registration Statement on Form S-1 filed with the SEC on September 29, 2008. Incorporated by reference to Exhibit 10.5 to Amendment No. 2 to the Company’s Registration Statement on Form S-1 filed with the SEC on September 29, 2008. Incorporated by reference to Exhibit 10.7 to the Company’s Registration Statement on Form S-1 filed with the SEC on May 13, 2008.</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Incorporated by reference to Exhibit 10.8 to the Company’s Registration Statement on Form S-1 filed with the SEC on May 13, 2008.</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Incorporated by reference to Exhibit 10.9 to the Company’s Registration Statement on Form S-1 filed with the SEC on May 13, 2008.</w:t>
      </w:r>
    </w:p>
    <w:p>
      <w:pPr>
        <w:sectPr>
          <w:pgSz w:w="11900" w:h="16838" w:orient="portrait"/>
          <w:cols w:equalWidth="0" w:num="2">
            <w:col w:w="5900" w:space="380"/>
            <w:col w:w="436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42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10.9</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Third Amendment to Lease Agreement, effective June 2006, by and between Spirit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10.10</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Fourth Amendment to Lease Agreement, effective August 9, 2006, by and between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10.11</w:t>
            </w:r>
          </w:p>
        </w:tc>
        <w:tc>
          <w:tcPr>
            <w:tcW w:w="4420" w:type="dxa"/>
            <w:vAlign w:val="bottom"/>
          </w:tcPr>
          <w:p>
            <w:pPr>
              <w:ind w:left="60"/>
              <w:spacing w:after="0"/>
              <w:rPr>
                <w:sz w:val="20"/>
                <w:szCs w:val="20"/>
                <w:color w:val="auto"/>
              </w:rPr>
            </w:pPr>
            <w:r>
              <w:rPr>
                <w:rFonts w:ascii="Arial" w:cs="Arial" w:eastAsia="Arial" w:hAnsi="Arial"/>
                <w:sz w:val="13"/>
                <w:szCs w:val="13"/>
                <w:color w:val="auto"/>
                <w:w w:val="98"/>
              </w:rPr>
              <w:t>Fifth Amendment to Lease Agreement, effective December 31, 2006,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10.12</w:t>
            </w:r>
          </w:p>
        </w:tc>
        <w:tc>
          <w:tcPr>
            <w:tcW w:w="4420" w:type="dxa"/>
            <w:vAlign w:val="bottom"/>
          </w:tcPr>
          <w:p>
            <w:pPr>
              <w:ind w:left="60"/>
              <w:spacing w:after="0"/>
              <w:rPr>
                <w:sz w:val="20"/>
                <w:szCs w:val="20"/>
                <w:color w:val="auto"/>
              </w:rPr>
            </w:pPr>
            <w:r>
              <w:rPr>
                <w:rFonts w:ascii="Arial" w:cs="Arial" w:eastAsia="Arial" w:hAnsi="Arial"/>
                <w:sz w:val="13"/>
                <w:szCs w:val="13"/>
                <w:color w:val="auto"/>
                <w:w w:val="97"/>
              </w:rPr>
              <w:t>Sixth Amendment to Lease Agreement, effective September 30, 2007,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10.13</w:t>
            </w:r>
          </w:p>
        </w:tc>
        <w:tc>
          <w:tcPr>
            <w:tcW w:w="4420" w:type="dxa"/>
            <w:vAlign w:val="bottom"/>
          </w:tcPr>
          <w:p>
            <w:pPr>
              <w:ind w:left="60"/>
              <w:spacing w:after="0"/>
              <w:rPr>
                <w:sz w:val="20"/>
                <w:szCs w:val="20"/>
                <w:color w:val="auto"/>
              </w:rPr>
            </w:pPr>
            <w:r>
              <w:rPr>
                <w:rFonts w:ascii="Arial" w:cs="Arial" w:eastAsia="Arial" w:hAnsi="Arial"/>
                <w:sz w:val="13"/>
                <w:szCs w:val="13"/>
                <w:color w:val="auto"/>
                <w:w w:val="99"/>
              </w:rPr>
              <w:t>Seventh Amendment to Lease Agreement, effective March 28, 2008,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10.14</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License Agreement, dated June 30, 2004, by and between Blanchard Education,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10.15</w:t>
            </w:r>
          </w:p>
        </w:tc>
        <w:tc>
          <w:tcPr>
            <w:tcW w:w="4420" w:type="dxa"/>
            <w:vAlign w:val="bottom"/>
          </w:tcPr>
          <w:p>
            <w:pPr>
              <w:ind w:left="60"/>
              <w:spacing w:after="0"/>
              <w:rPr>
                <w:sz w:val="20"/>
                <w:szCs w:val="20"/>
                <w:color w:val="auto"/>
              </w:rPr>
            </w:pPr>
            <w:r>
              <w:rPr>
                <w:rFonts w:ascii="Arial" w:cs="Arial" w:eastAsia="Arial" w:hAnsi="Arial"/>
                <w:sz w:val="13"/>
                <w:szCs w:val="13"/>
                <w:color w:val="auto"/>
                <w:w w:val="95"/>
              </w:rPr>
              <w:t>Letter Agreement, dated February 6, 2006, by and between The Ken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Companies and Grand Canyon University</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10.16</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Amendment to License Agreement, dated May 8, 2008, by and between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Education, LLC and Grand Canyon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10.17</w:t>
            </w:r>
          </w:p>
        </w:tc>
        <w:tc>
          <w:tcPr>
            <w:tcW w:w="4420" w:type="dxa"/>
            <w:vAlign w:val="bottom"/>
          </w:tcPr>
          <w:p>
            <w:pPr>
              <w:ind w:left="60"/>
              <w:spacing w:after="0"/>
              <w:rPr>
                <w:sz w:val="20"/>
                <w:szCs w:val="20"/>
                <w:color w:val="auto"/>
              </w:rPr>
            </w:pPr>
            <w:r>
              <w:rPr>
                <w:rFonts w:ascii="Arial" w:cs="Arial" w:eastAsia="Arial" w:hAnsi="Arial"/>
                <w:sz w:val="13"/>
                <w:szCs w:val="13"/>
                <w:color w:val="auto"/>
                <w:w w:val="96"/>
              </w:rPr>
              <w:t>Collaboration Agreement, dated July 11, 2005, by and between Mind Streams,</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2"/>
              </w:rPr>
              <w:t>LLC and Significant Education, LLC (as supplemented by Project One and Project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Two)</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10.18</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Daniel E. Bachus†</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10.19</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Brian E. Mueller†</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10.20</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W. Stan Meyer†</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10.21</w:t>
            </w:r>
          </w:p>
        </w:tc>
        <w:tc>
          <w:tcPr>
            <w:tcW w:w="4420" w:type="dxa"/>
            <w:vAlign w:val="bottom"/>
          </w:tcPr>
          <w:p>
            <w:pPr>
              <w:ind w:left="60"/>
              <w:spacing w:after="0"/>
              <w:rPr>
                <w:sz w:val="20"/>
                <w:szCs w:val="20"/>
                <w:color w:val="auto"/>
              </w:rPr>
            </w:pPr>
            <w:r>
              <w:rPr>
                <w:rFonts w:ascii="Arial" w:cs="Arial" w:eastAsia="Arial" w:hAnsi="Arial"/>
                <w:sz w:val="13"/>
                <w:szCs w:val="13"/>
                <w:color w:val="auto"/>
              </w:rPr>
              <w:t>Form of Director and Officer Indemnity Agreement</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10.22</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Purchase and Sale Agreement, dated April 27, 2009, by and among Grand Canyon</w:t>
            </w:r>
          </w:p>
        </w:tc>
      </w:tr>
      <w:tr>
        <w:trPr>
          <w:trHeight w:val="165"/>
        </w:trPr>
        <w:tc>
          <w:tcPr>
            <w:tcW w:w="860" w:type="dxa"/>
            <w:vAlign w:val="bottom"/>
          </w:tcPr>
          <w:p>
            <w:pPr>
              <w:spacing w:after="0"/>
              <w:rPr>
                <w:sz w:val="14"/>
                <w:szCs w:val="14"/>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6"/>
              </w:rPr>
              <w:t>Education, Inc., Spirit Master Funding, LLC, and Spirit Management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-2926080</wp:posOffset>
            </wp:positionV>
            <wp:extent cx="63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ind w:right="480"/>
        <w:spacing w:after="0" w:line="303" w:lineRule="auto"/>
        <w:rPr>
          <w:sz w:val="20"/>
          <w:szCs w:val="20"/>
          <w:color w:val="auto"/>
        </w:rPr>
      </w:pPr>
      <w:r>
        <w:rPr>
          <w:rFonts w:ascii="Arial" w:cs="Arial" w:eastAsia="Arial" w:hAnsi="Arial"/>
          <w:sz w:val="11"/>
          <w:szCs w:val="11"/>
          <w:color w:val="auto"/>
        </w:rPr>
        <w:t>Incorporated by reference to Exhibit 10.10 to the Company’s Registration Statement on Form S-1 filed with the SEC on May 13, 2008. Incorporated by reference to Exhibit 10.11 to the Company’s Registration Statement on Form S-1 filed with the SEC on May 13, 2008. Incorporated by reference to Exhibit 10.12 to the Company’s Registration Statement on Form S-1 filed with the SEC on May 13, 2008. Incorporated by reference to Exhibit 10.13 to the Company’s Registration Statement on Form S-1 filed with the SEC on May 13, 2008. Incorporated by reference to Exhibit 10.14 to the Company’s Registration Statement on Form S-1 filed with the SEC on May 13, 2008. Incorporated by reference to Exhibit 10.15 to the Company’s Registration Statement on Form S-1 filed with the SEC on May 13, 2008. Incorporated by reference to Exhibit 10.16 to the Company’s Registration Statement on Form S-1 filed with the SEC on May 13, 2008. Incorporated by reference to Exhibit 10.17 to the Company’s Registration Statement on Form S-1 filed with the SEC on May 13, 2008.</w:t>
      </w:r>
    </w:p>
    <w:p>
      <w:pPr>
        <w:spacing w:after="0" w:line="288"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Incorporated by reference to Exhibit 10.18 to Amendment No. 1 to the Company’s Registration Statement on Form S-1 filed with the SEC on August 13, 2008.</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Incorporated by reference to Exhibit 10.19 to Amendment No. 1 to the Company’s Registration Statement on Form S-1 filed with the SEC on August 13, 2008. Incorporated by reference to Exhibit 10.20 to Amendment No. 1 to the Company’s Registration Statement on Form S-1 filed with the SEC on August 13, 2008. Incorporated by reference to Exhibit 10.21 to Amendment No. 1 to the Company’s Registration Statement on Form S-1 filed with the SEC on August 13, 2008. Incorporated by reference to Exhibit 10.21 to Amendment No. 2 to the Company’s Registration Statement on Form S-1 filed with the SEC on September 29, 2008. Incorporated by reference to Exhibit 10.1 to the Company’s Quarterly Report on Form 10-Q filed with the SEC on August 3, 2009.</w:t>
      </w:r>
    </w:p>
    <w:p>
      <w:pPr>
        <w:sectPr>
          <w:pgSz w:w="11900" w:h="16838" w:orient="portrait"/>
          <w:cols w:equalWidth="0" w:num="2">
            <w:col w:w="5960" w:space="320"/>
            <w:col w:w="4340"/>
          </w:cols>
          <w:pgMar w:left="220" w:top="343" w:right="105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56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4400" w:type="dxa"/>
            <w:vAlign w:val="bottom"/>
          </w:tcPr>
          <w:p>
            <w:pPr>
              <w:ind w:left="2360"/>
              <w:spacing w:after="0"/>
              <w:rPr>
                <w:sz w:val="20"/>
                <w:szCs w:val="20"/>
                <w:color w:val="auto"/>
              </w:rPr>
            </w:pPr>
            <w:r>
              <w:rPr>
                <w:rFonts w:ascii="Arial" w:cs="Arial" w:eastAsia="Arial" w:hAnsi="Arial"/>
                <w:sz w:val="10"/>
                <w:szCs w:val="10"/>
                <w:b w:val="1"/>
                <w:bCs w:val="1"/>
                <w:color w:val="auto"/>
              </w:rPr>
              <w:t>Method of Filing</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10.23</w:t>
            </w:r>
          </w:p>
        </w:tc>
        <w:tc>
          <w:tcPr>
            <w:tcW w:w="4560" w:type="dxa"/>
            <w:vAlign w:val="bottom"/>
          </w:tcPr>
          <w:p>
            <w:pPr>
              <w:ind w:left="60"/>
              <w:spacing w:after="0"/>
              <w:rPr>
                <w:sz w:val="20"/>
                <w:szCs w:val="20"/>
                <w:color w:val="auto"/>
              </w:rPr>
            </w:pPr>
            <w:r>
              <w:rPr>
                <w:rFonts w:ascii="Arial" w:cs="Arial" w:eastAsia="Arial" w:hAnsi="Arial"/>
                <w:sz w:val="13"/>
                <w:szCs w:val="13"/>
                <w:color w:val="auto"/>
                <w:w w:val="94"/>
              </w:rPr>
              <w:t>Loan Agreement, dated April 27, 2009, by and between Grand Canyon Education,</w:t>
            </w:r>
          </w:p>
        </w:tc>
        <w:tc>
          <w:tcPr>
            <w:tcW w:w="4400" w:type="dxa"/>
            <w:vAlign w:val="bottom"/>
          </w:tcPr>
          <w:p>
            <w:pPr>
              <w:ind w:left="180"/>
              <w:spacing w:after="0"/>
              <w:rPr>
                <w:sz w:val="20"/>
                <w:szCs w:val="20"/>
                <w:color w:val="auto"/>
              </w:rPr>
            </w:pPr>
            <w:r>
              <w:rPr>
                <w:rFonts w:ascii="Arial" w:cs="Arial" w:eastAsia="Arial" w:hAnsi="Arial"/>
                <w:sz w:val="13"/>
                <w:szCs w:val="13"/>
                <w:color w:val="auto"/>
                <w:w w:val="91"/>
              </w:rPr>
              <w:t>Incorporated by reference to Exhibit 10.2 to the Company’s Quarterly Report on</w:t>
            </w:r>
          </w:p>
        </w:tc>
      </w:tr>
      <w:tr>
        <w:trPr>
          <w:trHeight w:val="157"/>
        </w:trPr>
        <w:tc>
          <w:tcPr>
            <w:tcW w:w="86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Arial" w:cs="Arial" w:eastAsia="Arial" w:hAnsi="Arial"/>
                <w:sz w:val="13"/>
                <w:szCs w:val="13"/>
                <w:color w:val="auto"/>
              </w:rPr>
              <w:t>Inc. and Bank of America, N.A.</w:t>
            </w:r>
          </w:p>
        </w:tc>
        <w:tc>
          <w:tcPr>
            <w:tcW w:w="4400" w:type="dxa"/>
            <w:vAlign w:val="bottom"/>
          </w:tcPr>
          <w:p>
            <w:pPr>
              <w:ind w:left="180"/>
              <w:spacing w:after="0"/>
              <w:rPr>
                <w:sz w:val="20"/>
                <w:szCs w:val="20"/>
                <w:color w:val="auto"/>
              </w:rPr>
            </w:pPr>
            <w:r>
              <w:rPr>
                <w:rFonts w:ascii="Arial" w:cs="Arial" w:eastAsia="Arial" w:hAnsi="Arial"/>
                <w:sz w:val="13"/>
                <w:szCs w:val="13"/>
                <w:color w:val="auto"/>
              </w:rPr>
              <w:t>Form 10-Q filed with the SEC on August 3, 2009.</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23.1</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Independent Registered Public Accounting Firm</w:t>
            </w:r>
          </w:p>
        </w:tc>
        <w:tc>
          <w:tcPr>
            <w:tcW w:w="4400" w:type="dxa"/>
            <w:vAlign w:val="bottom"/>
          </w:tcPr>
          <w:p>
            <w:pPr>
              <w:ind w:left="180"/>
              <w:spacing w:after="0"/>
              <w:rPr>
                <w:sz w:val="20"/>
                <w:szCs w:val="20"/>
                <w:color w:val="auto"/>
              </w:rPr>
            </w:pPr>
            <w:r>
              <w:rPr>
                <w:rFonts w:ascii="Arial" w:cs="Arial" w:eastAsia="Arial" w:hAnsi="Arial"/>
                <w:sz w:val="13"/>
                <w:szCs w:val="13"/>
                <w:color w:val="auto"/>
              </w:rPr>
              <w:t>Filed herewith.</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23.2</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DLA Piper LLP (US)</w:t>
            </w:r>
          </w:p>
        </w:tc>
        <w:tc>
          <w:tcPr>
            <w:tcW w:w="4400" w:type="dxa"/>
            <w:vAlign w:val="bottom"/>
          </w:tcPr>
          <w:p>
            <w:pPr>
              <w:ind w:left="180"/>
              <w:spacing w:after="0"/>
              <w:rPr>
                <w:sz w:val="20"/>
                <w:szCs w:val="20"/>
                <w:color w:val="auto"/>
              </w:rPr>
            </w:pPr>
            <w:r>
              <w:rPr>
                <w:rFonts w:ascii="Arial" w:cs="Arial" w:eastAsia="Arial" w:hAnsi="Arial"/>
                <w:sz w:val="13"/>
                <w:szCs w:val="13"/>
                <w:color w:val="auto"/>
              </w:rPr>
              <w:t>Included in Exhibit 5.1.</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24.1</w:t>
            </w:r>
          </w:p>
        </w:tc>
        <w:tc>
          <w:tcPr>
            <w:tcW w:w="4560" w:type="dxa"/>
            <w:vAlign w:val="bottom"/>
          </w:tcPr>
          <w:p>
            <w:pPr>
              <w:ind w:left="60"/>
              <w:spacing w:after="0"/>
              <w:rPr>
                <w:sz w:val="20"/>
                <w:szCs w:val="20"/>
                <w:color w:val="auto"/>
              </w:rPr>
            </w:pPr>
            <w:r>
              <w:rPr>
                <w:rFonts w:ascii="Arial" w:cs="Arial" w:eastAsia="Arial" w:hAnsi="Arial"/>
                <w:sz w:val="13"/>
                <w:szCs w:val="13"/>
                <w:color w:val="auto"/>
              </w:rPr>
              <w:t>Power of Attorney</w:t>
            </w:r>
          </w:p>
        </w:tc>
        <w:tc>
          <w:tcPr>
            <w:tcW w:w="4400" w:type="dxa"/>
            <w:vAlign w:val="bottom"/>
          </w:tcPr>
          <w:p>
            <w:pPr>
              <w:ind w:left="180"/>
              <w:spacing w:after="0"/>
              <w:rPr>
                <w:sz w:val="20"/>
                <w:szCs w:val="20"/>
                <w:color w:val="auto"/>
              </w:rPr>
            </w:pPr>
            <w:r>
              <w:rPr>
                <w:rFonts w:ascii="Arial" w:cs="Arial" w:eastAsia="Arial" w:hAnsi="Arial"/>
                <w:sz w:val="13"/>
                <w:szCs w:val="13"/>
                <w:color w:val="auto"/>
              </w:rPr>
              <w:t>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-528955</wp:posOffset>
            </wp:positionV>
            <wp:extent cx="63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-528955</wp:posOffset>
            </wp:positionV>
            <wp:extent cx="2476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42"/>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SIGNATURES</w:t>
      </w:r>
    </w:p>
    <w:p>
      <w:pPr>
        <w:spacing w:after="0" w:line="81"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August 26, 2009.</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0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Name: 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Title: Chief Executive Officer and Director</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Brian E. Mueller, Daniel E. Bachus, Brent D. Richardson, and Christopher C. Richardson, and each of them, his true and lawful attorneys-in-fact and agents, with full power of substitution and resubstitution, for him and in his name, place and stead, in any and all capacities, to sign such registration statement and any and all amendments, including past-effective amendments, to this registration statement, including a prospectus or amended prospectus therein and any registration statement for the same offering that is to be effective upon filing pursuant to Rule 462(b) under the Securities Act, and to file the same with all documents in connection therewith to be filed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2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registration statement and the Power of Attorney has been signed below by the following persons on behalf of the registrant and in the capacities and on the dates indicated.</w:t>
      </w:r>
    </w:p>
    <w:p>
      <w:pPr>
        <w:spacing w:after="0" w:line="41" w:lineRule="exact"/>
        <w:rPr>
          <w:sz w:val="20"/>
          <w:szCs w:val="20"/>
          <w:color w:val="auto"/>
        </w:rPr>
      </w:pPr>
    </w:p>
    <w:tbl>
      <w:tblPr>
        <w:tblLayout w:type="fixed"/>
        <w:tblInd w:w="110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3540" w:type="dxa"/>
            <w:vAlign w:val="bottom"/>
          </w:tcPr>
          <w:p>
            <w:pPr>
              <w:ind w:left="14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360" w:type="dxa"/>
            <w:vAlign w:val="bottom"/>
          </w:tcPr>
          <w:p>
            <w:pPr>
              <w:ind w:left="22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1240" w:type="dxa"/>
            <w:vAlign w:val="bottom"/>
          </w:tcPr>
          <w:p>
            <w:pPr>
              <w:ind w:left="800"/>
              <w:spacing w:after="0"/>
              <w:rPr>
                <w:sz w:val="20"/>
                <w:szCs w:val="20"/>
                <w:color w:val="auto"/>
              </w:rPr>
            </w:pPr>
            <w:r>
              <w:rPr>
                <w:rFonts w:ascii="Arial" w:cs="Arial" w:eastAsia="Arial" w:hAnsi="Arial"/>
                <w:sz w:val="10"/>
                <w:szCs w:val="10"/>
                <w:b w:val="1"/>
                <w:bCs w:val="1"/>
                <w:color w:val="auto"/>
              </w:rPr>
              <w:t>Date</w:t>
            </w:r>
          </w:p>
        </w:tc>
      </w:tr>
      <w:tr>
        <w:trPr>
          <w:trHeight w:val="382"/>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Brent D. Richardson</w:t>
            </w:r>
          </w:p>
        </w:tc>
        <w:tc>
          <w:tcPr>
            <w:tcW w:w="4360" w:type="dxa"/>
            <w:vAlign w:val="bottom"/>
          </w:tcPr>
          <w:p>
            <w:pPr>
              <w:jc w:val="center"/>
              <w:ind w:left="36"/>
              <w:spacing w:after="0"/>
              <w:rPr>
                <w:sz w:val="20"/>
                <w:szCs w:val="20"/>
                <w:color w:val="auto"/>
              </w:rPr>
            </w:pPr>
            <w:r>
              <w:rPr>
                <w:rFonts w:ascii="Arial" w:cs="Arial" w:eastAsia="Arial" w:hAnsi="Arial"/>
                <w:sz w:val="13"/>
                <w:szCs w:val="13"/>
                <w:color w:val="auto"/>
                <w:w w:val="91"/>
              </w:rPr>
              <w:t>Executive Chairman</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color w:val="auto"/>
              </w:rPr>
              <w:t>Brent D. Richardson</w:t>
            </w:r>
          </w:p>
        </w:tc>
        <w:tc>
          <w:tcPr>
            <w:tcW w:w="4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7"/>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Brian E. Mueller</w:t>
            </w:r>
          </w:p>
        </w:tc>
        <w:tc>
          <w:tcPr>
            <w:tcW w:w="4360" w:type="dxa"/>
            <w:vAlign w:val="bottom"/>
          </w:tcPr>
          <w:p>
            <w:pPr>
              <w:jc w:val="center"/>
              <w:ind w:left="36"/>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color w:val="auto"/>
              </w:rPr>
              <w:t>Brian E. Mueller</w:t>
            </w:r>
          </w:p>
        </w:tc>
        <w:tc>
          <w:tcPr>
            <w:tcW w:w="4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Daniel E. Bachus</w:t>
            </w:r>
          </w:p>
        </w:tc>
        <w:tc>
          <w:tcPr>
            <w:tcW w:w="4360" w:type="dxa"/>
            <w:vAlign w:val="bottom"/>
          </w:tcPr>
          <w:p>
            <w:pPr>
              <w:jc w:val="center"/>
              <w:ind w:left="36"/>
              <w:spacing w:after="0"/>
              <w:rPr>
                <w:sz w:val="20"/>
                <w:szCs w:val="20"/>
                <w:color w:val="auto"/>
              </w:rPr>
            </w:pPr>
            <w:r>
              <w:rPr>
                <w:rFonts w:ascii="Arial" w:cs="Arial" w:eastAsia="Arial" w:hAnsi="Arial"/>
                <w:sz w:val="13"/>
                <w:szCs w:val="13"/>
                <w:color w:val="auto"/>
                <w:w w:val="95"/>
              </w:rPr>
              <w:t>Chief Financial Officer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3"/>
                <w:szCs w:val="13"/>
                <w:color w:val="auto"/>
              </w:rPr>
              <w:t>Daniel E. Bachus</w:t>
            </w:r>
          </w:p>
        </w:tc>
        <w:tc>
          <w:tcPr>
            <w:tcW w:w="4360" w:type="dxa"/>
            <w:vAlign w:val="bottom"/>
          </w:tcPr>
          <w:p>
            <w:pPr>
              <w:jc w:val="center"/>
              <w:ind w:left="36"/>
              <w:spacing w:after="0" w:line="130" w:lineRule="exact"/>
              <w:rPr>
                <w:sz w:val="20"/>
                <w:szCs w:val="20"/>
                <w:color w:val="auto"/>
              </w:rPr>
            </w:pPr>
            <w:r>
              <w:rPr>
                <w:rFonts w:ascii="Arial" w:cs="Arial" w:eastAsia="Arial" w:hAnsi="Arial"/>
                <w:sz w:val="13"/>
                <w:szCs w:val="13"/>
                <w:color w:val="auto"/>
                <w:w w:val="94"/>
              </w:rPr>
              <w:t>(Principal Financial Officer and Principal</w:t>
            </w:r>
          </w:p>
        </w:tc>
        <w:tc>
          <w:tcPr>
            <w:tcW w:w="1240" w:type="dxa"/>
            <w:vAlign w:val="bottom"/>
          </w:tcPr>
          <w:p>
            <w:pPr>
              <w:spacing w:after="0"/>
              <w:rPr>
                <w:sz w:val="11"/>
                <w:szCs w:val="11"/>
                <w:color w:val="auto"/>
              </w:rPr>
            </w:pPr>
          </w:p>
        </w:tc>
      </w:tr>
      <w:tr>
        <w:trPr>
          <w:trHeight w:val="165"/>
        </w:trPr>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360" w:type="dxa"/>
            <w:vAlign w:val="bottom"/>
          </w:tcPr>
          <w:p>
            <w:pPr>
              <w:jc w:val="center"/>
              <w:ind w:left="36"/>
              <w:spacing w:after="0"/>
              <w:rPr>
                <w:sz w:val="20"/>
                <w:szCs w:val="20"/>
                <w:color w:val="auto"/>
              </w:rPr>
            </w:pPr>
            <w:r>
              <w:rPr>
                <w:rFonts w:ascii="Arial" w:cs="Arial" w:eastAsia="Arial" w:hAnsi="Arial"/>
                <w:sz w:val="13"/>
                <w:szCs w:val="13"/>
                <w:color w:val="auto"/>
                <w:w w:val="95"/>
              </w:rPr>
              <w:t>Accounting Officer)</w:t>
            </w:r>
          </w:p>
        </w:tc>
        <w:tc>
          <w:tcPr>
            <w:tcW w:w="1240" w:type="dxa"/>
            <w:vAlign w:val="bottom"/>
          </w:tcPr>
          <w:p>
            <w:pPr>
              <w:spacing w:after="0"/>
              <w:rPr>
                <w:sz w:val="14"/>
                <w:szCs w:val="14"/>
                <w:color w:val="auto"/>
              </w:rPr>
            </w:pPr>
          </w:p>
        </w:tc>
      </w:tr>
      <w:tr>
        <w:trPr>
          <w:trHeight w:val="27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Christopher C. Richardson</w:t>
            </w:r>
          </w:p>
        </w:tc>
        <w:tc>
          <w:tcPr>
            <w:tcW w:w="4360" w:type="dxa"/>
            <w:vAlign w:val="bottom"/>
          </w:tcPr>
          <w:p>
            <w:pPr>
              <w:jc w:val="center"/>
              <w:ind w:left="36"/>
              <w:spacing w:after="0"/>
              <w:rPr>
                <w:sz w:val="20"/>
                <w:szCs w:val="20"/>
                <w:color w:val="auto"/>
              </w:rPr>
            </w:pPr>
            <w:r>
              <w:rPr>
                <w:rFonts w:ascii="Arial" w:cs="Arial" w:eastAsia="Arial" w:hAnsi="Arial"/>
                <w:sz w:val="13"/>
                <w:szCs w:val="13"/>
                <w:color w:val="auto"/>
                <w:w w:val="91"/>
              </w:rPr>
              <w:t>General Counsel and 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color w:val="auto"/>
              </w:rPr>
              <w:t>Christopher C. Richardson</w:t>
            </w:r>
          </w:p>
        </w:tc>
        <w:tc>
          <w:tcPr>
            <w:tcW w:w="4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7"/>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David J. Johnson</w:t>
            </w:r>
          </w:p>
        </w:tc>
        <w:tc>
          <w:tcPr>
            <w:tcW w:w="4360" w:type="dxa"/>
            <w:vAlign w:val="bottom"/>
          </w:tcPr>
          <w:p>
            <w:pPr>
              <w:jc w:val="center"/>
              <w:ind w:left="56"/>
              <w:spacing w:after="0"/>
              <w:rPr>
                <w:sz w:val="20"/>
                <w:szCs w:val="20"/>
                <w:color w:val="auto"/>
              </w:rPr>
            </w:pPr>
            <w:r>
              <w:rPr>
                <w:rFonts w:ascii="Arial" w:cs="Arial" w:eastAsia="Arial" w:hAnsi="Arial"/>
                <w:sz w:val="13"/>
                <w:szCs w:val="13"/>
                <w:color w:val="auto"/>
                <w:w w:val="96"/>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color w:val="auto"/>
              </w:rPr>
              <w:t>David J. Johnson</w:t>
            </w:r>
          </w:p>
        </w:tc>
        <w:tc>
          <w:tcPr>
            <w:tcW w:w="4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7"/>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Jack A. Henry</w:t>
            </w:r>
          </w:p>
        </w:tc>
        <w:tc>
          <w:tcPr>
            <w:tcW w:w="4360" w:type="dxa"/>
            <w:vAlign w:val="bottom"/>
          </w:tcPr>
          <w:p>
            <w:pPr>
              <w:jc w:val="center"/>
              <w:ind w:left="56"/>
              <w:spacing w:after="0"/>
              <w:rPr>
                <w:sz w:val="20"/>
                <w:szCs w:val="20"/>
                <w:color w:val="auto"/>
              </w:rPr>
            </w:pPr>
            <w:r>
              <w:rPr>
                <w:rFonts w:ascii="Arial" w:cs="Arial" w:eastAsia="Arial" w:hAnsi="Arial"/>
                <w:sz w:val="13"/>
                <w:szCs w:val="13"/>
                <w:color w:val="auto"/>
                <w:w w:val="96"/>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color w:val="auto"/>
              </w:rPr>
              <w:t>Jack A. Henry</w:t>
            </w:r>
          </w:p>
        </w:tc>
        <w:tc>
          <w:tcPr>
            <w:tcW w:w="4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 Mark Dorman</w:t>
            </w:r>
          </w:p>
        </w:tc>
        <w:tc>
          <w:tcPr>
            <w:tcW w:w="4360" w:type="dxa"/>
            <w:vAlign w:val="bottom"/>
          </w:tcPr>
          <w:p>
            <w:pPr>
              <w:jc w:val="center"/>
              <w:ind w:left="56"/>
              <w:spacing w:after="0"/>
              <w:rPr>
                <w:sz w:val="20"/>
                <w:szCs w:val="20"/>
                <w:color w:val="auto"/>
              </w:rPr>
            </w:pPr>
            <w:r>
              <w:rPr>
                <w:rFonts w:ascii="Arial" w:cs="Arial" w:eastAsia="Arial" w:hAnsi="Arial"/>
                <w:sz w:val="13"/>
                <w:szCs w:val="13"/>
                <w:color w:val="auto"/>
                <w:w w:val="96"/>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color w:val="auto"/>
              </w:rPr>
              <w:t>D. Mark Dorman</w:t>
            </w:r>
          </w:p>
        </w:tc>
        <w:tc>
          <w:tcPr>
            <w:tcW w:w="4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66"/>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3540" w:type="dxa"/>
            <w:vAlign w:val="bottom"/>
          </w:tcPr>
          <w:p>
            <w:pPr>
              <w:ind w:left="40"/>
              <w:spacing w:after="0"/>
              <w:rPr>
                <w:sz w:val="20"/>
                <w:szCs w:val="20"/>
                <w:color w:val="auto"/>
              </w:rPr>
            </w:pPr>
            <w:r>
              <w:rPr>
                <w:rFonts w:ascii="Arial" w:cs="Arial" w:eastAsia="Arial" w:hAnsi="Arial"/>
                <w:sz w:val="13"/>
                <w:szCs w:val="13"/>
                <w:color w:val="auto"/>
              </w:rPr>
              <w:t>Chad N. Heath</w:t>
            </w:r>
          </w:p>
        </w:tc>
        <w:tc>
          <w:tcPr>
            <w:tcW w:w="4360" w:type="dxa"/>
            <w:vAlign w:val="bottom"/>
          </w:tcPr>
          <w:p>
            <w:pPr>
              <w:jc w:val="center"/>
              <w:ind w:left="56"/>
              <w:spacing w:after="0"/>
              <w:rPr>
                <w:sz w:val="20"/>
                <w:szCs w:val="20"/>
                <w:color w:val="auto"/>
              </w:rPr>
            </w:pPr>
            <w:r>
              <w:rPr>
                <w:rFonts w:ascii="Arial" w:cs="Arial" w:eastAsia="Arial" w:hAnsi="Arial"/>
                <w:sz w:val="13"/>
                <w:szCs w:val="13"/>
                <w:color w:val="auto"/>
                <w:w w:val="96"/>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26,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-2301875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635</wp:posOffset>
            </wp:positionV>
            <wp:extent cx="234696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46960" cy="635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3"/>
          <w:szCs w:val="13"/>
          <w:color w:val="auto"/>
        </w:rPr>
        <w:t>Chad N. Heath</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INDEX</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36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1.1</w:t>
            </w:r>
          </w:p>
        </w:tc>
        <w:tc>
          <w:tcPr>
            <w:tcW w:w="4360" w:type="dxa"/>
            <w:vAlign w:val="bottom"/>
          </w:tcPr>
          <w:p>
            <w:pPr>
              <w:ind w:left="60"/>
              <w:spacing w:after="0"/>
              <w:rPr>
                <w:sz w:val="20"/>
                <w:szCs w:val="20"/>
                <w:color w:val="auto"/>
              </w:rPr>
            </w:pPr>
            <w:r>
              <w:rPr>
                <w:rFonts w:ascii="Arial" w:cs="Arial" w:eastAsia="Arial" w:hAnsi="Arial"/>
                <w:sz w:val="13"/>
                <w:szCs w:val="13"/>
                <w:color w:val="auto"/>
              </w:rPr>
              <w:t>Form of Underwriting Agreement</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3.1</w:t>
            </w:r>
          </w:p>
        </w:tc>
        <w:tc>
          <w:tcPr>
            <w:tcW w:w="4360" w:type="dxa"/>
            <w:vAlign w:val="bottom"/>
          </w:tcPr>
          <w:p>
            <w:pPr>
              <w:ind w:left="60"/>
              <w:spacing w:after="0"/>
              <w:rPr>
                <w:sz w:val="20"/>
                <w:szCs w:val="20"/>
                <w:color w:val="auto"/>
              </w:rPr>
            </w:pPr>
            <w:r>
              <w:rPr>
                <w:rFonts w:ascii="Arial" w:cs="Arial" w:eastAsia="Arial" w:hAnsi="Arial"/>
                <w:sz w:val="13"/>
                <w:szCs w:val="13"/>
                <w:color w:val="auto"/>
              </w:rPr>
              <w:t>Amended and Restated Certificate of Incorporation</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3.2</w:t>
            </w:r>
          </w:p>
        </w:tc>
        <w:tc>
          <w:tcPr>
            <w:tcW w:w="4360" w:type="dxa"/>
            <w:vAlign w:val="bottom"/>
          </w:tcPr>
          <w:p>
            <w:pPr>
              <w:ind w:left="60"/>
              <w:spacing w:after="0"/>
              <w:rPr>
                <w:sz w:val="20"/>
                <w:szCs w:val="20"/>
                <w:color w:val="auto"/>
              </w:rPr>
            </w:pPr>
            <w:r>
              <w:rPr>
                <w:rFonts w:ascii="Arial" w:cs="Arial" w:eastAsia="Arial" w:hAnsi="Arial"/>
                <w:sz w:val="13"/>
                <w:szCs w:val="13"/>
                <w:color w:val="auto"/>
              </w:rPr>
              <w:t>Amended and Restated Bylaws</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4.1</w:t>
            </w:r>
          </w:p>
        </w:tc>
        <w:tc>
          <w:tcPr>
            <w:tcW w:w="4360" w:type="dxa"/>
            <w:vAlign w:val="bottom"/>
          </w:tcPr>
          <w:p>
            <w:pPr>
              <w:ind w:left="60"/>
              <w:spacing w:after="0"/>
              <w:rPr>
                <w:sz w:val="20"/>
                <w:szCs w:val="20"/>
                <w:color w:val="auto"/>
              </w:rPr>
            </w:pPr>
            <w:r>
              <w:rPr>
                <w:rFonts w:ascii="Arial" w:cs="Arial" w:eastAsia="Arial" w:hAnsi="Arial"/>
                <w:sz w:val="13"/>
                <w:szCs w:val="13"/>
                <w:color w:val="auto"/>
              </w:rPr>
              <w:t>Specimen of Stock Certificate</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4.2</w:t>
            </w:r>
          </w:p>
        </w:tc>
        <w:tc>
          <w:tcPr>
            <w:tcW w:w="4360" w:type="dxa"/>
            <w:vAlign w:val="bottom"/>
          </w:tcPr>
          <w:p>
            <w:pPr>
              <w:ind w:left="60"/>
              <w:spacing w:after="0"/>
              <w:rPr>
                <w:sz w:val="20"/>
                <w:szCs w:val="20"/>
                <w:color w:val="auto"/>
              </w:rPr>
            </w:pPr>
            <w:r>
              <w:rPr>
                <w:rFonts w:ascii="Arial" w:cs="Arial" w:eastAsia="Arial" w:hAnsi="Arial"/>
                <w:sz w:val="13"/>
                <w:szCs w:val="13"/>
                <w:color w:val="auto"/>
                <w:w w:val="89"/>
              </w:rPr>
              <w:t>Amended and Restated Investor Rights Agreement, dated September 17, 2008, by</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w w:val="94"/>
              </w:rPr>
              <w:t>and among Grand Canyon Education, Inc. and the other parties named therein</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5.1</w:t>
            </w:r>
          </w:p>
        </w:tc>
        <w:tc>
          <w:tcPr>
            <w:tcW w:w="4360" w:type="dxa"/>
            <w:vAlign w:val="bottom"/>
          </w:tcPr>
          <w:p>
            <w:pPr>
              <w:ind w:left="60"/>
              <w:spacing w:after="0"/>
              <w:rPr>
                <w:sz w:val="20"/>
                <w:szCs w:val="20"/>
                <w:color w:val="auto"/>
              </w:rPr>
            </w:pPr>
            <w:r>
              <w:rPr>
                <w:rFonts w:ascii="Arial" w:cs="Arial" w:eastAsia="Arial" w:hAnsi="Arial"/>
                <w:sz w:val="13"/>
                <w:szCs w:val="13"/>
                <w:color w:val="auto"/>
              </w:rPr>
              <w:t>Opinion of DLA Piper LLP (US) regarding the validity of the common stock</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w:t>
            </w:r>
          </w:p>
        </w:tc>
        <w:tc>
          <w:tcPr>
            <w:tcW w:w="4360" w:type="dxa"/>
            <w:vAlign w:val="bottom"/>
          </w:tcPr>
          <w:p>
            <w:pPr>
              <w:ind w:left="6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w w:val="93"/>
              </w:rPr>
              <w:t>2008, by and between Grand Canyon Education, Inc. and Brent D. Richardson†</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10.2</w:t>
            </w:r>
          </w:p>
        </w:tc>
        <w:tc>
          <w:tcPr>
            <w:tcW w:w="4360" w:type="dxa"/>
            <w:vAlign w:val="bottom"/>
          </w:tcPr>
          <w:p>
            <w:pPr>
              <w:ind w:left="6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2008, by and between Grand Canyon Education, Inc. and Christopher C.</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Richardson†</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10.3</w:t>
            </w:r>
          </w:p>
        </w:tc>
        <w:tc>
          <w:tcPr>
            <w:tcW w:w="4360" w:type="dxa"/>
            <w:vAlign w:val="bottom"/>
          </w:tcPr>
          <w:p>
            <w:pPr>
              <w:ind w:left="60"/>
              <w:spacing w:after="0"/>
              <w:rPr>
                <w:sz w:val="20"/>
                <w:szCs w:val="20"/>
                <w:color w:val="auto"/>
              </w:rPr>
            </w:pPr>
            <w:r>
              <w:rPr>
                <w:rFonts w:ascii="Arial" w:cs="Arial" w:eastAsia="Arial" w:hAnsi="Arial"/>
                <w:sz w:val="13"/>
                <w:szCs w:val="13"/>
                <w:color w:val="auto"/>
                <w:w w:val="94"/>
              </w:rPr>
              <w:t>Executive Employment Agreement, dated September 1, 2008, by and between</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Grand Canyon Education, Inc. and Kathy Player†</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10.4</w:t>
            </w:r>
          </w:p>
        </w:tc>
        <w:tc>
          <w:tcPr>
            <w:tcW w:w="4360" w:type="dxa"/>
            <w:vAlign w:val="bottom"/>
          </w:tcPr>
          <w:p>
            <w:pPr>
              <w:ind w:left="60"/>
              <w:spacing w:after="0"/>
              <w:rPr>
                <w:sz w:val="20"/>
                <w:szCs w:val="20"/>
                <w:color w:val="auto"/>
              </w:rPr>
            </w:pPr>
            <w:r>
              <w:rPr>
                <w:rFonts w:ascii="Arial" w:cs="Arial" w:eastAsia="Arial" w:hAnsi="Arial"/>
                <w:sz w:val="13"/>
                <w:szCs w:val="13"/>
                <w:color w:val="auto"/>
              </w:rPr>
              <w:t>2008 Equity Incentive Plan†</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10.5</w:t>
            </w:r>
          </w:p>
        </w:tc>
        <w:tc>
          <w:tcPr>
            <w:tcW w:w="4360" w:type="dxa"/>
            <w:vAlign w:val="bottom"/>
          </w:tcPr>
          <w:p>
            <w:pPr>
              <w:ind w:left="60"/>
              <w:spacing w:after="0"/>
              <w:rPr>
                <w:sz w:val="20"/>
                <w:szCs w:val="20"/>
                <w:color w:val="auto"/>
              </w:rPr>
            </w:pPr>
            <w:r>
              <w:rPr>
                <w:rFonts w:ascii="Arial" w:cs="Arial" w:eastAsia="Arial" w:hAnsi="Arial"/>
                <w:sz w:val="13"/>
                <w:szCs w:val="13"/>
                <w:color w:val="auto"/>
              </w:rPr>
              <w:t>2008 Employee Stock Purchase Plan†</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10.6</w:t>
            </w:r>
          </w:p>
        </w:tc>
        <w:tc>
          <w:tcPr>
            <w:tcW w:w="4360" w:type="dxa"/>
            <w:vAlign w:val="bottom"/>
          </w:tcPr>
          <w:p>
            <w:pPr>
              <w:ind w:left="60"/>
              <w:spacing w:after="0"/>
              <w:rPr>
                <w:sz w:val="20"/>
                <w:szCs w:val="20"/>
                <w:color w:val="auto"/>
              </w:rPr>
            </w:pPr>
            <w:r>
              <w:rPr>
                <w:rFonts w:ascii="Arial" w:cs="Arial" w:eastAsia="Arial" w:hAnsi="Arial"/>
                <w:sz w:val="13"/>
                <w:szCs w:val="13"/>
                <w:color w:val="auto"/>
              </w:rPr>
              <w:t>Lease Agreement, effective June 28, 2004, by and between Spirit Finance</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Acquisitions, 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10.7</w:t>
            </w:r>
          </w:p>
        </w:tc>
        <w:tc>
          <w:tcPr>
            <w:tcW w:w="4360" w:type="dxa"/>
            <w:vAlign w:val="bottom"/>
          </w:tcPr>
          <w:p>
            <w:pPr>
              <w:ind w:left="60"/>
              <w:spacing w:after="0"/>
              <w:rPr>
                <w:sz w:val="20"/>
                <w:szCs w:val="20"/>
                <w:color w:val="auto"/>
              </w:rPr>
            </w:pPr>
            <w:r>
              <w:rPr>
                <w:rFonts w:ascii="Arial" w:cs="Arial" w:eastAsia="Arial" w:hAnsi="Arial"/>
                <w:sz w:val="13"/>
                <w:szCs w:val="13"/>
                <w:color w:val="auto"/>
                <w:w w:val="96"/>
              </w:rPr>
              <w:t>First Amendment to Lease Agreement, effective September 24, 2004, by and</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between Spirit Finance Acquisitions, 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10.8</w:t>
            </w:r>
          </w:p>
        </w:tc>
        <w:tc>
          <w:tcPr>
            <w:tcW w:w="4360" w:type="dxa"/>
            <w:vAlign w:val="bottom"/>
          </w:tcPr>
          <w:p>
            <w:pPr>
              <w:ind w:left="60"/>
              <w:spacing w:after="0"/>
              <w:rPr>
                <w:sz w:val="20"/>
                <w:szCs w:val="20"/>
                <w:color w:val="auto"/>
              </w:rPr>
            </w:pPr>
            <w:r>
              <w:rPr>
                <w:rFonts w:ascii="Arial" w:cs="Arial" w:eastAsia="Arial" w:hAnsi="Arial"/>
                <w:sz w:val="13"/>
                <w:szCs w:val="13"/>
                <w:color w:val="auto"/>
                <w:w w:val="97"/>
              </w:rPr>
              <w:t>Second Amendment to Lease Agreement, effective August 23, 2005, by and</w:t>
            </w:r>
          </w:p>
        </w:tc>
      </w:tr>
      <w:tr>
        <w:trPr>
          <w:trHeight w:val="165"/>
        </w:trPr>
        <w:tc>
          <w:tcPr>
            <w:tcW w:w="8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-2726055</wp:posOffset>
            </wp:positionV>
            <wp:extent cx="63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 be filed by amendment.</w:t>
      </w:r>
    </w:p>
    <w:p>
      <w:pPr>
        <w:spacing w:after="0" w:line="15" w:lineRule="exact"/>
        <w:rPr>
          <w:sz w:val="20"/>
          <w:szCs w:val="20"/>
          <w:color w:val="auto"/>
        </w:rPr>
      </w:pPr>
    </w:p>
    <w:p>
      <w:pPr>
        <w:jc w:val="both"/>
        <w:ind w:right="160"/>
        <w:spacing w:after="0" w:line="273" w:lineRule="auto"/>
        <w:rPr>
          <w:sz w:val="20"/>
          <w:szCs w:val="20"/>
          <w:color w:val="auto"/>
        </w:rPr>
      </w:pPr>
      <w:r>
        <w:rPr>
          <w:rFonts w:ascii="Arial" w:cs="Arial" w:eastAsia="Arial" w:hAnsi="Arial"/>
          <w:sz w:val="12"/>
          <w:szCs w:val="12"/>
          <w:color w:val="auto"/>
        </w:rPr>
        <w:t>Incorporated by reference to Exhibit 3.1 to Amendment No. 6 to the Company’s Registration Statement on Form S-1 filed with the SEC on November 12, 2008. Incorporated by reference to Exhibit 3.2 to Amendment No. 6 to the Company’s Registration Statement on Form S-1 filed with the SEC on November 12, 2008. Incorporated by reference to Exhibit 4.1 to Amendment No. 2 to the Company’s Registration Statement on Form S-1 filed with the SEC on September 29, 2008. Incorporated by reference to Exhibit 4.2 to Amendment No. 2 to the Company’s Registration Statement on Form S-1 filed with the SEC on September 29, 2008. Filed herewith</w:t>
      </w:r>
    </w:p>
    <w:p>
      <w:pPr>
        <w:spacing w:after="0" w:line="3" w:lineRule="exact"/>
        <w:rPr>
          <w:sz w:val="20"/>
          <w:szCs w:val="20"/>
          <w:color w:val="auto"/>
        </w:rPr>
      </w:pPr>
    </w:p>
    <w:p>
      <w:pPr>
        <w:ind w:right="100"/>
        <w:spacing w:after="0" w:line="317" w:lineRule="auto"/>
        <w:rPr>
          <w:sz w:val="20"/>
          <w:szCs w:val="20"/>
          <w:color w:val="auto"/>
        </w:rPr>
      </w:pPr>
      <w:r>
        <w:rPr>
          <w:rFonts w:ascii="Arial" w:cs="Arial" w:eastAsia="Arial" w:hAnsi="Arial"/>
          <w:sz w:val="11"/>
          <w:szCs w:val="11"/>
          <w:color w:val="auto"/>
        </w:rPr>
        <w:t>Incorporated by reference to Exhibit 10.1 to Amendment No. 2 to the Company’s Registration Statement on Form S-1 filed with the SEC on September 29, 2008. Incorporated by reference to Exhibit 10.2 to Amendment No. 2 to the Company’s Registration Statement on Form S-1 filed with the SEC on September 29, 2008.</w:t>
      </w:r>
    </w:p>
    <w:p>
      <w:pPr>
        <w:spacing w:after="0" w:line="111"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Incorporated by reference to Exhibit 10.1 to the Company’s Current Report on Form 8-K filed with the SEC on March 25, 2009.</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Incorporated by reference to Exhibit 10.4 to Amendment No. 2 to the Company’s Registration Statement on Form S-1 filed with the SEC on September 29, 2008. Incorporated by reference to Exhibit 10.5 to Amendment No. 2 to the Company’s Registration Statement on Form S-1 filed with the SEC on September 29, 2008. Incorporated by reference to Exhibit 10.7 to the Company’s Registration Statement on Form S-1 filed with the SEC on May 13, 2008.</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Incorporated by reference to Exhibit 10.8 to the Company’s Registration Statement on Form S-1 filed with the SEC on May 13, 2008.</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Incorporated by reference to Exhibit 10.9 to the Company’s Registration Statement on Form S-1 filed with the SEC on May 13, 2008.</w:t>
      </w:r>
    </w:p>
    <w:p>
      <w:pPr>
        <w:sectPr>
          <w:pgSz w:w="11900" w:h="16838" w:orient="portrait"/>
          <w:cols w:equalWidth="0" w:num="2">
            <w:col w:w="6180" w:space="100"/>
            <w:col w:w="436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42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10.9</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Third Amendment to Lease Agreement, effective June 2006, by and between Spirit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10.10</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Fourth Amendment to Lease Agreement, effective August 9, 2006, by and between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10.11</w:t>
            </w:r>
          </w:p>
        </w:tc>
        <w:tc>
          <w:tcPr>
            <w:tcW w:w="4420" w:type="dxa"/>
            <w:vAlign w:val="bottom"/>
          </w:tcPr>
          <w:p>
            <w:pPr>
              <w:ind w:left="60"/>
              <w:spacing w:after="0"/>
              <w:rPr>
                <w:sz w:val="20"/>
                <w:szCs w:val="20"/>
                <w:color w:val="auto"/>
              </w:rPr>
            </w:pPr>
            <w:r>
              <w:rPr>
                <w:rFonts w:ascii="Arial" w:cs="Arial" w:eastAsia="Arial" w:hAnsi="Arial"/>
                <w:sz w:val="13"/>
                <w:szCs w:val="13"/>
                <w:color w:val="auto"/>
                <w:w w:val="98"/>
              </w:rPr>
              <w:t>Fifth Amendment to Lease Agreement, effective December 31, 2006,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10.12</w:t>
            </w:r>
          </w:p>
        </w:tc>
        <w:tc>
          <w:tcPr>
            <w:tcW w:w="4420" w:type="dxa"/>
            <w:vAlign w:val="bottom"/>
          </w:tcPr>
          <w:p>
            <w:pPr>
              <w:ind w:left="60"/>
              <w:spacing w:after="0"/>
              <w:rPr>
                <w:sz w:val="20"/>
                <w:szCs w:val="20"/>
                <w:color w:val="auto"/>
              </w:rPr>
            </w:pPr>
            <w:r>
              <w:rPr>
                <w:rFonts w:ascii="Arial" w:cs="Arial" w:eastAsia="Arial" w:hAnsi="Arial"/>
                <w:sz w:val="13"/>
                <w:szCs w:val="13"/>
                <w:color w:val="auto"/>
                <w:w w:val="97"/>
              </w:rPr>
              <w:t>Sixth Amendment to Lease Agreement, effective September 30, 2007,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10.13</w:t>
            </w:r>
          </w:p>
        </w:tc>
        <w:tc>
          <w:tcPr>
            <w:tcW w:w="4420" w:type="dxa"/>
            <w:vAlign w:val="bottom"/>
          </w:tcPr>
          <w:p>
            <w:pPr>
              <w:ind w:left="60"/>
              <w:spacing w:after="0"/>
              <w:rPr>
                <w:sz w:val="20"/>
                <w:szCs w:val="20"/>
                <w:color w:val="auto"/>
              </w:rPr>
            </w:pPr>
            <w:r>
              <w:rPr>
                <w:rFonts w:ascii="Arial" w:cs="Arial" w:eastAsia="Arial" w:hAnsi="Arial"/>
                <w:sz w:val="13"/>
                <w:szCs w:val="13"/>
                <w:color w:val="auto"/>
                <w:w w:val="99"/>
              </w:rPr>
              <w:t>Seventh Amendment to Lease Agreement, effective March 28, 2008,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10.14</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License Agreement, dated June 30, 2004, by and between Blanchard Education,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10.15</w:t>
            </w:r>
          </w:p>
        </w:tc>
        <w:tc>
          <w:tcPr>
            <w:tcW w:w="4420" w:type="dxa"/>
            <w:vAlign w:val="bottom"/>
          </w:tcPr>
          <w:p>
            <w:pPr>
              <w:ind w:left="60"/>
              <w:spacing w:after="0"/>
              <w:rPr>
                <w:sz w:val="20"/>
                <w:szCs w:val="20"/>
                <w:color w:val="auto"/>
              </w:rPr>
            </w:pPr>
            <w:r>
              <w:rPr>
                <w:rFonts w:ascii="Arial" w:cs="Arial" w:eastAsia="Arial" w:hAnsi="Arial"/>
                <w:sz w:val="13"/>
                <w:szCs w:val="13"/>
                <w:color w:val="auto"/>
                <w:w w:val="95"/>
              </w:rPr>
              <w:t>Letter Agreement, dated February 6, 2006, by and between The Ken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Companies and Grand Canyon University</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10.16</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Amendment to License Agreement, dated May 8, 2008, by and between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Education, LLC and Grand Canyon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10.17</w:t>
            </w:r>
          </w:p>
        </w:tc>
        <w:tc>
          <w:tcPr>
            <w:tcW w:w="4420" w:type="dxa"/>
            <w:vAlign w:val="bottom"/>
          </w:tcPr>
          <w:p>
            <w:pPr>
              <w:ind w:left="60"/>
              <w:spacing w:after="0"/>
              <w:rPr>
                <w:sz w:val="20"/>
                <w:szCs w:val="20"/>
                <w:color w:val="auto"/>
              </w:rPr>
            </w:pPr>
            <w:r>
              <w:rPr>
                <w:rFonts w:ascii="Arial" w:cs="Arial" w:eastAsia="Arial" w:hAnsi="Arial"/>
                <w:sz w:val="13"/>
                <w:szCs w:val="13"/>
                <w:color w:val="auto"/>
                <w:w w:val="96"/>
              </w:rPr>
              <w:t>Collaboration Agreement, dated July 11, 2005, by and between Mind Streams,</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2"/>
              </w:rPr>
              <w:t>LLC and Significant Education, LLC (as supplemented by Project One and Project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Two)</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10.18</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Daniel E. Bachus†</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10.19</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Brian E. Mueller†</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10.20</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W. Stan Meyer†</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10.21</w:t>
            </w:r>
          </w:p>
        </w:tc>
        <w:tc>
          <w:tcPr>
            <w:tcW w:w="4420" w:type="dxa"/>
            <w:vAlign w:val="bottom"/>
          </w:tcPr>
          <w:p>
            <w:pPr>
              <w:ind w:left="60"/>
              <w:spacing w:after="0"/>
              <w:rPr>
                <w:sz w:val="20"/>
                <w:szCs w:val="20"/>
                <w:color w:val="auto"/>
              </w:rPr>
            </w:pPr>
            <w:r>
              <w:rPr>
                <w:rFonts w:ascii="Arial" w:cs="Arial" w:eastAsia="Arial" w:hAnsi="Arial"/>
                <w:sz w:val="13"/>
                <w:szCs w:val="13"/>
                <w:color w:val="auto"/>
              </w:rPr>
              <w:t>Form of Director and Officer Indemnity Agreement</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10.22</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Purchase and Sale Agreement, dated April 27, 2009, by and among Grand Canyon</w:t>
            </w:r>
          </w:p>
        </w:tc>
      </w:tr>
      <w:tr>
        <w:trPr>
          <w:trHeight w:val="165"/>
        </w:trPr>
        <w:tc>
          <w:tcPr>
            <w:tcW w:w="860" w:type="dxa"/>
            <w:vAlign w:val="bottom"/>
          </w:tcPr>
          <w:p>
            <w:pPr>
              <w:spacing w:after="0"/>
              <w:rPr>
                <w:sz w:val="14"/>
                <w:szCs w:val="14"/>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6"/>
              </w:rPr>
              <w:t>Education, Inc., Spirit Master Funding, LLC, and Spirit Management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-2926080</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ind w:right="480"/>
        <w:spacing w:after="0" w:line="303" w:lineRule="auto"/>
        <w:rPr>
          <w:sz w:val="20"/>
          <w:szCs w:val="20"/>
          <w:color w:val="auto"/>
        </w:rPr>
      </w:pPr>
      <w:r>
        <w:rPr>
          <w:rFonts w:ascii="Arial" w:cs="Arial" w:eastAsia="Arial" w:hAnsi="Arial"/>
          <w:sz w:val="11"/>
          <w:szCs w:val="11"/>
          <w:color w:val="auto"/>
        </w:rPr>
        <w:t>Incorporated by reference to Exhibit 10.10 to the Company’s Registration Statement on Form S-1 filed with the SEC on May 13, 2008. Incorporated by reference to Exhibit 10.11 to the Company’s Registration Statement on Form S-1 filed with the SEC on May 13, 2008. Incorporated by reference to Exhibit 10.12 to the Company’s Registration Statement on Form S-1 filed with the SEC on May 13, 2008. Incorporated by reference to Exhibit 10.13 to the Company’s Registration Statement on Form S-1 filed with the SEC on May 13, 2008. Incorporated by reference to Exhibit 10.14 to the Company’s Registration Statement on Form S-1 filed with the SEC on May 13, 2008. Incorporated by reference to Exhibit 10.15 to the Company’s Registration Statement on Form S-1 filed with the SEC on May 13, 2008. Incorporated by reference to Exhibit 10.16 to the Company’s Registration Statement on Form S-1 filed with the SEC on May 13, 2008. Incorporated by reference to Exhibit 10.17 to the Company’s Registration Statement on Form S-1 filed with the SEC on May 13, 2008.</w:t>
      </w:r>
    </w:p>
    <w:p>
      <w:pPr>
        <w:spacing w:after="0" w:line="288"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Incorporated by reference to Exhibit 10.18 to Amendment No. 1 to the Company’s Registration Statement on Form S-1 filed with the SEC on August 13, 2008.</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Incorporated by reference to Exhibit 10.19 to Amendment No. 1 to the Company’s Registration Statement on Form S-1 filed with the SEC on August 13, 2008. Incorporated by reference to Exhibit 10.20 to Amendment No. 1 to the Company’s Registration Statement on Form S-1 filed with the SEC on August 13, 2008. Incorporated by reference to Exhibit 10.21 to Amendment No. 1 to the Company’s Registration Statement on Form S-1 filed with the SEC on August 13, 2008. Incorporated by reference to Exhibit 10.21 to Amendment No. 2 to the Company’s Registration Statement on Form S-1 filed with the SEC on September 29, 2008. Incorporated by reference to Exhibit 10.1 to the Company’s Quarterly Report on Form 10-Q filed with the SEC on August 3, 2009.</w:t>
      </w:r>
    </w:p>
    <w:p>
      <w:pPr>
        <w:sectPr>
          <w:pgSz w:w="11900" w:h="16838" w:orient="portrait"/>
          <w:cols w:equalWidth="0" w:num="2">
            <w:col w:w="5960" w:space="320"/>
            <w:col w:w="4340"/>
          </w:cols>
          <w:pgMar w:left="220" w:top="343" w:right="105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56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4400" w:type="dxa"/>
            <w:vAlign w:val="bottom"/>
          </w:tcPr>
          <w:p>
            <w:pPr>
              <w:ind w:left="2360"/>
              <w:spacing w:after="0"/>
              <w:rPr>
                <w:sz w:val="20"/>
                <w:szCs w:val="20"/>
                <w:color w:val="auto"/>
              </w:rPr>
            </w:pPr>
            <w:r>
              <w:rPr>
                <w:rFonts w:ascii="Arial" w:cs="Arial" w:eastAsia="Arial" w:hAnsi="Arial"/>
                <w:sz w:val="10"/>
                <w:szCs w:val="10"/>
                <w:b w:val="1"/>
                <w:bCs w:val="1"/>
                <w:color w:val="auto"/>
              </w:rPr>
              <w:t>Method of Filing</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10.23</w:t>
            </w:r>
          </w:p>
        </w:tc>
        <w:tc>
          <w:tcPr>
            <w:tcW w:w="4560" w:type="dxa"/>
            <w:vAlign w:val="bottom"/>
          </w:tcPr>
          <w:p>
            <w:pPr>
              <w:ind w:left="60"/>
              <w:spacing w:after="0"/>
              <w:rPr>
                <w:sz w:val="20"/>
                <w:szCs w:val="20"/>
                <w:color w:val="auto"/>
              </w:rPr>
            </w:pPr>
            <w:r>
              <w:rPr>
                <w:rFonts w:ascii="Arial" w:cs="Arial" w:eastAsia="Arial" w:hAnsi="Arial"/>
                <w:sz w:val="13"/>
                <w:szCs w:val="13"/>
                <w:color w:val="auto"/>
                <w:w w:val="94"/>
              </w:rPr>
              <w:t>Loan Agreement, dated April 27, 2009, by and between Grand Canyon Education,</w:t>
            </w:r>
          </w:p>
        </w:tc>
        <w:tc>
          <w:tcPr>
            <w:tcW w:w="4400" w:type="dxa"/>
            <w:vAlign w:val="bottom"/>
          </w:tcPr>
          <w:p>
            <w:pPr>
              <w:ind w:left="180"/>
              <w:spacing w:after="0"/>
              <w:rPr>
                <w:sz w:val="20"/>
                <w:szCs w:val="20"/>
                <w:color w:val="auto"/>
              </w:rPr>
            </w:pPr>
            <w:r>
              <w:rPr>
                <w:rFonts w:ascii="Arial" w:cs="Arial" w:eastAsia="Arial" w:hAnsi="Arial"/>
                <w:sz w:val="13"/>
                <w:szCs w:val="13"/>
                <w:color w:val="auto"/>
                <w:w w:val="91"/>
              </w:rPr>
              <w:t>Incorporated by reference to Exhibit 10.2 to the Company’s Quarterly Report on</w:t>
            </w:r>
          </w:p>
        </w:tc>
      </w:tr>
      <w:tr>
        <w:trPr>
          <w:trHeight w:val="157"/>
        </w:trPr>
        <w:tc>
          <w:tcPr>
            <w:tcW w:w="86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Arial" w:cs="Arial" w:eastAsia="Arial" w:hAnsi="Arial"/>
                <w:sz w:val="13"/>
                <w:szCs w:val="13"/>
                <w:color w:val="auto"/>
              </w:rPr>
              <w:t>Inc. and Bank of America, N.A.</w:t>
            </w:r>
          </w:p>
        </w:tc>
        <w:tc>
          <w:tcPr>
            <w:tcW w:w="4400" w:type="dxa"/>
            <w:vAlign w:val="bottom"/>
          </w:tcPr>
          <w:p>
            <w:pPr>
              <w:ind w:left="180"/>
              <w:spacing w:after="0"/>
              <w:rPr>
                <w:sz w:val="20"/>
                <w:szCs w:val="20"/>
                <w:color w:val="auto"/>
              </w:rPr>
            </w:pPr>
            <w:r>
              <w:rPr>
                <w:rFonts w:ascii="Arial" w:cs="Arial" w:eastAsia="Arial" w:hAnsi="Arial"/>
                <w:sz w:val="13"/>
                <w:szCs w:val="13"/>
                <w:color w:val="auto"/>
              </w:rPr>
              <w:t>Form 10-Q filed with the SEC on August 3, 2009.</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23.1</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Independent Registered Public Accounting Firm</w:t>
            </w:r>
          </w:p>
        </w:tc>
        <w:tc>
          <w:tcPr>
            <w:tcW w:w="4400" w:type="dxa"/>
            <w:vAlign w:val="bottom"/>
          </w:tcPr>
          <w:p>
            <w:pPr>
              <w:ind w:left="180"/>
              <w:spacing w:after="0"/>
              <w:rPr>
                <w:sz w:val="20"/>
                <w:szCs w:val="20"/>
                <w:color w:val="auto"/>
              </w:rPr>
            </w:pPr>
            <w:r>
              <w:rPr>
                <w:rFonts w:ascii="Arial" w:cs="Arial" w:eastAsia="Arial" w:hAnsi="Arial"/>
                <w:sz w:val="13"/>
                <w:szCs w:val="13"/>
                <w:color w:val="auto"/>
              </w:rPr>
              <w:t>Filed herewith.</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23.2</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DLA Piper LLP (US)</w:t>
            </w:r>
          </w:p>
        </w:tc>
        <w:tc>
          <w:tcPr>
            <w:tcW w:w="4400" w:type="dxa"/>
            <w:vAlign w:val="bottom"/>
          </w:tcPr>
          <w:p>
            <w:pPr>
              <w:ind w:left="180"/>
              <w:spacing w:after="0"/>
              <w:rPr>
                <w:sz w:val="20"/>
                <w:szCs w:val="20"/>
                <w:color w:val="auto"/>
              </w:rPr>
            </w:pPr>
            <w:r>
              <w:rPr>
                <w:rFonts w:ascii="Arial" w:cs="Arial" w:eastAsia="Arial" w:hAnsi="Arial"/>
                <w:sz w:val="13"/>
                <w:szCs w:val="13"/>
                <w:color w:val="auto"/>
              </w:rPr>
              <w:t>Included in Exhibit 5.1.</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24.1</w:t>
            </w:r>
          </w:p>
        </w:tc>
        <w:tc>
          <w:tcPr>
            <w:tcW w:w="4560" w:type="dxa"/>
            <w:vAlign w:val="bottom"/>
          </w:tcPr>
          <w:p>
            <w:pPr>
              <w:ind w:left="60"/>
              <w:spacing w:after="0"/>
              <w:rPr>
                <w:sz w:val="20"/>
                <w:szCs w:val="20"/>
                <w:color w:val="auto"/>
              </w:rPr>
            </w:pPr>
            <w:r>
              <w:rPr>
                <w:rFonts w:ascii="Arial" w:cs="Arial" w:eastAsia="Arial" w:hAnsi="Arial"/>
                <w:sz w:val="13"/>
                <w:szCs w:val="13"/>
                <w:color w:val="auto"/>
              </w:rPr>
              <w:t>Power of Attorney</w:t>
            </w:r>
          </w:p>
        </w:tc>
        <w:tc>
          <w:tcPr>
            <w:tcW w:w="4400" w:type="dxa"/>
            <w:vAlign w:val="bottom"/>
          </w:tcPr>
          <w:p>
            <w:pPr>
              <w:ind w:left="180"/>
              <w:spacing w:after="0"/>
              <w:rPr>
                <w:sz w:val="20"/>
                <w:szCs w:val="20"/>
                <w:color w:val="auto"/>
              </w:rPr>
            </w:pPr>
            <w:r>
              <w:rPr>
                <w:rFonts w:ascii="Arial" w:cs="Arial" w:eastAsia="Arial" w:hAnsi="Arial"/>
                <w:sz w:val="13"/>
                <w:szCs w:val="13"/>
                <w:color w:val="auto"/>
              </w:rPr>
              <w:t>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-528955</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-528955</wp:posOffset>
            </wp:positionV>
            <wp:extent cx="2476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500"/>
          </w:cols>
          <w:pgMar w:left="220" w:top="343" w:right="117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b w:val="1"/>
          <w:bCs w:val="1"/>
          <w:color w:val="auto"/>
        </w:rPr>
        <w:t>Exhibit 5.1</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Grand Canyon Education,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3300 W. Camelback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 85017</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3"/>
          <w:szCs w:val="13"/>
          <w:b w:val="1"/>
          <w:bCs w:val="1"/>
          <w:color w:val="auto"/>
        </w:rPr>
        <w:t>Registration Statement on Form S-1 (File No. 333-______)</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You have requested our opinion with respect to certain matters in connection with the filing by Grand Canyon Education, Inc.,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of a Registration Statement on Form S-1</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3"/>
          <w:szCs w:val="13"/>
          <w:color w:val="auto"/>
        </w:rPr>
        <w:t>(File No. 333- ) initially filed on August 27, 2009 (as amended and supplemented from time to time,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with the Securities and Exchange Commission, including a related prospectus filed with the Registration Statement (the “</w:t>
      </w:r>
      <w:r>
        <w:rPr>
          <w:rFonts w:ascii="Arial" w:cs="Arial" w:eastAsia="Arial" w:hAnsi="Arial"/>
          <w:sz w:val="13"/>
          <w:szCs w:val="13"/>
          <w:b w:val="1"/>
          <w:bCs w:val="1"/>
          <w:color w:val="auto"/>
        </w:rPr>
        <w:t>Prospectus</w:t>
      </w:r>
      <w:r>
        <w:rPr>
          <w:rFonts w:ascii="Arial" w:cs="Arial" w:eastAsia="Arial" w:hAnsi="Arial"/>
          <w:sz w:val="13"/>
          <w:szCs w:val="13"/>
          <w:color w:val="auto"/>
        </w:rPr>
        <w:t>”) covering the offering for sale of an aggregate of up to 8,000,000 shares (including shares that are subject to an over-allotment option granted to the underwriters in the offering, the “</w:t>
      </w:r>
      <w:r>
        <w:rPr>
          <w:rFonts w:ascii="Arial" w:cs="Arial" w:eastAsia="Arial" w:hAnsi="Arial"/>
          <w:sz w:val="13"/>
          <w:szCs w:val="13"/>
          <w:b w:val="1"/>
          <w:bCs w:val="1"/>
          <w:color w:val="auto"/>
        </w:rPr>
        <w:t>Shares</w:t>
      </w:r>
      <w:r>
        <w:rPr>
          <w:rFonts w:ascii="Arial" w:cs="Arial" w:eastAsia="Arial" w:hAnsi="Arial"/>
          <w:sz w:val="13"/>
          <w:szCs w:val="13"/>
          <w:color w:val="auto"/>
        </w:rPr>
        <w:t>”) of the Company’s common stock, $0.01 par value (“</w:t>
      </w:r>
      <w:r>
        <w:rPr>
          <w:rFonts w:ascii="Arial" w:cs="Arial" w:eastAsia="Arial" w:hAnsi="Arial"/>
          <w:sz w:val="13"/>
          <w:szCs w:val="13"/>
          <w:b w:val="1"/>
          <w:bCs w:val="1"/>
          <w:color w:val="auto"/>
        </w:rPr>
        <w:t>Common Stock</w:t>
      </w:r>
      <w:r>
        <w:rPr>
          <w:rFonts w:ascii="Arial" w:cs="Arial" w:eastAsia="Arial" w:hAnsi="Arial"/>
          <w:sz w:val="13"/>
          <w:szCs w:val="13"/>
          <w:color w:val="auto"/>
        </w:rPr>
        <w:t>”), which Shares will include shares of the Company’s newly-issued Common Stock to be sold by the Company (the “</w:t>
      </w:r>
      <w:r>
        <w:rPr>
          <w:rFonts w:ascii="Arial" w:cs="Arial" w:eastAsia="Arial" w:hAnsi="Arial"/>
          <w:sz w:val="13"/>
          <w:szCs w:val="13"/>
          <w:b w:val="1"/>
          <w:bCs w:val="1"/>
          <w:color w:val="auto"/>
        </w:rPr>
        <w:t>Primary Shares</w:t>
      </w:r>
      <w:r>
        <w:rPr>
          <w:rFonts w:ascii="Arial" w:cs="Arial" w:eastAsia="Arial" w:hAnsi="Arial"/>
          <w:sz w:val="13"/>
          <w:szCs w:val="13"/>
          <w:color w:val="auto"/>
        </w:rPr>
        <w:t>”) and Shares which will be sold by the selling stockholders named therein (the “</w:t>
      </w:r>
      <w:r>
        <w:rPr>
          <w:rFonts w:ascii="Arial" w:cs="Arial" w:eastAsia="Arial" w:hAnsi="Arial"/>
          <w:sz w:val="13"/>
          <w:szCs w:val="13"/>
          <w:b w:val="1"/>
          <w:bCs w:val="1"/>
          <w:color w:val="auto"/>
        </w:rPr>
        <w:t>Selling Stockholders</w:t>
      </w:r>
      <w:r>
        <w:rPr>
          <w:rFonts w:ascii="Arial" w:cs="Arial" w:eastAsia="Arial" w:hAnsi="Arial"/>
          <w:sz w:val="13"/>
          <w:szCs w:val="13"/>
          <w:color w:val="auto"/>
        </w:rPr>
        <w:t>” and the shares to be sold by the selling stockholders, the “</w:t>
      </w:r>
      <w:r>
        <w:rPr>
          <w:rFonts w:ascii="Arial" w:cs="Arial" w:eastAsia="Arial" w:hAnsi="Arial"/>
          <w:sz w:val="13"/>
          <w:szCs w:val="13"/>
          <w:b w:val="1"/>
          <w:bCs w:val="1"/>
          <w:color w:val="auto"/>
        </w:rPr>
        <w:t>Secondary Shares</w:t>
      </w:r>
      <w:r>
        <w:rPr>
          <w:rFonts w:ascii="Arial" w:cs="Arial" w:eastAsia="Arial" w:hAnsi="Arial"/>
          <w:sz w:val="13"/>
          <w:szCs w:val="13"/>
          <w:color w:val="auto"/>
        </w:rPr>
        <w:t>”). All of the Secondary Shares are currently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This opinion is being furnished in accordance with the requirements of Item 16(a) of Form S-1 and Item 601(b)(5)(i) of Regulation S-K.</w:t>
      </w:r>
    </w:p>
    <w:p>
      <w:pPr>
        <w:spacing w:after="0" w:line="8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In connection with this opinion, we have reviewed and relied upon the Registration Statement and Prospectus, the Company’s charter documents, as amended and restated to date, records of the Company’s corporate proceedings in connection with the offering, and such other documents, records, certificates, memoranda and other instruments as we deem necessary as a basis for this opinion. With respect to the foregoing documents, we have assumed the authenticity of all records, documents, and instruments submitted to us as originals, the genuineness of all signatures, the legal capacity of natural persons and the conformity to the originals of all records, documents, and instruments submitted to us as copies. We have also obtained from officers of the Company certificates as to certain factual matters and, insofar as this opinion is based on matters of fact, we have relied on such certificates without independent investigation.</w:t>
      </w:r>
    </w:p>
    <w:p>
      <w:pPr>
        <w:spacing w:after="0" w:line="61" w:lineRule="exact"/>
        <w:rPr>
          <w:sz w:val="20"/>
          <w:szCs w:val="20"/>
          <w:color w:val="auto"/>
        </w:rPr>
      </w:pPr>
    </w:p>
    <w:p>
      <w:pPr>
        <w:ind w:right="60"/>
        <w:spacing w:after="0" w:line="320" w:lineRule="auto"/>
        <w:rPr>
          <w:sz w:val="20"/>
          <w:szCs w:val="20"/>
          <w:color w:val="auto"/>
        </w:rPr>
      </w:pPr>
      <w:r>
        <w:rPr>
          <w:rFonts w:ascii="Arial" w:cs="Arial" w:eastAsia="Arial" w:hAnsi="Arial"/>
          <w:sz w:val="12"/>
          <w:szCs w:val="12"/>
          <w:color w:val="auto"/>
        </w:rPr>
        <w:t>Based on such review, we are of the opinion that (i) the Primary Shares have been duly authorized and, if, as, and when issued by the Company in accordance with the related Prospectus (as amended and supplemented through the date of issuance), will be validly issued, fully paid, and non-assessable, and (ii) the Secondary Shares are duly authorized, validly issued, fully paid, and non-assessable.</w:t>
      </w:r>
    </w:p>
    <w:p>
      <w:pPr>
        <w:spacing w:after="0" w:line="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3"/>
          <w:szCs w:val="13"/>
          <w:color w:val="auto"/>
        </w:rPr>
        <w:t>We consent to the filing of this opinion as Exhibit 5.1 to the Registration Statement and to the reference to this firm under the caption “Legal Matters” in the Prospectus that is part of the Registration Statement. In giving this consent, we do not admit that we are within the category of persons whose consent is required under Section 7 of the Securities Act of 1933, as amended, the rules and regulations of the Securities and Exchange Commission promulgated thereunder, or Item 509 of Regulation S-K.</w:t>
      </w:r>
    </w:p>
    <w:p>
      <w:pPr>
        <w:spacing w:after="0" w:line="57" w:lineRule="exact"/>
        <w:rPr>
          <w:sz w:val="20"/>
          <w:szCs w:val="20"/>
          <w:color w:val="auto"/>
        </w:rPr>
      </w:pPr>
    </w:p>
    <w:p>
      <w:pPr>
        <w:ind w:right="180"/>
        <w:spacing w:after="0" w:line="334" w:lineRule="auto"/>
        <w:rPr>
          <w:sz w:val="20"/>
          <w:szCs w:val="20"/>
          <w:color w:val="auto"/>
        </w:rPr>
      </w:pPr>
      <w:r>
        <w:rPr>
          <w:rFonts w:ascii="Arial" w:cs="Arial" w:eastAsia="Arial" w:hAnsi="Arial"/>
          <w:sz w:val="11"/>
          <w:szCs w:val="11"/>
          <w:color w:val="auto"/>
        </w:rPr>
        <w:t>This opinion is given to you solely for use in connection with the issuance and/or sale of the Shares in accordance with the Registration Statement and the related Prospectus and is not to be relied on for any other purpose.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other matters relating to the Company, the Shares, or the Registration Statement.</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DLA Piper LLP (US)</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/s/ DLA Piper LLP (US)</w:t>
      </w:r>
    </w:p>
    <w:p>
      <w:pPr>
        <w:sectPr>
          <w:pgSz w:w="11900" w:h="16838" w:orient="portrait"/>
          <w:cols w:equalWidth="0" w:num="1">
            <w:col w:w="11460"/>
          </w:cols>
          <w:pgMar w:left="220" w:top="127"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We consent to the reference to our firm under the caption “Experts” in the Registration Statement (Form S-1) and related Prospectus of Grand Canyon Education, Inc. for the registration of 8,000,000 shares of its common stock and to the incorporation by reference therein of our report dated February 19, 2009, with respect to the financial statements of Grand Canyon Education, Inc. included in its Annual Report (Form 10-K) for the year ended December 31, 2008, filed with the Securities and Exchange Commission.</w:t>
      </w:r>
    </w:p>
    <w:p>
      <w:pPr>
        <w:spacing w:after="0" w:line="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rPr>
          <w:sz w:val="20"/>
          <w:szCs w:val="20"/>
          <w:color w:val="auto"/>
        </w:rPr>
      </w:pPr>
      <w:r>
        <w:rPr>
          <w:rFonts w:ascii="Arial" w:cs="Arial" w:eastAsia="Arial" w:hAnsi="Arial"/>
          <w:sz w:val="13"/>
          <w:szCs w:val="13"/>
          <w:color w:val="auto"/>
        </w:rPr>
        <w:t>August 24, 2009</w:t>
      </w:r>
    </w:p>
    <w:sectPr>
      <w:pgSz w:w="11900" w:h="16838" w:orient="portrait"/>
      <w:cols w:equalWidth="0" w:num="1">
        <w:col w:w="11460"/>
      </w:cols>
      <w:pgMar w:left="220" w:top="1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2"/>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8"/>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lvl w:ilvl="1">
      <w:lvlJc w:val="left"/>
      <w:lvlText w:val="(%2)"/>
      <w:numFmt w:val="lowerLetter"/>
      <w:start w:val="2"/>
    </w:lvl>
  </w:abstractNum>
  <w:abstractNum w:abstractNumId="37">
    <w:nsid w:val="153EA438"/>
    <w:multiLevelType w:val="hybridMultilevel"/>
    <w:lvl w:ilvl="0">
      <w:lvlJc w:val="left"/>
      <w:lvlText w:val="(%1)"/>
      <w:numFmt w:val="decimal"/>
      <w:start w:val="3"/>
    </w:lvl>
    <w:lvl w:ilvl="1">
      <w:lvlJc w:val="left"/>
      <w:lvlText w:val="(%2)"/>
      <w:numFmt w:val="lowerLetter"/>
      <w:start w:val="3"/>
    </w:lvl>
  </w:abstractNum>
  <w:abstractNum w:abstractNumId="38">
    <w:nsid w:val="3855585C"/>
    <w:multiLevelType w:val="hybridMultilevel"/>
    <w:lvl w:ilvl="0">
      <w:lvlJc w:val="left"/>
      <w:lvlText w:val="(%1)"/>
      <w:numFmt w:val="lowerRoman"/>
      <w:start w:val="2"/>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lvl w:ilvl="1">
      <w:lvlJc w:val="left"/>
      <w:lvlText w:val="(%2)"/>
      <w:numFmt w:val="lowerLetter"/>
      <w:start w:val="2"/>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2019-12-11T05:33:16Z</dcterms:created>
  <dcterms:modified xsi:type="dcterms:W3CDTF">2019-12-11T05:33:16Z</dcterms:modified>
</cp:coreProperties>
</file>