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As filed with the Securities and Exchange Commission on August 13, 2008</w:t>
      </w:r>
    </w:p>
    <w:p>
      <w:pPr>
        <w:spacing w:after="0" w:line="27"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20320</wp:posOffset>
            </wp:positionV>
            <wp:extent cx="68179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34290"/>
                    </a:xfrm>
                    <a:prstGeom prst="rect">
                      <a:avLst/>
                    </a:prstGeom>
                    <a:noFill/>
                  </pic:spPr>
                </pic:pic>
              </a:graphicData>
            </a:graphic>
          </wp:anchor>
        </w:drawing>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Amendment No. 1</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to</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Form S-1</w:t>
      </w:r>
    </w:p>
    <w:p>
      <w:pPr>
        <w:spacing w:after="0" w:line="7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THE SECURITIES ACT OF 1933</w:t>
      </w:r>
    </w:p>
    <w:p>
      <w:pPr>
        <w:spacing w:after="0" w:line="18" w:lineRule="exact"/>
        <w:rPr>
          <w:sz w:val="20"/>
          <w:szCs w:val="20"/>
          <w:color w:val="auto"/>
        </w:rPr>
      </w:pPr>
    </w:p>
    <w:p>
      <w:pPr>
        <w:jc w:val="center"/>
        <w:ind w:right="-359"/>
        <w:spacing w:after="0"/>
        <w:rPr>
          <w:sz w:val="20"/>
          <w:szCs w:val="20"/>
          <w:color w:val="auto"/>
        </w:rPr>
      </w:pPr>
      <w:r>
        <w:rPr>
          <w:rFonts w:ascii="Arial" w:cs="Arial" w:eastAsia="Arial" w:hAnsi="Arial"/>
          <w:sz w:val="43"/>
          <w:szCs w:val="43"/>
          <w:b w:val="1"/>
          <w:bCs w:val="1"/>
          <w:color w:val="auto"/>
        </w:rPr>
        <w:t>Grand Canyon Education, Inc.</w:t>
      </w:r>
    </w:p>
    <w:p>
      <w:pPr>
        <w:spacing w:after="0" w:line="42"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2780" w:type="dxa"/>
            <w:vAlign w:val="bottom"/>
          </w:tcPr>
          <w:p>
            <w:pPr>
              <w:jc w:val="center"/>
              <w:ind w:right="885"/>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w w:val="95"/>
              </w:rPr>
              <w:t>8221</w:t>
            </w:r>
          </w:p>
        </w:tc>
        <w:tc>
          <w:tcPr>
            <w:tcW w:w="2340" w:type="dxa"/>
            <w:vAlign w:val="bottom"/>
          </w:tcPr>
          <w:p>
            <w:pPr>
              <w:jc w:val="center"/>
              <w:ind w:left="945"/>
              <w:spacing w:after="0"/>
              <w:rPr>
                <w:sz w:val="20"/>
                <w:szCs w:val="20"/>
                <w:color w:val="auto"/>
              </w:rPr>
            </w:pPr>
            <w:r>
              <w:rPr>
                <w:rFonts w:ascii="Arial" w:cs="Arial" w:eastAsia="Arial" w:hAnsi="Arial"/>
                <w:sz w:val="16"/>
                <w:szCs w:val="16"/>
                <w:b w:val="1"/>
                <w:bCs w:val="1"/>
                <w:color w:val="auto"/>
                <w:w w:val="93"/>
              </w:rPr>
              <w:t>20-3356009</w:t>
            </w:r>
          </w:p>
        </w:tc>
      </w:tr>
      <w:tr>
        <w:trPr>
          <w:trHeight w:val="149"/>
        </w:trPr>
        <w:tc>
          <w:tcPr>
            <w:tcW w:w="2780" w:type="dxa"/>
            <w:vAlign w:val="bottom"/>
          </w:tcPr>
          <w:p>
            <w:pPr>
              <w:jc w:val="center"/>
              <w:ind w:right="885"/>
              <w:spacing w:after="0" w:line="149" w:lineRule="exact"/>
              <w:rPr>
                <w:sz w:val="20"/>
                <w:szCs w:val="20"/>
                <w:color w:val="auto"/>
              </w:rPr>
            </w:pPr>
            <w:r>
              <w:rPr>
                <w:rFonts w:ascii="Arial" w:cs="Arial" w:eastAsia="Arial" w:hAnsi="Arial"/>
                <w:sz w:val="14"/>
                <w:szCs w:val="14"/>
                <w:i w:val="1"/>
                <w:iCs w:val="1"/>
                <w:color w:val="auto"/>
                <w:w w:val="95"/>
              </w:rPr>
              <w:t>(State or Other Jurisdiction of</w:t>
            </w:r>
          </w:p>
        </w:tc>
        <w:tc>
          <w:tcPr>
            <w:tcW w:w="36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7"/>
              </w:rPr>
              <w:t>(Primary Standard Industrial</w:t>
            </w:r>
          </w:p>
        </w:tc>
        <w:tc>
          <w:tcPr>
            <w:tcW w:w="2340" w:type="dxa"/>
            <w:vAlign w:val="bottom"/>
          </w:tcPr>
          <w:p>
            <w:pPr>
              <w:jc w:val="center"/>
              <w:ind w:left="945"/>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2780" w:type="dxa"/>
            <w:vAlign w:val="bottom"/>
          </w:tcPr>
          <w:p>
            <w:pPr>
              <w:jc w:val="center"/>
              <w:ind w:right="885"/>
              <w:spacing w:after="0"/>
              <w:rPr>
                <w:sz w:val="20"/>
                <w:szCs w:val="20"/>
                <w:color w:val="auto"/>
              </w:rPr>
            </w:pPr>
            <w:r>
              <w:rPr>
                <w:rFonts w:ascii="Arial" w:cs="Arial" w:eastAsia="Arial" w:hAnsi="Arial"/>
                <w:sz w:val="14"/>
                <w:szCs w:val="14"/>
                <w:i w:val="1"/>
                <w:iCs w:val="1"/>
                <w:color w:val="auto"/>
                <w:w w:val="97"/>
              </w:rPr>
              <w:t>Incorporation or Organization)</w:t>
            </w:r>
          </w:p>
        </w:tc>
        <w:tc>
          <w:tcPr>
            <w:tcW w:w="3640" w:type="dxa"/>
            <w:vAlign w:val="bottom"/>
          </w:tcPr>
          <w:p>
            <w:pPr>
              <w:jc w:val="center"/>
              <w:spacing w:after="0"/>
              <w:rPr>
                <w:sz w:val="20"/>
                <w:szCs w:val="20"/>
                <w:color w:val="auto"/>
              </w:rPr>
            </w:pPr>
            <w:r>
              <w:rPr>
                <w:rFonts w:ascii="Arial" w:cs="Arial" w:eastAsia="Arial" w:hAnsi="Arial"/>
                <w:sz w:val="14"/>
                <w:szCs w:val="14"/>
                <w:i w:val="1"/>
                <w:iCs w:val="1"/>
                <w:color w:val="auto"/>
                <w:w w:val="95"/>
              </w:rPr>
              <w:t>Classification Code Number)</w:t>
            </w:r>
          </w:p>
        </w:tc>
        <w:tc>
          <w:tcPr>
            <w:tcW w:w="2340" w:type="dxa"/>
            <w:vAlign w:val="bottom"/>
          </w:tcPr>
          <w:p>
            <w:pPr>
              <w:jc w:val="center"/>
              <w:ind w:left="945"/>
              <w:spacing w:after="0"/>
              <w:rPr>
                <w:sz w:val="20"/>
                <w:szCs w:val="20"/>
                <w:color w:val="auto"/>
              </w:rPr>
            </w:pPr>
            <w:r>
              <w:rPr>
                <w:rFonts w:ascii="Arial" w:cs="Arial" w:eastAsia="Arial" w:hAnsi="Arial"/>
                <w:sz w:val="14"/>
                <w:szCs w:val="14"/>
                <w:i w:val="1"/>
                <w:iCs w:val="1"/>
                <w:color w:val="auto"/>
                <w:w w:val="96"/>
              </w:rPr>
              <w:t>Identification Number)</w:t>
            </w:r>
          </w:p>
        </w:tc>
      </w:tr>
    </w:tbl>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(602) 639-7500</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Christopher C. Richardson</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(602) 639-7500</w:t>
      </w:r>
    </w:p>
    <w:p>
      <w:pPr>
        <w:spacing w:after="0" w:line="2" w:lineRule="exact"/>
        <w:rPr>
          <w:sz w:val="20"/>
          <w:szCs w:val="20"/>
          <w:color w:val="auto"/>
        </w:rPr>
      </w:pPr>
    </w:p>
    <w:p>
      <w:pPr>
        <w:ind w:left="2680"/>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01"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70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Copies to:</w:t>
            </w:r>
          </w:p>
        </w:tc>
      </w:tr>
      <w:tr>
        <w:trPr>
          <w:trHeight w:val="279"/>
        </w:trPr>
        <w:tc>
          <w:tcPr>
            <w:tcW w:w="336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Steven D. Pidgeon, Esq.</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Mark A. Stegemoeller, Esq.</w:t>
            </w:r>
          </w:p>
        </w:tc>
      </w:tr>
      <w:tr>
        <w:trPr>
          <w:trHeight w:val="216"/>
        </w:trPr>
        <w:tc>
          <w:tcPr>
            <w:tcW w:w="336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David P. Lewis, Esq.</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Steven B. Stokdyk, Esq.</w:t>
            </w:r>
          </w:p>
        </w:tc>
      </w:tr>
      <w:tr>
        <w:trPr>
          <w:trHeight w:val="216"/>
        </w:trPr>
        <w:tc>
          <w:tcPr>
            <w:tcW w:w="3360" w:type="dxa"/>
            <w:vAlign w:val="bottom"/>
          </w:tcPr>
          <w:p>
            <w:pPr>
              <w:jc w:val="center"/>
              <w:ind w:right="390"/>
              <w:spacing w:after="0"/>
              <w:rPr>
                <w:sz w:val="20"/>
                <w:szCs w:val="20"/>
                <w:color w:val="auto"/>
              </w:rPr>
            </w:pPr>
            <w:r>
              <w:rPr>
                <w:rFonts w:ascii="Arial" w:cs="Arial" w:eastAsia="Arial" w:hAnsi="Arial"/>
                <w:sz w:val="18"/>
                <w:szCs w:val="18"/>
                <w:b w:val="1"/>
                <w:bCs w:val="1"/>
                <w:color w:val="auto"/>
                <w:w w:val="97"/>
              </w:rPr>
              <w:t>DLA Piper US LLP</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97"/>
              </w:rPr>
              <w:t>Latham &amp; Watkins LLP</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2415 East Camelback Road, Suite 700</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355 South Grand Avenue</w:t>
            </w:r>
          </w:p>
        </w:tc>
      </w:tr>
      <w:tr>
        <w:trPr>
          <w:trHeight w:val="216"/>
        </w:trPr>
        <w:tc>
          <w:tcPr>
            <w:tcW w:w="33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Phoenix, Arizona 85016</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Los Angeles, California 90071</w:t>
            </w:r>
          </w:p>
        </w:tc>
      </w:tr>
      <w:tr>
        <w:trPr>
          <w:trHeight w:val="234"/>
        </w:trPr>
        <w:tc>
          <w:tcPr>
            <w:tcW w:w="33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(480) 606-5100</w:t>
            </w:r>
          </w:p>
        </w:tc>
        <w:tc>
          <w:tcPr>
            <w:tcW w:w="4700" w:type="dxa"/>
            <w:vAlign w:val="bottom"/>
          </w:tcPr>
          <w:p>
            <w:pPr>
              <w:jc w:val="center"/>
              <w:ind w:left="2310"/>
              <w:spacing w:after="0"/>
              <w:rPr>
                <w:sz w:val="20"/>
                <w:szCs w:val="20"/>
                <w:color w:val="auto"/>
              </w:rPr>
            </w:pPr>
            <w:r>
              <w:rPr>
                <w:rFonts w:ascii="Arial" w:cs="Arial" w:eastAsia="Arial" w:hAnsi="Arial"/>
                <w:sz w:val="18"/>
                <w:szCs w:val="18"/>
                <w:b w:val="1"/>
                <w:bCs w:val="1"/>
                <w:color w:val="auto"/>
                <w:w w:val="92"/>
              </w:rPr>
              <w:t>(213) 485-1234</w:t>
            </w:r>
          </w:p>
        </w:tc>
      </w:tr>
    </w:tbl>
    <w:p>
      <w:pPr>
        <w:spacing w:after="0" w:line="319" w:lineRule="exact"/>
        <w:rPr>
          <w:sz w:val="20"/>
          <w:szCs w:val="20"/>
          <w:color w:val="auto"/>
        </w:rPr>
      </w:pPr>
    </w:p>
    <w:p>
      <w:pPr>
        <w:ind w:left="360" w:right="580" w:firstLine="32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w:t>
      </w:r>
    </w:p>
    <w:p>
      <w:pPr>
        <w:spacing w:after="0" w:line="17" w:lineRule="exact"/>
        <w:rPr>
          <w:sz w:val="20"/>
          <w:szCs w:val="20"/>
          <w:color w:val="auto"/>
        </w:rPr>
      </w:pPr>
    </w:p>
    <w:p>
      <w:pPr>
        <w:ind w:left="360" w:right="40" w:firstLine="32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o</w:t>
      </w:r>
    </w:p>
    <w:p>
      <w:pPr>
        <w:spacing w:after="0" w:line="22" w:lineRule="exact"/>
        <w:rPr>
          <w:sz w:val="20"/>
          <w:szCs w:val="20"/>
          <w:color w:val="auto"/>
        </w:rPr>
      </w:pPr>
    </w:p>
    <w:p>
      <w:pPr>
        <w:ind w:left="360" w:right="20" w:firstLine="322"/>
        <w:spacing w:after="0" w:line="306"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360" w:right="60" w:firstLine="322"/>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2" w:lineRule="exact"/>
        <w:rPr>
          <w:sz w:val="20"/>
          <w:szCs w:val="20"/>
          <w:color w:val="auto"/>
        </w:rPr>
      </w:pPr>
    </w:p>
    <w:p>
      <w:pPr>
        <w:ind w:left="360" w:right="40" w:firstLine="322"/>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2" w:lineRule="exact"/>
        <w:rPr>
          <w:sz w:val="20"/>
          <w:szCs w:val="20"/>
          <w:color w:val="auto"/>
        </w:rPr>
      </w:pPr>
    </w:p>
    <w:p>
      <w:pPr>
        <w:ind w:left="360" w:right="260" w:firstLine="32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080"/>
          </w:cols>
          <w:pgMar w:left="240" w:top="122" w:right="579" w:bottom="1440" w:gutter="0" w:footer="0" w:header="0"/>
        </w:sectPr>
      </w:pP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line="201"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6" w:lineRule="exact"/>
        <w:rPr>
          <w:sz w:val="20"/>
          <w:szCs w:val="20"/>
          <w:color w:val="auto"/>
        </w:rPr>
      </w:pPr>
    </w:p>
    <w:p>
      <w:pPr>
        <w:sectPr>
          <w:pgSz w:w="11900" w:h="16838" w:orient="portrait"/>
          <w:cols w:equalWidth="0" w:num="4">
            <w:col w:w="2320" w:space="720"/>
            <w:col w:w="1340" w:space="600"/>
            <w:col w:w="3340" w:space="660"/>
            <w:col w:w="2100"/>
          </w:cols>
          <w:pgMar w:left="240" w:top="122" w:right="579" w:bottom="1440" w:gutter="0" w:footer="0" w:header="0"/>
          <w:type w:val="continuous"/>
        </w:sectPr>
      </w:pPr>
    </w:p>
    <w:p>
      <w:pPr>
        <w:ind w:left="360" w:right="20" w:firstLine="322"/>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91440</wp:posOffset>
            </wp:positionV>
            <wp:extent cx="681799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2" w:right="5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193040</wp:posOffset>
            </wp:positionV>
            <wp:extent cx="6834505"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4505" cy="488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480" w:right="460"/>
        <w:spacing w:after="0" w:line="250" w:lineRule="auto"/>
        <w:rPr>
          <w:sz w:val="20"/>
          <w:szCs w:val="20"/>
          <w:color w:val="auto"/>
        </w:rPr>
      </w:pPr>
      <w:r>
        <w:rPr>
          <w:rFonts w:ascii="Arial" w:cs="Arial" w:eastAsia="Arial" w:hAnsi="Arial"/>
          <w:sz w:val="14"/>
          <w:szCs w:val="14"/>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E8112D"/>
        </w:rPr>
        <w:t>Subject to Completion</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E8112D"/>
        </w:rPr>
        <w:t>Dated August 13, 2008</w:t>
      </w:r>
    </w:p>
    <w:p>
      <w:pPr>
        <w:spacing w:after="0" w:line="114" w:lineRule="exact"/>
        <w:rPr>
          <w:sz w:val="20"/>
          <w:szCs w:val="20"/>
          <w:color w:val="auto"/>
        </w:rPr>
      </w:pPr>
    </w:p>
    <w:p>
      <w:pPr>
        <w:jc w:val="center"/>
        <w:ind w:left="5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93980</wp:posOffset>
            </wp:positionV>
            <wp:extent cx="831850"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Grand Canyon Education, Inc.</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123190</wp:posOffset>
            </wp:positionV>
            <wp:extent cx="1637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38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This is the initial public offering of common stock of Grand Canyon Education, Inc. We are offering stock.</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w:t>
      </w:r>
    </w:p>
    <w:p>
      <w:pPr>
        <w:spacing w:after="0" w:line="369" w:lineRule="exact"/>
        <w:rPr>
          <w:sz w:val="20"/>
          <w:szCs w:val="20"/>
          <w:color w:val="auto"/>
        </w:rPr>
      </w:pPr>
    </w:p>
    <w:p>
      <w:pPr>
        <w:sectPr>
          <w:pgSz w:w="11900" w:h="16838" w:orient="portrait"/>
          <w:cols w:equalWidth="0" w:num="2">
            <w:col w:w="8320" w:space="500"/>
            <w:col w:w="2600"/>
          </w:cols>
          <w:pgMar w:left="240" w:top="419" w:right="239" w:bottom="1440" w:gutter="0" w:footer="0" w:header="0"/>
          <w:type w:val="continuous"/>
        </w:sectPr>
      </w:pPr>
    </w:p>
    <w:p>
      <w:pPr>
        <w:ind w:left="700" w:right="900" w:firstLine="397"/>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of our common stock is expected to be between $ and $ per share. We have applied to list our common stock on the Nasdaq Global Market under the symbol “LOPE.”</w:t>
      </w:r>
    </w:p>
    <w:p>
      <w:pPr>
        <w:spacing w:after="0" w:line="87" w:lineRule="exact"/>
        <w:rPr>
          <w:sz w:val="20"/>
          <w:szCs w:val="20"/>
          <w:color w:val="auto"/>
        </w:rPr>
      </w:pPr>
    </w:p>
    <w:p>
      <w:pPr>
        <w:ind w:left="700" w:right="1220" w:firstLine="847"/>
        <w:spacing w:after="0" w:line="277" w:lineRule="auto"/>
        <w:rPr>
          <w:sz w:val="20"/>
          <w:szCs w:val="20"/>
          <w:color w:val="auto"/>
        </w:rPr>
      </w:pPr>
      <w:r>
        <w:rPr>
          <w:rFonts w:ascii="Arial" w:cs="Arial" w:eastAsia="Arial" w:hAnsi="Arial"/>
          <w:sz w:val="18"/>
          <w:szCs w:val="18"/>
          <w:color w:val="auto"/>
        </w:rPr>
        <w:t>percent of the gross proceeds from the sale of stock in this offering, before underwriting discounts and commissions and estimated offering expenses, will be paid to our existing shareholders as a special distribution.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10.</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tcPr>
          <w:p>
            <w:pPr>
              <w:spacing w:after="0"/>
              <w:rPr>
                <w:sz w:val="20"/>
                <w:szCs w:val="20"/>
                <w:color w:val="auto"/>
              </w:rPr>
            </w:pPr>
            <w:r>
              <w:rPr>
                <w:rFonts w:ascii="Arial" w:cs="Arial" w:eastAsia="Arial" w:hAnsi="Arial"/>
                <w:sz w:val="18"/>
                <w:szCs w:val="18"/>
                <w:color w:val="auto"/>
              </w:rPr>
              <w:t>Public offering price</w:t>
            </w:r>
          </w:p>
        </w:tc>
        <w:tc>
          <w:tcPr>
            <w:tcW w:w="32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2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2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r>
      <w:tr>
        <w:trPr>
          <w:trHeight w:val="338"/>
        </w:trPr>
        <w:tc>
          <w:tcPr>
            <w:tcW w:w="5520" w:type="dxa"/>
            <w:vAlign w:val="bottom"/>
          </w:tcPr>
          <w:p>
            <w:pPr>
              <w:ind w:left="380"/>
              <w:spacing w:after="0"/>
              <w:rPr>
                <w:sz w:val="20"/>
                <w:szCs w:val="20"/>
                <w:color w:val="auto"/>
              </w:rPr>
            </w:pPr>
            <w:r>
              <w:rPr>
                <w:rFonts w:ascii="Arial" w:cs="Arial" w:eastAsia="Arial" w:hAnsi="Arial"/>
                <w:sz w:val="18"/>
                <w:szCs w:val="18"/>
                <w:color w:val="auto"/>
                <w:w w:val="94"/>
              </w:rPr>
              <w:t>We have granted the underwriters a 30-day option to purchase up to</w:t>
            </w:r>
          </w:p>
        </w:tc>
        <w:tc>
          <w:tcPr>
            <w:tcW w:w="4400" w:type="dxa"/>
            <w:vAlign w:val="bottom"/>
            <w:gridSpan w:val="4"/>
          </w:tcPr>
          <w:p>
            <w:pPr>
              <w:jc w:val="right"/>
              <w:ind w:right="48"/>
              <w:spacing w:after="0"/>
              <w:rPr>
                <w:sz w:val="20"/>
                <w:szCs w:val="20"/>
                <w:color w:val="auto"/>
              </w:rPr>
            </w:pPr>
            <w:r>
              <w:rPr>
                <w:rFonts w:ascii="Arial" w:cs="Arial" w:eastAsia="Arial" w:hAnsi="Arial"/>
                <w:sz w:val="18"/>
                <w:szCs w:val="18"/>
                <w:color w:val="auto"/>
                <w:w w:val="95"/>
              </w:rPr>
              <w:t>additional shares of common stock from us at the public</w:t>
            </w:r>
          </w:p>
        </w:tc>
      </w:tr>
    </w:tbl>
    <w:p>
      <w:pPr>
        <w:ind w:left="700"/>
        <w:spacing w:after="0"/>
        <w:rPr>
          <w:sz w:val="20"/>
          <w:szCs w:val="20"/>
          <w:color w:val="auto"/>
        </w:rPr>
      </w:pPr>
      <w:r>
        <w:rPr>
          <w:rFonts w:ascii="Arial" w:cs="Arial" w:eastAsia="Arial" w:hAnsi="Arial"/>
          <w:sz w:val="18"/>
          <w:szCs w:val="18"/>
          <w:color w:val="auto"/>
        </w:rPr>
        <w:t>offering price, less the underwriting discounts and commissions, to cover over-allotments of shares, if any.</w:t>
      </w:r>
    </w:p>
    <w:p>
      <w:pPr>
        <w:spacing w:after="0" w:line="116" w:lineRule="exact"/>
        <w:rPr>
          <w:sz w:val="20"/>
          <w:szCs w:val="20"/>
          <w:color w:val="auto"/>
        </w:rPr>
      </w:pPr>
    </w:p>
    <w:p>
      <w:pPr>
        <w:ind w:left="700" w:right="1420" w:firstLine="397"/>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w w:val="99"/>
              </w:rPr>
              <w:t>Delivery of the shares of common stock will be made on or about</w:t>
            </w:r>
          </w:p>
        </w:tc>
        <w:tc>
          <w:tcPr>
            <w:tcW w:w="5160" w:type="dxa"/>
            <w:vAlign w:val="bottom"/>
          </w:tcPr>
          <w:p>
            <w:pPr>
              <w:jc w:val="right"/>
              <w:ind w:right="4546"/>
              <w:spacing w:after="0"/>
              <w:rPr>
                <w:sz w:val="20"/>
                <w:szCs w:val="20"/>
                <w:color w:val="auto"/>
              </w:rPr>
            </w:pPr>
            <w:r>
              <w:rPr>
                <w:rFonts w:ascii="Arial" w:cs="Arial" w:eastAsia="Arial" w:hAnsi="Arial"/>
                <w:sz w:val="18"/>
                <w:szCs w:val="18"/>
                <w:color w:val="auto"/>
                <w:w w:val="87"/>
              </w:rPr>
              <w:t>, 2008.</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8140" w:type="dxa"/>
            <w:vAlign w:val="bottom"/>
            <w:gridSpan w:val="2"/>
            <w:vMerge w:val="restart"/>
          </w:tcPr>
          <w:p>
            <w:pPr>
              <w:jc w:val="right"/>
              <w:ind w:right="4546"/>
              <w:spacing w:after="0"/>
              <w:rPr>
                <w:sz w:val="20"/>
                <w:szCs w:val="20"/>
                <w:color w:val="auto"/>
              </w:rPr>
            </w:pPr>
            <w:r>
              <w:rPr>
                <w:rFonts w:ascii="Arial" w:cs="Arial" w:eastAsia="Arial" w:hAnsi="Arial"/>
                <w:sz w:val="18"/>
                <w:szCs w:val="18"/>
                <w:i w:val="1"/>
                <w:iCs w:val="1"/>
                <w:color w:val="auto"/>
              </w:rPr>
              <w:t>Joint Book-Running Managers</w:t>
            </w:r>
          </w:p>
        </w:tc>
        <w:tc>
          <w:tcPr>
            <w:tcW w:w="0" w:type="dxa"/>
            <w:vAlign w:val="bottom"/>
          </w:tcPr>
          <w:p>
            <w:pPr>
              <w:spacing w:after="0"/>
              <w:rPr>
                <w:sz w:val="1"/>
                <w:szCs w:val="1"/>
                <w:color w:val="auto"/>
              </w:rPr>
            </w:pPr>
          </w:p>
        </w:tc>
      </w:tr>
      <w:tr>
        <w:trPr>
          <w:trHeight w:val="345"/>
        </w:trPr>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32"/>
                <w:szCs w:val="32"/>
                <w:b w:val="1"/>
                <w:bCs w:val="1"/>
                <w:color w:val="auto"/>
              </w:rPr>
              <w:t>Credit Suisse</w:t>
            </w:r>
          </w:p>
        </w:tc>
        <w:tc>
          <w:tcPr>
            <w:tcW w:w="5160" w:type="dxa"/>
            <w:vAlign w:val="bottom"/>
          </w:tcPr>
          <w:p>
            <w:pPr>
              <w:jc w:val="right"/>
              <w:ind w:right="686"/>
              <w:spacing w:after="0"/>
              <w:rPr>
                <w:sz w:val="20"/>
                <w:szCs w:val="20"/>
                <w:color w:val="auto"/>
              </w:rPr>
            </w:pPr>
            <w:r>
              <w:rPr>
                <w:rFonts w:ascii="Arial" w:cs="Arial" w:eastAsia="Arial" w:hAnsi="Arial"/>
                <w:sz w:val="32"/>
                <w:szCs w:val="32"/>
                <w:b w:val="1"/>
                <w:bCs w:val="1"/>
                <w:color w:val="auto"/>
              </w:rPr>
              <w:t>Merrill Lynch &amp; Co.</w:t>
            </w:r>
          </w:p>
        </w:tc>
        <w:tc>
          <w:tcPr>
            <w:tcW w:w="0" w:type="dxa"/>
            <w:vAlign w:val="bottom"/>
          </w:tcPr>
          <w:p>
            <w:pPr>
              <w:spacing w:after="0"/>
              <w:rPr>
                <w:sz w:val="1"/>
                <w:szCs w:val="1"/>
                <w:color w:val="auto"/>
              </w:rPr>
            </w:pPr>
          </w:p>
        </w:tc>
      </w:tr>
      <w:tr>
        <w:trPr>
          <w:trHeight w:val="363"/>
        </w:trPr>
        <w:tc>
          <w:tcPr>
            <w:tcW w:w="70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700" w:type="dxa"/>
            <w:vAlign w:val="bottom"/>
          </w:tcPr>
          <w:p>
            <w:pPr>
              <w:spacing w:after="0"/>
              <w:rPr>
                <w:sz w:val="24"/>
                <w:szCs w:val="24"/>
                <w:color w:val="auto"/>
              </w:rPr>
            </w:pPr>
          </w:p>
        </w:tc>
        <w:tc>
          <w:tcPr>
            <w:tcW w:w="10720" w:type="dxa"/>
            <w:vAlign w:val="bottom"/>
            <w:gridSpan w:val="3"/>
          </w:tcPr>
          <w:p>
            <w:pPr>
              <w:spacing w:after="0"/>
              <w:rPr>
                <w:sz w:val="20"/>
                <w:szCs w:val="20"/>
                <w:color w:val="auto"/>
              </w:rPr>
            </w:pPr>
            <w:r>
              <w:rPr>
                <w:rFonts w:ascii="Arial" w:cs="Arial" w:eastAsia="Arial" w:hAnsi="Arial"/>
                <w:sz w:val="29"/>
                <w:szCs w:val="29"/>
                <w:b w:val="1"/>
                <w:bCs w:val="1"/>
                <w:color w:val="auto"/>
              </w:rPr>
              <w:t>BMO Capital Markets William Blair &amp; Company Piper Jaffray</w:t>
            </w: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80" w:type="dxa"/>
            <w:vAlign w:val="bottom"/>
          </w:tcPr>
          <w:p>
            <w:pPr>
              <w:ind w:left="880"/>
              <w:spacing w:after="0"/>
              <w:rPr>
                <w:sz w:val="20"/>
                <w:szCs w:val="20"/>
                <w:color w:val="auto"/>
              </w:rPr>
            </w:pPr>
            <w:r>
              <w:rPr>
                <w:rFonts w:ascii="Arial" w:cs="Arial" w:eastAsia="Arial" w:hAnsi="Arial"/>
                <w:sz w:val="18"/>
                <w:szCs w:val="18"/>
                <w:color w:val="auto"/>
                <w:w w:val="88"/>
              </w:rPr>
              <w:t>The date of this prospectus is</w:t>
            </w:r>
          </w:p>
        </w:tc>
        <w:tc>
          <w:tcPr>
            <w:tcW w:w="5160" w:type="dxa"/>
            <w:vAlign w:val="bottom"/>
          </w:tcPr>
          <w:p>
            <w:pPr>
              <w:jc w:val="right"/>
              <w:ind w:right="4146"/>
              <w:spacing w:after="0"/>
              <w:rPr>
                <w:sz w:val="20"/>
                <w:szCs w:val="20"/>
                <w:color w:val="auto"/>
              </w:rPr>
            </w:pPr>
            <w:r>
              <w:rPr>
                <w:rFonts w:ascii="Arial" w:cs="Arial" w:eastAsia="Arial" w:hAnsi="Arial"/>
                <w:sz w:val="18"/>
                <w:szCs w:val="18"/>
                <w:color w:val="auto"/>
              </w:rPr>
              <w:t>, 2008</w:t>
            </w: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40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5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6380" w:type="dxa"/>
            <w:vAlign w:val="bottom"/>
            <w:gridSpan w:val="15"/>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7000" w:type="dxa"/>
            <w:vAlign w:val="bottom"/>
            <w:gridSpan w:val="2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10</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31</w:t>
            </w:r>
          </w:p>
        </w:tc>
      </w:tr>
      <w:tr>
        <w:trPr>
          <w:trHeight w:val="196"/>
        </w:trPr>
        <w:tc>
          <w:tcPr>
            <w:tcW w:w="2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5800" w:type="dxa"/>
            <w:vAlign w:val="bottom"/>
            <w:gridSpan w:val="13"/>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32</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Special Distribution</w:t>
              </w:r>
            </w:hyperlink>
          </w:p>
        </w:tc>
        <w:tc>
          <w:tcPr>
            <w:tcW w:w="6460" w:type="dxa"/>
            <w:vAlign w:val="bottom"/>
            <w:gridSpan w:val="16"/>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33</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6740" w:type="dxa"/>
            <w:vAlign w:val="bottom"/>
            <w:gridSpan w:val="17"/>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35</w:t>
            </w: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Dilution</w:t>
              </w:r>
            </w:hyperlink>
          </w:p>
        </w:tc>
        <w:tc>
          <w:tcPr>
            <w:tcW w:w="7300" w:type="dxa"/>
            <w:vAlign w:val="bottom"/>
            <w:gridSpan w:val="25"/>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37</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and Other Data</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39</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42</w:t>
            </w: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7260" w:type="dxa"/>
            <w:vAlign w:val="bottom"/>
            <w:gridSpan w:val="24"/>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60</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Regulation</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80</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Management</w:t>
              </w:r>
            </w:hyperlink>
          </w:p>
        </w:tc>
        <w:tc>
          <w:tcPr>
            <w:tcW w:w="6960" w:type="dxa"/>
            <w:vAlign w:val="bottom"/>
            <w:gridSpan w:val="21"/>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94</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Compensation Discussion and Analysis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99</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Certain Relationships and Related Transactions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110</w:t>
            </w:r>
          </w:p>
        </w:tc>
      </w:tr>
      <w:tr>
        <w:trPr>
          <w:trHeight w:val="196"/>
        </w:trPr>
        <w:tc>
          <w:tcPr>
            <w:tcW w:w="29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Beneficial Ownership of Common Stock</w:t>
              </w:r>
            </w:hyperlink>
          </w:p>
        </w:tc>
        <w:tc>
          <w:tcPr>
            <w:tcW w:w="460" w:type="dxa"/>
            <w:vAlign w:val="bottom"/>
            <w:tcBorders>
              <w:top w:val="single" w:sz="8" w:color="0000EE"/>
            </w:tcBorders>
            <w:gridSpan w:val="2"/>
          </w:tcPr>
          <w:p>
            <w:pPr>
              <w:spacing w:after="0"/>
              <w:rPr>
                <w:sz w:val="17"/>
                <w:szCs w:val="17"/>
                <w:color w:val="auto"/>
              </w:rPr>
            </w:pPr>
          </w:p>
        </w:tc>
        <w:tc>
          <w:tcPr>
            <w:tcW w:w="4500" w:type="dxa"/>
            <w:vAlign w:val="bottom"/>
            <w:gridSpan w:val="3"/>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116</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Description of Capital Stock</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120</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Shares Eligible for Future Sale</w:t>
              </w:r>
            </w:hyperlink>
          </w:p>
        </w:tc>
        <w:tc>
          <w:tcPr>
            <w:tcW w:w="5680" w:type="dxa"/>
            <w:vAlign w:val="bottom"/>
            <w:gridSpan w:val="10"/>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125</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Material U.S. Federal Income and Estate Tax Considerations for Non-U.S. Holders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127</w:t>
            </w:r>
          </w:p>
        </w:tc>
      </w:tr>
      <w:tr>
        <w:trPr>
          <w:trHeight w:val="196"/>
        </w:trPr>
        <w:tc>
          <w:tcPr>
            <w:tcW w:w="59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Underwriting</w:t>
              </w:r>
            </w:hyperlink>
          </w:p>
        </w:tc>
        <w:tc>
          <w:tcPr>
            <w:tcW w:w="1940" w:type="dxa"/>
            <w:vAlign w:val="bottom"/>
            <w:gridSpan w:val="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130</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Notice to European Economic Area Residents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133</w:t>
            </w:r>
          </w:p>
        </w:tc>
      </w:tr>
      <w:tr>
        <w:trPr>
          <w:trHeight w:val="196"/>
        </w:trPr>
        <w:tc>
          <w:tcPr>
            <w:tcW w:w="33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Notice to United Kingdom Residents</w:t>
              </w:r>
            </w:hyperlink>
          </w:p>
        </w:tc>
        <w:tc>
          <w:tcPr>
            <w:tcW w:w="4600" w:type="dxa"/>
            <w:vAlign w:val="bottom"/>
            <w:gridSpan w:val="4"/>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133</w:t>
            </w:r>
          </w:p>
        </w:tc>
      </w:tr>
      <w:tr>
        <w:trPr>
          <w:trHeight w:val="196"/>
        </w:trPr>
        <w:tc>
          <w:tcPr>
            <w:tcW w:w="26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Notice to Canadian Residents</w:t>
              </w:r>
            </w:hyperlink>
          </w:p>
        </w:tc>
        <w:tc>
          <w:tcPr>
            <w:tcW w:w="5240" w:type="dxa"/>
            <w:vAlign w:val="bottom"/>
            <w:gridSpan w:val="8"/>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Legal Matters</w:t>
              </w:r>
            </w:hyperlink>
          </w:p>
        </w:tc>
        <w:tc>
          <w:tcPr>
            <w:tcW w:w="1120" w:type="dxa"/>
            <w:vAlign w:val="bottom"/>
            <w:tcBorders>
              <w:top w:val="single" w:sz="8" w:color="0000EE"/>
            </w:tcBorders>
            <w:gridSpan w:val="7"/>
          </w:tcPr>
          <w:p>
            <w:pPr>
              <w:spacing w:after="0"/>
              <w:rPr>
                <w:sz w:val="17"/>
                <w:szCs w:val="17"/>
                <w:color w:val="auto"/>
              </w:rPr>
            </w:pPr>
          </w:p>
        </w:tc>
        <w:tc>
          <w:tcPr>
            <w:tcW w:w="5780" w:type="dxa"/>
            <w:vAlign w:val="bottom"/>
            <w:gridSpan w:val="12"/>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135</w:t>
            </w:r>
          </w:p>
        </w:tc>
      </w:tr>
      <w:tr>
        <w:trPr>
          <w:trHeight w:val="196"/>
        </w:trPr>
        <w:tc>
          <w:tcPr>
            <w:tcW w:w="7900" w:type="dxa"/>
            <w:vAlign w:val="bottom"/>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Experts</w:t>
              </w:r>
            </w:hyperlink>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135</w:t>
            </w:r>
          </w:p>
        </w:tc>
      </w:tr>
      <w:tr>
        <w:trPr>
          <w:trHeight w:val="20"/>
        </w:trPr>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Where You Can Find More Information</w:t>
              </w:r>
            </w:hyperlink>
          </w:p>
        </w:tc>
        <w:tc>
          <w:tcPr>
            <w:tcW w:w="5040" w:type="dxa"/>
            <w:vAlign w:val="bottom"/>
            <w:gridSpan w:val="6"/>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135</w:t>
            </w:r>
          </w:p>
        </w:tc>
      </w:tr>
      <w:tr>
        <w:trPr>
          <w:trHeight w:val="196"/>
        </w:trPr>
        <w:tc>
          <w:tcPr>
            <w:tcW w:w="2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Index to Financial Statements</w:t>
              </w:r>
            </w:hyperlink>
          </w:p>
        </w:tc>
        <w:tc>
          <w:tcPr>
            <w:tcW w:w="5760" w:type="dxa"/>
            <w:vAlign w:val="bottom"/>
            <w:gridSpan w:val="11"/>
          </w:tcPr>
          <w:p>
            <w:pPr>
              <w:spacing w:after="0"/>
              <w:rPr>
                <w:sz w:val="17"/>
                <w:szCs w:val="17"/>
                <w:color w:val="auto"/>
              </w:rPr>
            </w:pPr>
          </w:p>
        </w:tc>
        <w:tc>
          <w:tcPr>
            <w:tcW w:w="1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F-1</w:t>
            </w:r>
          </w:p>
        </w:tc>
      </w:tr>
      <w:tr>
        <w:trPr>
          <w:trHeight w:val="196"/>
        </w:trPr>
        <w:tc>
          <w:tcPr>
            <w:tcW w:w="40" w:type="dxa"/>
            <w:vAlign w:val="bottom"/>
          </w:tcPr>
          <w:p>
            <w:pPr>
              <w:spacing w:after="0"/>
              <w:rPr>
                <w:sz w:val="17"/>
                <w:szCs w:val="17"/>
                <w:color w:val="auto"/>
              </w:rPr>
            </w:pPr>
          </w:p>
        </w:tc>
        <w:tc>
          <w:tcPr>
            <w:tcW w:w="7860" w:type="dxa"/>
            <w:vAlign w:val="bottom"/>
            <w:gridSpan w:val="27"/>
          </w:tcPr>
          <w:p>
            <w:pPr>
              <w:spacing w:after="0" w:line="196" w:lineRule="exact"/>
              <w:rPr>
                <w:sz w:val="20"/>
                <w:szCs w:val="20"/>
                <w:color w:val="auto"/>
              </w:rPr>
            </w:pPr>
            <w:r>
              <w:rPr>
                <w:rFonts w:ascii="Arial" w:cs="Arial" w:eastAsia="Arial" w:hAnsi="Arial"/>
                <w:sz w:val="18"/>
                <w:szCs w:val="18"/>
                <w:color w:val="0000EE"/>
              </w:rPr>
              <w:t>EX-1.1</w:t>
            </w:r>
          </w:p>
        </w:tc>
        <w:tc>
          <w:tcPr>
            <w:tcW w:w="18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180" w:type="dxa"/>
            <w:vAlign w:val="bottom"/>
            <w:gridSpan w:val="2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60" w:type="dxa"/>
            <w:vAlign w:val="bottom"/>
            <w:gridSpan w:val="27"/>
          </w:tcPr>
          <w:p>
            <w:pPr>
              <w:spacing w:after="0" w:line="196" w:lineRule="exact"/>
              <w:rPr>
                <w:sz w:val="20"/>
                <w:szCs w:val="20"/>
                <w:color w:val="auto"/>
              </w:rPr>
            </w:pPr>
            <w:r>
              <w:rPr>
                <w:rFonts w:ascii="Arial" w:cs="Arial" w:eastAsia="Arial" w:hAnsi="Arial"/>
                <w:sz w:val="18"/>
                <w:szCs w:val="18"/>
                <w:color w:val="0000EE"/>
              </w:rPr>
              <w:t>EX-10.18</w:t>
            </w:r>
          </w:p>
        </w:tc>
        <w:tc>
          <w:tcPr>
            <w:tcW w:w="18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180" w:type="dxa"/>
            <w:vAlign w:val="bottom"/>
            <w:gridSpan w:val="2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60" w:type="dxa"/>
            <w:vAlign w:val="bottom"/>
            <w:gridSpan w:val="27"/>
          </w:tcPr>
          <w:p>
            <w:pPr>
              <w:spacing w:after="0" w:line="196" w:lineRule="exact"/>
              <w:rPr>
                <w:sz w:val="20"/>
                <w:szCs w:val="20"/>
                <w:color w:val="auto"/>
              </w:rPr>
            </w:pPr>
            <w:r>
              <w:rPr>
                <w:rFonts w:ascii="Arial" w:cs="Arial" w:eastAsia="Arial" w:hAnsi="Arial"/>
                <w:sz w:val="18"/>
                <w:szCs w:val="18"/>
                <w:color w:val="0000EE"/>
              </w:rPr>
              <w:t>EX-10.19</w:t>
            </w:r>
          </w:p>
        </w:tc>
        <w:tc>
          <w:tcPr>
            <w:tcW w:w="18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180" w:type="dxa"/>
            <w:vAlign w:val="bottom"/>
            <w:gridSpan w:val="2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60" w:type="dxa"/>
            <w:vAlign w:val="bottom"/>
            <w:gridSpan w:val="27"/>
          </w:tcPr>
          <w:p>
            <w:pPr>
              <w:spacing w:after="0" w:line="196" w:lineRule="exact"/>
              <w:rPr>
                <w:sz w:val="20"/>
                <w:szCs w:val="20"/>
                <w:color w:val="auto"/>
              </w:rPr>
            </w:pPr>
            <w:r>
              <w:rPr>
                <w:rFonts w:ascii="Arial" w:cs="Arial" w:eastAsia="Arial" w:hAnsi="Arial"/>
                <w:sz w:val="18"/>
                <w:szCs w:val="18"/>
                <w:color w:val="0000EE"/>
              </w:rPr>
              <w:t>EX-10.20</w:t>
            </w:r>
          </w:p>
        </w:tc>
        <w:tc>
          <w:tcPr>
            <w:tcW w:w="18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6017895</wp:posOffset>
            </wp:positionH>
            <wp:positionV relativeFrom="paragraph">
              <wp:posOffset>-4278630</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u w:val="single" w:color="auto"/>
          <w:color w:val="0000EE"/>
        </w:rPr>
        <w:t>EX-10.21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EX-23.2</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131" w:lineRule="exact"/>
        <w:rPr>
          <w:sz w:val="20"/>
          <w:szCs w:val="20"/>
          <w:color w:val="auto"/>
        </w:rPr>
      </w:pPr>
    </w:p>
    <w:p>
      <w:pPr>
        <w:ind w:firstLine="397"/>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64" w:lineRule="exact"/>
        <w:rPr>
          <w:sz w:val="20"/>
          <w:szCs w:val="20"/>
          <w:color w:val="auto"/>
        </w:rPr>
      </w:pPr>
    </w:p>
    <w:p>
      <w:pPr>
        <w:ind w:right="320" w:firstLine="397"/>
        <w:spacing w:after="0" w:line="286" w:lineRule="auto"/>
        <w:rPr>
          <w:sz w:val="20"/>
          <w:szCs w:val="20"/>
          <w:color w:val="auto"/>
        </w:rPr>
      </w:pPr>
      <w:r>
        <w:rPr>
          <w:rFonts w:ascii="Arial" w:cs="Arial" w:eastAsia="Arial" w:hAnsi="Arial"/>
          <w:sz w:val="17"/>
          <w:szCs w:val="17"/>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112395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72" w:right="11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PROSPECTUS SUMMARY</w:t>
      </w:r>
    </w:p>
    <w:p>
      <w:pPr>
        <w:spacing w:after="0" w:line="135" w:lineRule="exact"/>
        <w:rPr>
          <w:sz w:val="20"/>
          <w:szCs w:val="20"/>
          <w:color w:val="auto"/>
        </w:rPr>
      </w:pPr>
    </w:p>
    <w:p>
      <w:pPr>
        <w:ind w:left="920" w:right="140" w:firstLine="397"/>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920" w:right="60" w:firstLine="397"/>
        <w:spacing w:after="0" w:line="271" w:lineRule="auto"/>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84" w:lineRule="exact"/>
        <w:rPr>
          <w:sz w:val="20"/>
          <w:szCs w:val="20"/>
          <w:color w:val="auto"/>
        </w:rPr>
      </w:pPr>
    </w:p>
    <w:p>
      <w:pPr>
        <w:ind w:left="920" w:right="40" w:firstLine="397"/>
        <w:spacing w:after="0" w:line="293" w:lineRule="auto"/>
        <w:rPr>
          <w:sz w:val="20"/>
          <w:szCs w:val="20"/>
          <w:color w:val="auto"/>
        </w:rPr>
      </w:pPr>
      <w:r>
        <w:rPr>
          <w:rFonts w:ascii="Arial" w:cs="Arial" w:eastAsia="Arial" w:hAnsi="Arial"/>
          <w:sz w:val="16"/>
          <w:szCs w:val="16"/>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0" w:lineRule="exact"/>
        <w:rPr>
          <w:sz w:val="20"/>
          <w:szCs w:val="20"/>
          <w:color w:val="auto"/>
        </w:rPr>
      </w:pPr>
    </w:p>
    <w:p>
      <w:pPr>
        <w:ind w:left="920" w:right="40" w:firstLine="397"/>
        <w:spacing w:after="0" w:line="255" w:lineRule="auto"/>
        <w:rPr>
          <w:sz w:val="20"/>
          <w:szCs w:val="20"/>
          <w:color w:val="auto"/>
        </w:rPr>
      </w:pPr>
      <w:r>
        <w:rPr>
          <w:rFonts w:ascii="Arial" w:cs="Arial" w:eastAsia="Arial" w:hAnsi="Arial"/>
          <w:sz w:val="18"/>
          <w:szCs w:val="18"/>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9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We have experienced significant growth in enrollment, net revenue, and operating income over the last several years. Our</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enrollment at December 31, 2007 was approximately 14,800, representing an increase of approximately 38% over our enrollment at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December 31, 2006. Our net revenue and operating income for the year ended December 31, 2007 were $99.3 million and $4.3 million,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respectively, representing increases of 37.7% and 42.8%, respectively, over the year ended December 31, 2006. Our enrollment at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June 30, 2008 was approximately 16,500, representing an increase of approximately 60% over our enrollment at June 30, 2007. Our net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revenue and operating income for the six months ended June 30, 2008 were $70.3 million, and $6.3 million, respectively, representing</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increases of 59.5% and 172.2%, respectively, over the six months ended June 30, 2007. We seek to achieve continued growth in a manner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that reinforces our reputation for providing academically rigorous, career-oriented educational programs that advance the careers of our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students.</w:t>
      </w:r>
    </w:p>
    <w:p>
      <w:pPr>
        <w:spacing w:after="0" w:line="116" w:lineRule="exact"/>
        <w:rPr>
          <w:sz w:val="20"/>
          <w:szCs w:val="20"/>
          <w:color w:val="auto"/>
        </w:rPr>
      </w:pPr>
    </w:p>
    <w:p>
      <w:pPr>
        <w:ind w:left="920" w:right="40" w:firstLine="397"/>
        <w:spacing w:after="0" w:line="257" w:lineRule="auto"/>
        <w:rPr>
          <w:sz w:val="20"/>
          <w:szCs w:val="20"/>
          <w:color w:val="auto"/>
        </w:rPr>
      </w:pPr>
      <w:r>
        <w:rPr>
          <w:rFonts w:ascii="Arial" w:cs="Arial" w:eastAsia="Arial" w:hAnsi="Arial"/>
          <w:sz w:val="18"/>
          <w:szCs w:val="18"/>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Training Education. We believe that our regional accreditation, together with these specialized accreditations, reflect the quality of our programs, enhance their marketability, and improve the employability of our graduates.</w:t>
      </w:r>
    </w:p>
    <w:p>
      <w:pPr>
        <w:spacing w:after="0" w:line="76" w:lineRule="exact"/>
        <w:rPr>
          <w:sz w:val="20"/>
          <w:szCs w:val="20"/>
          <w:color w:val="auto"/>
        </w:rPr>
      </w:pPr>
    </w:p>
    <w:p>
      <w:pPr>
        <w:ind w:left="920" w:right="40" w:firstLine="397"/>
        <w:spacing w:after="0" w:line="302" w:lineRule="auto"/>
        <w:rPr>
          <w:sz w:val="20"/>
          <w:szCs w:val="20"/>
          <w:color w:val="auto"/>
        </w:rPr>
      </w:pPr>
      <w:r>
        <w:rPr>
          <w:rFonts w:ascii="Arial" w:cs="Arial" w:eastAsia="Arial" w:hAnsi="Arial"/>
          <w:sz w:val="16"/>
          <w:szCs w:val="16"/>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Industry</w:t>
      </w:r>
    </w:p>
    <w:p>
      <w:pPr>
        <w:spacing w:after="0" w:line="135" w:lineRule="exact"/>
        <w:rPr>
          <w:sz w:val="20"/>
          <w:szCs w:val="20"/>
          <w:color w:val="auto"/>
        </w:rPr>
      </w:pPr>
    </w:p>
    <w:p>
      <w:pPr>
        <w:ind w:left="920" w:firstLine="397"/>
        <w:spacing w:after="0" w:line="290" w:lineRule="auto"/>
        <w:rPr>
          <w:sz w:val="20"/>
          <w:szCs w:val="20"/>
          <w:color w:val="auto"/>
        </w:rPr>
      </w:pPr>
      <w:r>
        <w:rPr>
          <w:rFonts w:ascii="Arial" w:cs="Arial" w:eastAsia="Arial" w:hAnsi="Arial"/>
          <w:sz w:val="16"/>
          <w:szCs w:val="16"/>
          <w:color w:val="auto"/>
        </w:rPr>
        <w:t>The United States market for postsecondary education represents a large and growing opportunity. According to the March 2008 NCES report, total revenue for all degree-granting postsecondary institutions was over $385 billion for the 2004-05 school year. Approximately 18.0 million students were projected to be enrolled in postsecondary institutions in 2007 and the number was projected to grow to 18.8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72" w:lineRule="exact"/>
        <w:rPr>
          <w:sz w:val="20"/>
          <w:szCs w:val="20"/>
          <w:color w:val="auto"/>
        </w:rPr>
      </w:pPr>
    </w:p>
    <w:p>
      <w:pPr>
        <w:ind w:left="920" w:right="80" w:firstLine="397"/>
        <w:spacing w:after="0" w:line="270" w:lineRule="auto"/>
        <w:rPr>
          <w:sz w:val="20"/>
          <w:szCs w:val="20"/>
          <w:color w:val="auto"/>
        </w:rPr>
      </w:pPr>
      <w:r>
        <w:rPr>
          <w:rFonts w:ascii="Arial" w:cs="Arial" w:eastAsia="Arial" w:hAnsi="Arial"/>
          <w:sz w:val="17"/>
          <w:szCs w:val="17"/>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December 2007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believe we have the following competitive strengths:</w:t>
      </w:r>
    </w:p>
    <w:p>
      <w:pPr>
        <w:spacing w:after="0" w:line="131" w:lineRule="exact"/>
        <w:rPr>
          <w:sz w:val="20"/>
          <w:szCs w:val="20"/>
          <w:color w:val="auto"/>
        </w:rPr>
      </w:pPr>
    </w:p>
    <w:p>
      <w:pPr>
        <w:ind w:left="920" w:right="160" w:firstLine="397"/>
        <w:spacing w:after="0" w:line="259" w:lineRule="auto"/>
        <w:rPr>
          <w:sz w:val="20"/>
          <w:szCs w:val="20"/>
          <w:color w:val="auto"/>
        </w:rPr>
      </w:pPr>
      <w:r>
        <w:rPr>
          <w:rFonts w:ascii="Arial" w:cs="Arial" w:eastAsia="Arial" w:hAnsi="Arial"/>
          <w:sz w:val="18"/>
          <w:szCs w:val="18"/>
          <w:i w:val="1"/>
          <w:iCs w:val="1"/>
          <w:color w:val="auto"/>
        </w:rPr>
        <w:t xml:space="preserve">Established presence in targeted, high demand disciplines. </w:t>
      </w:r>
      <w:r>
        <w:rPr>
          <w:rFonts w:ascii="Arial" w:cs="Arial" w:eastAsia="Arial" w:hAnsi="Arial"/>
          <w:sz w:val="18"/>
          <w:szCs w:val="18"/>
          <w:color w:val="auto"/>
        </w:rPr>
        <w:t>We have an established presence within our three core disciplines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business, and healthcare.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92" w:lineRule="exact"/>
        <w:rPr>
          <w:sz w:val="20"/>
          <w:szCs w:val="20"/>
          <w:color w:val="auto"/>
        </w:rPr>
      </w:pPr>
    </w:p>
    <w:p>
      <w:pPr>
        <w:ind w:left="920" w:right="20" w:firstLine="397"/>
        <w:spacing w:after="0" w:line="264" w:lineRule="auto"/>
        <w:rPr>
          <w:sz w:val="20"/>
          <w:szCs w:val="20"/>
          <w:color w:val="auto"/>
        </w:rPr>
      </w:pPr>
      <w:r>
        <w:rPr>
          <w:rFonts w:ascii="Arial" w:cs="Arial" w:eastAsia="Arial" w:hAnsi="Arial"/>
          <w:sz w:val="18"/>
          <w:szCs w:val="18"/>
          <w:i w:val="1"/>
          <w:iCs w:val="1"/>
          <w:color w:val="auto"/>
        </w:rPr>
        <w:t xml:space="preserve">Focus on graduate degrees for working adults. </w:t>
      </w:r>
      <w:r>
        <w:rPr>
          <w:rFonts w:ascii="Arial" w:cs="Arial" w:eastAsia="Arial" w:hAnsi="Arial"/>
          <w:sz w:val="18"/>
          <w:szCs w:val="18"/>
          <w:color w:val="auto"/>
        </w:rPr>
        <w:t>We have designed our program offerings and our online delivery platform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needs of working adults, particularly those seeking graduate degrees to obtain pay increases or job promotions that are directly tied to higher educational attainment.</w:t>
      </w:r>
    </w:p>
    <w:p>
      <w:pPr>
        <w:spacing w:after="0" w:line="87" w:lineRule="exact"/>
        <w:rPr>
          <w:sz w:val="20"/>
          <w:szCs w:val="20"/>
          <w:color w:val="auto"/>
        </w:rPr>
      </w:pPr>
    </w:p>
    <w:p>
      <w:pPr>
        <w:ind w:left="920" w:right="60" w:firstLine="397"/>
        <w:spacing w:after="0" w:line="312" w:lineRule="auto"/>
        <w:rPr>
          <w:sz w:val="20"/>
          <w:szCs w:val="20"/>
          <w:color w:val="auto"/>
        </w:rPr>
      </w:pPr>
      <w:r>
        <w:rPr>
          <w:rFonts w:ascii="Arial" w:cs="Arial" w:eastAsia="Arial" w:hAnsi="Arial"/>
          <w:sz w:val="16"/>
          <w:szCs w:val="16"/>
          <w:i w:val="1"/>
          <w:iCs w:val="1"/>
          <w:color w:val="auto"/>
        </w:rPr>
        <w:t xml:space="preserve">Innovative marketing, recruiting, and retention strategy. </w:t>
      </w:r>
      <w:r>
        <w:rPr>
          <w:rFonts w:ascii="Arial" w:cs="Arial" w:eastAsia="Arial" w:hAnsi="Arial"/>
          <w:sz w:val="16"/>
          <w:szCs w:val="16"/>
          <w:color w:val="auto"/>
        </w:rPr>
        <w:t>We have developed an integrated, innovative approach to student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recruitment, and retention to reach our targeted students. We also proactively provide support to students at key points during their consideration of, and enrollment at, Grand Canyon University to enhance the probability of student enrollment and retention.</w:t>
      </w:r>
    </w:p>
    <w:p>
      <w:pPr>
        <w:spacing w:after="0" w:line="52" w:lineRule="exact"/>
        <w:rPr>
          <w:sz w:val="20"/>
          <w:szCs w:val="20"/>
          <w:color w:val="auto"/>
        </w:rPr>
      </w:pPr>
    </w:p>
    <w:p>
      <w:pPr>
        <w:ind w:left="920" w:right="280" w:firstLine="397"/>
        <w:spacing w:after="0" w:line="277" w:lineRule="auto"/>
        <w:rPr>
          <w:sz w:val="20"/>
          <w:szCs w:val="20"/>
          <w:color w:val="auto"/>
        </w:rPr>
      </w:pPr>
      <w:r>
        <w:rPr>
          <w:rFonts w:ascii="Arial" w:cs="Arial" w:eastAsia="Arial" w:hAnsi="Arial"/>
          <w:sz w:val="18"/>
          <w:szCs w:val="18"/>
          <w:i w:val="1"/>
          <w:iCs w:val="1"/>
          <w:color w:val="auto"/>
        </w:rPr>
        <w:t xml:space="preserve">Commitment to offering academically rigorous, career-oriented programs. </w:t>
      </w:r>
      <w:r>
        <w:rPr>
          <w:rFonts w:ascii="Arial" w:cs="Arial" w:eastAsia="Arial" w:hAnsi="Arial"/>
          <w:sz w:val="18"/>
          <w:szCs w:val="18"/>
          <w:color w:val="auto"/>
        </w:rPr>
        <w:t>We are committed to offering academically rigorous</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educational programs that are designed to help our students achieve their career</w:t>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objectives. Our programs are taught by qualified faculty, substantially all of whom hold at least a master’s degree and often have practical experience in their respective fields.</w:t>
      </w:r>
    </w:p>
    <w:p>
      <w:pPr>
        <w:spacing w:after="0" w:line="76" w:lineRule="exact"/>
        <w:rPr>
          <w:sz w:val="20"/>
          <w:szCs w:val="20"/>
          <w:color w:val="auto"/>
        </w:rPr>
      </w:pPr>
    </w:p>
    <w:p>
      <w:pPr>
        <w:ind w:left="920" w:right="100" w:firstLine="397"/>
        <w:spacing w:after="0" w:line="264" w:lineRule="auto"/>
        <w:rPr>
          <w:sz w:val="20"/>
          <w:szCs w:val="20"/>
          <w:color w:val="auto"/>
        </w:rPr>
      </w:pPr>
      <w:r>
        <w:rPr>
          <w:rFonts w:ascii="Arial" w:cs="Arial" w:eastAsia="Arial" w:hAnsi="Arial"/>
          <w:sz w:val="18"/>
          <w:szCs w:val="18"/>
          <w:i w:val="1"/>
          <w:iCs w:val="1"/>
          <w:color w:val="auto"/>
        </w:rPr>
        <w:t xml:space="preserve">Complementary online capabilities and campus-based tradition. </w:t>
      </w:r>
      <w:r>
        <w:rPr>
          <w:rFonts w:ascii="Arial" w:cs="Arial" w:eastAsia="Arial" w:hAnsi="Arial"/>
          <w:sz w:val="18"/>
          <w:szCs w:val="18"/>
          <w:color w:val="auto"/>
        </w:rPr>
        <w:t>We believe that our online capabilities, combined with our nearly</w:t>
      </w:r>
      <w:r>
        <w:rPr>
          <w:rFonts w:ascii="Arial" w:cs="Arial" w:eastAsia="Arial" w:hAnsi="Arial"/>
          <w:sz w:val="18"/>
          <w:szCs w:val="18"/>
          <w:i w:val="1"/>
          <w:iCs w:val="1"/>
          <w:color w:val="auto"/>
        </w:rPr>
        <w:t xml:space="preserve"> </w:t>
      </w:r>
      <w:r>
        <w:rPr>
          <w:rFonts w:ascii="Arial" w:cs="Arial" w:eastAsia="Arial" w:hAnsi="Arial"/>
          <w:sz w:val="18"/>
          <w:szCs w:val="18"/>
          <w:color w:val="auto"/>
        </w:rPr>
        <w:t>60-year heritage as a traditional campus-based university, differentiate us in the for-profit postsecondary market and enhance the reputation of our degree programs among prospective students and employers.</w:t>
      </w:r>
    </w:p>
    <w:p>
      <w:pPr>
        <w:spacing w:after="0" w:line="87" w:lineRule="exact"/>
        <w:rPr>
          <w:sz w:val="20"/>
          <w:szCs w:val="20"/>
          <w:color w:val="auto"/>
        </w:rPr>
      </w:pPr>
    </w:p>
    <w:p>
      <w:pPr>
        <w:ind w:left="920" w:right="40" w:firstLine="397"/>
        <w:spacing w:after="0" w:line="259" w:lineRule="auto"/>
        <w:rPr>
          <w:sz w:val="20"/>
          <w:szCs w:val="20"/>
          <w:color w:val="auto"/>
        </w:rPr>
      </w:pPr>
      <w:r>
        <w:rPr>
          <w:rFonts w:ascii="Arial" w:cs="Arial" w:eastAsia="Arial" w:hAnsi="Arial"/>
          <w:sz w:val="18"/>
          <w:szCs w:val="18"/>
          <w:i w:val="1"/>
          <w:iCs w:val="1"/>
          <w:color w:val="auto"/>
        </w:rPr>
        <w:t xml:space="preserve">Experienced executive management team with strong operating track-record. </w:t>
      </w:r>
      <w:r>
        <w:rPr>
          <w:rFonts w:ascii="Arial" w:cs="Arial" w:eastAsia="Arial" w:hAnsi="Arial"/>
          <w:sz w:val="18"/>
          <w:szCs w:val="18"/>
          <w:color w:val="auto"/>
        </w:rPr>
        <w:t>Our executive management team possesses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the management and operation of 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Growth Strategies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intend to pursue the following growth strategies:</w:t>
      </w:r>
    </w:p>
    <w:p>
      <w:pPr>
        <w:spacing w:after="0" w:line="131" w:lineRule="exact"/>
        <w:rPr>
          <w:sz w:val="20"/>
          <w:szCs w:val="20"/>
          <w:color w:val="auto"/>
        </w:rPr>
      </w:pPr>
    </w:p>
    <w:p>
      <w:pPr>
        <w:ind w:left="920" w:right="120" w:firstLine="397"/>
        <w:spacing w:after="0" w:line="286" w:lineRule="auto"/>
        <w:rPr>
          <w:sz w:val="20"/>
          <w:szCs w:val="20"/>
          <w:color w:val="auto"/>
        </w:rPr>
      </w:pPr>
      <w:r>
        <w:rPr>
          <w:rFonts w:ascii="Arial" w:cs="Arial" w:eastAsia="Arial" w:hAnsi="Arial"/>
          <w:sz w:val="17"/>
          <w:szCs w:val="17"/>
          <w:i w:val="1"/>
          <w:iCs w:val="1"/>
          <w:color w:val="auto"/>
        </w:rPr>
        <w:t xml:space="preserve">Increase enrollment in existing programs. </w:t>
      </w:r>
      <w:r>
        <w:rPr>
          <w:rFonts w:ascii="Arial" w:cs="Arial" w:eastAsia="Arial" w:hAnsi="Arial"/>
          <w:sz w:val="17"/>
          <w:szCs w:val="17"/>
          <w:color w:val="auto"/>
        </w:rPr>
        <w:t>We intend to increase enrollment in existing programs within our three core disciplines,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believe offer ample opportunity for growth. We also intend to continue to increase the number of our enrollment counselors and marketing and student services personnel to drive enrollment growth and enhance student retention.</w:t>
      </w:r>
    </w:p>
    <w:p>
      <w:pPr>
        <w:spacing w:after="0" w:line="71" w:lineRule="exact"/>
        <w:rPr>
          <w:sz w:val="20"/>
          <w:szCs w:val="20"/>
          <w:color w:val="auto"/>
        </w:rPr>
      </w:pPr>
    </w:p>
    <w:p>
      <w:pPr>
        <w:ind w:left="920" w:right="80" w:firstLine="397"/>
        <w:spacing w:after="0" w:line="257" w:lineRule="auto"/>
        <w:rPr>
          <w:sz w:val="20"/>
          <w:szCs w:val="20"/>
          <w:color w:val="auto"/>
        </w:rPr>
      </w:pPr>
      <w:r>
        <w:rPr>
          <w:rFonts w:ascii="Arial" w:cs="Arial" w:eastAsia="Arial" w:hAnsi="Arial"/>
          <w:sz w:val="18"/>
          <w:szCs w:val="18"/>
          <w:i w:val="1"/>
          <w:iCs w:val="1"/>
          <w:color w:val="auto"/>
        </w:rPr>
        <w:t xml:space="preserve">Expand online program and degree offerings. </w:t>
      </w:r>
      <w:r>
        <w:rPr>
          <w:rFonts w:ascii="Arial" w:cs="Arial" w:eastAsia="Arial" w:hAnsi="Arial"/>
          <w:sz w:val="18"/>
          <w:szCs w:val="18"/>
          <w:color w:val="auto"/>
        </w:rPr>
        <w:t>We develop and offer new programs that we believe have attractive demand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We launched 17 new online program offerings in 2007 and intend to launch a total of 12 new online programs in 2008, seven of which were launched in the first six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94" w:lineRule="exact"/>
        <w:rPr>
          <w:sz w:val="20"/>
          <w:szCs w:val="20"/>
          <w:color w:val="auto"/>
        </w:rPr>
      </w:pPr>
    </w:p>
    <w:p>
      <w:pPr>
        <w:jc w:val="both"/>
        <w:ind w:left="920" w:right="220" w:firstLine="397"/>
        <w:spacing w:after="0" w:line="264" w:lineRule="auto"/>
        <w:rPr>
          <w:sz w:val="20"/>
          <w:szCs w:val="20"/>
          <w:color w:val="auto"/>
        </w:rPr>
      </w:pPr>
      <w:r>
        <w:rPr>
          <w:rFonts w:ascii="Arial" w:cs="Arial" w:eastAsia="Arial" w:hAnsi="Arial"/>
          <w:sz w:val="18"/>
          <w:szCs w:val="18"/>
          <w:i w:val="1"/>
          <w:iCs w:val="1"/>
          <w:color w:val="auto"/>
        </w:rPr>
        <w:t xml:space="preserve">Further enhance our brand recognition. </w:t>
      </w:r>
      <w:r>
        <w:rPr>
          <w:rFonts w:ascii="Arial" w:cs="Arial" w:eastAsia="Arial" w:hAnsi="Arial"/>
          <w:sz w:val="18"/>
          <w:szCs w:val="18"/>
          <w:color w:val="auto"/>
        </w:rPr>
        <w:t>We continue to enhance our brand recognition by pursuing online and offline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campaigns, establishing strategic branding relationships with recognized industry leaders, and developing complementary resources in our core disciplines that increase the overall awareness of our offerings.</w:t>
      </w:r>
    </w:p>
    <w:p>
      <w:pPr>
        <w:spacing w:after="0" w:line="87" w:lineRule="exact"/>
        <w:rPr>
          <w:sz w:val="20"/>
          <w:szCs w:val="20"/>
          <w:color w:val="auto"/>
        </w:rPr>
      </w:pPr>
    </w:p>
    <w:p>
      <w:pPr>
        <w:jc w:val="both"/>
        <w:ind w:left="920" w:right="280" w:firstLine="397"/>
        <w:spacing w:after="0" w:line="279" w:lineRule="auto"/>
        <w:rPr>
          <w:sz w:val="20"/>
          <w:szCs w:val="20"/>
          <w:color w:val="auto"/>
        </w:rPr>
      </w:pPr>
      <w:r>
        <w:rPr>
          <w:rFonts w:ascii="Arial" w:cs="Arial" w:eastAsia="Arial" w:hAnsi="Arial"/>
          <w:sz w:val="17"/>
          <w:szCs w:val="17"/>
          <w:i w:val="1"/>
          <w:iCs w:val="1"/>
          <w:color w:val="auto"/>
        </w:rPr>
        <w:t xml:space="preserve">Expand relationships with private sector and government employers. </w:t>
      </w:r>
      <w:r>
        <w:rPr>
          <w:rFonts w:ascii="Arial" w:cs="Arial" w:eastAsia="Arial" w:hAnsi="Arial"/>
          <w:sz w:val="17"/>
          <w:szCs w:val="17"/>
          <w:color w:val="auto"/>
        </w:rPr>
        <w:t>We seek additional relationships with health care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school districts, emergency services providers, and 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77"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i w:val="1"/>
          <w:iCs w:val="1"/>
          <w:color w:val="auto"/>
        </w:rPr>
        <w:t xml:space="preserve">Leverage infrastructure and drive earnings growth. </w:t>
      </w:r>
      <w:r>
        <w:rPr>
          <w:rFonts w:ascii="Arial" w:cs="Arial" w:eastAsia="Arial" w:hAnsi="Arial"/>
          <w:sz w:val="18"/>
          <w:szCs w:val="18"/>
          <w:color w:val="auto"/>
        </w:rPr>
        <w:t>We have made significant investments in our people, processes,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since 2004. We believe these 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Risks Affecting Us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business is subject to numerous risks, as discussed more fully in the section entitled “Risk Factors” immediately following this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Prospectus Summary. In particular, our business would be adversely affected if:</w:t>
      </w:r>
    </w:p>
    <w:p>
      <w:pPr>
        <w:spacing w:after="0" w:line="116" w:lineRule="exact"/>
        <w:rPr>
          <w:sz w:val="20"/>
          <w:szCs w:val="20"/>
          <w:color w:val="auto"/>
        </w:rPr>
      </w:pPr>
    </w:p>
    <w:p>
      <w:pPr>
        <w:ind w:left="1920" w:hanging="201"/>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unable to attract and retain students as a result of the highly competitive markets in which we operate;</w:t>
      </w:r>
    </w:p>
    <w:p>
      <w:pPr>
        <w:spacing w:after="0" w:line="117" w:lineRule="exact"/>
        <w:rPr>
          <w:rFonts w:ascii="Arial" w:cs="Arial" w:eastAsia="Arial" w:hAnsi="Arial"/>
          <w:sz w:val="18"/>
          <w:szCs w:val="18"/>
          <w:color w:val="auto"/>
        </w:rPr>
      </w:pPr>
    </w:p>
    <w:p>
      <w:pPr>
        <w:ind w:left="1920" w:right="420" w:hanging="201"/>
        <w:spacing w:after="0" w:line="264"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0" w:right="300" w:hanging="201"/>
        <w:spacing w:after="0" w:line="277" w:lineRule="auto"/>
        <w:tabs>
          <w:tab w:leader="none" w:pos="1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experience any student, regulatory, reputational, or other events that adversely affect our graduate degree offerings, from which we currently derive a significant portion of our revenues;</w:t>
      </w:r>
    </w:p>
    <w:p>
      <w:pPr>
        <w:spacing w:after="0" w:line="62" w:lineRule="exact"/>
        <w:rPr>
          <w:rFonts w:ascii="Arial" w:cs="Arial" w:eastAsia="Arial" w:hAnsi="Arial"/>
          <w:sz w:val="18"/>
          <w:szCs w:val="18"/>
          <w:color w:val="auto"/>
        </w:rPr>
      </w:pPr>
    </w:p>
    <w:p>
      <w:pPr>
        <w:ind w:left="1920" w:right="440" w:hanging="201"/>
        <w:spacing w:after="0" w:line="342" w:lineRule="auto"/>
        <w:tabs>
          <w:tab w:leader="none" w:pos="1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experience damage to our reputation or other adverse effects in connection with any compliance audit, regulatory action, or negative publicity affecting us or other companies in the for-profit postsecondary education sector;</w:t>
      </w:r>
    </w:p>
    <w:p>
      <w:pPr>
        <w:spacing w:after="0" w:line="15" w:lineRule="exact"/>
        <w:rPr>
          <w:rFonts w:ascii="Arial" w:cs="Arial" w:eastAsia="Arial" w:hAnsi="Arial"/>
          <w:sz w:val="16"/>
          <w:szCs w:val="16"/>
          <w:color w:val="auto"/>
        </w:rPr>
      </w:pPr>
    </w:p>
    <w:p>
      <w:pPr>
        <w:ind w:left="1920" w:hanging="201"/>
        <w:spacing w:after="0"/>
        <w:tabs>
          <w:tab w:leader="none" w:pos="1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unable to attract and retain key personnel needed to sustain and grow our business;</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students are unable to obtain student loans on affordable terms, or at all;</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economic or other developments affect demand in our core disciplines; or</w:t>
      </w:r>
    </w:p>
    <w:p>
      <w:pPr>
        <w:spacing w:after="0" w:line="117" w:lineRule="exact"/>
        <w:rPr>
          <w:rFonts w:ascii="Arial" w:cs="Arial" w:eastAsia="Arial" w:hAnsi="Arial"/>
          <w:sz w:val="18"/>
          <w:szCs w:val="18"/>
          <w:color w:val="auto"/>
        </w:rPr>
      </w:pPr>
    </w:p>
    <w:p>
      <w:pPr>
        <w:ind w:left="1920" w:hanging="201"/>
        <w:spacing w:after="0"/>
        <w:tabs>
          <w:tab w:leader="none" w:pos="1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unable to develop new programs or expand our existing programs in a timely and cost-effective manner.</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Corporate Information</w:t>
      </w:r>
    </w:p>
    <w:p>
      <w:pPr>
        <w:spacing w:after="0" w:line="135" w:lineRule="exact"/>
        <w:rPr>
          <w:sz w:val="20"/>
          <w:szCs w:val="20"/>
          <w:color w:val="auto"/>
        </w:rPr>
      </w:pPr>
    </w:p>
    <w:p>
      <w:pPr>
        <w:ind w:left="920" w:firstLine="397"/>
        <w:spacing w:after="0" w:line="276" w:lineRule="auto"/>
        <w:rPr>
          <w:sz w:val="20"/>
          <w:szCs w:val="20"/>
          <w:color w:val="auto"/>
        </w:rPr>
      </w:pPr>
      <w:r>
        <w:rPr>
          <w:rFonts w:ascii="Arial" w:cs="Arial" w:eastAsia="Arial" w:hAnsi="Arial"/>
          <w:sz w:val="17"/>
          <w:szCs w:val="17"/>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7"/>
          <w:szCs w:val="17"/>
          <w:u w:val="single" w:color="auto"/>
          <w:color w:val="auto"/>
        </w:rPr>
        <w:t>www.gcu.edu</w:t>
      </w:r>
      <w:r>
        <w:rPr>
          <w:rFonts w:ascii="Arial" w:cs="Arial" w:eastAsia="Arial" w:hAnsi="Arial"/>
          <w:sz w:val="17"/>
          <w:szCs w:val="17"/>
          <w:color w:val="auto"/>
        </w:rPr>
        <w:t>. The information on, or accessible through, our website does not constitute part of, and is not incorporated into, this prospectus.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Accreditation</w:t>
      </w:r>
    </w:p>
    <w:p>
      <w:pPr>
        <w:spacing w:after="0" w:line="135" w:lineRule="exact"/>
        <w:rPr>
          <w:sz w:val="20"/>
          <w:szCs w:val="20"/>
          <w:color w:val="auto"/>
        </w:rPr>
      </w:pPr>
    </w:p>
    <w:p>
      <w:pPr>
        <w:ind w:left="920" w:right="20" w:firstLine="397"/>
        <w:spacing w:after="0" w:line="312" w:lineRule="auto"/>
        <w:rPr>
          <w:sz w:val="20"/>
          <w:szCs w:val="20"/>
          <w:color w:val="auto"/>
        </w:rPr>
      </w:pPr>
      <w:r>
        <w:rPr>
          <w:rFonts w:ascii="Arial" w:cs="Arial" w:eastAsia="Arial" w:hAnsi="Arial"/>
          <w:sz w:val="16"/>
          <w:szCs w:val="16"/>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6"/>
          <w:szCs w:val="16"/>
          <w:u w:val="single" w:color="auto"/>
          <w:color w:val="auto"/>
        </w:rPr>
        <w:t>www.ncahlc.org</w:t>
      </w:r>
      <w:r>
        <w:rPr>
          <w:rFonts w:ascii="Arial" w:cs="Arial" w:eastAsia="Arial" w:hAnsi="Arial"/>
          <w:sz w:val="16"/>
          <w:szCs w:val="16"/>
          <w:color w:val="auto"/>
        </w:rPr>
        <w:t>. The information on, or accessible through, the website of the Higher Learning Commission does not constitute part of, and is not incorporated into, this prospectus.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Industry Data</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ectPr>
          <w:pgSz w:w="11900" w:h="16838" w:orient="portrait"/>
          <w:cols w:equalWidth="0" w:num="1">
            <w:col w:w="10760"/>
          </w:cols>
          <w:pgMar w:left="240" w:top="41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OFFERING SUMMARY</w:t>
      </w:r>
    </w:p>
    <w:p>
      <w:pPr>
        <w:spacing w:after="0" w:line="135" w:lineRule="exact"/>
        <w:rPr>
          <w:sz w:val="20"/>
          <w:szCs w:val="20"/>
          <w:color w:val="auto"/>
        </w:rPr>
      </w:pPr>
    </w:p>
    <w:p>
      <w:pPr>
        <w:ind w:left="920"/>
        <w:spacing w:after="0"/>
        <w:tabs>
          <w:tab w:leader="none" w:pos="502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shares</w:t>
      </w:r>
    </w:p>
    <w:p>
      <w:pPr>
        <w:spacing w:after="0" w:line="117" w:lineRule="exact"/>
        <w:rPr>
          <w:sz w:val="20"/>
          <w:szCs w:val="20"/>
          <w:color w:val="auto"/>
        </w:rPr>
      </w:pPr>
    </w:p>
    <w:p>
      <w:pPr>
        <w:ind w:left="920"/>
        <w:spacing w:after="0"/>
        <w:tabs>
          <w:tab w:leader="none" w:pos="5020" w:val="left"/>
        </w:tabs>
        <w:rPr>
          <w:sz w:val="20"/>
          <w:szCs w:val="20"/>
          <w:color w:val="auto"/>
        </w:rPr>
      </w:pPr>
      <w:r>
        <w:rPr>
          <w:rFonts w:ascii="Arial" w:cs="Arial" w:eastAsia="Arial" w:hAnsi="Arial"/>
          <w:sz w:val="18"/>
          <w:szCs w:val="18"/>
          <w:color w:val="auto"/>
        </w:rPr>
        <w:t>Common stock outstanding after this offering</w:t>
      </w:r>
      <w:r>
        <w:rPr>
          <w:sz w:val="20"/>
          <w:szCs w:val="20"/>
          <w:color w:val="auto"/>
        </w:rPr>
        <w:tab/>
      </w:r>
      <w:r>
        <w:rPr>
          <w:rFonts w:ascii="Arial" w:cs="Arial" w:eastAsia="Arial" w:hAnsi="Arial"/>
          <w:sz w:val="15"/>
          <w:szCs w:val="15"/>
          <w:color w:val="auto"/>
        </w:rPr>
        <w:t>shares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will be approximately</w:t>
      </w:r>
    </w:p>
    <w:p>
      <w:pPr>
        <w:spacing w:after="0" w:line="23" w:lineRule="exact"/>
        <w:rPr>
          <w:sz w:val="20"/>
          <w:szCs w:val="20"/>
          <w:color w:val="auto"/>
        </w:rPr>
      </w:pPr>
    </w:p>
    <w:p>
      <w:pPr>
        <w:ind w:left="4600" w:right="20"/>
        <w:spacing w:after="0" w:line="255" w:lineRule="auto"/>
        <w:rPr>
          <w:sz w:val="20"/>
          <w:szCs w:val="20"/>
          <w:color w:val="auto"/>
        </w:rPr>
      </w:pPr>
      <w:r>
        <w:rPr>
          <w:rFonts w:ascii="Arial" w:cs="Arial" w:eastAsia="Arial" w:hAnsi="Arial"/>
          <w:sz w:val="18"/>
          <w:szCs w:val="18"/>
          <w:color w:val="auto"/>
        </w:rPr>
        <w:t>$ million, or approximately $ million if the underwriters exercise their over-allotment option in full, based on the midpoint of the price range set forth on the cover page of this prospectus.</w:t>
      </w:r>
    </w:p>
    <w:p>
      <w:pPr>
        <w:spacing w:after="0" w:line="96" w:lineRule="exact"/>
        <w:rPr>
          <w:sz w:val="20"/>
          <w:szCs w:val="20"/>
          <w:color w:val="auto"/>
        </w:rPr>
      </w:pPr>
    </w:p>
    <w:p>
      <w:pPr>
        <w:ind w:left="4600" w:right="120"/>
        <w:spacing w:after="0" w:line="291" w:lineRule="auto"/>
        <w:rPr>
          <w:sz w:val="20"/>
          <w:szCs w:val="20"/>
          <w:color w:val="auto"/>
        </w:rPr>
      </w:pPr>
      <w:r>
        <w:rPr>
          <w:rFonts w:ascii="Arial" w:cs="Arial" w:eastAsia="Arial" w:hAnsi="Arial"/>
          <w:sz w:val="16"/>
          <w:szCs w:val="16"/>
          <w:color w:val="auto"/>
        </w:rPr>
        <w:t>As described in “Use of Proceeds” and “Special Distribution,” we intend to use the proceeds of this offering to pay a special distribution to our stockholders of record as</w:t>
      </w:r>
    </w:p>
    <w:p>
      <w:pPr>
        <w:ind w:left="4600"/>
        <w:spacing w:after="0"/>
        <w:tabs>
          <w:tab w:leader="none" w:pos="5180" w:val="left"/>
          <w:tab w:leader="none" w:pos="75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2008, in an amount equal to</w:t>
      </w:r>
      <w:r>
        <w:rPr>
          <w:sz w:val="20"/>
          <w:szCs w:val="20"/>
          <w:color w:val="auto"/>
        </w:rPr>
        <w:tab/>
      </w:r>
      <w:r>
        <w:rPr>
          <w:rFonts w:ascii="Arial" w:cs="Arial" w:eastAsia="Arial" w:hAnsi="Arial"/>
          <w:sz w:val="16"/>
          <w:szCs w:val="16"/>
          <w:color w:val="auto"/>
        </w:rPr>
        <w:t>% of the gross proceeds received by us from</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 sale of stock in this offering, including any proceeds we receive from the</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underwriters’ exercise of their over-allotment option, before underwriting discounts</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and commissions and estimated offering expenses. We also intend to use up to</w:t>
      </w:r>
    </w:p>
    <w:p>
      <w:pPr>
        <w:spacing w:after="0" w:line="21" w:lineRule="exact"/>
        <w:rPr>
          <w:sz w:val="20"/>
          <w:szCs w:val="20"/>
          <w:color w:val="auto"/>
        </w:rPr>
      </w:pPr>
    </w:p>
    <w:p>
      <w:pPr>
        <w:ind w:left="4600" w:right="20"/>
        <w:spacing w:after="0" w:line="277" w:lineRule="auto"/>
        <w:rPr>
          <w:sz w:val="20"/>
          <w:szCs w:val="20"/>
          <w:color w:val="auto"/>
        </w:rPr>
      </w:pPr>
      <w:r>
        <w:rPr>
          <w:rFonts w:ascii="Arial" w:cs="Arial" w:eastAsia="Arial" w:hAnsi="Arial"/>
          <w:sz w:val="17"/>
          <w:szCs w:val="17"/>
          <w:color w:val="auto"/>
        </w:rPr>
        <w:t>$16.0 million of the proceeds of this offering to redeem an outstanding warrant to purchase shares of our common stock. We intend to use the remaining proceeds to pay the expenses of this offering and for general corporate purposes.</w:t>
      </w:r>
    </w:p>
    <w:p>
      <w:pPr>
        <w:spacing w:after="0" w:line="79" w:lineRule="exact"/>
        <w:rPr>
          <w:sz w:val="20"/>
          <w:szCs w:val="20"/>
          <w:color w:val="auto"/>
        </w:rPr>
      </w:pPr>
    </w:p>
    <w:p>
      <w:pPr>
        <w:ind w:left="4600"/>
        <w:spacing w:after="0" w:line="286" w:lineRule="auto"/>
        <w:rPr>
          <w:sz w:val="20"/>
          <w:szCs w:val="20"/>
          <w:color w:val="auto"/>
        </w:rPr>
      </w:pPr>
      <w:r>
        <w:rPr>
          <w:rFonts w:ascii="Arial" w:cs="Arial" w:eastAsia="Arial" w:hAnsi="Arial"/>
          <w:sz w:val="16"/>
          <w:szCs w:val="16"/>
          <w:color w:val="auto"/>
        </w:rPr>
        <w:t>The payment of the special distribution in the amount described above permits a return of capital to all of our stockholders as of the record date, and does so without significantly decreasing our capital resources or requiring these stockholders to sell their shares. Of the estimated aggregate amount of the special distribution of</w:t>
      </w:r>
    </w:p>
    <w:p>
      <w:pPr>
        <w:spacing w:after="0" w:line="2" w:lineRule="exact"/>
        <w:rPr>
          <w:sz w:val="20"/>
          <w:szCs w:val="20"/>
          <w:color w:val="auto"/>
        </w:rPr>
      </w:pPr>
    </w:p>
    <w:p>
      <w:pPr>
        <w:ind w:left="4600" w:right="160" w:hanging="4"/>
        <w:spacing w:after="0" w:line="252" w:lineRule="auto"/>
        <w:tabs>
          <w:tab w:leader="none" w:pos="4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million (exclusive of any amounts that may be received from the underwriters’ exercise of the over-allotment option), assuming an initial public offering price of $ per share, which is the midpoint of the price range set forth on the cover page of this prospectus, $ million will be paid in respect of shares of our capital stock over which our directors and executive officers are deemed to exercise sole or shared voting or investment power. These proceeds will be allocated as set forth in the following table.</w:t>
      </w:r>
    </w:p>
    <w:p>
      <w:pPr>
        <w:spacing w:after="0" w:line="104" w:lineRule="exact"/>
        <w:rPr>
          <w:sz w:val="20"/>
          <w:szCs w:val="20"/>
          <w:color w:val="auto"/>
        </w:rPr>
      </w:pPr>
    </w:p>
    <w:tbl>
      <w:tblPr>
        <w:tblLayout w:type="fixed"/>
        <w:tblInd w:w="57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Special Distribution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(1)</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(1)</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John E. Crowley</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6"/>
              </w:rPr>
              <w:t>All directors and executive officers</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as a group</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0" w:right="120" w:hanging="402"/>
        <w:spacing w:after="0" w:line="259" w:lineRule="auto"/>
        <w:tabs>
          <w:tab w:leader="none" w:pos="5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owned by Endeavour Capital Fund IV, L.P. and certain affiliated funds. D. Mark Dorman and Chad N. Heath, two of our directors, are managing directors of Endeavour Capital IV, LLC, the general partner of such funds.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See “Special Distribution” and “Certain Relationships and Related Transactions</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 Special Distribution” for additional information regarding the beneficiaries of the</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special distribution.</w:t>
      </w:r>
    </w:p>
    <w:p>
      <w:pPr>
        <w:spacing w:after="0" w:line="10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Except with respect to the special distribution, we do not anticipate declaring or</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paying any cash dividends on our common stock in the foreseeable future.</w:t>
      </w:r>
    </w:p>
    <w:p>
      <w:pPr>
        <w:spacing w:after="0" w:line="103"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carefully read and consider the information set forth under the heading</w:t>
      </w:r>
    </w:p>
    <w:p>
      <w:pPr>
        <w:spacing w:after="0" w:line="23" w:lineRule="exact"/>
        <w:rPr>
          <w:sz w:val="20"/>
          <w:szCs w:val="20"/>
          <w:color w:val="auto"/>
        </w:rPr>
      </w:pPr>
    </w:p>
    <w:p>
      <w:pPr>
        <w:ind w:left="4600" w:right="420"/>
        <w:spacing w:after="0" w:line="261" w:lineRule="auto"/>
        <w:rPr>
          <w:sz w:val="20"/>
          <w:szCs w:val="20"/>
          <w:color w:val="auto"/>
        </w:rPr>
      </w:pPr>
      <w:r>
        <w:rPr>
          <w:rFonts w:ascii="Arial" w:cs="Arial" w:eastAsia="Arial" w:hAnsi="Arial"/>
          <w:sz w:val="18"/>
          <w:szCs w:val="18"/>
          <w:color w:val="auto"/>
        </w:rPr>
        <w:t>titled “Risk Factors” and all other information set forth in this prospectus before deciding to invest in shares of our common stock.</w:t>
      </w:r>
    </w:p>
    <w:p>
      <w:pPr>
        <w:spacing w:after="0" w:line="7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6"/>
          <w:szCs w:val="16"/>
          <w:color w:val="auto"/>
        </w:rPr>
        <w:t>LOPE</w:t>
      </w:r>
    </w:p>
    <w:p>
      <w:pPr>
        <w:spacing w:after="0" w:line="131" w:lineRule="exact"/>
        <w:rPr>
          <w:sz w:val="20"/>
          <w:szCs w:val="20"/>
          <w:color w:val="auto"/>
        </w:rPr>
      </w:pPr>
    </w:p>
    <w:p>
      <w:pPr>
        <w:jc w:val="right"/>
        <w:spacing w:after="0"/>
        <w:tabs>
          <w:tab w:leader="none" w:pos="2000" w:val="left"/>
        </w:tabs>
        <w:rPr>
          <w:sz w:val="20"/>
          <w:szCs w:val="20"/>
          <w:color w:val="auto"/>
        </w:rPr>
      </w:pPr>
      <w:r>
        <w:rPr>
          <w:rFonts w:ascii="Arial" w:cs="Arial" w:eastAsia="Arial" w:hAnsi="Arial"/>
          <w:sz w:val="18"/>
          <w:szCs w:val="18"/>
          <w:color w:val="auto"/>
        </w:rPr>
        <w:t>The number of shares of our common stock to be outstanding following this offering is based on</w:t>
      </w:r>
      <w:r>
        <w:rPr>
          <w:sz w:val="20"/>
          <w:szCs w:val="20"/>
          <w:color w:val="auto"/>
        </w:rPr>
        <w:tab/>
      </w:r>
      <w:r>
        <w:rPr>
          <w:rFonts w:ascii="Arial" w:cs="Arial" w:eastAsia="Arial" w:hAnsi="Arial"/>
          <w:sz w:val="16"/>
          <w:szCs w:val="16"/>
          <w:color w:val="auto"/>
        </w:rPr>
        <w:t>shares of our common stock</w:t>
      </w:r>
    </w:p>
    <w:p>
      <w:pPr>
        <w:spacing w:after="0" w:line="23" w:lineRule="exact"/>
        <w:rPr>
          <w:sz w:val="20"/>
          <w:szCs w:val="20"/>
          <w:color w:val="auto"/>
        </w:rPr>
      </w:pPr>
    </w:p>
    <w:p>
      <w:pPr>
        <w:ind w:left="920"/>
        <w:spacing w:after="0"/>
        <w:tabs>
          <w:tab w:leader="none" w:pos="2620" w:val="left"/>
          <w:tab w:leader="none" w:pos="46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2008, and excludes</w:t>
      </w:r>
      <w:r>
        <w:rPr>
          <w:sz w:val="20"/>
          <w:szCs w:val="20"/>
          <w:color w:val="auto"/>
        </w:rPr>
        <w:tab/>
      </w:r>
      <w:r>
        <w:rPr>
          <w:rFonts w:ascii="Arial" w:cs="Arial" w:eastAsia="Arial" w:hAnsi="Arial"/>
          <w:sz w:val="16"/>
          <w:szCs w:val="16"/>
          <w:color w:val="auto"/>
        </w:rPr>
        <w:t>shares of common stock reserved for future issuance under our stock-based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compensation plans.</w:t>
      </w:r>
    </w:p>
    <w:p>
      <w:pPr>
        <w:spacing w:after="0" w:line="1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31" w:lineRule="exact"/>
        <w:rPr>
          <w:sz w:val="20"/>
          <w:szCs w:val="20"/>
          <w:color w:val="auto"/>
        </w:rPr>
      </w:pPr>
    </w:p>
    <w:p>
      <w:pPr>
        <w:ind w:left="1720"/>
        <w:spacing w:after="0"/>
        <w:tabs>
          <w:tab w:leader="none" w:pos="1900" w:val="left"/>
          <w:tab w:leader="none" w:pos="7020" w:val="left"/>
        </w:tabs>
        <w:rPr>
          <w:sz w:val="20"/>
          <w:szCs w:val="20"/>
          <w:color w:val="auto"/>
        </w:rPr>
      </w:pPr>
      <w:r>
        <w:rPr>
          <w:rFonts w:ascii="Arial" w:cs="Arial" w:eastAsia="Arial" w:hAnsi="Arial"/>
          <w:sz w:val="18"/>
          <w:szCs w:val="18"/>
          <w:color w:val="auto"/>
        </w:rPr>
        <w:t>•</w:t>
        <w:tab/>
        <w:t>no exercise by the underwriters of their option to purchase up to</w:t>
      </w:r>
      <w:r>
        <w:rPr>
          <w:sz w:val="20"/>
          <w:szCs w:val="20"/>
          <w:color w:val="auto"/>
        </w:rPr>
        <w:tab/>
      </w:r>
      <w:r>
        <w:rPr>
          <w:rFonts w:ascii="Arial" w:cs="Arial" w:eastAsia="Arial" w:hAnsi="Arial"/>
          <w:sz w:val="16"/>
          <w:szCs w:val="16"/>
          <w:color w:val="auto"/>
        </w:rPr>
        <w:t>additional shares from us;</w:t>
      </w:r>
    </w:p>
    <w:p>
      <w:pPr>
        <w:spacing w:after="0" w:line="117" w:lineRule="exact"/>
        <w:rPr>
          <w:sz w:val="20"/>
          <w:szCs w:val="20"/>
          <w:color w:val="auto"/>
        </w:rPr>
      </w:pPr>
    </w:p>
    <w:p>
      <w:pPr>
        <w:ind w:left="1720"/>
        <w:spacing w:after="0"/>
        <w:tabs>
          <w:tab w:leader="none" w:pos="1900" w:val="left"/>
          <w:tab w:leader="none" w:pos="2440" w:val="left"/>
          <w:tab w:leader="none" w:pos="310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split of our outstanding common stock to be effected immediately prior to the effectiveness of this</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offering;</w:t>
      </w:r>
    </w:p>
    <w:p>
      <w:pPr>
        <w:spacing w:after="0" w:line="116" w:lineRule="exact"/>
        <w:rPr>
          <w:sz w:val="20"/>
          <w:szCs w:val="20"/>
          <w:color w:val="auto"/>
        </w:rPr>
      </w:pPr>
    </w:p>
    <w:p>
      <w:pPr>
        <w:ind w:left="1920" w:right="280" w:hanging="201"/>
        <w:spacing w:after="0" w:line="277"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A convertible preferred stock into 5,953 shares of common stock upon the closing of the offering;</w:t>
      </w:r>
    </w:p>
    <w:p>
      <w:pPr>
        <w:spacing w:after="0" w:line="75" w:lineRule="exact"/>
        <w:rPr>
          <w:rFonts w:ascii="Arial" w:cs="Arial" w:eastAsia="Arial" w:hAnsi="Arial"/>
          <w:sz w:val="18"/>
          <w:szCs w:val="18"/>
          <w:color w:val="auto"/>
        </w:rPr>
      </w:pPr>
    </w:p>
    <w:p>
      <w:pPr>
        <w:ind w:left="1920" w:hanging="201"/>
        <w:spacing w:after="0"/>
        <w:tabs>
          <w:tab w:leader="none" w:pos="1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filing of an amendment to our certificate of incorporation to provide for the automatic conversion of all outstanding</w:t>
      </w:r>
    </w:p>
    <w:p>
      <w:pPr>
        <w:spacing w:after="0" w:line="35" w:lineRule="exact"/>
        <w:rPr>
          <w:sz w:val="20"/>
          <w:szCs w:val="20"/>
          <w:color w:val="auto"/>
        </w:rPr>
      </w:pPr>
    </w:p>
    <w:p>
      <w:pPr>
        <w:ind w:left="1920"/>
        <w:spacing w:after="0"/>
        <w:tabs>
          <w:tab w:leader="none" w:pos="5140" w:val="left"/>
        </w:tabs>
        <w:rPr>
          <w:sz w:val="20"/>
          <w:szCs w:val="20"/>
          <w:color w:val="auto"/>
        </w:rPr>
      </w:pPr>
      <w:r>
        <w:rPr>
          <w:rFonts w:ascii="Arial" w:cs="Arial" w:eastAsia="Arial" w:hAnsi="Arial"/>
          <w:sz w:val="18"/>
          <w:szCs w:val="18"/>
          <w:color w:val="auto"/>
        </w:rPr>
        <w:t>shares of Series C preferred stock into</w:t>
      </w:r>
      <w:r>
        <w:rPr>
          <w:sz w:val="20"/>
          <w:szCs w:val="20"/>
          <w:color w:val="auto"/>
        </w:rPr>
        <w:tab/>
      </w:r>
      <w:r>
        <w:rPr>
          <w:rFonts w:ascii="Arial" w:cs="Arial" w:eastAsia="Arial" w:hAnsi="Arial"/>
          <w:sz w:val="16"/>
          <w:szCs w:val="16"/>
          <w:color w:val="auto"/>
        </w:rPr>
        <w:t>shares of common stock upon the closing of the offering based on a</w:t>
      </w:r>
    </w:p>
    <w:p>
      <w:pPr>
        <w:spacing w:after="0" w:line="9" w:lineRule="exact"/>
        <w:rPr>
          <w:sz w:val="20"/>
          <w:szCs w:val="20"/>
          <w:color w:val="auto"/>
        </w:rPr>
      </w:pPr>
    </w:p>
    <w:p>
      <w:pPr>
        <w:ind w:left="1920" w:right="300"/>
        <w:spacing w:after="0" w:line="261" w:lineRule="auto"/>
        <w:rPr>
          <w:sz w:val="20"/>
          <w:szCs w:val="20"/>
          <w:color w:val="auto"/>
        </w:rPr>
      </w:pPr>
      <w:r>
        <w:rPr>
          <w:rFonts w:ascii="Arial" w:cs="Arial" w:eastAsia="Arial" w:hAnsi="Arial"/>
          <w:sz w:val="18"/>
          <w:szCs w:val="18"/>
          <w:color w:val="auto"/>
        </w:rPr>
        <w:t>conversion price equal to the initial public offering price per share, assuming an initial public offering price of $ per share, which is the midpoint of the range set forth on the cover page of this prospectus;</w:t>
      </w:r>
    </w:p>
    <w:p>
      <w:pPr>
        <w:spacing w:after="0" w:line="76" w:lineRule="exact"/>
        <w:rPr>
          <w:sz w:val="20"/>
          <w:szCs w:val="20"/>
          <w:color w:val="auto"/>
        </w:rPr>
      </w:pPr>
    </w:p>
    <w:p>
      <w:pPr>
        <w:ind w:left="1920" w:right="320" w:hanging="201"/>
        <w:spacing w:after="0" w:line="277"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repurchase by us of an outstanding warrant to purchase common stock for up to $16.0 million in cash, as described under “Use of Proceeds;”</w:t>
      </w:r>
    </w:p>
    <w:p>
      <w:pPr>
        <w:spacing w:after="0" w:line="62" w:lineRule="exact"/>
        <w:rPr>
          <w:rFonts w:ascii="Arial" w:cs="Arial" w:eastAsia="Arial" w:hAnsi="Arial"/>
          <w:sz w:val="18"/>
          <w:szCs w:val="18"/>
          <w:color w:val="auto"/>
        </w:rPr>
      </w:pPr>
    </w:p>
    <w:p>
      <w:pPr>
        <w:ind w:left="1920" w:right="260" w:hanging="201"/>
        <w:spacing w:after="0" w:line="277"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immediately prior to the effectiveness of this offering; and</w:t>
      </w:r>
    </w:p>
    <w:p>
      <w:pPr>
        <w:spacing w:after="0" w:line="62" w:lineRule="exact"/>
        <w:rPr>
          <w:rFonts w:ascii="Arial" w:cs="Arial" w:eastAsia="Arial" w:hAnsi="Arial"/>
          <w:sz w:val="18"/>
          <w:szCs w:val="18"/>
          <w:color w:val="auto"/>
        </w:rPr>
      </w:pPr>
    </w:p>
    <w:p>
      <w:pPr>
        <w:ind w:left="1920" w:hanging="20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rounding of all fractional share amounts to the nearest whole number.</w:t>
      </w:r>
    </w:p>
    <w:p>
      <w:pPr>
        <w:sectPr>
          <w:pgSz w:w="11900" w:h="16838" w:orient="portrait"/>
          <w:cols w:equalWidth="0" w:num="1">
            <w:col w:w="10780"/>
          </w:cols>
          <w:pgMar w:left="240" w:top="41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FINANCIAL AND OTHER DATA</w:t>
      </w:r>
    </w:p>
    <w:p>
      <w:pPr>
        <w:spacing w:after="0" w:line="135" w:lineRule="exact"/>
        <w:rPr>
          <w:sz w:val="20"/>
          <w:szCs w:val="20"/>
          <w:color w:val="auto"/>
        </w:rPr>
      </w:pPr>
    </w:p>
    <w:p>
      <w:pPr>
        <w:ind w:left="920" w:right="40" w:firstLine="397"/>
        <w:spacing w:after="0" w:line="291" w:lineRule="auto"/>
        <w:rPr>
          <w:sz w:val="20"/>
          <w:szCs w:val="20"/>
          <w:color w:val="auto"/>
        </w:rPr>
      </w:pPr>
      <w:r>
        <w:rPr>
          <w:rFonts w:ascii="Arial" w:cs="Arial" w:eastAsia="Arial" w:hAnsi="Arial"/>
          <w:sz w:val="16"/>
          <w:szCs w:val="16"/>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73" w:lineRule="exact"/>
        <w:rPr>
          <w:sz w:val="20"/>
          <w:szCs w:val="20"/>
          <w:color w:val="auto"/>
        </w:rPr>
      </w:pPr>
    </w:p>
    <w:p>
      <w:pPr>
        <w:ind w:left="920" w:right="360" w:firstLine="397"/>
        <w:spacing w:after="0" w:line="264" w:lineRule="auto"/>
        <w:rPr>
          <w:sz w:val="20"/>
          <w:szCs w:val="20"/>
          <w:color w:val="auto"/>
        </w:rPr>
      </w:pPr>
      <w:r>
        <w:rPr>
          <w:rFonts w:ascii="Arial" w:cs="Arial" w:eastAsia="Arial" w:hAnsi="Arial"/>
          <w:sz w:val="18"/>
          <w:szCs w:val="18"/>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8"/>
          </w:tcPr>
          <w:p>
            <w:pPr>
              <w:ind w:left="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w w:val="75"/>
              </w:rPr>
              <w:t>(Unaudited)</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(Restated)</w:t>
            </w:r>
            <w:r>
              <w:rPr>
                <w:rFonts w:ascii="Arial" w:cs="Arial" w:eastAsia="Arial" w:hAnsi="Arial"/>
                <w:sz w:val="12"/>
                <w:szCs w:val="12"/>
                <w:b w:val="1"/>
                <w:bCs w:val="1"/>
                <w:color w:val="auto"/>
                <w:w w:val="76"/>
              </w:rPr>
              <w:t>(1)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enrollment,</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111"/>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380" w:type="dxa"/>
            <w:vAlign w:val="bottom"/>
            <w:gridSpan w:val="2"/>
            <w:vMerge w:val="continue"/>
          </w:tcPr>
          <w:p>
            <w:pPr>
              <w:spacing w:after="0"/>
              <w:rPr>
                <w:sz w:val="10"/>
                <w:szCs w:val="10"/>
                <w:color w:val="auto"/>
              </w:rPr>
            </w:pPr>
          </w:p>
        </w:tc>
        <w:tc>
          <w:tcPr>
            <w:tcW w:w="860" w:type="dxa"/>
            <w:vAlign w:val="bottom"/>
            <w:gridSpan w:val="3"/>
          </w:tcPr>
          <w:p>
            <w:pPr>
              <w:jc w:val="right"/>
              <w:ind w:right="223"/>
              <w:spacing w:after="0" w:line="119" w:lineRule="exact"/>
              <w:rPr>
                <w:sz w:val="20"/>
                <w:szCs w:val="20"/>
                <w:color w:val="auto"/>
              </w:rPr>
            </w:pPr>
            <w:r>
              <w:rPr>
                <w:rFonts w:ascii="Arial" w:cs="Arial" w:eastAsia="Arial" w:hAnsi="Arial"/>
                <w:sz w:val="13"/>
                <w:szCs w:val="13"/>
                <w:b w:val="1"/>
                <w:bCs w:val="1"/>
                <w:color w:val="auto"/>
              </w:rPr>
              <w:t>share,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and per share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51,793</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72,111</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99,326</w:t>
            </w:r>
          </w:p>
        </w:tc>
        <w:tc>
          <w:tcPr>
            <w:tcW w:w="3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44,071</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Instructional costs and services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28,063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39,050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promotional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35,148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12,968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17,001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to former owner</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56,697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69,069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94,981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41,747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63,949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74"/>
              <w:spacing w:after="0"/>
              <w:rPr>
                <w:sz w:val="20"/>
                <w:szCs w:val="20"/>
                <w:color w:val="auto"/>
              </w:rPr>
            </w:pPr>
            <w:r>
              <w:rPr>
                <w:rFonts w:ascii="Arial" w:cs="Arial" w:eastAsia="Arial" w:hAnsi="Arial"/>
                <w:sz w:val="18"/>
                <w:szCs w:val="18"/>
                <w:color w:val="auto"/>
                <w:w w:val="91"/>
              </w:rPr>
              <w:t>(2,975)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3"/>
              <w:spacing w:after="0"/>
              <w:rPr>
                <w:sz w:val="20"/>
                <w:szCs w:val="20"/>
                <w:color w:val="auto"/>
              </w:rPr>
            </w:pPr>
            <w:r>
              <w:rPr>
                <w:rFonts w:ascii="Arial" w:cs="Arial" w:eastAsia="Arial" w:hAnsi="Arial"/>
                <w:sz w:val="18"/>
                <w:szCs w:val="18"/>
                <w:color w:val="auto"/>
                <w:w w:val="94"/>
              </w:rPr>
              <w:t>(1,515)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(7,726)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w w:val="96"/>
              </w:rPr>
              <w:t>Net income available (loss attributable) to common stockholders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(4,286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(loss) per common share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10,363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10,115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19,246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7,406</w:t>
            </w:r>
          </w:p>
        </w:tc>
        <w:tc>
          <w:tcPr>
            <w:tcW w:w="3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11,723</w:t>
            </w:r>
          </w:p>
        </w:tc>
        <w:tc>
          <w:tcPr>
            <w:tcW w:w="3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5,551</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Online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12,497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Ground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As of June 30,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w w:val="99"/>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Actual</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48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$ 7,206</w:t>
            </w:r>
          </w:p>
        </w:tc>
        <w:tc>
          <w:tcPr>
            <w:tcW w:w="22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Capital lease obligations (including short-term)</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29,420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indebtedness (including short-term indebtedness)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32,469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w:t>
            </w:r>
            <w:r>
              <w:rPr>
                <w:rFonts w:ascii="Arial" w:cs="Arial" w:eastAsia="Arial" w:hAnsi="Arial"/>
                <w:sz w:val="15"/>
                <w:szCs w:val="15"/>
                <w:color w:val="auto"/>
              </w:rPr>
              <w:t>(2)</w:t>
            </w:r>
          </w:p>
        </w:tc>
        <w:tc>
          <w:tcPr>
            <w:tcW w:w="288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(8,440)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20" w:hanging="311"/>
        <w:spacing w:after="0" w:line="264"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32" w:lineRule="exact"/>
        <w:rPr>
          <w:rFonts w:ascii="Arial" w:cs="Arial" w:eastAsia="Arial" w:hAnsi="Arial"/>
          <w:sz w:val="18"/>
          <w:szCs w:val="18"/>
          <w:color w:val="auto"/>
        </w:rPr>
      </w:pPr>
    </w:p>
    <w:p>
      <w:pPr>
        <w:ind w:left="1240" w:right="40" w:hanging="311"/>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For all periods subsequent to such date, we have been subject to corporate-level U.S. federal and state income taxes.</w:t>
      </w:r>
    </w:p>
    <w:p>
      <w:pPr>
        <w:spacing w:after="0" w:line="21" w:lineRule="exact"/>
        <w:rPr>
          <w:rFonts w:ascii="Arial" w:cs="Arial" w:eastAsia="Arial" w:hAnsi="Arial"/>
          <w:sz w:val="18"/>
          <w:szCs w:val="18"/>
          <w:color w:val="auto"/>
        </w:rPr>
      </w:pPr>
    </w:p>
    <w:p>
      <w:pPr>
        <w:ind w:left="1240" w:right="20" w:hanging="311"/>
        <w:spacing w:after="0" w:line="27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29" w:lineRule="exact"/>
        <w:rPr>
          <w:rFonts w:ascii="Arial" w:cs="Arial" w:eastAsia="Arial" w:hAnsi="Arial"/>
          <w:sz w:val="17"/>
          <w:szCs w:val="17"/>
          <w:color w:val="auto"/>
        </w:rPr>
      </w:pPr>
    </w:p>
    <w:p>
      <w:pPr>
        <w:ind w:left="1240" w:right="180"/>
        <w:spacing w:after="0" w:line="271" w:lineRule="auto"/>
        <w:rPr>
          <w:rFonts w:ascii="Arial" w:cs="Arial" w:eastAsia="Arial" w:hAnsi="Arial"/>
          <w:sz w:val="17"/>
          <w:szCs w:val="17"/>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Our management uses Adjusted EBITDA:</w:t>
      </w:r>
    </w:p>
    <w:p>
      <w:pPr>
        <w:spacing w:after="0" w:line="77" w:lineRule="exact"/>
        <w:rPr>
          <w:sz w:val="20"/>
          <w:szCs w:val="20"/>
          <w:color w:val="auto"/>
        </w:rPr>
      </w:pPr>
    </w:p>
    <w:p>
      <w:pPr>
        <w:ind w:left="1920" w:hanging="201"/>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developing our internal budgets and strategic plan;</w:t>
      </w:r>
    </w:p>
    <w:p>
      <w:pPr>
        <w:spacing w:after="0" w:line="63" w:lineRule="exact"/>
        <w:rPr>
          <w:rFonts w:ascii="Arial" w:cs="Arial" w:eastAsia="Arial" w:hAnsi="Arial"/>
          <w:sz w:val="18"/>
          <w:szCs w:val="18"/>
          <w:color w:val="auto"/>
        </w:rPr>
      </w:pPr>
    </w:p>
    <w:p>
      <w:pPr>
        <w:ind w:left="1920" w:hanging="201"/>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measurement of operating performance;</w:t>
      </w:r>
    </w:p>
    <w:p>
      <w:pPr>
        <w:spacing w:after="0" w:line="63" w:lineRule="exact"/>
        <w:rPr>
          <w:rFonts w:ascii="Arial" w:cs="Arial" w:eastAsia="Arial" w:hAnsi="Arial"/>
          <w:sz w:val="18"/>
          <w:szCs w:val="18"/>
          <w:color w:val="auto"/>
        </w:rPr>
      </w:pPr>
    </w:p>
    <w:p>
      <w:pPr>
        <w:ind w:left="1920" w:hanging="201"/>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factor in evaluating the performance of our management for compensation purposes; and</w:t>
      </w:r>
    </w:p>
    <w:p>
      <w:pPr>
        <w:spacing w:after="0" w:line="63" w:lineRule="exact"/>
        <w:rPr>
          <w:rFonts w:ascii="Arial" w:cs="Arial" w:eastAsia="Arial" w:hAnsi="Arial"/>
          <w:sz w:val="18"/>
          <w:szCs w:val="18"/>
          <w:color w:val="auto"/>
        </w:rPr>
      </w:pPr>
    </w:p>
    <w:p>
      <w:pPr>
        <w:jc w:val="both"/>
        <w:ind w:left="1920" w:right="520" w:hanging="201"/>
        <w:spacing w:after="0" w:line="264"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33" w:lineRule="exact"/>
        <w:rPr>
          <w:sz w:val="20"/>
          <w:szCs w:val="20"/>
          <w:color w:val="auto"/>
        </w:rPr>
      </w:pPr>
    </w:p>
    <w:p>
      <w:pPr>
        <w:jc w:val="both"/>
        <w:ind w:left="1240" w:right="180"/>
        <w:spacing w:after="0" w:line="264" w:lineRule="auto"/>
        <w:rPr>
          <w:sz w:val="20"/>
          <w:szCs w:val="20"/>
          <w:color w:val="auto"/>
        </w:rPr>
      </w:pPr>
      <w:r>
        <w:rPr>
          <w:rFonts w:ascii="Arial" w:cs="Arial" w:eastAsia="Arial" w:hAnsi="Arial"/>
          <w:sz w:val="18"/>
          <w:szCs w:val="18"/>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40" w:right="60"/>
        <w:spacing w:after="0" w:line="302" w:lineRule="auto"/>
        <w:rPr>
          <w:sz w:val="20"/>
          <w:szCs w:val="20"/>
          <w:color w:val="auto"/>
        </w:rPr>
      </w:pPr>
      <w:r>
        <w:rPr>
          <w:rFonts w:ascii="Arial" w:cs="Arial" w:eastAsia="Arial" w:hAnsi="Arial"/>
          <w:sz w:val="16"/>
          <w:szCs w:val="16"/>
          <w:color w:val="auto"/>
        </w:rPr>
        <w:t>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6" w:lineRule="exact"/>
        <w:rPr>
          <w:sz w:val="20"/>
          <w:szCs w:val="20"/>
          <w:color w:val="auto"/>
        </w:rPr>
      </w:pPr>
    </w:p>
    <w:p>
      <w:pPr>
        <w:ind w:left="1240" w:right="420"/>
        <w:spacing w:after="0" w:line="277" w:lineRule="auto"/>
        <w:rPr>
          <w:sz w:val="20"/>
          <w:szCs w:val="20"/>
          <w:color w:val="auto"/>
        </w:rPr>
      </w:pPr>
      <w:r>
        <w:rPr>
          <w:rFonts w:ascii="Arial" w:cs="Arial" w:eastAsia="Arial" w:hAnsi="Arial"/>
          <w:sz w:val="18"/>
          <w:szCs w:val="18"/>
          <w:color w:val="auto"/>
        </w:rPr>
        <w:t>The following table provides a reconciliation of net income (loss) to Adjusted EBITDA, which is a non-GAAP measure, for the periods indicated:</w:t>
      </w:r>
    </w:p>
    <w:p>
      <w:pPr>
        <w:spacing w:after="0" w:line="8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gridSpan w:val="10"/>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88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(Unaudited)</w:t>
            </w: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w w:val="82"/>
              </w:rPr>
              <w:t>(In thousands)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(4,286)</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260" w:type="dxa"/>
            <w:vAlign w:val="bottom"/>
            <w:shd w:val="clear" w:color="auto" w:fill="CCEEFF"/>
          </w:tcPr>
          <w:p>
            <w:pPr>
              <w:spacing w:after="0"/>
              <w:rPr>
                <w:sz w:val="18"/>
                <w:szCs w:val="18"/>
                <w:color w:val="auto"/>
              </w:rPr>
            </w:pPr>
          </w:p>
        </w:tc>
      </w:tr>
      <w:tr>
        <w:trPr>
          <w:trHeight w:val="223"/>
        </w:trPr>
        <w:tc>
          <w:tcPr>
            <w:tcW w:w="4600" w:type="dxa"/>
            <w:vAlign w:val="bottom"/>
            <w:gridSpan w:val="4"/>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r>
      <w:tr>
        <w:trPr>
          <w:trHeight w:val="223"/>
        </w:trPr>
        <w:tc>
          <w:tcPr>
            <w:tcW w:w="460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c>
          <w:tcPr>
            <w:tcW w:w="520" w:type="dxa"/>
            <w:vAlign w:val="bottom"/>
            <w:gridSpan w:val="3"/>
          </w:tcPr>
          <w:p>
            <w:pPr>
              <w:ind w:left="44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5,551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10,294</w:t>
            </w:r>
          </w:p>
        </w:tc>
        <w:tc>
          <w:tcPr>
            <w:tcW w:w="2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53" w:lineRule="exact"/>
        <w:rPr>
          <w:sz w:val="20"/>
          <w:szCs w:val="20"/>
          <w:color w:val="auto"/>
        </w:rPr>
      </w:pPr>
    </w:p>
    <w:p>
      <w:pPr>
        <w:ind w:left="1720" w:right="40" w:hanging="295"/>
        <w:spacing w:after="0" w:line="255"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which are included elsewhere in this prospectus.</w:t>
      </w:r>
    </w:p>
    <w:p>
      <w:pPr>
        <w:spacing w:after="0" w:line="44" w:lineRule="exact"/>
        <w:rPr>
          <w:rFonts w:ascii="Arial" w:cs="Arial" w:eastAsia="Arial" w:hAnsi="Arial"/>
          <w:sz w:val="18"/>
          <w:szCs w:val="18"/>
          <w:color w:val="auto"/>
        </w:rPr>
      </w:pPr>
    </w:p>
    <w:p>
      <w:pPr>
        <w:ind w:left="1720" w:right="20" w:hanging="305"/>
        <w:spacing w:after="0" w:line="255"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40" w:lineRule="exact"/>
        <w:rPr>
          <w:rFonts w:ascii="Arial" w:cs="Arial" w:eastAsia="Arial" w:hAnsi="Arial"/>
          <w:sz w:val="18"/>
          <w:szCs w:val="18"/>
          <w:color w:val="auto"/>
        </w:rPr>
      </w:pPr>
    </w:p>
    <w:p>
      <w:pPr>
        <w:jc w:val="both"/>
        <w:ind w:left="1240" w:right="660" w:hanging="311"/>
        <w:spacing w:after="0" w:line="31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ind w:left="1240" w:hanging="311"/>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 description of the offering and pro forma adjustments, see “Capitalization.”</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Industry</w:t>
      </w:r>
    </w:p>
    <w:p>
      <w:pPr>
        <w:spacing w:after="0" w:line="108" w:lineRule="exact"/>
        <w:rPr>
          <w:sz w:val="20"/>
          <w:szCs w:val="20"/>
          <w:color w:val="auto"/>
        </w:rPr>
      </w:pPr>
    </w:p>
    <w:p>
      <w:pPr>
        <w:ind w:left="900" w:right="680"/>
        <w:spacing w:after="0" w:line="308" w:lineRule="auto"/>
        <w:rPr>
          <w:sz w:val="20"/>
          <w:szCs w:val="20"/>
          <w:color w:val="auto"/>
        </w:rPr>
      </w:pPr>
      <w:r>
        <w:rPr>
          <w:rFonts w:ascii="Arial" w:cs="Arial" w:eastAsia="Arial" w:hAnsi="Arial"/>
          <w:sz w:val="17"/>
          <w:szCs w:val="17"/>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1"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For our fiscal years ended December 31, 2006 and 2007, we derived approximately 63.8% and 65.5%,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4"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39" w:lineRule="exact"/>
        <w:rPr>
          <w:sz w:val="20"/>
          <w:szCs w:val="20"/>
          <w:color w:val="auto"/>
        </w:rPr>
      </w:pPr>
    </w:p>
    <w:p>
      <w:pPr>
        <w:ind w:left="90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4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6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Our most recent recertification, which was issued on a provisional basis in May 2005 after an extended review by the Department of Education following the change in control that occurred in February 2004,</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which means that the Department of Education may more closely review our applications for recertification, new locations, new educational programs, acquisitions of other schools, or other significant changes, and it may revoke its certification of us without advance notice if it determines we are not fulfilling material Title IV requirements.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335" w:lineRule="exact"/>
        <w:rPr>
          <w:sz w:val="20"/>
          <w:szCs w:val="20"/>
          <w:color w:val="auto"/>
        </w:rPr>
      </w:pPr>
    </w:p>
    <w:p>
      <w:pPr>
        <w:ind w:left="900" w:right="600"/>
        <w:spacing w:after="0" w:line="277" w:lineRule="auto"/>
        <w:rPr>
          <w:sz w:val="20"/>
          <w:szCs w:val="20"/>
          <w:color w:val="auto"/>
        </w:rPr>
      </w:pPr>
      <w:r>
        <w:rPr>
          <w:rFonts w:ascii="Arial" w:cs="Arial" w:eastAsia="Arial" w:hAnsi="Arial"/>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35"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Political and budgetary concerns significantly affect the Title IV programs. Congress must periodically reauthorize the Higher Education Act, which is the federal law that governs the Title IV programs. The last full reauthorization of the Higher Education Act occurred in 1998, which was followed by numerous temporary extensions. In July 2008, Congress passed the first full reauthorization of the Higher Education Act in ten years, which the President is expected to sign. It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 Congressional action could also require us to modify our practices in ways that could increase our administrative and regulatory costs.</w:t>
      </w:r>
    </w:p>
    <w:p>
      <w:pPr>
        <w:spacing w:after="0" w:line="129" w:lineRule="exact"/>
        <w:rPr>
          <w:sz w:val="20"/>
          <w:szCs w:val="20"/>
          <w:color w:val="auto"/>
        </w:rPr>
      </w:pPr>
    </w:p>
    <w:p>
      <w:pPr>
        <w:jc w:val="both"/>
        <w:ind w:left="900" w:right="280"/>
        <w:spacing w:after="0" w:line="264" w:lineRule="auto"/>
        <w:rPr>
          <w:sz w:val="20"/>
          <w:szCs w:val="20"/>
          <w:color w:val="auto"/>
        </w:rPr>
      </w:pPr>
      <w:r>
        <w:rPr>
          <w:rFonts w:ascii="Arial" w:cs="Arial" w:eastAsia="Arial" w:hAnsi="Arial"/>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46"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w:t>
      </w: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201" w:lineRule="exact"/>
        <w:rPr>
          <w:sz w:val="20"/>
          <w:szCs w:val="20"/>
          <w:color w:val="auto"/>
        </w:rPr>
      </w:pPr>
    </w:p>
    <w:p>
      <w:pPr>
        <w:ind w:left="900" w:right="20"/>
        <w:spacing w:after="0" w:line="264" w:lineRule="auto"/>
        <w:rPr>
          <w:sz w:val="20"/>
          <w:szCs w:val="20"/>
          <w:color w:val="auto"/>
        </w:rPr>
      </w:pPr>
      <w:r>
        <w:rPr>
          <w:rFonts w:ascii="Arial" w:cs="Arial" w:eastAsia="Arial" w:hAnsi="Arial"/>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87"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188" w:lineRule="exact"/>
        <w:rPr>
          <w:sz w:val="20"/>
          <w:szCs w:val="20"/>
          <w:color w:val="auto"/>
        </w:rPr>
      </w:pPr>
    </w:p>
    <w:p>
      <w:pPr>
        <w:ind w:left="900" w:right="440"/>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If we do not maintain our state authorization in Arizona, we may not operate or participate in the Title IV programs.</w:t>
      </w:r>
    </w:p>
    <w:p>
      <w:pPr>
        <w:spacing w:after="0" w:line="102"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25" w:lineRule="exact"/>
        <w:rPr>
          <w:sz w:val="20"/>
          <w:szCs w:val="20"/>
          <w:color w:val="auto"/>
        </w:rPr>
      </w:pPr>
    </w:p>
    <w:p>
      <w:pPr>
        <w:ind w:left="900" w:right="240"/>
        <w:spacing w:after="0" w:line="264" w:lineRule="auto"/>
        <w:rPr>
          <w:sz w:val="20"/>
          <w:szCs w:val="20"/>
          <w:color w:val="auto"/>
        </w:rPr>
      </w:pPr>
      <w:r>
        <w:rPr>
          <w:rFonts w:ascii="Arial" w:cs="Arial" w:eastAsia="Arial" w:hAnsi="Arial"/>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46"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cumulative impact of recent regulatory and market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56" w:lineRule="exact"/>
        <w:rPr>
          <w:sz w:val="20"/>
          <w:szCs w:val="20"/>
          <w:color w:val="auto"/>
        </w:rPr>
      </w:pPr>
    </w:p>
    <w:p>
      <w:pPr>
        <w:ind w:left="1700" w:right="20" w:hanging="21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21" w:lineRule="exact"/>
        <w:rPr>
          <w:rFonts w:ascii="Arial" w:cs="Arial" w:eastAsia="Arial" w:hAnsi="Arial"/>
          <w:sz w:val="18"/>
          <w:szCs w:val="18"/>
          <w:color w:val="auto"/>
        </w:rPr>
      </w:pPr>
    </w:p>
    <w:p>
      <w:pPr>
        <w:ind w:left="1700" w:right="180" w:hanging="211"/>
        <w:spacing w:after="0" w:line="264"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46"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3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An increase in interest rates could adversely affect our ability to attract and retain students.</w:t>
      </w:r>
    </w:p>
    <w:p>
      <w:pPr>
        <w:spacing w:after="0" w:line="90"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For our fiscal years ended December 31, 2006 and 2007 we derived approximately 63.8% and 65.5%, respectively, of our net revenue from tuition financed under the Title IV programs, which include student loans with interest rates subsidized by the federal government. Additionally, some of our students finance their education through private loans that are not subsidized.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color w:val="auto"/>
        </w:rPr>
        <w:t>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04"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48"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5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27" w:lineRule="exact"/>
        <w:rPr>
          <w:sz w:val="20"/>
          <w:szCs w:val="20"/>
          <w:color w:val="auto"/>
        </w:rPr>
      </w:pPr>
    </w:p>
    <w:p>
      <w:pPr>
        <w:ind w:left="900" w:right="500"/>
        <w:spacing w:after="0" w:line="334"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 w:lineRule="exact"/>
        <w:rPr>
          <w:sz w:val="20"/>
          <w:szCs w:val="20"/>
          <w:color w:val="auto"/>
        </w:rPr>
      </w:pPr>
    </w:p>
    <w:p>
      <w:pPr>
        <w:ind w:left="700" w:right="140" w:firstLine="397"/>
        <w:spacing w:after="0" w:line="290"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spacing w:after="0" w:line="302" w:lineRule="auto"/>
        <w:rPr>
          <w:sz w:val="20"/>
          <w:szCs w:val="20"/>
          <w:color w:val="auto"/>
        </w:rPr>
      </w:pPr>
      <w:r>
        <w:rPr>
          <w:rFonts w:ascii="Arial" w:cs="Arial" w:eastAsia="Arial" w:hAnsi="Arial"/>
          <w:sz w:val="16"/>
          <w:szCs w:val="16"/>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33"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investigation will be.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103" w:lineRule="exact"/>
        <w:rPr>
          <w:sz w:val="20"/>
          <w:szCs w:val="20"/>
          <w:color w:val="auto"/>
        </w:rPr>
      </w:pPr>
    </w:p>
    <w:p>
      <w:pPr>
        <w:ind w:left="900" w:right="200"/>
        <w:spacing w:after="0" w:line="340" w:lineRule="auto"/>
        <w:rPr>
          <w:sz w:val="20"/>
          <w:szCs w:val="20"/>
          <w:color w:val="auto"/>
        </w:rPr>
      </w:pPr>
      <w:r>
        <w:rPr>
          <w:rFonts w:ascii="Arial" w:cs="Arial" w:eastAsia="Arial" w:hAnsi="Arial"/>
          <w:sz w:val="15"/>
          <w:szCs w:val="15"/>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1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15" w:lineRule="exact"/>
        <w:rPr>
          <w:sz w:val="20"/>
          <w:szCs w:val="20"/>
          <w:color w:val="auto"/>
        </w:rPr>
      </w:pPr>
    </w:p>
    <w:p>
      <w:pPr>
        <w:ind w:left="900" w:right="180"/>
        <w:spacing w:after="0" w:line="366" w:lineRule="auto"/>
        <w:rPr>
          <w:sz w:val="20"/>
          <w:szCs w:val="20"/>
          <w:color w:val="auto"/>
        </w:rPr>
      </w:pPr>
      <w:r>
        <w:rPr>
          <w:rFonts w:ascii="Arial" w:cs="Arial" w:eastAsia="Arial" w:hAnsi="Arial"/>
          <w:sz w:val="15"/>
          <w:szCs w:val="15"/>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According to a December 2007 report from the NCES, enrollment in degree-granting, postsecondary institutions is projected to grow 15.5% over the ten-year period ending fall 2015 to approximately</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20.2 million. This growth is slower than the 22.6% increase reported in the prior ten-year period ended in fall 2005, when enrollment increased from 14.3 million in 1995 to 17.5 million in 2005.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24" w:lineRule="exact"/>
        <w:rPr>
          <w:sz w:val="20"/>
          <w:szCs w:val="20"/>
          <w:color w:val="auto"/>
        </w:rPr>
      </w:pPr>
    </w:p>
    <w:p>
      <w:pPr>
        <w:ind w:left="900" w:right="340"/>
        <w:spacing w:after="0" w:line="277"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35"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During the fiscal year ended December 31, 2007 and the six months ended June 30, 2008, private loans to students at our school represented approximately 5.0% and 4.9%, respectively, of our revenue (calculated on a cash basis) as compared to 3.1% of revenue in fiscal 2006 and 1.8%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15" w:lineRule="exact"/>
        <w:rPr>
          <w:sz w:val="20"/>
          <w:szCs w:val="20"/>
          <w:color w:val="auto"/>
        </w:rPr>
      </w:pPr>
    </w:p>
    <w:p>
      <w:pPr>
        <w:ind w:left="900" w:right="120"/>
        <w:spacing w:after="0" w:line="357" w:lineRule="auto"/>
        <w:rPr>
          <w:sz w:val="20"/>
          <w:szCs w:val="20"/>
          <w:color w:val="auto"/>
        </w:rPr>
      </w:pPr>
      <w:r>
        <w:rPr>
          <w:rFonts w:ascii="Arial" w:cs="Arial" w:eastAsia="Arial" w:hAnsi="Arial"/>
          <w:sz w:val="15"/>
          <w:szCs w:val="15"/>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ind w:left="700" w:right="60" w:firstLine="397"/>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38"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The Higher Learning Commission has informed us that it will consider the offering to be a change in control under its policies, which will require us to obtain the Higher Learning Commission’s approval prior to consummating the offering. We have filed additional correspondence with the Higher Learning Commission regarding the information needed to obtain such approval. As a result of its determination that the offering will be a change in control, the Higher Learning Commission is likely to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39"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w:t>
      </w:r>
    </w:p>
    <w:p>
      <w:pPr>
        <w:spacing w:after="0" w:line="195"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76"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laws and regulations related to this requirement do not establish clear criteria for compliance in all circumstances, and in recent years several for-profit education companies have been faced with whistleblower lawsuits by former employees alleging violations of this prohibition. If we or any third parties we have engaged or engage in the future violate this law, we could be fined or sanctioned by the Department of Education, or subjected to other monetary penalties that could be substantial, any of which could harm our reputation, impose significant costs on us, and have a material adverse effect on our business, prospects, financial condition, and results of operations.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the actions of other postsecondary educational institutions.</w:t>
      </w:r>
    </w:p>
    <w:p>
      <w:pPr>
        <w:spacing w:after="0" w:line="154"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If the percentage of our revenue that is derived from the Title IV programs is too high, we may lose our eligibility to participate in those programs.</w:t>
      </w:r>
    </w:p>
    <w:p>
      <w:pPr>
        <w:spacing w:after="0" w:line="76"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 from the Title IV programs. Under the Higher Education Act reauthorization, which Congress passed in July 2008 and which the President is expected to sign, an institution would be subject to loss of eligibility to participate in the Title IV programs only if it exceeded the 90% threshold for two consecutive years, the period of ineligibility would be extended to at least two years, and an institution whose rate exceeded 90% for any single year would be placed on provisional certification. Recent changes in federal law that increased Title IV grant and loan limits, and any additional increases in the future, may result in an increase in the revenues we receive from the Title IV programs, which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131"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reauthorization of the Higher Education Act, which Congress passed in July 2008 and which the President is expected to sign, would extend by one year the period for which students’ defaults on their loans would be included in the calculation of an institution’s default rate, a change that is expected to increase most institutions’ default rates. The new law would also increase the threshold for an institution to lose its eligibility to participate in the relevant Title IV programs from 25% to 30%. These changes to the law would take effect for institutions’ cohort default rates for federal fiscal year 2009, which would be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82" w:lineRule="exact"/>
        <w:rPr>
          <w:sz w:val="20"/>
          <w:szCs w:val="20"/>
          <w:color w:val="auto"/>
        </w:rPr>
      </w:pPr>
    </w:p>
    <w:p>
      <w:pPr>
        <w:ind w:left="900" w:right="30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7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spacing w:after="0" w:line="286"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4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Our success depends, in part, on the effectiveness of our marketing and advertising programs in recruiting new students.</w:t>
      </w:r>
    </w:p>
    <w:p>
      <w:pPr>
        <w:spacing w:after="0" w:line="11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700" w:right="22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21"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76" w:lineRule="exact"/>
        <w:rPr>
          <w:rFonts w:ascii="Arial" w:cs="Arial" w:eastAsia="Arial" w:hAnsi="Arial"/>
          <w:sz w:val="18"/>
          <w:szCs w:val="18"/>
          <w:color w:val="auto"/>
        </w:rPr>
      </w:pPr>
    </w:p>
    <w:p>
      <w:pPr>
        <w:ind w:left="1700" w:right="38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21"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76" w:lineRule="exact"/>
        <w:rPr>
          <w:rFonts w:ascii="Arial" w:cs="Arial" w:eastAsia="Arial" w:hAnsi="Arial"/>
          <w:sz w:val="18"/>
          <w:szCs w:val="18"/>
          <w:color w:val="auto"/>
        </w:rPr>
      </w:pPr>
    </w:p>
    <w:p>
      <w:pPr>
        <w:ind w:left="1700" w:right="78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21" w:lineRule="exact"/>
        <w:rPr>
          <w:rFonts w:ascii="Arial" w:cs="Arial" w:eastAsia="Arial" w:hAnsi="Arial"/>
          <w:sz w:val="18"/>
          <w:szCs w:val="18"/>
          <w:color w:val="auto"/>
        </w:rPr>
      </w:pPr>
    </w:p>
    <w:p>
      <w:pPr>
        <w:ind w:left="1700" w:right="860" w:hanging="21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the ways schools can compensate their recruitment personnel;</w:t>
      </w:r>
    </w:p>
    <w:p>
      <w:pPr>
        <w:spacing w:after="0" w:line="21"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that may be imposed on graduates of online programs that seek certification or licensure in certain states;</w:t>
      </w:r>
    </w:p>
    <w:p>
      <w:pPr>
        <w:spacing w:after="0" w:line="88" w:lineRule="exact"/>
        <w:rPr>
          <w:rFonts w:ascii="Arial" w:cs="Arial" w:eastAsia="Arial" w:hAnsi="Arial"/>
          <w:sz w:val="17"/>
          <w:szCs w:val="17"/>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regarding us, our competitors, or online or for-profit education generally;</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104"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spacing w:after="0" w:line="277" w:lineRule="auto"/>
        <w:rPr>
          <w:sz w:val="20"/>
          <w:szCs w:val="20"/>
          <w:color w:val="auto"/>
        </w:rPr>
      </w:pPr>
      <w:r>
        <w:rPr>
          <w:rFonts w:ascii="Arial" w:cs="Arial" w:eastAsia="Arial" w:hAnsi="Arial"/>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49"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10"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and the requirements of being a public company may divert management attention from our business.</w:t>
      </w:r>
    </w:p>
    <w:p>
      <w:pPr>
        <w:spacing w:after="0" w:line="49"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3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52"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4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are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 the</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SEC’s rules under Section 404 of the Sarbanes-Oxley Act of 2002 become applicable to us beginning with our Annual Report on</w:t>
      </w:r>
    </w:p>
    <w:p>
      <w:pPr>
        <w:spacing w:after="0" w:line="35" w:lineRule="exact"/>
        <w:rPr>
          <w:sz w:val="20"/>
          <w:szCs w:val="20"/>
          <w:color w:val="auto"/>
        </w:rPr>
      </w:pPr>
    </w:p>
    <w:p>
      <w:pPr>
        <w:ind w:left="700" w:right="80"/>
        <w:spacing w:after="0" w:line="302" w:lineRule="auto"/>
        <w:rPr>
          <w:sz w:val="20"/>
          <w:szCs w:val="20"/>
          <w:color w:val="auto"/>
        </w:rPr>
      </w:pPr>
      <w:r>
        <w:rPr>
          <w:rFonts w:ascii="Arial" w:cs="Arial" w:eastAsia="Arial" w:hAnsi="Arial"/>
          <w:sz w:val="16"/>
          <w:szCs w:val="16"/>
          <w:color w:val="auto"/>
        </w:rPr>
        <w:t>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90"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26"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Capacity constraints or system disruptions to our online computer networks could have a material adverse effect on our ability to attract and retain students.</w:t>
      </w:r>
    </w:p>
    <w:p>
      <w:pPr>
        <w:spacing w:after="0" w:line="35"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19" w:lineRule="exact"/>
        <w:rPr>
          <w:sz w:val="20"/>
          <w:szCs w:val="20"/>
          <w:color w:val="auto"/>
        </w:rPr>
      </w:pPr>
    </w:p>
    <w:p>
      <w:pPr>
        <w:ind w:left="900" w:right="660"/>
        <w:spacing w:after="0" w:line="334" w:lineRule="auto"/>
        <w:rPr>
          <w:sz w:val="20"/>
          <w:szCs w:val="20"/>
          <w:color w:val="auto"/>
        </w:rPr>
      </w:pPr>
      <w:r>
        <w:rPr>
          <w:rFonts w:ascii="Arial" w:cs="Arial" w:eastAsia="Arial" w:hAnsi="Arial"/>
          <w:sz w:val="16"/>
          <w:szCs w:val="16"/>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June 30, 2008, we offered 74 fully online programs, 17 of which we introduced in 2007, seven of which we introduced in the first six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6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43"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90"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If we do not maintain existing, and develop additional, relationships with employers, our future growth may be impaired.</w:t>
      </w:r>
    </w:p>
    <w:p>
      <w:pPr>
        <w:spacing w:after="0" w:line="102"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our efforts to seek these sources of potential working adult students will be impaired, and this could materially and adversely affect our business, prospects, financial condition, and results of operations.</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90"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04"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10" w:lineRule="exact"/>
        <w:rPr>
          <w:sz w:val="20"/>
          <w:szCs w:val="20"/>
          <w:color w:val="auto"/>
        </w:rPr>
      </w:pPr>
    </w:p>
    <w:p>
      <w:pPr>
        <w:ind w:left="900" w:right="80"/>
        <w:spacing w:after="0" w:line="264" w:lineRule="auto"/>
        <w:rPr>
          <w:sz w:val="20"/>
          <w:szCs w:val="20"/>
          <w:color w:val="auto"/>
        </w:rPr>
      </w:pPr>
      <w:r>
        <w:rPr>
          <w:rFonts w:ascii="Arial" w:cs="Arial" w:eastAsia="Arial" w:hAnsi="Arial"/>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60"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3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spacing w:after="0" w:line="366" w:lineRule="auto"/>
        <w:rPr>
          <w:sz w:val="20"/>
          <w:szCs w:val="20"/>
          <w:color w:val="auto"/>
        </w:rPr>
      </w:pPr>
      <w:r>
        <w:rPr>
          <w:rFonts w:ascii="Arial" w:cs="Arial" w:eastAsia="Arial" w:hAnsi="Arial"/>
          <w:sz w:val="15"/>
          <w:szCs w:val="15"/>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30" w:lineRule="exact"/>
        <w:rPr>
          <w:sz w:val="20"/>
          <w:szCs w:val="20"/>
          <w:color w:val="auto"/>
        </w:rPr>
      </w:pPr>
    </w:p>
    <w:p>
      <w:pPr>
        <w:ind w:left="700" w:right="320" w:firstLine="397"/>
        <w:spacing w:after="0" w:line="279" w:lineRule="auto"/>
        <w:rPr>
          <w:sz w:val="20"/>
          <w:szCs w:val="20"/>
          <w:color w:val="auto"/>
        </w:rPr>
      </w:pPr>
      <w:r>
        <w:rPr>
          <w:rFonts w:ascii="Arial" w:cs="Arial" w:eastAsia="Arial" w:hAnsi="Arial"/>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36"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15" w:lineRule="exact"/>
        <w:rPr>
          <w:sz w:val="20"/>
          <w:szCs w:val="20"/>
          <w:color w:val="auto"/>
        </w:rPr>
      </w:pPr>
    </w:p>
    <w:p>
      <w:pPr>
        <w:ind w:left="900" w:right="10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with rapid technological change, and we may not have the resources needed to compete successfully.</w:t>
      </w:r>
    </w:p>
    <w:p>
      <w:pPr>
        <w:spacing w:after="0" w:line="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At present we derive a significant portion of our revenues and operating income from our graduate programs.</w:t>
      </w:r>
    </w:p>
    <w:p>
      <w:pPr>
        <w:spacing w:after="0" w:line="90"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As of June 30, 2008, approximately 61%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incur liability for the unauthorized duplication or distribution of class materials posted online for class discussions.</w:t>
      </w:r>
    </w:p>
    <w:p>
      <w:pPr>
        <w:spacing w:after="0" w:line="127"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91" w:lineRule="exact"/>
        <w:rPr>
          <w:sz w:val="20"/>
          <w:szCs w:val="20"/>
          <w:color w:val="auto"/>
        </w:rPr>
      </w:pPr>
    </w:p>
    <w:p>
      <w:pPr>
        <w:ind w:left="900" w:right="380"/>
        <w:spacing w:after="0" w:line="286" w:lineRule="auto"/>
        <w:rPr>
          <w:sz w:val="20"/>
          <w:szCs w:val="20"/>
          <w:color w:val="auto"/>
        </w:rPr>
      </w:pPr>
      <w:r>
        <w:rPr>
          <w:rFonts w:ascii="Arial" w:cs="Arial" w:eastAsia="Arial" w:hAnsi="Arial"/>
          <w:sz w:val="17"/>
          <w:szCs w:val="17"/>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44"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Seasonal and other fluctuations in our results of operations could adversely affect the trading price of our common stock.</w:t>
      </w:r>
    </w:p>
    <w:p>
      <w:pPr>
        <w:spacing w:after="0" w:line="12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25" w:lineRule="exact"/>
        <w:rPr>
          <w:sz w:val="20"/>
          <w:szCs w:val="20"/>
          <w:color w:val="auto"/>
        </w:rPr>
      </w:pPr>
    </w:p>
    <w:p>
      <w:pPr>
        <w:ind w:left="900" w:right="180"/>
        <w:spacing w:after="0" w:line="264" w:lineRule="auto"/>
        <w:rPr>
          <w:sz w:val="20"/>
          <w:szCs w:val="20"/>
          <w:color w:val="auto"/>
        </w:rPr>
      </w:pPr>
      <w:r>
        <w:rPr>
          <w:rFonts w:ascii="Arial" w:cs="Arial" w:eastAsia="Arial" w:hAnsi="Arial"/>
          <w:sz w:val="18"/>
          <w:szCs w:val="18"/>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60"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Our current success and future growth depend on the continued acceptance of the Internet and the corresponding growth in users seeking educational services on the Internet.</w:t>
      </w:r>
    </w:p>
    <w:p>
      <w:pPr>
        <w:spacing w:after="0" w:line="49"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35" w:lineRule="exact"/>
        <w:rPr>
          <w:sz w:val="20"/>
          <w:szCs w:val="20"/>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90"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If Internet use decreases, or if the number of Internet users seeking educational services on the Internet does not increase, our business may not grow as planned.</w:t>
      </w:r>
    </w:p>
    <w:p>
      <w:pPr>
        <w:spacing w:after="0" w:line="116"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35" w:lineRule="exact"/>
        <w:rPr>
          <w:sz w:val="20"/>
          <w:szCs w:val="20"/>
          <w:color w:val="auto"/>
        </w:rPr>
      </w:pPr>
    </w:p>
    <w:p>
      <w:pPr>
        <w:ind w:left="900" w:right="600"/>
        <w:spacing w:after="0" w:line="277" w:lineRule="auto"/>
        <w:rPr>
          <w:sz w:val="20"/>
          <w:szCs w:val="20"/>
          <w:color w:val="auto"/>
        </w:rPr>
      </w:pPr>
      <w:r>
        <w:rPr>
          <w:rFonts w:ascii="Arial" w:cs="Arial" w:eastAsia="Arial" w:hAnsi="Arial"/>
          <w:sz w:val="18"/>
          <w:szCs w:val="18"/>
          <w:b w:val="1"/>
          <w:bCs w:val="1"/>
          <w:i w:val="1"/>
          <w:iCs w:val="1"/>
          <w:color w:val="auto"/>
        </w:rPr>
        <w:t>A reclassification of our online faculty by federal or state authorities from independent contractor to employee status could materially increase our costs.</w:t>
      </w:r>
    </w:p>
    <w:p>
      <w:pPr>
        <w:spacing w:after="0" w:line="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A majority of our faculty at June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3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may incur significant costs complying with the Americans with Disabilities Act and similar laws.</w:t>
      </w:r>
    </w:p>
    <w:p>
      <w:pPr>
        <w:spacing w:after="0" w:line="90"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compliance with the ADA, FHAA, or other legislation. If we incur substantial costs to comply with the ADA, FHAA, or any other legislation, we could be materially and adversely affected.</w:t>
      </w:r>
    </w:p>
    <w:p>
      <w:pPr>
        <w:spacing w:after="0" w:line="116"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Our failure to comply with environmental laws and regulations governing our activities could result in financial penalties and other costs.</w:t>
      </w:r>
    </w:p>
    <w:p>
      <w:pPr>
        <w:spacing w:after="0" w:line="35"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11"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b w:val="1"/>
          <w:bCs w:val="1"/>
          <w:i w:val="1"/>
          <w:iCs w:val="1"/>
          <w:color w:val="auto"/>
        </w:rPr>
        <w:t>If we expand in the future into new markets outside the United States, we would be subject to risks inherent in non-domestic operations.</w:t>
      </w:r>
    </w:p>
    <w:p>
      <w:pPr>
        <w:spacing w:after="0" w:line="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3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failure to obtain additional capital in the future could adversely affect our ability to grow.</w:t>
      </w:r>
    </w:p>
    <w:p>
      <w:pPr>
        <w:spacing w:after="0" w:line="90"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90"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49" w:lineRule="exact"/>
        <w:rPr>
          <w:sz w:val="20"/>
          <w:szCs w:val="20"/>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policies, and procedures;</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 during the integration process;</w:t>
      </w:r>
    </w:p>
    <w:p>
      <w:pPr>
        <w:spacing w:after="0" w:line="76" w:lineRule="exact"/>
        <w:rPr>
          <w:rFonts w:ascii="Arial" w:cs="Arial" w:eastAsia="Arial" w:hAnsi="Arial"/>
          <w:sz w:val="18"/>
          <w:szCs w:val="18"/>
          <w:color w:val="auto"/>
        </w:rPr>
      </w:pPr>
    </w:p>
    <w:p>
      <w:pPr>
        <w:jc w:val="both"/>
        <w:ind w:left="1700" w:right="620" w:hanging="211"/>
        <w:spacing w:after="0" w:line="264"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32"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associated with the integration efforts; and</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unidentified issues not discovered in our due diligence process, including legal contingencies.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we complete one or more acquisitions and are unable to integrate acquired operations successfully, our business could suffer.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Offering</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5"/>
          <w:szCs w:val="15"/>
          <w:b w:val="1"/>
          <w:bCs w:val="1"/>
          <w:i w:val="1"/>
          <w:iCs w:val="1"/>
          <w:color w:val="auto"/>
        </w:rPr>
        <w:t>There is no existing market for our common stock, and we do not know if one will develop to provide you with adequate liquidity.</w:t>
      </w:r>
    </w:p>
    <w:p>
      <w:pPr>
        <w:spacing w:after="0" w:line="12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 and you could lose all or part of your investment.</w:t>
      </w:r>
    </w:p>
    <w:p>
      <w:pPr>
        <w:spacing w:after="0" w:line="131"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2" w:lineRule="exact"/>
        <w:rPr>
          <w:sz w:val="20"/>
          <w:szCs w:val="20"/>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63" w:lineRule="exact"/>
        <w:rPr>
          <w:rFonts w:ascii="Arial" w:cs="Arial" w:eastAsia="Arial" w:hAnsi="Arial"/>
          <w:sz w:val="18"/>
          <w:szCs w:val="18"/>
          <w:color w:val="auto"/>
        </w:rPr>
      </w:pPr>
    </w:p>
    <w:p>
      <w:pPr>
        <w:ind w:left="1700" w:right="80" w:hanging="21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laws or regulations applicable to our business;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63" w:lineRule="exact"/>
        <w:rPr>
          <w:rFonts w:ascii="Arial" w:cs="Arial" w:eastAsia="Arial" w:hAnsi="Arial"/>
          <w:sz w:val="18"/>
          <w:szCs w:val="18"/>
          <w:color w:val="auto"/>
        </w:rPr>
      </w:pPr>
    </w:p>
    <w:p>
      <w:pPr>
        <w:ind w:left="1700" w:right="260" w:hanging="21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63" w:lineRule="exact"/>
        <w:rPr>
          <w:rFonts w:ascii="Arial" w:cs="Arial" w:eastAsia="Arial" w:hAnsi="Arial"/>
          <w:sz w:val="18"/>
          <w:szCs w:val="18"/>
          <w:color w:val="auto"/>
        </w:rPr>
      </w:pPr>
    </w:p>
    <w:p>
      <w:pPr>
        <w:ind w:left="1700" w:right="600" w:hanging="211"/>
        <w:spacing w:after="0" w:line="277"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our company or investigations or audits by regulators into the operations of our company or our competitors; and</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131"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202" w:lineRule="exact"/>
        <w:rPr>
          <w:sz w:val="20"/>
          <w:szCs w:val="20"/>
          <w:color w:val="auto"/>
        </w:rPr>
      </w:pPr>
    </w:p>
    <w:p>
      <w:pPr>
        <w:ind w:left="900" w:right="40"/>
        <w:spacing w:after="0" w:line="340" w:lineRule="auto"/>
        <w:rPr>
          <w:sz w:val="20"/>
          <w:szCs w:val="20"/>
          <w:color w:val="auto"/>
        </w:rPr>
      </w:pPr>
      <w:r>
        <w:rPr>
          <w:rFonts w:ascii="Arial" w:cs="Arial" w:eastAsia="Arial" w:hAnsi="Arial"/>
          <w:sz w:val="15"/>
          <w:szCs w:val="15"/>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37" w:lineRule="exact"/>
        <w:rPr>
          <w:sz w:val="20"/>
          <w:szCs w:val="20"/>
          <w:color w:val="auto"/>
        </w:rPr>
      </w:pPr>
    </w:p>
    <w:p>
      <w:pPr>
        <w:ind w:left="700" w:right="140" w:firstLine="397"/>
        <w:spacing w:after="0" w:line="274" w:lineRule="auto"/>
        <w:rPr>
          <w:sz w:val="20"/>
          <w:szCs w:val="20"/>
          <w:color w:val="auto"/>
        </w:rPr>
      </w:pPr>
      <w:r>
        <w:rPr>
          <w:rFonts w:ascii="Arial" w:cs="Arial" w:eastAsia="Arial" w:hAnsi="Arial"/>
          <w:sz w:val="17"/>
          <w:szCs w:val="17"/>
          <w:color w:val="auto"/>
        </w:rPr>
        <w:t>Our directors, executive officers, and principal existing stockholders will beneficially own approximately shares, or %, of our common stock upon the completion of this offering. Our directors and executive officers will beneficially own in the aggregate</w:t>
      </w:r>
    </w:p>
    <w:p>
      <w:pPr>
        <w:ind w:left="700" w:right="40"/>
        <w:spacing w:after="0" w:line="268" w:lineRule="auto"/>
        <w:rPr>
          <w:sz w:val="20"/>
          <w:szCs w:val="20"/>
          <w:color w:val="auto"/>
        </w:rPr>
      </w:pPr>
      <w:r>
        <w:rPr>
          <w:rFonts w:ascii="Arial" w:cs="Arial" w:eastAsia="Arial" w:hAnsi="Arial"/>
          <w:sz w:val="17"/>
          <w:szCs w:val="17"/>
          <w:color w:val="auto"/>
        </w:rPr>
        <w:t>approximately shares, or %, of our common stock after the offering, including approximately shares, or %, of our common stock that will be beneficially owned by Brent Richardson and Chris Richardson and their family members. In addition, pursuant to a voting agreement entered into among the Richardsons and certain of our existing stockholders, the Richardsons will have voting control over approximately %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large ownership position to address their own interests, which may be different from those of our other stockholders, including investors in this offering.</w:t>
      </w:r>
    </w:p>
    <w:p>
      <w:pPr>
        <w:spacing w:after="0" w:line="184" w:lineRule="exact"/>
        <w:rPr>
          <w:sz w:val="20"/>
          <w:szCs w:val="20"/>
          <w:color w:val="auto"/>
        </w:rPr>
      </w:pPr>
    </w:p>
    <w:p>
      <w:pPr>
        <w:ind w:left="900" w:right="48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207" w:lineRule="exact"/>
        <w:rPr>
          <w:sz w:val="20"/>
          <w:szCs w:val="20"/>
          <w:color w:val="auto"/>
        </w:rPr>
      </w:pPr>
    </w:p>
    <w:p>
      <w:pPr>
        <w:ind w:left="900" w:right="300"/>
        <w:spacing w:after="0" w:line="277" w:lineRule="auto"/>
        <w:rPr>
          <w:sz w:val="20"/>
          <w:szCs w:val="20"/>
          <w:color w:val="auto"/>
        </w:rPr>
      </w:pPr>
      <w:r>
        <w:rPr>
          <w:rFonts w:ascii="Arial" w:cs="Arial" w:eastAsia="Arial" w:hAnsi="Arial"/>
          <w:sz w:val="18"/>
          <w:szCs w:val="18"/>
          <w:b w:val="1"/>
          <w:bCs w:val="1"/>
          <w:i w:val="1"/>
          <w:iCs w:val="1"/>
          <w:color w:val="auto"/>
        </w:rPr>
        <w:t>The sale of a substantial number of shares of our common stock after this offering may cause the market price of shares of our common stock to decline.</w:t>
      </w:r>
    </w:p>
    <w:p>
      <w:pPr>
        <w:spacing w:after="0" w:line="76"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w:t>
      </w:r>
    </w:p>
    <w:p>
      <w:pPr>
        <w:spacing w:after="0" w:line="3" w:lineRule="exact"/>
        <w:rPr>
          <w:sz w:val="20"/>
          <w:szCs w:val="20"/>
          <w:color w:val="auto"/>
        </w:rPr>
      </w:pPr>
    </w:p>
    <w:p>
      <w:pPr>
        <w:ind w:left="700"/>
        <w:spacing w:after="0" w:line="265" w:lineRule="auto"/>
        <w:rPr>
          <w:sz w:val="20"/>
          <w:szCs w:val="20"/>
          <w:color w:val="auto"/>
        </w:rPr>
      </w:pPr>
      <w:r>
        <w:rPr>
          <w:rFonts w:ascii="Arial" w:cs="Arial" w:eastAsia="Arial" w:hAnsi="Arial"/>
          <w:sz w:val="17"/>
          <w:szCs w:val="17"/>
          <w:color w:val="auto"/>
        </w:rPr>
        <w:t>approximately additional shares of common stock may be eligible for sale in the public market without restriction, and up to approximately shares of common stock held by affiliates may become eligible for sale, subject to the restrictions under Rule 144 of</w:t>
      </w:r>
    </w:p>
    <w:p>
      <w:pPr>
        <w:ind w:left="700"/>
        <w:spacing w:after="0"/>
        <w:rPr>
          <w:sz w:val="20"/>
          <w:szCs w:val="20"/>
          <w:color w:val="auto"/>
        </w:rPr>
      </w:pPr>
      <w:r>
        <w:rPr>
          <w:rFonts w:ascii="Arial" w:cs="Arial" w:eastAsia="Arial" w:hAnsi="Arial"/>
          <w:sz w:val="18"/>
          <w:szCs w:val="18"/>
          <w:color w:val="auto"/>
        </w:rPr>
        <w:t>the Securities Act of 1933, as amended, or the Securities Act.</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will incur immediate and substantial dilution in the net tangible book value of your shares.</w:t>
      </w:r>
    </w:p>
    <w:p>
      <w:pPr>
        <w:spacing w:after="0" w:line="131"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w:t>
      </w:r>
    </w:p>
    <w:p>
      <w:pPr>
        <w:ind w:left="700"/>
        <w:spacing w:after="0" w:line="268" w:lineRule="auto"/>
        <w:rPr>
          <w:sz w:val="20"/>
          <w:szCs w:val="20"/>
          <w:color w:val="auto"/>
        </w:rPr>
      </w:pPr>
      <w:r>
        <w:rPr>
          <w:rFonts w:ascii="Arial" w:cs="Arial" w:eastAsia="Arial" w:hAnsi="Arial"/>
          <w:sz w:val="17"/>
          <w:szCs w:val="17"/>
          <w:color w:val="auto"/>
        </w:rPr>
        <w:t>the issuance and sale of shares of our common stock by us in this offering at an assumed initial public offering price of $ per share, the midpoint of the price range set forth on the cover page of this prospectus, you will incur immediate dilution of $ in the net tangible book value per share. A $1.00 increase or decrease in the assumed initial public offering price of $ per share would increase or decrease, as applicable, our as adjusted net tangible book value per share of common stock by $ , and increase or decrease, as applicable, the dilution per share of common stock to new investors by $ ,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196"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76"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9" w:lineRule="auto"/>
        <w:rPr>
          <w:sz w:val="20"/>
          <w:szCs w:val="20"/>
          <w:color w:val="auto"/>
        </w:rPr>
      </w:pPr>
      <w:r>
        <w:rPr>
          <w:rFonts w:ascii="Arial" w:cs="Arial" w:eastAsia="Arial" w:hAnsi="Arial"/>
          <w:sz w:val="17"/>
          <w:szCs w:val="17"/>
          <w:color w:val="auto"/>
        </w:rPr>
        <w:t>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29"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9" w:lineRule="exact"/>
        <w:rPr>
          <w:sz w:val="20"/>
          <w:szCs w:val="20"/>
          <w:color w:val="auto"/>
        </w:rPr>
      </w:pPr>
    </w:p>
    <w:p>
      <w:pPr>
        <w:ind w:left="900" w:right="62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applying the net proceeds of this offering and may not use those proceeds in ways that will enhance the market value of our common stock.</w:t>
      </w:r>
    </w:p>
    <w:p>
      <w:pPr>
        <w:spacing w:after="0" w:line="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We have significant flexibility in applying the net proceeds we will receive in this offering. We intend to use a substantial portion of the proceeds that we receive from the sale of stock in this offering to fund the special distribution payable to our existing stockholders and to use the remainder to redeem an outstanding warrant to purchase shares of our common stock and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03"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4" w:lineRule="exact"/>
        <w:rPr>
          <w:sz w:val="20"/>
          <w:szCs w:val="20"/>
          <w:color w:val="auto"/>
        </w:rPr>
      </w:pPr>
    </w:p>
    <w:p>
      <w:pPr>
        <w:ind w:left="1700" w:right="120" w:hanging="21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86"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associated with changes in applicable federal and state laws and regulations and accrediting commission standards;</w:t>
      </w:r>
    </w:p>
    <w:p>
      <w:pPr>
        <w:spacing w:after="0" w:line="140" w:lineRule="exact"/>
        <w:rPr>
          <w:rFonts w:ascii="Arial" w:cs="Arial" w:eastAsia="Arial" w:hAnsi="Arial"/>
          <w:sz w:val="16"/>
          <w:szCs w:val="16"/>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enrollment counselors;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17" w:lineRule="exact"/>
        <w:rPr>
          <w:rFonts w:ascii="Arial" w:cs="Arial" w:eastAsia="Arial" w:hAnsi="Arial"/>
          <w:sz w:val="18"/>
          <w:szCs w:val="18"/>
          <w:color w:val="auto"/>
        </w:rPr>
      </w:pPr>
    </w:p>
    <w:p>
      <w:pPr>
        <w:ind w:left="1700" w:right="180" w:hanging="21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on our part to keep up with advances in technology that could enhance the online experience for our students;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adverse economic conditions or other developments that affect job prospects in our core disciplines; and</w:t>
      </w:r>
    </w:p>
    <w:p>
      <w:pPr>
        <w:spacing w:after="0" w:line="128" w:lineRule="exact"/>
        <w:rPr>
          <w:rFonts w:ascii="Arial" w:cs="Arial" w:eastAsia="Arial" w:hAnsi="Arial"/>
          <w:sz w:val="17"/>
          <w:szCs w:val="17"/>
          <w:color w:val="auto"/>
        </w:rPr>
      </w:pPr>
    </w:p>
    <w:p>
      <w:pPr>
        <w:ind w:left="1700" w:right="20" w:hanging="21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76"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1080"/>
        <w:spacing w:after="0"/>
        <w:tabs>
          <w:tab w:leader="none" w:pos="3980" w:val="left"/>
        </w:tabs>
        <w:rPr>
          <w:sz w:val="20"/>
          <w:szCs w:val="20"/>
          <w:color w:val="auto"/>
        </w:rPr>
      </w:pPr>
      <w:r>
        <w:rPr>
          <w:rFonts w:ascii="Arial" w:cs="Arial" w:eastAsia="Arial" w:hAnsi="Arial"/>
          <w:sz w:val="18"/>
          <w:szCs w:val="18"/>
          <w:color w:val="auto"/>
        </w:rPr>
        <w:t>The net proceeds from the sale of</w:t>
      </w:r>
      <w:r>
        <w:rPr>
          <w:sz w:val="20"/>
          <w:szCs w:val="20"/>
          <w:color w:val="auto"/>
        </w:rPr>
        <w:tab/>
      </w:r>
      <w:r>
        <w:rPr>
          <w:rFonts w:ascii="Arial" w:cs="Arial" w:eastAsia="Arial" w:hAnsi="Arial"/>
          <w:sz w:val="16"/>
          <w:szCs w:val="16"/>
          <w:color w:val="auto"/>
        </w:rPr>
        <w:t>shares of our common stock offered by us in this offering will be approximately</w:t>
      </w:r>
    </w:p>
    <w:p>
      <w:pPr>
        <w:spacing w:after="0" w:line="23" w:lineRule="exact"/>
        <w:rPr>
          <w:sz w:val="20"/>
          <w:szCs w:val="20"/>
          <w:color w:val="auto"/>
        </w:rPr>
      </w:pPr>
    </w:p>
    <w:p>
      <w:pPr>
        <w:ind w:left="700" w:right="100" w:hanging="7"/>
        <w:spacing w:after="0" w:line="25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million (or approximately $ million if the underwriters exercise their over-allotment option in full), assuming an initial public offering price of $ per share, which is the midpoint of the range set forth on the cover page of this prospectus, and after deducting the underwriting discounts and commissions and estimated offering expenses payable by us.</w:t>
      </w:r>
    </w:p>
    <w:p>
      <w:pPr>
        <w:spacing w:after="0" w:line="96"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We will declare a special distribution equal to % of the gross proceeds of this offering, including any proceeds we receive from the underwriters’ exercise of their over-allotment option, that will be payable promptly upon the completion of this offering (and</w:t>
      </w:r>
    </w:p>
    <w:p>
      <w:pPr>
        <w:ind w:left="700" w:right="400"/>
        <w:spacing w:after="0" w:line="261" w:lineRule="auto"/>
        <w:rPr>
          <w:sz w:val="20"/>
          <w:szCs w:val="20"/>
          <w:color w:val="auto"/>
        </w:rPr>
      </w:pPr>
      <w:r>
        <w:rPr>
          <w:rFonts w:ascii="Arial" w:cs="Arial" w:eastAsia="Arial" w:hAnsi="Arial"/>
          <w:sz w:val="18"/>
          <w:szCs w:val="18"/>
          <w:color w:val="auto"/>
        </w:rPr>
        <w:t>following the exercise of the over-allotment option, if applicable) to our stockholders of record as of , 2008. We will make this distribution upon completion of the offering. See “Special Distribution” for further information.</w:t>
      </w:r>
    </w:p>
    <w:p>
      <w:pPr>
        <w:spacing w:after="0" w:line="89"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In 2004, we issued a warrant to purchase shares of our common stock in connection with a sale-leaseback transaction we entered into relating to our ground campus.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whose sole purpose was to hold the equity interests of all of our members at the time of conversion. In connection with this offering, if such investors do not exercise such right, then we may exercise the right to repurchase the warrant or the underlying shares. We intend to use up to $16.0 million of the gross proceeds of this offering to repurchase any portion of the warrant or the underlying shares not purchased by such investors.</w:t>
      </w:r>
    </w:p>
    <w:p>
      <w:pPr>
        <w:spacing w:after="0" w:line="72"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We intend to use the remaining proceeds that we receive from this offering and from the underwriters’ exercise of their over-allotment option to pay the expenses of this offering and for general corporate purposes.</w:t>
      </w:r>
    </w:p>
    <w:p>
      <w:pPr>
        <w:spacing w:after="0" w:line="76"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Each $1.00 increase or decrease in the assumed public offering price of $ per share would increase or decrease, as applicable, the aggregate amount of the special distribution by $ million, the per share amount of the special distribution by $ on an as-if converted basis and the net proceeds to us by approximately $ million, assuming the number of shares offered by us, as set forth on</w:t>
      </w:r>
    </w:p>
    <w:p>
      <w:pPr>
        <w:ind w:left="700" w:right="220"/>
        <w:spacing w:after="0" w:line="253" w:lineRule="auto"/>
        <w:rPr>
          <w:sz w:val="20"/>
          <w:szCs w:val="20"/>
          <w:color w:val="auto"/>
        </w:rPr>
      </w:pPr>
      <w:r>
        <w:rPr>
          <w:rFonts w:ascii="Arial" w:cs="Arial" w:eastAsia="Arial" w:hAnsi="Arial"/>
          <w:sz w:val="18"/>
          <w:szCs w:val="18"/>
          <w:color w:val="auto"/>
        </w:rPr>
        <w:t>the cover page of this prospectus, remains the same and, with respect to the net proceeds to us, after deducting estimated underwriting discounts and commissions and estimated offering expenses payable by us.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 and offering expenses.</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SPECIAL DISTRIBUTION</w:t>
      </w:r>
    </w:p>
    <w:p>
      <w:pPr>
        <w:spacing w:after="0" w:line="135" w:lineRule="exact"/>
        <w:rPr>
          <w:sz w:val="20"/>
          <w:szCs w:val="20"/>
          <w:color w:val="auto"/>
        </w:rPr>
      </w:pPr>
    </w:p>
    <w:p>
      <w:pPr>
        <w:ind w:left="700" w:right="800" w:firstLine="397"/>
        <w:spacing w:after="0" w:line="288" w:lineRule="auto"/>
        <w:rPr>
          <w:sz w:val="20"/>
          <w:szCs w:val="20"/>
          <w:color w:val="auto"/>
        </w:rPr>
      </w:pPr>
      <w:r>
        <w:rPr>
          <w:rFonts w:ascii="Arial" w:cs="Arial" w:eastAsia="Arial" w:hAnsi="Arial"/>
          <w:sz w:val="16"/>
          <w:szCs w:val="16"/>
          <w:color w:val="auto"/>
        </w:rPr>
        <w:t>We intend to declare a special distribution equal to %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 2008. Of the estimated aggregate</w:t>
      </w:r>
    </w:p>
    <w:p>
      <w:pPr>
        <w:ind w:left="700" w:right="960"/>
        <w:spacing w:after="0" w:line="281" w:lineRule="auto"/>
        <w:rPr>
          <w:sz w:val="20"/>
          <w:szCs w:val="20"/>
          <w:color w:val="auto"/>
        </w:rPr>
      </w:pPr>
      <w:r>
        <w:rPr>
          <w:rFonts w:ascii="Arial" w:cs="Arial" w:eastAsia="Arial" w:hAnsi="Arial"/>
          <w:sz w:val="16"/>
          <w:szCs w:val="16"/>
          <w:color w:val="auto"/>
        </w:rPr>
        <w:t>amount of the special distribution of $ million (exclusive of any amounts that may be received from the underwriters’ exercise of the over-allotment option), assuming an initial public offering price of $ per share, which is the midpoint of the price range set forth on the cover of this prospectus, $ million will be paid in respect of shares of our capital stock over which our directors and executive</w:t>
      </w:r>
    </w:p>
    <w:p>
      <w:pPr>
        <w:spacing w:after="0" w:line="2" w:lineRule="exact"/>
        <w:rPr>
          <w:sz w:val="20"/>
          <w:szCs w:val="20"/>
          <w:color w:val="auto"/>
        </w:rPr>
      </w:pPr>
    </w:p>
    <w:p>
      <w:pPr>
        <w:ind w:left="700" w:right="1180"/>
        <w:spacing w:after="0" w:line="261" w:lineRule="auto"/>
        <w:rPr>
          <w:sz w:val="20"/>
          <w:szCs w:val="20"/>
          <w:color w:val="auto"/>
        </w:rPr>
      </w:pPr>
      <w:r>
        <w:rPr>
          <w:rFonts w:ascii="Arial" w:cs="Arial" w:eastAsia="Arial" w:hAnsi="Arial"/>
          <w:sz w:val="18"/>
          <w:szCs w:val="18"/>
          <w:color w:val="auto"/>
        </w:rPr>
        <w:t>officers are deemed to exercise sole or shared voting or investment power. These proceeds will be allocated among our directors and executive officers as set forth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of Beneficial Owner</w:t>
            </w:r>
          </w:p>
        </w:tc>
        <w:tc>
          <w:tcPr>
            <w:tcW w:w="7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Special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7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(3)</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220 GCU, L.P. and affiliates</w:t>
            </w:r>
            <w:r>
              <w:rPr>
                <w:rFonts w:ascii="Arial" w:cs="Arial" w:eastAsia="Arial" w:hAnsi="Arial"/>
                <w:sz w:val="15"/>
                <w:szCs w:val="15"/>
                <w:color w:val="auto"/>
              </w:rPr>
              <w:t>(4)</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Series A convertible preferred stock</w:t>
            </w:r>
          </w:p>
        </w:tc>
        <w:tc>
          <w:tcPr>
            <w:tcW w:w="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Staci L. Buse</w:t>
            </w:r>
            <w:r>
              <w:rPr>
                <w:rFonts w:ascii="Arial" w:cs="Arial" w:eastAsia="Arial" w:hAnsi="Arial"/>
                <w:sz w:val="15"/>
                <w:szCs w:val="15"/>
                <w:color w:val="auto"/>
              </w:rPr>
              <w:t>(5)</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Significant Ventures, LLC</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(3)</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(3)</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(5)</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John E. Crowley</w:t>
            </w:r>
            <w:r>
              <w:rPr>
                <w:rFonts w:ascii="Arial" w:cs="Arial" w:eastAsia="Arial" w:hAnsi="Arial"/>
                <w:sz w:val="15"/>
                <w:szCs w:val="15"/>
                <w:color w:val="auto"/>
              </w:rPr>
              <w:t>(6)</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80" w:type="dxa"/>
            <w:vAlign w:val="bottom"/>
            <w:gridSpan w:val="2"/>
          </w:tcPr>
          <w:p>
            <w:pPr>
              <w:jc w:val="right"/>
              <w:ind w:right="1433"/>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-5764530</wp:posOffset>
            </wp:positionV>
            <wp:extent cx="26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5"/>
                <w:szCs w:val="15"/>
                <w:color w:val="auto"/>
              </w:rPr>
              <w:t>(5)</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directors and executive officers as a group</w:t>
            </w:r>
          </w:p>
        </w:tc>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-934085</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100" w:hanging="301"/>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38" w:lineRule="exact"/>
        <w:rPr>
          <w:rFonts w:ascii="Arial" w:cs="Arial" w:eastAsia="Arial" w:hAnsi="Arial"/>
          <w:sz w:val="18"/>
          <w:szCs w:val="18"/>
          <w:color w:val="auto"/>
        </w:rPr>
      </w:pPr>
    </w:p>
    <w:p>
      <w:pPr>
        <w:ind w:left="1000" w:right="60" w:hanging="301"/>
        <w:spacing w:after="0" w:line="297"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one-for-one basis and shares of the Series C preferred stock will convert into shares of common stock at a rate equal to their liquidation preference per share divided by the initial public offering price per share, which is estimated to be $ per share, which is the midpoint of the range set forth on the cover page of this prospectus.</w:t>
      </w:r>
    </w:p>
    <w:p>
      <w:pPr>
        <w:spacing w:after="0" w:line="9" w:lineRule="exact"/>
        <w:rPr>
          <w:rFonts w:ascii="Arial" w:cs="Arial" w:eastAsia="Arial" w:hAnsi="Arial"/>
          <w:sz w:val="16"/>
          <w:szCs w:val="16"/>
          <w:color w:val="auto"/>
        </w:rPr>
      </w:pPr>
    </w:p>
    <w:p>
      <w:pPr>
        <w:ind w:left="1000" w:right="80" w:hanging="301"/>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Endeavor Capital IV, LLC, the general partner for each of the Endeavour Entities, are members of our board of directors.</w:t>
      </w:r>
    </w:p>
    <w:p>
      <w:pPr>
        <w:spacing w:after="0" w:line="38" w:lineRule="exact"/>
        <w:rPr>
          <w:rFonts w:ascii="Arial" w:cs="Arial" w:eastAsia="Arial" w:hAnsi="Arial"/>
          <w:sz w:val="18"/>
          <w:szCs w:val="18"/>
          <w:color w:val="auto"/>
        </w:rPr>
      </w:pPr>
    </w:p>
    <w:p>
      <w:pPr>
        <w:ind w:left="1000" w:hanging="30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220 GCU, L.P., 220 Education, L.P., 220-SigEd, L.P., and SV One, L.P.</w:t>
      </w:r>
    </w:p>
    <w:p>
      <w:pPr>
        <w:spacing w:after="0" w:line="76" w:lineRule="exact"/>
        <w:rPr>
          <w:rFonts w:ascii="Arial" w:cs="Arial" w:eastAsia="Arial" w:hAnsi="Arial"/>
          <w:sz w:val="18"/>
          <w:szCs w:val="18"/>
          <w:color w:val="auto"/>
        </w:rPr>
      </w:pPr>
    </w:p>
    <w:p>
      <w:pPr>
        <w:ind w:left="1000" w:right="180" w:hanging="301"/>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32" w:lineRule="exact"/>
        <w:rPr>
          <w:rFonts w:ascii="Arial" w:cs="Arial" w:eastAsia="Arial" w:hAnsi="Arial"/>
          <w:sz w:val="18"/>
          <w:szCs w:val="18"/>
          <w:color w:val="auto"/>
        </w:rPr>
      </w:pPr>
    </w:p>
    <w:p>
      <w:pPr>
        <w:ind w:left="1000" w:right="60" w:hanging="301"/>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of which John Crowley is a member, which are attributable to, and beneficially owned by, John Crowley.</w:t>
      </w:r>
    </w:p>
    <w:p>
      <w:pPr>
        <w:spacing w:after="0" w:line="76"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capitalization as of June 30, 2008:</w:t>
      </w:r>
    </w:p>
    <w:p>
      <w:pPr>
        <w:spacing w:after="0" w:line="131"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 pro forma basis, giving effect to:</w:t>
      </w:r>
    </w:p>
    <w:p>
      <w:pPr>
        <w:spacing w:after="0" w:line="131" w:lineRule="exact"/>
        <w:rPr>
          <w:sz w:val="20"/>
          <w:szCs w:val="20"/>
          <w:color w:val="auto"/>
        </w:rPr>
      </w:pPr>
    </w:p>
    <w:p>
      <w:pPr>
        <w:ind w:left="2200" w:right="480" w:hanging="508"/>
        <w:spacing w:after="0" w:line="277" w:lineRule="auto"/>
        <w:tabs>
          <w:tab w:leader="none" w:pos="2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Series A convertible preferred stock into 5,953 shares of common stock upon the closing of the offering; and</w:t>
      </w:r>
    </w:p>
    <w:p>
      <w:pPr>
        <w:spacing w:after="0" w:line="76" w:lineRule="exact"/>
        <w:rPr>
          <w:sz w:val="20"/>
          <w:szCs w:val="20"/>
          <w:color w:val="auto"/>
        </w:rPr>
      </w:pPr>
    </w:p>
    <w:p>
      <w:pPr>
        <w:ind w:left="2200" w:right="60" w:hanging="499"/>
        <w:spacing w:after="0" w:line="259" w:lineRule="auto"/>
        <w:tabs>
          <w:tab w:leader="none" w:pos="21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automatic conversion of all outstanding shares of Series C preferred stock into shares of common stock upon the closing of the offering at a conversion rate equal to their liquidation preference per share divided by the initial public offering price per share, which is estimated to be $ per share, which is the midpoint of the range set forth on the cover page of this prospectus; and</w:t>
      </w:r>
    </w:p>
    <w:p>
      <w:pPr>
        <w:spacing w:after="0" w:line="92"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 a pro forma, as adjusted basis, giving effect to the pro forma adjustments above, as well as:</w:t>
      </w:r>
    </w:p>
    <w:p>
      <w:pPr>
        <w:sectPr>
          <w:pgSz w:w="11900" w:h="16838" w:orient="portrait"/>
          <w:cols w:equalWidth="0" w:num="1">
            <w:col w:w="10580"/>
          </w:cols>
          <w:pgMar w:left="240" w:top="419" w:right="1079" w:bottom="1440" w:gutter="0" w:footer="0" w:header="0"/>
        </w:sectPr>
      </w:pPr>
    </w:p>
    <w:p>
      <w:pPr>
        <w:spacing w:after="0" w:line="131" w:lineRule="exact"/>
        <w:rPr>
          <w:sz w:val="20"/>
          <w:szCs w:val="20"/>
          <w:color w:val="auto"/>
        </w:rPr>
      </w:pPr>
    </w:p>
    <w:p>
      <w:pPr>
        <w:ind w:left="2080" w:hanging="379"/>
        <w:spacing w:after="0" w:line="286" w:lineRule="auto"/>
        <w:tabs>
          <w:tab w:leader="none" w:pos="2060" w:val="left"/>
        </w:tabs>
        <w:rPr>
          <w:sz w:val="20"/>
          <w:szCs w:val="20"/>
          <w:color w:val="auto"/>
        </w:rPr>
      </w:pPr>
      <w:r>
        <w:rPr>
          <w:rFonts w:ascii="Arial" w:cs="Arial" w:eastAsia="Arial" w:hAnsi="Arial"/>
          <w:sz w:val="17"/>
          <w:szCs w:val="17"/>
          <w:color w:val="auto"/>
        </w:rPr>
        <w:t>(i)</w:t>
        <w:tab/>
        <w:t>our sale of shares of our common stock in this offering (at an assumed initial public offering price of $ share, which is the midpoint of the range set forth on the cover page of this prospectus and after deducting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per</w:t>
      </w:r>
    </w:p>
    <w:p>
      <w:pPr>
        <w:spacing w:after="0" w:line="597" w:lineRule="exact"/>
        <w:rPr>
          <w:sz w:val="20"/>
          <w:szCs w:val="20"/>
          <w:color w:val="auto"/>
        </w:rPr>
      </w:pPr>
    </w:p>
    <w:p>
      <w:pPr>
        <w:sectPr>
          <w:pgSz w:w="11900" w:h="16838" w:orient="portrait"/>
          <w:cols w:equalWidth="0" w:num="2">
            <w:col w:w="9900" w:space="280"/>
            <w:col w:w="400"/>
          </w:cols>
          <w:pgMar w:left="240" w:top="419" w:right="1079" w:bottom="1440" w:gutter="0" w:footer="0" w:header="0"/>
          <w:type w:val="continuous"/>
        </w:sectPr>
      </w:pPr>
    </w:p>
    <w:p>
      <w:pPr>
        <w:ind w:left="2080" w:hanging="379"/>
        <w:spacing w:after="0" w:line="291" w:lineRule="auto"/>
        <w:tabs>
          <w:tab w:leader="none" w:pos="2060" w:val="left"/>
        </w:tabs>
        <w:rPr>
          <w:sz w:val="20"/>
          <w:szCs w:val="20"/>
          <w:color w:val="auto"/>
        </w:rPr>
      </w:pPr>
      <w:r>
        <w:rPr>
          <w:rFonts w:ascii="Arial" w:cs="Arial" w:eastAsia="Arial" w:hAnsi="Arial"/>
          <w:sz w:val="16"/>
          <w:szCs w:val="16"/>
          <w:color w:val="auto"/>
        </w:rPr>
        <w:t>(ii)</w:t>
        <w:tab/>
        <w:t>the payment of a special distribution to our existing stockholders in the amount of % of the gross proceeds from the sale of common stock by us in this offering, including any proceeds we receive from the underwriters’ exercise of</w:t>
      </w:r>
    </w:p>
    <w:p>
      <w:pPr>
        <w:sectPr>
          <w:pgSz w:w="11900" w:h="16838" w:orient="portrait"/>
          <w:cols w:equalWidth="0" w:num="1">
            <w:col w:w="10580"/>
          </w:cols>
          <w:pgMar w:left="240" w:top="419" w:right="1079" w:bottom="1440" w:gutter="0" w:footer="0" w:header="0"/>
          <w:type w:val="continuous"/>
        </w:sectPr>
      </w:pPr>
    </w:p>
    <w:p>
      <w:pPr>
        <w:ind w:left="2080" w:right="320"/>
        <w:spacing w:after="0" w:line="261" w:lineRule="auto"/>
        <w:rPr>
          <w:sz w:val="20"/>
          <w:szCs w:val="20"/>
          <w:color w:val="auto"/>
        </w:rPr>
      </w:pPr>
      <w:r>
        <w:rPr>
          <w:rFonts w:ascii="Arial" w:cs="Arial" w:eastAsia="Arial" w:hAnsi="Arial"/>
          <w:sz w:val="18"/>
          <w:szCs w:val="18"/>
          <w:color w:val="auto"/>
        </w:rPr>
        <w:t>their over-allotment option, which is expected to occur promptly upon the consummation of this offering (and the closing of the exercise of the over-allotment option, if applicable);</w:t>
      </w:r>
    </w:p>
    <w:p>
      <w:pPr>
        <w:spacing w:after="0" w:line="89" w:lineRule="exact"/>
        <w:rPr>
          <w:sz w:val="20"/>
          <w:szCs w:val="20"/>
          <w:color w:val="auto"/>
        </w:rPr>
      </w:pPr>
    </w:p>
    <w:p>
      <w:pPr>
        <w:ind w:left="2200" w:right="640" w:hanging="508"/>
        <w:spacing w:after="0" w:line="277" w:lineRule="auto"/>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repurchase by us of an outstanding warrant to purchase common stock for up to $16.0 million in cash as described in “Use of Proceeds;” and</w:t>
      </w:r>
    </w:p>
    <w:p>
      <w:pPr>
        <w:spacing w:after="0" w:line="75" w:lineRule="exact"/>
        <w:rPr>
          <w:rFonts w:ascii="Arial" w:cs="Arial" w:eastAsia="Arial" w:hAnsi="Arial"/>
          <w:sz w:val="18"/>
          <w:szCs w:val="18"/>
          <w:color w:val="auto"/>
        </w:rPr>
      </w:pPr>
    </w:p>
    <w:p>
      <w:pPr>
        <w:ind w:left="2200" w:right="260" w:hanging="508"/>
        <w:spacing w:after="0" w:line="277" w:lineRule="auto"/>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amendment and restatement of our certificate of incorporation in connection with the closing of this offering, which will increase our authorized capital stock.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As of June 30, 2008</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Pro Forma</w:t>
            </w:r>
          </w:p>
        </w:tc>
        <w:tc>
          <w:tcPr>
            <w:tcW w:w="3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w w:val="84"/>
              </w:rPr>
              <w:t>thousands, except</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32"/>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29,420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gridSpan w:val="6"/>
          </w:tcPr>
          <w:p>
            <w:pPr>
              <w:spacing w:after="0" w:line="201" w:lineRule="exact"/>
              <w:rPr>
                <w:sz w:val="20"/>
                <w:szCs w:val="20"/>
                <w:color w:val="auto"/>
              </w:rPr>
            </w:pPr>
            <w:r>
              <w:rPr>
                <w:rFonts w:ascii="Arial" w:cs="Arial" w:eastAsia="Arial" w:hAnsi="Arial"/>
                <w:sz w:val="18"/>
                <w:szCs w:val="18"/>
                <w:color w:val="auto"/>
                <w:w w:val="94"/>
              </w:rPr>
              <w:t>Series A convertible preferred stock: $0.01 par value; 9,700 shares authorized, 5,953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6"/>
          </w:tcPr>
          <w:p>
            <w:pPr>
              <w:ind w:left="180"/>
              <w:spacing w:after="0"/>
              <w:rPr>
                <w:sz w:val="20"/>
                <w:szCs w:val="20"/>
                <w:color w:val="auto"/>
              </w:rPr>
            </w:pPr>
            <w:r>
              <w:rPr>
                <w:rFonts w:ascii="Arial" w:cs="Arial" w:eastAsia="Arial" w:hAnsi="Arial"/>
                <w:sz w:val="18"/>
                <w:szCs w:val="18"/>
                <w:color w:val="auto"/>
                <w:w w:val="95"/>
              </w:rPr>
              <w:t>issued and outstanding, actual; no shares authorized, issued, and outstanding, pro forma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ind w:left="180"/>
              <w:spacing w:after="0"/>
              <w:rPr>
                <w:sz w:val="20"/>
                <w:szCs w:val="20"/>
                <w:color w:val="auto"/>
              </w:rPr>
            </w:pPr>
            <w:r>
              <w:rPr>
                <w:rFonts w:ascii="Arial" w:cs="Arial" w:eastAsia="Arial" w:hAnsi="Arial"/>
                <w:sz w:val="18"/>
                <w:szCs w:val="18"/>
                <w:color w:val="auto"/>
              </w:rPr>
              <w:t>and pro forma, as adjusted</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7"/>
              </w:rPr>
              <w:t>Series B preferred stock: $0.01 par value; 2,200 shares authorized, no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9"/>
              </w:rPr>
              <w:t>outstanding, actual; no shares authorized, issued, and outstanding, pro forma and pro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as adjusted</w:t>
            </w: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80" w:type="dxa"/>
            <w:vAlign w:val="bottom"/>
            <w:gridSpan w:val="6"/>
          </w:tcPr>
          <w:p>
            <w:pPr>
              <w:spacing w:after="0" w:line="201" w:lineRule="exact"/>
              <w:rPr>
                <w:sz w:val="20"/>
                <w:szCs w:val="20"/>
                <w:color w:val="auto"/>
              </w:rPr>
            </w:pPr>
            <w:r>
              <w:rPr>
                <w:rFonts w:ascii="Arial" w:cs="Arial" w:eastAsia="Arial" w:hAnsi="Arial"/>
                <w:sz w:val="18"/>
                <w:szCs w:val="18"/>
                <w:color w:val="auto"/>
                <w:w w:val="94"/>
              </w:rPr>
              <w:t>Series C preferred stock: $0.01 par value; 3,900 shares authorized, 3,829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6"/>
          </w:tcPr>
          <w:p>
            <w:pPr>
              <w:ind w:left="180"/>
              <w:spacing w:after="0"/>
              <w:rPr>
                <w:sz w:val="20"/>
                <w:szCs w:val="20"/>
                <w:color w:val="auto"/>
              </w:rPr>
            </w:pPr>
            <w:r>
              <w:rPr>
                <w:rFonts w:ascii="Arial" w:cs="Arial" w:eastAsia="Arial" w:hAnsi="Arial"/>
                <w:sz w:val="18"/>
                <w:szCs w:val="18"/>
                <w:color w:val="auto"/>
                <w:w w:val="99"/>
              </w:rPr>
              <w:t>outstanding, actual; no shares authorized, issued, and outstanding, pro forma and pro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ind w:left="180"/>
              <w:spacing w:after="0"/>
              <w:rPr>
                <w:sz w:val="20"/>
                <w:szCs w:val="20"/>
                <w:color w:val="auto"/>
              </w:rPr>
            </w:pPr>
            <w:r>
              <w:rPr>
                <w:rFonts w:ascii="Arial" w:cs="Arial" w:eastAsia="Arial" w:hAnsi="Arial"/>
                <w:sz w:val="18"/>
                <w:szCs w:val="18"/>
                <w:color w:val="auto"/>
              </w:rPr>
              <w:t>forma, as adjusted</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Undesignated preferred stock: $0.01 par value; no shares authorized,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4"/>
          </w:tcPr>
          <w:p>
            <w:pPr>
              <w:ind w:left="360"/>
              <w:spacing w:after="0"/>
              <w:rPr>
                <w:sz w:val="20"/>
                <w:szCs w:val="20"/>
                <w:color w:val="auto"/>
              </w:rPr>
            </w:pPr>
            <w:r>
              <w:rPr>
                <w:rFonts w:ascii="Arial" w:cs="Arial" w:eastAsia="Arial" w:hAnsi="Arial"/>
                <w:sz w:val="18"/>
                <w:szCs w:val="18"/>
                <w:color w:val="auto"/>
              </w:rPr>
              <w:t>outstanding, actual and pro forma;</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shares authorized, no 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4"/>
          </w:tcPr>
          <w:p>
            <w:pPr>
              <w:ind w:left="360"/>
              <w:spacing w:after="0"/>
              <w:rPr>
                <w:sz w:val="20"/>
                <w:szCs w:val="20"/>
                <w:color w:val="auto"/>
              </w:rPr>
            </w:pPr>
            <w:r>
              <w:rPr>
                <w:rFonts w:ascii="Arial" w:cs="Arial" w:eastAsia="Arial" w:hAnsi="Arial"/>
                <w:sz w:val="18"/>
                <w:szCs w:val="18"/>
                <w:color w:val="auto"/>
              </w:rPr>
              <w:t>outstanding, pro forma, as adjusted</w:t>
            </w:r>
          </w:p>
        </w:tc>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80" w:type="dxa"/>
            <w:vAlign w:val="bottom"/>
            <w:gridSpan w:val="6"/>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$0.01 par value; 30,000 shares authorized, 10,525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5"/>
              </w:rPr>
              <w:t>outstanding, actual; 30,000 shares authorized,</w:t>
            </w:r>
          </w:p>
        </w:tc>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and outstanding, pro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forma;</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shares authorized,</w:t>
            </w: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shares issued and outstanding pro forma,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(1)</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89"/>
              </w:rPr>
              <w:t>Accumulated other comprehensive income</w:t>
            </w:r>
          </w:p>
        </w:tc>
        <w:tc>
          <w:tcPr>
            <w:tcW w:w="6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ind w:left="180"/>
              <w:spacing w:after="0"/>
              <w:rPr>
                <w:sz w:val="20"/>
                <w:szCs w:val="20"/>
                <w:color w:val="auto"/>
              </w:rPr>
            </w:pPr>
            <w:r>
              <w:rPr>
                <w:rFonts w:ascii="Arial" w:cs="Arial" w:eastAsia="Arial" w:hAnsi="Arial"/>
                <w:sz w:val="18"/>
                <w:szCs w:val="18"/>
                <w:color w:val="auto"/>
              </w:rPr>
              <w:t>Accumulated equity (deficit)</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(15,150)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6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A $1.00 increase or decrease in the assumed initial public offering price per share would increase or decrease cash, cash equivalents,</w:t>
      </w:r>
    </w:p>
    <w:p>
      <w:pPr>
        <w:spacing w:after="0" w:line="46" w:lineRule="exact"/>
        <w:rPr>
          <w:sz w:val="20"/>
          <w:szCs w:val="20"/>
          <w:color w:val="auto"/>
        </w:rPr>
      </w:pPr>
    </w:p>
    <w:p>
      <w:pPr>
        <w:ind w:left="1000" w:right="460"/>
        <w:spacing w:after="0" w:line="265" w:lineRule="auto"/>
        <w:rPr>
          <w:sz w:val="20"/>
          <w:szCs w:val="20"/>
          <w:color w:val="auto"/>
        </w:rPr>
      </w:pPr>
      <w:r>
        <w:rPr>
          <w:rFonts w:ascii="Arial" w:cs="Arial" w:eastAsia="Arial" w:hAnsi="Arial"/>
          <w:sz w:val="17"/>
          <w:szCs w:val="17"/>
          <w:color w:val="auto"/>
        </w:rPr>
        <w:t>and short-term marketable securities by $ million, would increase or decrease additional paid-in capital by $ million, and would increase or decrease total stockholders’ equity and total capitalization by $ million, after deducting the underwriting</w:t>
      </w:r>
    </w:p>
    <w:p>
      <w:pPr>
        <w:ind w:left="1000" w:right="40"/>
        <w:spacing w:after="0" w:line="271" w:lineRule="auto"/>
        <w:rPr>
          <w:sz w:val="20"/>
          <w:szCs w:val="20"/>
          <w:color w:val="auto"/>
        </w:rPr>
      </w:pPr>
      <w:r>
        <w:rPr>
          <w:rFonts w:ascii="Arial" w:cs="Arial" w:eastAsia="Arial" w:hAnsi="Arial"/>
          <w:sz w:val="17"/>
          <w:szCs w:val="17"/>
          <w:color w:val="auto"/>
        </w:rPr>
        <w:t>discount, the repurchase of the warrant described in the introductory paragraph to this table, the payment of a special distribution to our existing stockholders in the amount of % of the aggregate proceeds from the sale of common stock by us in this offering, and the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87"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As of June 30, 2008, our pro forma net tangible book value would have been $ million or, $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Pro forma as adjusted net tangible book value per share represents the amount of total tangible assets reduced by our total liabilities,</w:t>
      </w:r>
    </w:p>
    <w:p>
      <w:pPr>
        <w:spacing w:after="0" w:line="4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9860" w:type="dxa"/>
            <w:vAlign w:val="bottom"/>
            <w:gridSpan w:val="10"/>
          </w:tcPr>
          <w:p>
            <w:pPr>
              <w:spacing w:after="0"/>
              <w:rPr>
                <w:sz w:val="20"/>
                <w:szCs w:val="20"/>
                <w:color w:val="auto"/>
              </w:rPr>
            </w:pPr>
            <w:r>
              <w:rPr>
                <w:rFonts w:ascii="Arial" w:cs="Arial" w:eastAsia="Arial" w:hAnsi="Arial"/>
                <w:sz w:val="18"/>
                <w:szCs w:val="18"/>
                <w:color w:val="auto"/>
                <w:w w:val="90"/>
              </w:rPr>
              <w:t>divided by the number of shares of common stock outstanding after giving effect to the conversion of all outstanding classes of preferred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60" w:type="dxa"/>
            <w:vAlign w:val="bottom"/>
            <w:gridSpan w:val="10"/>
          </w:tcPr>
          <w:p>
            <w:pPr>
              <w:spacing w:after="0"/>
              <w:rPr>
                <w:sz w:val="20"/>
                <w:szCs w:val="20"/>
                <w:color w:val="auto"/>
              </w:rPr>
            </w:pPr>
            <w:r>
              <w:rPr>
                <w:rFonts w:ascii="Arial" w:cs="Arial" w:eastAsia="Arial" w:hAnsi="Arial"/>
                <w:sz w:val="18"/>
                <w:szCs w:val="18"/>
                <w:color w:val="auto"/>
                <w:w w:val="91"/>
              </w:rPr>
              <w:t>stock into common stock, the repurchase of our outstanding warrant, the payment of the estimated amount of the special distribution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w w:val="94"/>
              </w:rPr>
              <w:t>certain of our existing stockholders and the sale of</w:t>
            </w:r>
          </w:p>
        </w:tc>
        <w:tc>
          <w:tcPr>
            <w:tcW w:w="6040" w:type="dxa"/>
            <w:vAlign w:val="bottom"/>
            <w:gridSpan w:val="7"/>
          </w:tcPr>
          <w:p>
            <w:pPr>
              <w:ind w:left="80"/>
              <w:spacing w:after="0"/>
              <w:rPr>
                <w:sz w:val="20"/>
                <w:szCs w:val="20"/>
                <w:color w:val="auto"/>
              </w:rPr>
            </w:pPr>
            <w:r>
              <w:rPr>
                <w:rFonts w:ascii="Arial" w:cs="Arial" w:eastAsia="Arial" w:hAnsi="Arial"/>
                <w:sz w:val="18"/>
                <w:szCs w:val="18"/>
                <w:color w:val="auto"/>
                <w:w w:val="99"/>
              </w:rPr>
              <w:t>shares of common stock in the offering at an initial public offering price of $</w:t>
            </w: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16"/>
        </w:trPr>
        <w:tc>
          <w:tcPr>
            <w:tcW w:w="9860" w:type="dxa"/>
            <w:vAlign w:val="bottom"/>
            <w:gridSpan w:val="10"/>
          </w:tcPr>
          <w:p>
            <w:pPr>
              <w:spacing w:after="0"/>
              <w:rPr>
                <w:sz w:val="20"/>
                <w:szCs w:val="20"/>
                <w:color w:val="auto"/>
              </w:rPr>
            </w:pPr>
            <w:r>
              <w:rPr>
                <w:rFonts w:ascii="Arial" w:cs="Arial" w:eastAsia="Arial" w:hAnsi="Arial"/>
                <w:sz w:val="18"/>
                <w:szCs w:val="18"/>
                <w:color w:val="auto"/>
                <w:w w:val="92"/>
              </w:rPr>
              <w:t>the midpoint of the price range set forth on the cover page of this prospectus. Our pro forma as adjusted net tangible book value as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w w:val="93"/>
              </w:rPr>
              <w:t>June 30, 2008 would have been $</w:t>
            </w:r>
          </w:p>
        </w:tc>
        <w:tc>
          <w:tcPr>
            <w:tcW w:w="1280" w:type="dxa"/>
            <w:vAlign w:val="bottom"/>
          </w:tcPr>
          <w:p>
            <w:pPr>
              <w:ind w:left="120"/>
              <w:spacing w:after="0"/>
              <w:rPr>
                <w:sz w:val="20"/>
                <w:szCs w:val="20"/>
                <w:color w:val="auto"/>
              </w:rPr>
            </w:pPr>
            <w:r>
              <w:rPr>
                <w:rFonts w:ascii="Arial" w:cs="Arial" w:eastAsia="Arial" w:hAnsi="Arial"/>
                <w:sz w:val="18"/>
                <w:szCs w:val="18"/>
                <w:color w:val="auto"/>
              </w:rPr>
              <w:t>million, or $</w:t>
            </w:r>
          </w:p>
        </w:tc>
        <w:tc>
          <w:tcPr>
            <w:tcW w:w="6040" w:type="dxa"/>
            <w:vAlign w:val="bottom"/>
            <w:gridSpan w:val="7"/>
          </w:tcPr>
          <w:p>
            <w:pPr>
              <w:ind w:left="20"/>
              <w:spacing w:after="0"/>
              <w:rPr>
                <w:sz w:val="20"/>
                <w:szCs w:val="20"/>
                <w:color w:val="auto"/>
              </w:rPr>
            </w:pPr>
            <w:r>
              <w:rPr>
                <w:rFonts w:ascii="Arial" w:cs="Arial" w:eastAsia="Arial" w:hAnsi="Arial"/>
                <w:sz w:val="18"/>
                <w:szCs w:val="18"/>
                <w:color w:val="auto"/>
                <w:w w:val="92"/>
              </w:rPr>
              <w:t>per share. This represents an immediate decrease in net tangible book value of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spacing w:after="0"/>
              <w:rPr>
                <w:sz w:val="20"/>
                <w:szCs w:val="20"/>
                <w:color w:val="auto"/>
              </w:rPr>
            </w:pPr>
            <w:r>
              <w:rPr>
                <w:rFonts w:ascii="Arial" w:cs="Arial" w:eastAsia="Arial" w:hAnsi="Arial"/>
                <w:sz w:val="18"/>
                <w:szCs w:val="18"/>
                <w:color w:val="auto"/>
                <w:w w:val="95"/>
              </w:rPr>
              <w:t>per share to existing stockholders and an immediate dilution of $</w:t>
            </w:r>
          </w:p>
        </w:tc>
        <w:tc>
          <w:tcPr>
            <w:tcW w:w="4960" w:type="dxa"/>
            <w:vAlign w:val="bottom"/>
            <w:gridSpan w:val="6"/>
          </w:tcPr>
          <w:p>
            <w:pPr>
              <w:ind w:left="40"/>
              <w:spacing w:after="0"/>
              <w:rPr>
                <w:sz w:val="20"/>
                <w:szCs w:val="20"/>
                <w:color w:val="auto"/>
              </w:rPr>
            </w:pPr>
            <w:r>
              <w:rPr>
                <w:rFonts w:ascii="Arial" w:cs="Arial" w:eastAsia="Arial" w:hAnsi="Arial"/>
                <w:sz w:val="18"/>
                <w:szCs w:val="18"/>
                <w:color w:val="auto"/>
                <w:w w:val="94"/>
              </w:rPr>
              <w:t>per share to new investors purchasing shares in the offering.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following table illustrates this per share dilution:</w:t>
            </w:r>
          </w:p>
        </w:tc>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80" w:type="dxa"/>
            <w:vAlign w:val="bottom"/>
            <w:gridSpan w:val="3"/>
          </w:tcPr>
          <w:p>
            <w:pPr>
              <w:spacing w:after="0"/>
              <w:rPr>
                <w:sz w:val="11"/>
                <w:szCs w:val="11"/>
                <w:color w:val="auto"/>
              </w:rPr>
            </w:pPr>
          </w:p>
        </w:tc>
        <w:tc>
          <w:tcPr>
            <w:tcW w:w="3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Assumed initial public offering price per share of common stock</w:t>
            </w:r>
          </w:p>
        </w:tc>
        <w:tc>
          <w:tcPr>
            <w:tcW w:w="49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gridSpan w:val="7"/>
          </w:tcPr>
          <w:p>
            <w:pPr>
              <w:ind w:left="160"/>
              <w:spacing w:after="0"/>
              <w:rPr>
                <w:sz w:val="20"/>
                <w:szCs w:val="20"/>
                <w:color w:val="auto"/>
              </w:rPr>
            </w:pPr>
            <w:r>
              <w:rPr>
                <w:rFonts w:ascii="Arial" w:cs="Arial" w:eastAsia="Arial" w:hAnsi="Arial"/>
                <w:sz w:val="18"/>
                <w:szCs w:val="18"/>
                <w:color w:val="auto"/>
              </w:rPr>
              <w:t>Pro forma net tangible book value per share of common stock as of</w:t>
            </w: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June 30, 2008</w:t>
            </w: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Increase per share of common stock attributable to new investors</w:t>
            </w:r>
          </w:p>
        </w:tc>
        <w:tc>
          <w:tcPr>
            <w:tcW w:w="3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40" w:type="dxa"/>
            <w:vAlign w:val="bottom"/>
            <w:gridSpan w:val="9"/>
          </w:tcPr>
          <w:p>
            <w:pPr>
              <w:ind w:left="160"/>
              <w:spacing w:after="0" w:line="201" w:lineRule="exact"/>
              <w:rPr>
                <w:sz w:val="20"/>
                <w:szCs w:val="20"/>
                <w:color w:val="auto"/>
              </w:rPr>
            </w:pPr>
            <w:r>
              <w:rPr>
                <w:rFonts w:ascii="Arial" w:cs="Arial" w:eastAsia="Arial" w:hAnsi="Arial"/>
                <w:sz w:val="18"/>
                <w:szCs w:val="18"/>
                <w:color w:val="auto"/>
              </w:rPr>
              <w:t>Decrease per share of common stock after payment of underwriting discounts and commission and estimated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offering expenses by us</w:t>
            </w: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Decrease per share of common stock after repurchase of warrant</w:t>
            </w:r>
          </w:p>
        </w:tc>
        <w:tc>
          <w:tcPr>
            <w:tcW w:w="3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40" w:type="dxa"/>
            <w:vAlign w:val="bottom"/>
            <w:gridSpan w:val="9"/>
          </w:tcPr>
          <w:p>
            <w:pPr>
              <w:ind w:left="160"/>
              <w:spacing w:after="0" w:line="201" w:lineRule="exact"/>
              <w:rPr>
                <w:sz w:val="20"/>
                <w:szCs w:val="20"/>
                <w:color w:val="auto"/>
              </w:rPr>
            </w:pPr>
            <w:r>
              <w:rPr>
                <w:rFonts w:ascii="Arial" w:cs="Arial" w:eastAsia="Arial" w:hAnsi="Arial"/>
                <w:sz w:val="18"/>
                <w:szCs w:val="18"/>
                <w:color w:val="auto"/>
              </w:rPr>
              <w:t>Decrease per share of common stock after payment of the special distribution to certain of our existing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Arial" w:cs="Arial" w:eastAsia="Arial" w:hAnsi="Arial"/>
                <w:sz w:val="18"/>
                <w:szCs w:val="18"/>
                <w:color w:val="auto"/>
              </w:rPr>
              <w:t>stockholders</w:t>
            </w: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of common stock after this offering</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0"/>
              </w:rPr>
              <w:t>Dilution per share of common stock to new investors</w:t>
            </w:r>
          </w:p>
        </w:tc>
        <w:tc>
          <w:tcPr>
            <w:tcW w:w="1080" w:type="dxa"/>
            <w:vAlign w:val="bottom"/>
          </w:tcPr>
          <w:p>
            <w:pPr>
              <w:spacing w:after="0"/>
              <w:rPr>
                <w:sz w:val="18"/>
                <w:szCs w:val="18"/>
                <w:color w:val="auto"/>
              </w:rPr>
            </w:pPr>
          </w:p>
        </w:tc>
        <w:tc>
          <w:tcPr>
            <w:tcW w:w="492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pro forma as adjusted net tangible book value, and the dilution to new investors in the offering, will change from the amounts shown above if the underwriters’ over-allotment option is exercised.</w:t>
      </w:r>
    </w:p>
    <w:p>
      <w:pPr>
        <w:spacing w:after="0" w:line="76"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A $1.00 increase or decrease in the assumed initial public offering price of $ per share would increase or decrease, as applicable, our as pro forma adjusted net tangible book value per share of common stock by $ , and increase or decrease, as applicable, the</w:t>
      </w:r>
    </w:p>
    <w:p>
      <w:pPr>
        <w:ind w:left="700" w:right="60"/>
        <w:spacing w:after="0" w:line="253" w:lineRule="auto"/>
        <w:rPr>
          <w:sz w:val="20"/>
          <w:szCs w:val="20"/>
          <w:color w:val="auto"/>
        </w:rPr>
      </w:pPr>
      <w:r>
        <w:rPr>
          <w:rFonts w:ascii="Arial" w:cs="Arial" w:eastAsia="Arial" w:hAnsi="Arial"/>
          <w:sz w:val="18"/>
          <w:szCs w:val="18"/>
          <w:color w:val="auto"/>
        </w:rPr>
        <w:t>dilution per share of common stock to new investors by $ ,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following table sets forth, as of June 30, 2008, on the pro forma as-adjusted basis described above, the differences between existing stockholders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 per share of common stock, which is the midpoint of the range set forth on the cover page of this prospectus:</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14"/>
                <w:szCs w:val="1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7"/>
              </w:rPr>
              <w:t>Total Consideration</w:t>
            </w:r>
          </w:p>
        </w:tc>
        <w:tc>
          <w:tcPr>
            <w:tcW w:w="3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3"/>
        </w:trPr>
        <w:tc>
          <w:tcPr>
            <w:tcW w:w="566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72"/>
              </w:rPr>
              <w:t>(Dollars</w:t>
            </w: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New investors</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 $1.00 increase or decrease in the assumed initial public offering price of $ per share would increase or decrease, as applicable, total consideration paid by new investors, total consideration paid by all stockholders and average price per share paid by all stockholders by $ million, $ million and $ ,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 This table does not give effect to the payment of the special distribution to existing stockholders.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the underwriters’ over-allotment option is exercised in full, the number of shares held by existing stockholders after this offering</w:t>
      </w:r>
    </w:p>
    <w:p>
      <w:pPr>
        <w:spacing w:after="0" w:line="46" w:lineRule="exact"/>
        <w:rPr>
          <w:sz w:val="20"/>
          <w:szCs w:val="20"/>
          <w:color w:val="auto"/>
        </w:rPr>
      </w:pPr>
    </w:p>
    <w:p>
      <w:pPr>
        <w:ind w:left="700" w:right="80"/>
        <w:spacing w:after="0" w:line="261" w:lineRule="auto"/>
        <w:rPr>
          <w:sz w:val="20"/>
          <w:szCs w:val="20"/>
          <w:color w:val="auto"/>
        </w:rPr>
      </w:pPr>
      <w:r>
        <w:rPr>
          <w:rFonts w:ascii="Arial" w:cs="Arial" w:eastAsia="Arial" w:hAnsi="Arial"/>
          <w:sz w:val="18"/>
          <w:szCs w:val="18"/>
          <w:color w:val="auto"/>
        </w:rPr>
        <w:t>would be , or %, and the number of shares held by new investors would increase to , or %, of the total number of shares of our common stock outstanding after this offering.</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SELECTED FINANCIAL AND OTHER DATA</w:t>
      </w:r>
    </w:p>
    <w:p>
      <w:pPr>
        <w:spacing w:after="0" w:line="135"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six month periods ended June 30, 2007 and 2008, and the balance sheet data as of June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83" w:lineRule="exact"/>
        <w:rPr>
          <w:sz w:val="20"/>
          <w:szCs w:val="20"/>
          <w:color w:val="auto"/>
        </w:rPr>
      </w:pPr>
    </w:p>
    <w:p>
      <w:pPr>
        <w:jc w:val="both"/>
        <w:ind w:left="700" w:right="340" w:firstLine="397"/>
        <w:spacing w:after="0" w:line="342" w:lineRule="auto"/>
        <w:rPr>
          <w:sz w:val="20"/>
          <w:szCs w:val="20"/>
          <w:color w:val="auto"/>
        </w:rPr>
      </w:pPr>
      <w:r>
        <w:rPr>
          <w:rFonts w:ascii="Arial" w:cs="Arial" w:eastAsia="Arial" w:hAnsi="Arial"/>
          <w:sz w:val="16"/>
          <w:szCs w:val="16"/>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25"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97"/>
              <w:spacing w:after="0"/>
              <w:rPr>
                <w:sz w:val="20"/>
                <w:szCs w:val="20"/>
                <w:color w:val="auto"/>
              </w:rPr>
            </w:pPr>
            <w:r>
              <w:rPr>
                <w:rFonts w:ascii="Arial" w:cs="Arial" w:eastAsia="Arial" w:hAnsi="Arial"/>
                <w:sz w:val="13"/>
                <w:szCs w:val="13"/>
                <w:b w:val="1"/>
                <w:bCs w:val="1"/>
                <w:color w:val="auto"/>
                <w:w w:val="89"/>
              </w:rPr>
              <w:t>February 2, 2004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97"/>
              <w:spacing w:after="0"/>
              <w:rPr>
                <w:sz w:val="20"/>
                <w:szCs w:val="20"/>
                <w:color w:val="auto"/>
              </w:rPr>
            </w:pPr>
            <w:r>
              <w:rPr>
                <w:rFonts w:ascii="Arial" w:cs="Arial" w:eastAsia="Arial" w:hAnsi="Arial"/>
                <w:sz w:val="13"/>
                <w:szCs w:val="13"/>
                <w:b w:val="1"/>
                <w:bCs w:val="1"/>
                <w:color w:val="auto"/>
                <w:w w:val="87"/>
              </w:rPr>
              <w:t>to 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10"/>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4"/>
              </w:rPr>
              <w:t>June 30,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2004</w:t>
            </w:r>
            <w:r>
              <w:rPr>
                <w:rFonts w:ascii="Arial" w:cs="Arial" w:eastAsia="Arial" w:hAnsi="Arial"/>
                <w:sz w:val="10"/>
                <w:szCs w:val="10"/>
                <w:b w:val="1"/>
                <w:bCs w:val="1"/>
                <w:color w:val="auto"/>
                <w:w w:val="92"/>
              </w:rPr>
              <w:t>(2)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29" w:lineRule="exact"/>
              <w:rPr>
                <w:sz w:val="20"/>
                <w:szCs w:val="20"/>
                <w:color w:val="auto"/>
              </w:rPr>
            </w:pPr>
            <w:r>
              <w:rPr>
                <w:rFonts w:ascii="Arial" w:cs="Arial" w:eastAsia="Arial" w:hAnsi="Arial"/>
                <w:sz w:val="13"/>
                <w:szCs w:val="13"/>
                <w:b w:val="1"/>
                <w:bCs w:val="1"/>
                <w:color w:val="auto"/>
                <w:w w:val="96"/>
              </w:rPr>
              <w:t>2005</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29" w:lineRule="exact"/>
              <w:rPr>
                <w:sz w:val="20"/>
                <w:szCs w:val="20"/>
                <w:color w:val="auto"/>
              </w:rPr>
            </w:pPr>
            <w:r>
              <w:rPr>
                <w:rFonts w:ascii="Arial" w:cs="Arial" w:eastAsia="Arial" w:hAnsi="Arial"/>
                <w:sz w:val="13"/>
                <w:szCs w:val="13"/>
                <w:b w:val="1"/>
                <w:bCs w:val="1"/>
                <w:color w:val="auto"/>
                <w:w w:val="96"/>
              </w:rPr>
              <w:t>2006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0"/>
              <w:spacing w:after="0" w:line="129" w:lineRule="exact"/>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0"/>
              <w:spacing w:after="0" w:line="129" w:lineRule="exact"/>
              <w:rPr>
                <w:sz w:val="20"/>
                <w:szCs w:val="20"/>
                <w:color w:val="auto"/>
              </w:rPr>
            </w:pPr>
            <w:r>
              <w:rPr>
                <w:rFonts w:ascii="Arial" w:cs="Arial" w:eastAsia="Arial" w:hAnsi="Arial"/>
                <w:sz w:val="13"/>
                <w:szCs w:val="13"/>
                <w:b w:val="1"/>
                <w:bCs w:val="1"/>
                <w:color w:val="auto"/>
              </w:rPr>
              <w:t>2007</w:t>
            </w:r>
          </w:p>
        </w:tc>
        <w:tc>
          <w:tcPr>
            <w:tcW w:w="4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71"/>
              </w:rPr>
              <w:t>(Unaudited)</w:t>
            </w: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0"/>
              <w:spacing w:after="0" w:line="129" w:lineRule="exact"/>
              <w:rPr>
                <w:sz w:val="20"/>
                <w:szCs w:val="20"/>
                <w:color w:val="auto"/>
              </w:rPr>
            </w:pPr>
            <w:r>
              <w:rPr>
                <w:rFonts w:ascii="Arial" w:cs="Arial" w:eastAsia="Arial" w:hAnsi="Arial"/>
                <w:sz w:val="13"/>
                <w:szCs w:val="13"/>
                <w:b w:val="1"/>
                <w:bCs w:val="1"/>
                <w:color w:val="auto"/>
                <w:w w:val="96"/>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center"/>
              <w:ind w:right="2"/>
              <w:spacing w:after="0" w:line="110" w:lineRule="exact"/>
              <w:rPr>
                <w:sz w:val="20"/>
                <w:szCs w:val="20"/>
                <w:color w:val="auto"/>
              </w:rPr>
            </w:pPr>
            <w:r>
              <w:rPr>
                <w:rFonts w:ascii="Arial" w:cs="Arial" w:eastAsia="Arial" w:hAnsi="Arial"/>
                <w:sz w:val="12"/>
                <w:szCs w:val="12"/>
                <w:b w:val="1"/>
                <w:bCs w:val="1"/>
                <w:color w:val="auto"/>
                <w:w w:val="95"/>
              </w:rPr>
              <w:t>(Unaudited)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9"/>
                <w:szCs w:val="9"/>
                <w:b w:val="1"/>
                <w:bCs w:val="1"/>
                <w:color w:val="auto"/>
                <w:w w:val="97"/>
              </w:rPr>
              <w:t>(1)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80" w:type="dxa"/>
            <w:vAlign w:val="bottom"/>
            <w:gridSpan w:val="17"/>
          </w:tcPr>
          <w:p>
            <w:pPr>
              <w:jc w:val="right"/>
              <w:ind w:right="480"/>
              <w:spacing w:after="0"/>
              <w:rPr>
                <w:sz w:val="20"/>
                <w:szCs w:val="20"/>
                <w:color w:val="auto"/>
              </w:rPr>
            </w:pPr>
            <w:r>
              <w:rPr>
                <w:rFonts w:ascii="Arial" w:cs="Arial" w:eastAsia="Arial" w:hAnsi="Arial"/>
                <w:sz w:val="13"/>
                <w:szCs w:val="13"/>
                <w:b w:val="1"/>
                <w:bCs w:val="1"/>
                <w:color w:val="auto"/>
                <w:w w:val="86"/>
              </w:rPr>
              <w:t>(In thousands, except enrollment, share, and per share data)</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Net revenue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25,629</w:t>
            </w:r>
          </w:p>
        </w:tc>
        <w:tc>
          <w:tcPr>
            <w:tcW w:w="1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51,793</w:t>
            </w:r>
          </w:p>
        </w:tc>
        <w:tc>
          <w:tcPr>
            <w:tcW w:w="120" w:type="dxa"/>
            <w:vAlign w:val="bottom"/>
          </w:tcPr>
          <w:p>
            <w:pPr>
              <w:spacing w:after="0"/>
              <w:rPr>
                <w:sz w:val="17"/>
                <w:szCs w:val="17"/>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72,111</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99,326</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44,071</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70,275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Instructional costs and services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19,705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28,063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31,287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39,050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17,555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24,028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and promotional</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14,047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20,093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35,148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14,186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27,473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12,968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15,011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17,001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8,377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Royalty to former owner</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6"/>
                <w:szCs w:val="16"/>
                <w:color w:val="auto"/>
              </w:rPr>
              <w:t>Total costs and expenses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56,697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69,069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94,981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41,747</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63,949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(15,087)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(4,904)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7"/>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(3,098)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(2,827)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(2,975)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w w:val="98"/>
              </w:rPr>
              <w:t>(1,515)</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7"/>
              <w:spacing w:after="0"/>
              <w:rPr>
                <w:sz w:val="20"/>
                <w:szCs w:val="20"/>
                <w:color w:val="auto"/>
              </w:rPr>
            </w:pPr>
            <w:r>
              <w:rPr>
                <w:rFonts w:ascii="Arial" w:cs="Arial" w:eastAsia="Arial" w:hAnsi="Arial"/>
                <w:sz w:val="16"/>
                <w:szCs w:val="16"/>
                <w:color w:val="auto"/>
              </w:rPr>
              <w:t>(16,212)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(7,726)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1,501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Income tax expense (benefit)</w:t>
            </w:r>
            <w:r>
              <w:rPr>
                <w:rFonts w:ascii="Arial" w:cs="Arial" w:eastAsia="Arial" w:hAnsi="Arial"/>
                <w:sz w:val="24"/>
                <w:szCs w:val="24"/>
                <w:color w:val="auto"/>
                <w:vertAlign w:val="superscript"/>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(3,440)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7"/>
              <w:spacing w:after="0"/>
              <w:rPr>
                <w:sz w:val="20"/>
                <w:szCs w:val="20"/>
                <w:color w:val="auto"/>
              </w:rPr>
            </w:pPr>
            <w:r>
              <w:rPr>
                <w:rFonts w:ascii="Arial" w:cs="Arial" w:eastAsia="Arial" w:hAnsi="Arial"/>
                <w:sz w:val="16"/>
                <w:szCs w:val="16"/>
                <w:color w:val="auto"/>
              </w:rPr>
              <w:t>(16,212)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Preferred dividends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6"/>
                <w:szCs w:val="16"/>
                <w:color w:val="auto"/>
                <w:w w:val="94"/>
              </w:rPr>
              <w:t>Net income available (loss attributable) to common stockholders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7"/>
              <w:spacing w:after="0"/>
              <w:rPr>
                <w:sz w:val="20"/>
                <w:szCs w:val="20"/>
                <w:color w:val="auto"/>
              </w:rPr>
            </w:pPr>
            <w:r>
              <w:rPr>
                <w:rFonts w:ascii="Arial" w:cs="Arial" w:eastAsia="Arial" w:hAnsi="Arial"/>
                <w:sz w:val="16"/>
                <w:szCs w:val="16"/>
                <w:color w:val="auto"/>
              </w:rPr>
              <w:t>(16,212)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(4,286)</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1,177</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734</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common share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17"/>
              <w:spacing w:after="0"/>
              <w:rPr>
                <w:sz w:val="20"/>
                <w:szCs w:val="20"/>
                <w:color w:val="auto"/>
              </w:rPr>
            </w:pPr>
            <w:r>
              <w:rPr>
                <w:rFonts w:ascii="Arial" w:cs="Arial" w:eastAsia="Arial" w:hAnsi="Arial"/>
                <w:sz w:val="16"/>
                <w:szCs w:val="16"/>
                <w:color w:val="auto"/>
              </w:rPr>
              <w:t>N/A</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(424)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N/A</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w w:val="98"/>
              </w:rPr>
              <w:t>Shares used in computing earnings (loss) per common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10,115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10,325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10,454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17"/>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10,115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20,185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19,246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19,196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17,866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Capital expenditures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24,376</w:t>
            </w:r>
          </w:p>
        </w:tc>
        <w:tc>
          <w:tcPr>
            <w:tcW w:w="1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7"/>
                <w:szCs w:val="17"/>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2,387</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7,406</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3,234</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23"/>
                <w:szCs w:val="23"/>
                <w:color w:val="auto"/>
                <w:vertAlign w:val="superscript"/>
              </w:rPr>
              <w:t>(4)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7"/>
              <w:spacing w:after="0"/>
              <w:rPr>
                <w:sz w:val="20"/>
                <w:szCs w:val="20"/>
                <w:color w:val="auto"/>
              </w:rPr>
            </w:pPr>
            <w:r>
              <w:rPr>
                <w:rFonts w:ascii="Arial" w:cs="Arial" w:eastAsia="Arial" w:hAnsi="Arial"/>
                <w:sz w:val="16"/>
                <w:szCs w:val="16"/>
                <w:color w:val="auto"/>
              </w:rPr>
              <w:t>(13,503)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(895)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9,074</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11,723</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5,551</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Period end enrollment:</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Online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8,406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12,497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9,032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14,847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w w:val="93"/>
              </w:rPr>
              <w:t>As of 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w:t>
            </w:r>
          </w:p>
        </w:tc>
        <w:tc>
          <w:tcPr>
            <w:tcW w:w="17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thousands)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3,476</w:t>
            </w:r>
          </w:p>
        </w:tc>
        <w:tc>
          <w:tcPr>
            <w:tcW w:w="16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$ 14,361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$ 23,210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Capital lease obligations (including short-term)</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24,056</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29,728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indebtedness (including short-term indebtedness)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25,590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21,390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31,948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stockholders’/members’ deficit</w:t>
            </w:r>
            <w:r>
              <w:rPr>
                <w:rFonts w:ascii="Arial" w:cs="Arial" w:eastAsia="Arial" w:hAnsi="Arial"/>
                <w:sz w:val="15"/>
                <w:szCs w:val="15"/>
                <w:color w:val="auto"/>
              </w:rPr>
              <w:t>(2)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(11,723)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40" w:hanging="301"/>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32" w:lineRule="exact"/>
        <w:rPr>
          <w:rFonts w:ascii="Arial" w:cs="Arial" w:eastAsia="Arial" w:hAnsi="Arial"/>
          <w:sz w:val="18"/>
          <w:szCs w:val="18"/>
          <w:color w:val="auto"/>
        </w:rPr>
      </w:pPr>
    </w:p>
    <w:p>
      <w:pPr>
        <w:ind w:left="1000" w:right="140" w:hanging="301"/>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38"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For all periods subsequent to such date, we have been subject to corporate-level U.S. federal and state income taxes.</w:t>
      </w:r>
    </w:p>
    <w:p>
      <w:pPr>
        <w:spacing w:after="0" w:line="21" w:lineRule="exact"/>
        <w:rPr>
          <w:rFonts w:ascii="Arial" w:cs="Arial" w:eastAsia="Arial" w:hAnsi="Arial"/>
          <w:sz w:val="18"/>
          <w:szCs w:val="18"/>
          <w:color w:val="auto"/>
        </w:rPr>
      </w:pPr>
    </w:p>
    <w:p>
      <w:pPr>
        <w:ind w:left="1000" w:hanging="301"/>
        <w:spacing w:after="0" w:line="273"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29" w:lineRule="exact"/>
        <w:rPr>
          <w:rFonts w:ascii="Arial" w:cs="Arial" w:eastAsia="Arial" w:hAnsi="Arial"/>
          <w:sz w:val="17"/>
          <w:szCs w:val="17"/>
          <w:color w:val="auto"/>
        </w:rPr>
      </w:pPr>
    </w:p>
    <w:p>
      <w:pPr>
        <w:ind w:left="1000" w:right="180"/>
        <w:spacing w:after="0" w:line="271" w:lineRule="auto"/>
        <w:rPr>
          <w:rFonts w:ascii="Arial" w:cs="Arial" w:eastAsia="Arial" w:hAnsi="Arial"/>
          <w:sz w:val="17"/>
          <w:szCs w:val="17"/>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0"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Our management uses Adjusted EBITDA:</w:t>
      </w:r>
    </w:p>
    <w:p>
      <w:pPr>
        <w:spacing w:after="0" w:line="130" w:lineRule="exact"/>
        <w:rPr>
          <w:rFonts w:ascii="Arial" w:cs="Arial" w:eastAsia="Arial" w:hAnsi="Arial"/>
          <w:sz w:val="17"/>
          <w:szCs w:val="17"/>
          <w:color w:val="auto"/>
        </w:rPr>
      </w:pPr>
    </w:p>
    <w:p>
      <w:pPr>
        <w:ind w:left="1700" w:hanging="211"/>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developing our internal budgets and strategic plan;</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a measurement of operating performance;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a factor in evaluating the performance of our management for compensation purposes; and</w:t>
      </w:r>
    </w:p>
    <w:p>
      <w:pPr>
        <w:spacing w:after="0" w:line="117" w:lineRule="exact"/>
        <w:rPr>
          <w:rFonts w:ascii="Arial" w:cs="Arial" w:eastAsia="Arial" w:hAnsi="Arial"/>
          <w:sz w:val="18"/>
          <w:szCs w:val="18"/>
          <w:color w:val="auto"/>
        </w:rPr>
      </w:pPr>
    </w:p>
    <w:p>
      <w:pPr>
        <w:jc w:val="both"/>
        <w:ind w:left="1700" w:right="500" w:hanging="211"/>
        <w:spacing w:after="0" w:line="264"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60"/>
        <w:spacing w:after="0" w:line="293" w:lineRule="auto"/>
        <w:rPr>
          <w:sz w:val="20"/>
          <w:szCs w:val="20"/>
          <w:color w:val="auto"/>
        </w:rPr>
      </w:pPr>
      <w:r>
        <w:rPr>
          <w:rFonts w:ascii="Arial" w:cs="Arial" w:eastAsia="Arial" w:hAnsi="Arial"/>
          <w:sz w:val="16"/>
          <w:szCs w:val="16"/>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presents data relating to Adjusted EBITDA, which is a non-GAAP measure,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12"/>
                <w:szCs w:val="12"/>
                <w:b w:val="1"/>
                <w:bCs w:val="1"/>
                <w:color w:val="auto"/>
                <w:w w:val="89"/>
              </w:rPr>
              <w:t>(1)</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w w:val="7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(4,286)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1,629</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5,551</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00" w:right="120" w:hanging="405"/>
        <w:spacing w:after="0" w:line="255"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44" w:lineRule="exact"/>
        <w:rPr>
          <w:rFonts w:ascii="Arial" w:cs="Arial" w:eastAsia="Arial" w:hAnsi="Arial"/>
          <w:sz w:val="18"/>
          <w:szCs w:val="18"/>
          <w:color w:val="auto"/>
        </w:rPr>
      </w:pPr>
    </w:p>
    <w:p>
      <w:pPr>
        <w:ind w:left="1400" w:right="20" w:hanging="505"/>
        <w:spacing w:after="0" w:line="293" w:lineRule="auto"/>
        <w:tabs>
          <w:tab w:leader="none" w:pos="14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16" w:lineRule="exact"/>
        <w:rPr>
          <w:rFonts w:ascii="Arial" w:cs="Arial" w:eastAsia="Arial" w:hAnsi="Arial"/>
          <w:sz w:val="16"/>
          <w:szCs w:val="16"/>
          <w:color w:val="auto"/>
        </w:rPr>
      </w:pPr>
    </w:p>
    <w:p>
      <w:pPr>
        <w:jc w:val="both"/>
        <w:ind w:left="1000" w:right="660" w:hanging="301"/>
        <w:spacing w:after="0" w:line="31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decrease in the number of ground students on June 30, 2007 and 2008 in comparison to December 31, 2006 and 2007 is attributable to the fact that a portion of our ground students typically do not enroll in classes during the summer months. See “Management’s Discussion and Analysis of Financial Condition and Results of Operations — Seasonality.”</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16" w:lineRule="exact"/>
        <w:rPr>
          <w:sz w:val="20"/>
          <w:szCs w:val="20"/>
          <w:color w:val="auto"/>
        </w:rPr>
      </w:pPr>
    </w:p>
    <w:p>
      <w:pPr>
        <w:ind w:left="700" w:right="220" w:firstLine="397"/>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168" w:lineRule="exact"/>
        <w:rPr>
          <w:sz w:val="20"/>
          <w:szCs w:val="20"/>
          <w:color w:val="auto"/>
        </w:rPr>
      </w:pPr>
    </w:p>
    <w:p>
      <w:pPr>
        <w:jc w:val="right"/>
        <w:ind w:right="918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right"/>
        <w:ind w:right="912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June 30, 2008, we had approximately 16,500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8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Regulatory</w:t>
      </w:r>
    </w:p>
    <w:p>
      <w:pPr>
        <w:spacing w:after="0" w:line="131"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For our fiscal years ended December 31, 2006 and 2007, we derived approximately 63.8% and 65.5%,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71"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As a result of this nationwide scrutiny, Congress has passed new laws, the Department of Education has enacted stricter regulations, and several states have adopted codes of conduct or enacted state laws that further regulate the conduct of lenders, schools, and school personnel. The effect of</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320"/>
        <w:spacing w:after="0" w:line="277" w:lineRule="auto"/>
        <w:rPr>
          <w:sz w:val="20"/>
          <w:szCs w:val="20"/>
          <w:color w:val="auto"/>
        </w:rPr>
      </w:pPr>
      <w:r>
        <w:rPr>
          <w:rFonts w:ascii="Arial" w:cs="Arial" w:eastAsia="Arial" w:hAnsi="Arial"/>
          <w:sz w:val="18"/>
          <w:szCs w:val="18"/>
          <w:color w:val="auto"/>
        </w:rPr>
        <w:t>such actions may be to increase the cost of participating in the Title IV programs and other student loan programs, although we are unable to calculate such potential costs at this time.</w:t>
      </w:r>
    </w:p>
    <w:p>
      <w:pPr>
        <w:spacing w:after="0" w:line="76" w:lineRule="exact"/>
        <w:rPr>
          <w:sz w:val="20"/>
          <w:szCs w:val="20"/>
          <w:color w:val="auto"/>
        </w:rPr>
      </w:pPr>
    </w:p>
    <w:p>
      <w:pPr>
        <w:ind w:left="700" w:right="840" w:firstLine="397"/>
        <w:spacing w:after="0" w:line="272" w:lineRule="auto"/>
        <w:rPr>
          <w:sz w:val="20"/>
          <w:szCs w:val="20"/>
          <w:color w:val="auto"/>
        </w:rPr>
      </w:pPr>
      <w:r>
        <w:rPr>
          <w:rFonts w:ascii="Arial" w:cs="Arial" w:eastAsia="Arial" w:hAnsi="Arial"/>
          <w:sz w:val="17"/>
          <w:szCs w:val="17"/>
          <w:color w:val="auto"/>
        </w:rPr>
        <w:t>In addition, recent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financial metrics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ind w:left="700" w:right="940" w:firstLine="397"/>
        <w:spacing w:after="0" w:line="273" w:lineRule="auto"/>
        <w:rPr>
          <w:sz w:val="20"/>
          <w:szCs w:val="20"/>
          <w:color w:val="auto"/>
        </w:rPr>
      </w:pPr>
      <w:r>
        <w:rPr>
          <w:rFonts w:ascii="Arial" w:cs="Arial" w:eastAsia="Arial" w:hAnsi="Arial"/>
          <w:sz w:val="17"/>
          <w:szCs w:val="17"/>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84" w:lineRule="exact"/>
        <w:rPr>
          <w:sz w:val="20"/>
          <w:szCs w:val="20"/>
          <w:color w:val="auto"/>
        </w:rPr>
      </w:pPr>
    </w:p>
    <w:p>
      <w:pPr>
        <w:ind w:left="700" w:right="820" w:firstLine="397"/>
        <w:spacing w:after="0" w:line="254" w:lineRule="auto"/>
        <w:rPr>
          <w:sz w:val="20"/>
          <w:szCs w:val="20"/>
          <w:color w:val="auto"/>
        </w:rPr>
      </w:pPr>
      <w:r>
        <w:rPr>
          <w:rFonts w:ascii="Arial" w:cs="Arial" w:eastAsia="Arial" w:hAnsi="Arial"/>
          <w:sz w:val="18"/>
          <w:szCs w:val="18"/>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98" w:lineRule="exact"/>
        <w:rPr>
          <w:sz w:val="20"/>
          <w:szCs w:val="20"/>
          <w:color w:val="auto"/>
        </w:rPr>
      </w:pPr>
    </w:p>
    <w:p>
      <w:pPr>
        <w:ind w:left="700" w:right="820" w:firstLine="397"/>
        <w:spacing w:after="0" w:line="271" w:lineRule="auto"/>
        <w:rPr>
          <w:sz w:val="20"/>
          <w:szCs w:val="20"/>
          <w:color w:val="auto"/>
        </w:rPr>
      </w:pPr>
      <w:r>
        <w:rPr>
          <w:rFonts w:ascii="Arial" w:cs="Arial" w:eastAsia="Arial" w:hAnsi="Arial"/>
          <w:sz w:val="17"/>
          <w:szCs w:val="17"/>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84" w:lineRule="exact"/>
        <w:rPr>
          <w:sz w:val="20"/>
          <w:szCs w:val="20"/>
          <w:color w:val="auto"/>
        </w:rPr>
      </w:pPr>
    </w:p>
    <w:p>
      <w:pPr>
        <w:ind w:left="700" w:right="980" w:firstLine="397"/>
        <w:spacing w:after="0" w:line="342" w:lineRule="auto"/>
        <w:rPr>
          <w:sz w:val="20"/>
          <w:szCs w:val="20"/>
          <w:color w:val="auto"/>
        </w:rPr>
      </w:pPr>
      <w:r>
        <w:rPr>
          <w:rFonts w:ascii="Arial" w:cs="Arial" w:eastAsia="Arial" w:hAnsi="Arial"/>
          <w:sz w:val="16"/>
          <w:szCs w:val="16"/>
          <w:color w:val="auto"/>
        </w:rPr>
        <w:t>The following is a summary of our student enrollment at December 31, 2005, 2006, and 2007 and June 30, 2007 and 2008 (which included less than 100 students pursuing non-degree certificates in each period) by degree type and by instructional delivery method: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10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10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Master’s degree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Bachelor’s degree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ind w:right="134"/>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9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96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9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Ground*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Includes our traditional on-campus students, as well as our professional studies ground students.</w:t>
      </w:r>
    </w:p>
    <w:p>
      <w:pPr>
        <w:spacing w:after="0" w:line="113"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2"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and 2007, we offered scholarships with a total value of approximately $8.2 million and $10.3 million, respectively. For the six months ended June 30, 2007 and 2008, we offered scholarships with a total value of approximately $4.8 million and $7.7 million, respectively.</w:t>
      </w:r>
    </w:p>
    <w:p>
      <w:pPr>
        <w:spacing w:after="0" w:line="84"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0"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We derive a majority of our net revenue from tuition financed by the Title IV programs. For the years ended December 31, 2006 and 2007, 63.8%, and 65.5%, respectively, of our net revenue was derived from the Title IV programs. Our students also rely on scholarships, personal savings, private loans, and employer tuition reimbursements to pay a portion of their tuition and related expenses. During fiscal 2007 and the first six months of 2008, payments derived from private loans constituted less than 5.0%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31"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i w:val="1"/>
          <w:iCs w:val="1"/>
          <w:color w:val="auto"/>
        </w:rPr>
        <w:t xml:space="preserve">Instructional cost and services. </w:t>
      </w:r>
      <w:r>
        <w:rPr>
          <w:rFonts w:ascii="Arial" w:cs="Arial" w:eastAsia="Arial" w:hAnsi="Arial"/>
          <w:sz w:val="18"/>
          <w:szCs w:val="18"/>
          <w:color w:val="auto"/>
        </w:rPr>
        <w:t>Instructional cost and services consist primarily of costs related to the administration and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educational programs. This expense category 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98"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Selling and promotional. </w:t>
      </w:r>
      <w:r>
        <w:rPr>
          <w:rFonts w:ascii="Arial" w:cs="Arial" w:eastAsia="Arial" w:hAnsi="Arial"/>
          <w:sz w:val="16"/>
          <w:szCs w:val="16"/>
          <w:color w:val="auto"/>
        </w:rPr>
        <w:t>Selling and promotional expenses include salaries and benefits of personnel engaged in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recruitment, and retention of students, as well as 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 and June 30, 2008 in an effort to increase our recruiting activities and enroll prospective students. We also leased new enrollment centers in Arizona and Utah, and we intend to continue to increase the number of our 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4"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six month periods ended June 30, 2007 and 2008, we expensed approximately $2.8 million, $3.7 million, $4.3 million, $2.1 million, and $2.9 million, respectively, pursuant to these arrangements. As we increase our internal recruiting, marketing, and enrollment staff, we expect this revenue share as a proportion of total revenue to decline.</w:t>
      </w:r>
    </w:p>
    <w:p>
      <w:pPr>
        <w:spacing w:after="0" w:line="8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salaries and benefits of employees engaged in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finance, human resources, facilities, compliance, and other corporate functions. General and administrative expenses also include bad debt expense and an allocation of depreciation, amortization, rent and occupancy costs attributable to general and administrative functions.</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Royalty to former owner. </w:t>
      </w:r>
      <w:r>
        <w:rPr>
          <w:rFonts w:ascii="Arial" w:cs="Arial" w:eastAsia="Arial" w:hAnsi="Arial"/>
          <w:sz w:val="17"/>
          <w:szCs w:val="17"/>
          <w:color w:val="auto"/>
        </w:rPr>
        <w:t>In connection with our February 2004 acquisition of the assets of Grand Canyon University by several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current stockholders, we entered into a royalty fee arrangement with the former owner in which we agreed to pay a stated percentage of cash revenue generated by our online programs. For the years ended December 31, 2005, 2006, and 2007, and for the six month periods ended June 30, 2007 and 2008, we expensed $1.6 million, $2.7 million, $3.8 million, $1.6 million, and $1.5 million, respectively, in connection with this arrangement. This arrangement has been terminated, as discussed below.</w:t>
      </w:r>
    </w:p>
    <w:p>
      <w:pPr>
        <w:spacing w:after="0" w:line="78"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charges on our capital lease obligations and on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of our notes payable and line of credit.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Factors affecting comparability</w:t>
      </w:r>
    </w:p>
    <w:p>
      <w:pPr>
        <w:spacing w:after="0" w:line="135" w:lineRule="exact"/>
        <w:rPr>
          <w:sz w:val="20"/>
          <w:szCs w:val="20"/>
          <w:color w:val="auto"/>
        </w:rPr>
      </w:pPr>
    </w:p>
    <w:p>
      <w:pPr>
        <w:ind w:left="700" w:right="860" w:firstLine="397"/>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76"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b w:val="1"/>
          <w:bCs w:val="1"/>
          <w:i w:val="1"/>
          <w:iCs w:val="1"/>
          <w:color w:val="auto"/>
        </w:rPr>
        <w:t xml:space="preserve">Conversion to corporate status. </w:t>
      </w:r>
      <w:r>
        <w:rPr>
          <w:rFonts w:ascii="Arial" w:cs="Arial" w:eastAsia="Arial" w:hAnsi="Arial"/>
          <w:sz w:val="17"/>
          <w:szCs w:val="17"/>
          <w:color w:val="auto"/>
        </w:rPr>
        <w:t>On August 24, 2005, we converted from a Delaware limited liability company to a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pursuant to Section 265 of the DGCL. As a 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7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Upon consummation of our initial public offering, we will become a public company, and 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our shares listed for trading on the Nasdaq Global 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b w:val="1"/>
          <w:bCs w:val="1"/>
          <w:i w:val="1"/>
          <w:iCs w:val="1"/>
          <w:color w:val="auto"/>
        </w:rPr>
        <w:t xml:space="preserve">Settlement with former owner. </w:t>
      </w:r>
      <w:r>
        <w:rPr>
          <w:rFonts w:ascii="Arial" w:cs="Arial" w:eastAsia="Arial" w:hAnsi="Arial"/>
          <w:sz w:val="17"/>
          <w:szCs w:val="17"/>
          <w:color w:val="auto"/>
        </w:rPr>
        <w:t>To resolve a dispute with our former owner arising from our acquisition of Grand Canyon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University and subsequent lease of our campus, we entered into a standstill agreement in September 2007 pursuant to which we agreed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with the former owner to stay all pending legal proceedings through April 15, 2008. In accordance with the terms of the standstill</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agreement, we made an initial non-refundable $3.0 million payment to the former owner in October 2007 and made an additional</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$19.5 million payment to the former owner in April 2008, with these amounts serving as consideration for: (i) the satisfaction in full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past and future royalties due to the former owner under a royalty agreement; (ii) the acquisition by us of a parcel of real estate owned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the former owner on our campus; (iii) the termination of a sublease agreement pursuant to which the former owner leased office space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our campus; (iv) the assumption by us of all future payment obligations in respect of certain gift annuities made to the school 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donors prior to the acquisition; (v) the cancellation of a warrant we issued to the former owner in the lease transaction; and (vi)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satisfaction in full of a $1.25 million loan made by the former owner to us in the lease transaction (including all accrued and unpaid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interest thereon). Most of the amounts payable to the former owner under the royalty arrangement in 2005, and all of the amounts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payable in 2006 and 2007, were accrued and not paid due to the dispute. A portion of the settlement payments has been treated as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royalty asset that will be amortized over 20 years at approximately $0.3 million per year, which differs from the historical royalty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w:t>
      </w:r>
    </w:p>
    <w:p>
      <w:pPr>
        <w:spacing w:after="0" w:line="116"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b w:val="1"/>
          <w:bCs w:val="1"/>
          <w:i w:val="1"/>
          <w:iCs w:val="1"/>
          <w:color w:val="auto"/>
        </w:rPr>
        <w:t xml:space="preserve">Management fees and expenses. </w:t>
      </w:r>
      <w:r>
        <w:rPr>
          <w:rFonts w:ascii="Arial" w:cs="Arial" w:eastAsia="Arial" w:hAnsi="Arial"/>
          <w:sz w:val="17"/>
          <w:szCs w:val="17"/>
          <w:color w:val="auto"/>
        </w:rPr>
        <w:t>In connection with an August 2005 investment led by Endeavour Capital, we entered into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services agreement with Endeavour Capital’s general partner. Concurrent with the closing of this offering, the professional services agreement will terminate by its terms. For the years ended December 31, 2005, 2006, and 2007, and for the six month periods ended June 30, 2007 and 2008, we incurred $0.1 million, $0.3 million, $0.3 million, $0.1 million, and $0.2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87" w:lineRule="exact"/>
        <w:rPr>
          <w:sz w:val="20"/>
          <w:szCs w:val="20"/>
          <w:color w:val="auto"/>
        </w:rPr>
      </w:pPr>
    </w:p>
    <w:p>
      <w:pPr>
        <w:ind w:left="700" w:right="1020" w:firstLine="397"/>
        <w:spacing w:after="0" w:line="277" w:lineRule="auto"/>
        <w:rPr>
          <w:sz w:val="20"/>
          <w:szCs w:val="20"/>
          <w:color w:val="auto"/>
        </w:rPr>
      </w:pPr>
      <w:r>
        <w:rPr>
          <w:rFonts w:ascii="Arial" w:cs="Arial" w:eastAsia="Arial" w:hAnsi="Arial"/>
          <w:sz w:val="18"/>
          <w:szCs w:val="18"/>
          <w:b w:val="1"/>
          <w:bCs w:val="1"/>
          <w:i w:val="1"/>
          <w:iCs w:val="1"/>
          <w:color w:val="auto"/>
        </w:rPr>
        <w:t xml:space="preserve">Stock-based and other executive compensation. </w:t>
      </w:r>
      <w:r>
        <w:rPr>
          <w:rFonts w:ascii="Arial" w:cs="Arial" w:eastAsia="Arial" w:hAnsi="Arial"/>
          <w:sz w:val="18"/>
          <w:szCs w:val="18"/>
          <w:color w:val="auto"/>
        </w:rPr>
        <w:t>Prior to this offering, we have not granted or issued any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Accordingly, we have not recognized any stock-based compensation expense.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$10 million in the second half of 2008.</w:t>
      </w:r>
    </w:p>
    <w:p>
      <w:pPr>
        <w:spacing w:after="0" w:line="9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In July 2008, we hired a new Chief Executive Officer, Chief Financial Officer, and Executive Vice President, as well as other financial and accounting personnel. Accordingly, compensation expenses, as reflected in our general and administrative expenses, will be higher beginning in the third quarter of 2008.</w:t>
      </w:r>
    </w:p>
    <w:p>
      <w:pPr>
        <w:spacing w:after="0" w:line="87"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b w:val="1"/>
          <w:bCs w:val="1"/>
          <w:i w:val="1"/>
          <w:iCs w:val="1"/>
          <w:color w:val="auto"/>
        </w:rPr>
        <w:t xml:space="preserve">License agreement. </w:t>
      </w:r>
      <w:r>
        <w:rPr>
          <w:rFonts w:ascii="Arial" w:cs="Arial" w:eastAsia="Arial" w:hAnsi="Arial"/>
          <w:sz w:val="16"/>
          <w:szCs w:val="16"/>
          <w:color w:val="auto"/>
        </w:rPr>
        <w:t>In June 2004, we entered into a license agreement with Blanchard Education, LLC (“Blanchard”)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use of the Ken Blanchard name for our College 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35" w:lineRule="exact"/>
        <w:rPr>
          <w:sz w:val="20"/>
          <w:szCs w:val="20"/>
          <w:color w:val="auto"/>
        </w:rPr>
      </w:pPr>
    </w:p>
    <w:p>
      <w:pPr>
        <w:ind w:left="700" w:right="140" w:firstLine="397"/>
        <w:spacing w:after="0" w:line="271" w:lineRule="auto"/>
        <w:rPr>
          <w:sz w:val="20"/>
          <w:szCs w:val="20"/>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color w:val="auto"/>
        </w:rPr>
        <w:t>We have material weaknesses in internal control over financial reporting. In connection with the preparation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2006, and 2007 financial statements, and our 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84" w:lineRule="exact"/>
        <w:rPr>
          <w:sz w:val="20"/>
          <w:szCs w:val="20"/>
          <w:color w:val="auto"/>
        </w:rPr>
      </w:pPr>
    </w:p>
    <w:p>
      <w:pPr>
        <w:ind w:left="700" w:right="280" w:firstLine="397"/>
        <w:spacing w:after="0" w:line="342" w:lineRule="auto"/>
        <w:rPr>
          <w:sz w:val="20"/>
          <w:szCs w:val="20"/>
          <w:color w:val="auto"/>
        </w:rPr>
      </w:pPr>
      <w:r>
        <w:rPr>
          <w:rFonts w:ascii="Arial" w:cs="Arial" w:eastAsia="Arial" w:hAnsi="Arial"/>
          <w:sz w:val="16"/>
          <w:szCs w:val="16"/>
          <w:b w:val="1"/>
          <w:bCs w:val="1"/>
          <w:i w:val="1"/>
          <w:iCs w:val="1"/>
          <w:color w:val="auto"/>
        </w:rPr>
        <w:t xml:space="preserve">Material weaknesses. </w:t>
      </w:r>
      <w:r>
        <w:rPr>
          <w:rFonts w:ascii="Arial" w:cs="Arial" w:eastAsia="Arial" w:hAnsi="Arial"/>
          <w:sz w:val="16"/>
          <w:szCs w:val="16"/>
          <w:color w:val="auto"/>
        </w:rPr>
        <w:t>In connection with the preparation of our 2005, 2006, and 2007 financial statements, and our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for the six month period ended June 30, 2008, we identified errors regarding our accounting for the following transactions:</w:t>
      </w:r>
    </w:p>
    <w:p>
      <w:pPr>
        <w:spacing w:after="0" w:line="29" w:lineRule="exact"/>
        <w:rPr>
          <w:sz w:val="20"/>
          <w:szCs w:val="20"/>
          <w:color w:val="auto"/>
        </w:rPr>
      </w:pPr>
    </w:p>
    <w:p>
      <w:pPr>
        <w:ind w:left="1700" w:right="160" w:hanging="21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86" w:lineRule="exact"/>
        <w:rPr>
          <w:rFonts w:ascii="Arial" w:cs="Arial" w:eastAsia="Arial" w:hAnsi="Arial"/>
          <w:sz w:val="18"/>
          <w:szCs w:val="18"/>
          <w:color w:val="auto"/>
        </w:rPr>
      </w:pPr>
    </w:p>
    <w:p>
      <w:pPr>
        <w:ind w:left="1700" w:right="80" w:hanging="211"/>
        <w:spacing w:after="0" w:line="257"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20" w:hanging="211"/>
        <w:spacing w:after="0" w:line="264"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73" w:lineRule="exact"/>
        <w:rPr>
          <w:rFonts w:ascii="Arial" w:cs="Arial" w:eastAsia="Arial" w:hAnsi="Arial"/>
          <w:sz w:val="18"/>
          <w:szCs w:val="18"/>
          <w:color w:val="auto"/>
        </w:rPr>
      </w:pPr>
    </w:p>
    <w:p>
      <w:pPr>
        <w:ind w:left="1700" w:right="220" w:hanging="211"/>
        <w:spacing w:after="0" w:line="27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2004 and 2005, we failed to properly capitalize the issuance of certain common stock and equity linked instruments to third parties.</w:t>
      </w:r>
    </w:p>
    <w:p>
      <w:pPr>
        <w:spacing w:after="0" w:line="75" w:lineRule="exact"/>
        <w:rPr>
          <w:rFonts w:ascii="Arial" w:cs="Arial" w:eastAsia="Arial" w:hAnsi="Arial"/>
          <w:sz w:val="18"/>
          <w:szCs w:val="18"/>
          <w:color w:val="auto"/>
        </w:rPr>
      </w:pPr>
    </w:p>
    <w:p>
      <w:pPr>
        <w:ind w:left="1700" w:right="20" w:hanging="211"/>
        <w:spacing w:after="0" w:line="264"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87" w:lineRule="exact"/>
        <w:rPr>
          <w:sz w:val="20"/>
          <w:szCs w:val="20"/>
          <w:color w:val="auto"/>
        </w:rPr>
      </w:pPr>
    </w:p>
    <w:p>
      <w:pPr>
        <w:ind w:left="800" w:right="380" w:firstLine="393"/>
        <w:spacing w:after="0" w:line="264" w:lineRule="auto"/>
        <w:rPr>
          <w:sz w:val="20"/>
          <w:szCs w:val="20"/>
          <w:color w:val="auto"/>
        </w:rPr>
      </w:pPr>
      <w:r>
        <w:rPr>
          <w:rFonts w:ascii="Arial" w:cs="Arial" w:eastAsia="Arial" w:hAnsi="Arial"/>
          <w:sz w:val="18"/>
          <w:szCs w:val="18"/>
          <w:color w:val="auto"/>
        </w:rPr>
        <w:t>We believe the control deficiencies related to these errors constitute material weaknesses in our internal control over financial reporting. The material weakness related to our lack of processes and controls that would ensure the proper recording of assets, expenses, leases, and equity instruments in accordance with GAAP.</w:t>
      </w:r>
    </w:p>
    <w:p>
      <w:pPr>
        <w:spacing w:after="0" w:line="87" w:lineRule="exact"/>
        <w:rPr>
          <w:sz w:val="20"/>
          <w:szCs w:val="20"/>
          <w:color w:val="auto"/>
        </w:rPr>
      </w:pPr>
    </w:p>
    <w:p>
      <w:pPr>
        <w:ind w:left="800" w:right="200" w:firstLine="393"/>
        <w:spacing w:after="0" w:line="276" w:lineRule="auto"/>
        <w:rPr>
          <w:sz w:val="20"/>
          <w:szCs w:val="20"/>
          <w:color w:val="auto"/>
        </w:rPr>
      </w:pPr>
      <w:r>
        <w:rPr>
          <w:rFonts w:ascii="Arial" w:cs="Arial" w:eastAsia="Arial" w:hAnsi="Arial"/>
          <w:sz w:val="17"/>
          <w:szCs w:val="17"/>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the second and third quarters of fiscal year 2008. Our Chief Financial Officer has taken responsibility for implementing changes and improvements in the internal control over financial reporting and remediate the control deficiencies that gave rise to the material weaknesses. Specifically, these changes include:</w:t>
      </w:r>
    </w:p>
    <w:p>
      <w:pPr>
        <w:spacing w:after="0" w:line="78" w:lineRule="exact"/>
        <w:rPr>
          <w:sz w:val="20"/>
          <w:szCs w:val="20"/>
          <w:color w:val="auto"/>
        </w:rPr>
      </w:pPr>
    </w:p>
    <w:p>
      <w:pPr>
        <w:ind w:left="1700" w:right="340" w:hanging="211"/>
        <w:spacing w:after="0" w:line="342" w:lineRule="auto"/>
        <w:tabs>
          <w:tab w:leader="none" w:pos="1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29" w:lineRule="exact"/>
        <w:rPr>
          <w:rFonts w:ascii="Arial" w:cs="Arial" w:eastAsia="Arial" w:hAnsi="Arial"/>
          <w:sz w:val="16"/>
          <w:szCs w:val="16"/>
          <w:color w:val="auto"/>
        </w:rPr>
      </w:pPr>
    </w:p>
    <w:p>
      <w:pPr>
        <w:ind w:left="1700" w:hanging="211"/>
        <w:spacing w:after="0"/>
        <w:tabs>
          <w:tab w:leader="none" w:pos="1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making numerous process changes in the financial reporting area, including additional oversight and review; and</w:t>
      </w:r>
    </w:p>
    <w:p>
      <w:pPr>
        <w:spacing w:after="0" w:line="142" w:lineRule="exact"/>
        <w:rPr>
          <w:rFonts w:ascii="Arial" w:cs="Arial" w:eastAsia="Arial" w:hAnsi="Arial"/>
          <w:sz w:val="17"/>
          <w:szCs w:val="17"/>
          <w:color w:val="auto"/>
        </w:rPr>
      </w:pPr>
    </w:p>
    <w:p>
      <w:pPr>
        <w:ind w:left="1700" w:right="900" w:hanging="211"/>
        <w:spacing w:after="0" w:line="277"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conducting training of our accounting staff for purposes of enabling them to recognize and properly account for transactions of the type described above.</w:t>
      </w:r>
    </w:p>
    <w:p>
      <w:pPr>
        <w:spacing w:after="0" w:line="13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2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financial statements:</w:t>
      </w:r>
    </w:p>
    <w:p>
      <w:pPr>
        <w:spacing w:after="0" w:line="76" w:lineRule="exact"/>
        <w:rPr>
          <w:sz w:val="20"/>
          <w:szCs w:val="20"/>
          <w:color w:val="auto"/>
        </w:rPr>
      </w:pPr>
    </w:p>
    <w:p>
      <w:pPr>
        <w:ind w:left="700" w:right="100" w:firstLine="794"/>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Tuition revenue is recognized monthly over the applicable period of instruction. Deferred revenue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student deposits in any period represent the 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6"/>
          <w:szCs w:val="16"/>
          <w:i w:val="1"/>
          <w:iCs w:val="1"/>
          <w:color w:val="auto"/>
        </w:rPr>
        <w:t>Revenue Recognition in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If a student withdraws prior to the end of the third week of a semester, we refund all or a portion of tuition already</w:t>
      </w:r>
      <w:r>
        <w:rPr>
          <w:rFonts w:ascii="Arial" w:cs="Arial" w:eastAsia="Arial" w:hAnsi="Arial"/>
          <w:sz w:val="16"/>
          <w:szCs w:val="16"/>
          <w:i w:val="1"/>
          <w:iCs w:val="1"/>
          <w:color w:val="auto"/>
        </w:rPr>
        <w:t xml:space="preserve"> </w:t>
      </w:r>
      <w:r>
        <w:rPr>
          <w:rFonts w:ascii="Arial" w:cs="Arial" w:eastAsia="Arial" w:hAnsi="Arial"/>
          <w:sz w:val="16"/>
          <w:szCs w:val="16"/>
          <w:color w:val="auto"/>
        </w:rPr>
        <w:t>paid pursuant to our refund policy, which generally results in a reduction in deferred revenue and student deposits.</w:t>
      </w:r>
    </w:p>
    <w:p>
      <w:pPr>
        <w:spacing w:after="0" w:line="73" w:lineRule="exact"/>
        <w:rPr>
          <w:sz w:val="20"/>
          <w:szCs w:val="20"/>
          <w:color w:val="auto"/>
        </w:rPr>
      </w:pPr>
    </w:p>
    <w:p>
      <w:pPr>
        <w:ind w:left="700" w:firstLine="794"/>
        <w:spacing w:after="0" w:line="289"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Bad debt expense is recorded as a general and administrative expense. We record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doubtful accounts for estimated losses 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72" w:lineRule="exact"/>
        <w:rPr>
          <w:sz w:val="20"/>
          <w:szCs w:val="20"/>
          <w:color w:val="auto"/>
        </w:rPr>
      </w:pPr>
    </w:p>
    <w:p>
      <w:pPr>
        <w:ind w:left="700" w:right="280" w:firstLine="794"/>
        <w:spacing w:after="0" w:line="257" w:lineRule="auto"/>
        <w:rPr>
          <w:sz w:val="20"/>
          <w:szCs w:val="20"/>
          <w:color w:val="auto"/>
        </w:rPr>
      </w:pPr>
      <w:r>
        <w:rPr>
          <w:rFonts w:ascii="Arial" w:cs="Arial" w:eastAsia="Arial" w:hAnsi="Arial"/>
          <w:sz w:val="18"/>
          <w:szCs w:val="18"/>
          <w:b w:val="1"/>
          <w:bCs w:val="1"/>
          <w:i w:val="1"/>
          <w:iCs w:val="1"/>
          <w:color w:val="auto"/>
        </w:rPr>
        <w:t xml:space="preserve">Long-Lived Assets. </w:t>
      </w:r>
      <w:r>
        <w:rPr>
          <w:rFonts w:ascii="Arial" w:cs="Arial" w:eastAsia="Arial" w:hAnsi="Arial"/>
          <w:sz w:val="18"/>
          <w:szCs w:val="18"/>
          <w:color w:val="auto"/>
        </w:rPr>
        <w:t>We evaluate the recoverability of our long-lived assets for impairment whenever events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sz w:val="20"/>
          <w:szCs w:val="20"/>
          <w:color w:val="auto"/>
        </w:rPr>
      </w:pPr>
    </w:p>
    <w:p>
      <w:pPr>
        <w:ind w:left="700" w:right="40" w:firstLine="794"/>
        <w:spacing w:after="0" w:line="26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On August 24, 2005, we converted from a limited liability company to a corporation. For all periods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subsequent to such date, we have been and will continue to be subject to corporate-level U.S. federal and state income taxes. Effective January 1, 2008, we adopted FASB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Income Taxes </w:t>
      </w:r>
      <w:r>
        <w:rPr>
          <w:rFonts w:ascii="Arial" w:cs="Arial" w:eastAsia="Arial" w:hAnsi="Arial"/>
          <w:sz w:val="17"/>
          <w:szCs w:val="17"/>
          <w:color w:val="auto"/>
        </w:rPr>
        <w:t>(“SFAS No. 109”). SFAS No. 109 prescribes the use of the asset and liability method to compute the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statements of operations data as a percentage of net revenue for each of the periods indicated: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3"/>
              </w:rPr>
              <w:t>Six Months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60" w:type="dxa"/>
            <w:vAlign w:val="bottom"/>
            <w:gridSpan w:val="7"/>
            <w:vMerge w:val="restart"/>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left="92"/>
              <w:spacing w:after="0" w:line="142" w:lineRule="exact"/>
              <w:rPr>
                <w:sz w:val="20"/>
                <w:szCs w:val="20"/>
                <w:color w:val="auto"/>
              </w:rPr>
            </w:pPr>
            <w:r>
              <w:rPr>
                <w:rFonts w:ascii="Arial" w:cs="Arial" w:eastAsia="Arial" w:hAnsi="Arial"/>
                <w:sz w:val="14"/>
                <w:szCs w:val="14"/>
                <w:b w:val="1"/>
                <w:bCs w:val="1"/>
                <w:color w:val="auto"/>
                <w:w w:val="89"/>
              </w:rPr>
              <w:t>2006</w:t>
            </w:r>
          </w:p>
        </w:tc>
        <w:tc>
          <w:tcPr>
            <w:tcW w:w="42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2"/>
                <w:szCs w:val="12"/>
                <w:b w:val="1"/>
                <w:bCs w:val="1"/>
                <w:color w:val="auto"/>
                <w:w w:val="81"/>
              </w:rPr>
              <w:t>(1)</w:t>
            </w:r>
          </w:p>
        </w:tc>
        <w:tc>
          <w:tcPr>
            <w:tcW w:w="50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71"/>
              </w:rPr>
              <w:t>(Unaudited)</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0"/>
              </w:rPr>
              <w:t>(Restated)</w:t>
            </w:r>
          </w:p>
        </w:tc>
        <w:tc>
          <w:tcPr>
            <w:tcW w:w="420" w:type="dxa"/>
            <w:vAlign w:val="bottom"/>
            <w:tcBorders>
              <w:top w:val="single" w:sz="8" w:color="auto"/>
              <w:bottom w:val="single" w:sz="8" w:color="auto"/>
            </w:tcBorders>
            <w:vMerge w:val="continue"/>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Instructional cost and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Selling and promotional</w:t>
            </w: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Royalty to former owner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120" w:type="dxa"/>
            <w:vAlign w:val="bottom"/>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 w:hanging="301"/>
        <w:spacing w:after="0" w:line="26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24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Six Months Ended June 30, 2008 Compared to Six Months Ended June 30, 2007</w:t>
      </w:r>
    </w:p>
    <w:p>
      <w:pPr>
        <w:spacing w:after="0" w:line="185"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Our net revenue for the six months ended June 30, 2008 was $70.3 million, an increase of $26.2 million, or 59.5%,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revenue of $44.1 million for the six months ended June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59.8% between June 30, 2007 and 2008, as we were able to continue our growth and increase our recruitment, marketing, and enrollment operations following the elimination of the Department of Education’s growth restrictions in October 2006.</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Instructional cost and services expenses. </w:t>
      </w:r>
      <w:r>
        <w:rPr>
          <w:rFonts w:ascii="Arial" w:cs="Arial" w:eastAsia="Arial" w:hAnsi="Arial"/>
          <w:sz w:val="16"/>
          <w:szCs w:val="16"/>
          <w:color w:val="auto"/>
        </w:rPr>
        <w:t>Our instructional cost and services expenses for the six months ended June 30, 2008 were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$24.0 million, an increase of $6.4 million, or 36.9%, as compared to instructional cost and services expenses of $17.6 million for the six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months ended June 30, 2007. This increase was primarily due to increases in instructional compensation and related expenses, faculty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compensation, depreciation and amortization, and other miscellaneous instructional costs and services of $2.2 million, $2.0 million,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$0.7 million, and $1.2 million, respectively. These increases are all attributable to the increased headcount (both staff and faculty) needed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provide student instruction and support services we consider necessary as a result of the increase in enrollments. Our instructional cost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and services expenses as a percentage of net revenue decreased by 5.6% to 34.2% for the six months ended June 30, 2008, as compared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39.8% for the six months ended June 30, 2007. This decrease was a result of the continued shift of our student population to online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programs and our ability to leverage the relatively fixed cost structure of our campus-based facilities and ground faculty across an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increasing revenue base.</w:t>
      </w:r>
    </w:p>
    <w:p>
      <w:pPr>
        <w:spacing w:after="0" w:line="116" w:lineRule="exact"/>
        <w:rPr>
          <w:sz w:val="20"/>
          <w:szCs w:val="20"/>
          <w:color w:val="auto"/>
        </w:rPr>
      </w:pPr>
    </w:p>
    <w:p>
      <w:pPr>
        <w:ind w:left="700" w:right="960" w:firstLine="397"/>
        <w:spacing w:after="0" w:line="277" w:lineRule="auto"/>
        <w:rPr>
          <w:sz w:val="20"/>
          <w:szCs w:val="20"/>
          <w:color w:val="auto"/>
        </w:rPr>
      </w:pPr>
      <w:r>
        <w:rPr>
          <w:rFonts w:ascii="Arial" w:cs="Arial" w:eastAsia="Arial" w:hAnsi="Arial"/>
          <w:sz w:val="18"/>
          <w:szCs w:val="18"/>
          <w:i w:val="1"/>
          <w:iCs w:val="1"/>
          <w:color w:val="auto"/>
        </w:rPr>
        <w:t xml:space="preserve">Selling and promotional expenses. </w:t>
      </w:r>
      <w:r>
        <w:rPr>
          <w:rFonts w:ascii="Arial" w:cs="Arial" w:eastAsia="Arial" w:hAnsi="Arial"/>
          <w:sz w:val="18"/>
          <w:szCs w:val="18"/>
          <w:color w:val="auto"/>
        </w:rPr>
        <w:t>Our selling and promotional expenses for the six months ended June 30, 2008 were</w:t>
      </w:r>
      <w:r>
        <w:rPr>
          <w:rFonts w:ascii="Arial" w:cs="Arial" w:eastAsia="Arial" w:hAnsi="Arial"/>
          <w:sz w:val="18"/>
          <w:szCs w:val="18"/>
          <w:i w:val="1"/>
          <w:iCs w:val="1"/>
          <w:color w:val="auto"/>
        </w:rPr>
        <w:t xml:space="preserve"> </w:t>
      </w:r>
      <w:r>
        <w:rPr>
          <w:rFonts w:ascii="Arial" w:cs="Arial" w:eastAsia="Arial" w:hAnsi="Arial"/>
          <w:sz w:val="18"/>
          <w:szCs w:val="18"/>
          <w:color w:val="auto"/>
        </w:rPr>
        <w:t>$27.5 million, an increase of $13.3 million, or 93.7%, as compared to selling and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color w:val="auto"/>
        </w:rPr>
        <w:t>promotional expenses of $14.2 million for the six months ended June 30, 2007. This increase was primarily due to increases in selling and promotional employee compensation and related expenses, advertising, revenue sharing expense, and other selling and promotional costs of $8.2 million, $3.5 million, $0.9 million, and $0.6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6.9% to 39.1% for the six months ended June 30, 2008, from 32.2% for the six months ended June 30, 2007.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should decrease, and we therefore plan to reduce selling and promotional expenses as a percentage of net revenue in the future.</w:t>
      </w:r>
    </w:p>
    <w:p>
      <w:pPr>
        <w:spacing w:after="0" w:line="8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six months ended June 30, 2008 were</w:t>
      </w:r>
      <w:r>
        <w:rPr>
          <w:rFonts w:ascii="Arial" w:cs="Arial" w:eastAsia="Arial" w:hAnsi="Arial"/>
          <w:sz w:val="17"/>
          <w:szCs w:val="17"/>
          <w:i w:val="1"/>
          <w:iCs w:val="1"/>
          <w:color w:val="auto"/>
        </w:rPr>
        <w:t xml:space="preserve"> </w:t>
      </w:r>
      <w:r>
        <w:rPr>
          <w:rFonts w:ascii="Arial" w:cs="Arial" w:eastAsia="Arial" w:hAnsi="Arial"/>
          <w:sz w:val="17"/>
          <w:szCs w:val="17"/>
          <w:color w:val="auto"/>
        </w:rPr>
        <w:t>$11.0 million, an increase of $2.6 million, or 30.8%, as compared to general and administrative expenses of $8.4 million for the six months ended June 30, 2007. This increase was primarily due to increases in bad debt expense; legal, audit, and corporate insurance; and other general and administrative expenses of $0.9 million, $0.8 million, and $0.8 million, respectively. Bad debt expense increased to $4.1 million for the six months ended June 30, 2008 from $3.2 million for the six months ended June 30, 2007 as a result of a proportional increase in net revenue. The increase in legal, audit, and corporate insurance is primarily related to legal costs associated with the Sungard matter, which went to arbitration in the second quarter of fiscal 2008. See “Business — Legal Proceedings.” The other general and administrative expense increase was attributable to expenditures made to continue to support the growth of our business. Our general and administrative expenses as a percentage of net revenue decreased by 3.4% to 15.6% for the six months ended June 30, 2008, from 19.0% for the six months ended June 30, 2007, primarily due to a decrease in our bad debt expense and employee compensation and related benefits as a percentage of revenue between periods from 7.2% and 4.7% of revenue during the first six months of 2007, respectively, to 5.8% and 3.0% of revenue during the first six months of 2008, respectively. The improvement in bad debt expense as a percentage of revenue is primarily due to an improvement in our aging between periods and an increased revenue base. The decrease in employee compensation and related benefits as a percentage of revenue is the result of us leveraging our current staffing over a larger revenue base.</w:t>
      </w:r>
    </w:p>
    <w:p>
      <w:pPr>
        <w:spacing w:after="0" w:line="89"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Royalty to former owner. </w:t>
      </w:r>
      <w:r>
        <w:rPr>
          <w:rFonts w:ascii="Arial" w:cs="Arial" w:eastAsia="Arial" w:hAnsi="Arial"/>
          <w:sz w:val="16"/>
          <w:szCs w:val="16"/>
          <w:color w:val="auto"/>
        </w:rPr>
        <w:t>In connection with our royalty fee arrangement with the former owner related to online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royalty expenses for the six months ended June 30, 2008 of $1.5 million, a decrease of $0.1 million, or 8.7%, as compared to royalty expenses incurred of $1.6 million for the six months ended June 30, 2007 as a result of the elimination of the obligation to pay royalties to the former owner effective April 15, 2008. In the future the only expense that will be recorded will be the amortization of the prepaid royalty asset that was established as a result of payments made to eliminate this future obligation. Our royalty expense as a percentage of net revenue decreased to 2.1% for the six months ended June 30, 2008 from 3.7% for the six months ended June 30, 2007.</w:t>
      </w:r>
    </w:p>
    <w:p>
      <w:pPr>
        <w:spacing w:after="0" w:line="70"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for both the six month periods ended June 30, 2008 and 2007 was $1.5 million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level of borrowings remained fairly consistent between periods.</w:t>
      </w:r>
    </w:p>
    <w:p>
      <w:pPr>
        <w:spacing w:after="0" w:line="76"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Our interest income for the six months ended June 30, 2008 was $0.4 million, a decrease of $0.3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$0.7 million for the six months ended June 30, 2007, as a result of decreased levels of cash and cash equivalents.</w:t>
      </w:r>
    </w:p>
    <w:p>
      <w:pPr>
        <w:spacing w:after="0" w:line="52"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six months ended June 30, 2008 was $2.0 million, an increase of $1.4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 for the six months ended June 30, 2007. This increase was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primarily attributable to increased income before income taxes, partially offset by a slight decrease in our effective income tax rate to 38.6% from 40.0%.</w:t>
      </w:r>
    </w:p>
    <w:p>
      <w:pPr>
        <w:spacing w:after="0" w:line="76"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Our net income for the six months ended June 30, 2008 was $3.2 million, an increase of $2.3 million, or 257.8%,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income of $0.9 million for the six months ended June 30, 2007, due to the factors discussed above.</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18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Our net revenue for the year ended December 31, 2007 was $99.3 million, an increase of $27.2 million, or 37.7%,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revenue of $72.1 million for the 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8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Instructional cost and services expenses. </w:t>
      </w:r>
      <w:r>
        <w:rPr>
          <w:rFonts w:ascii="Arial" w:cs="Arial" w:eastAsia="Arial" w:hAnsi="Arial"/>
          <w:sz w:val="16"/>
          <w:szCs w:val="16"/>
          <w:color w:val="auto"/>
        </w:rPr>
        <w:t>Our instructional cost and services expenses for the year ended December 31, 2007 were</w:t>
      </w:r>
      <w:r>
        <w:rPr>
          <w:rFonts w:ascii="Arial" w:cs="Arial" w:eastAsia="Arial" w:hAnsi="Arial"/>
          <w:sz w:val="16"/>
          <w:szCs w:val="16"/>
          <w:i w:val="1"/>
          <w:iCs w:val="1"/>
          <w:color w:val="auto"/>
        </w:rPr>
        <w:t xml:space="preserve"> </w:t>
      </w:r>
      <w:r>
        <w:rPr>
          <w:rFonts w:ascii="Arial" w:cs="Arial" w:eastAsia="Arial" w:hAnsi="Arial"/>
          <w:sz w:val="16"/>
          <w:szCs w:val="16"/>
          <w:color w:val="auto"/>
        </w:rPr>
        <w:t>$39.1 million, an increase of $7.8 million, or 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Selling and promotional expenses. </w:t>
      </w:r>
      <w:r>
        <w:rPr>
          <w:rFonts w:ascii="Arial" w:cs="Arial" w:eastAsia="Arial" w:hAnsi="Arial"/>
          <w:sz w:val="18"/>
          <w:szCs w:val="18"/>
          <w:color w:val="auto"/>
        </w:rPr>
        <w:t>Our selling and promotional expenses for the year ended December 31, 2007 were</w:t>
      </w:r>
    </w:p>
    <w:p>
      <w:pPr>
        <w:spacing w:after="0" w:line="23"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$35.1 million, an increase of $15.1 million, or 74.9%, as 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 2007 were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$17.0 million, an increase of $2.0 million, or 13.3%, as compared to general and administrative expenses of $15.0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2006. Bad debt expense increased to $6.3 million for the year ended December 31, 2007 from $4.7 million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year ended December 31, 2006 primarily as a result of a proportional increase in net revenue. The general and administrative expense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increase was also attributable to expenditures made to continue to support the growth of our business. Our general and administrative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expenses as a percentage of net revenue decreased by 3.7% to 17.1% for the year ended December 31, 2007, from 20.8%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2006, as we benefited from leveraging our prior infrastructure investments over a larger enrollment and revenue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base.</w:t>
      </w:r>
    </w:p>
    <w:p>
      <w:pPr>
        <w:spacing w:after="0" w:line="116"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i w:val="1"/>
          <w:iCs w:val="1"/>
          <w:color w:val="auto"/>
        </w:rPr>
        <w:t xml:space="preserve">Royalty to former owner. </w:t>
      </w:r>
      <w:r>
        <w:rPr>
          <w:rFonts w:ascii="Arial" w:cs="Arial" w:eastAsia="Arial" w:hAnsi="Arial"/>
          <w:sz w:val="18"/>
          <w:szCs w:val="18"/>
          <w:color w:val="auto"/>
        </w:rPr>
        <w:t>In connection with our royalty fee arrangement with the former owner related to online revenue, we</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royalty expenses for the year ended December 31, 2007 of $3.8 million, an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87" w:lineRule="exact"/>
        <w:rPr>
          <w:sz w:val="20"/>
          <w:szCs w:val="20"/>
          <w:color w:val="auto"/>
        </w:rPr>
      </w:pPr>
    </w:p>
    <w:p>
      <w:pPr>
        <w:ind w:left="700" w:right="560" w:firstLine="397"/>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year ended December 31, 2007 was $3.0 million, an increase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for the year ended December 31, 2006 due to a higher average level of borrowings in 2007.</w:t>
      </w:r>
    </w:p>
    <w:p>
      <w:pPr>
        <w:spacing w:after="0" w:line="76"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year ended December 31, 2007 was $1.2 million, an increase of $0.3 million, or 28.5%,</w:t>
      </w:r>
      <w:r>
        <w:rPr>
          <w:rFonts w:ascii="Arial" w:cs="Arial" w:eastAsia="Arial" w:hAnsi="Arial"/>
          <w:sz w:val="18"/>
          <w:szCs w:val="18"/>
          <w:i w:val="1"/>
          <w:iCs w:val="1"/>
          <w:color w:val="auto"/>
        </w:rPr>
        <w:t xml:space="preserve"> </w:t>
      </w:r>
      <w:r>
        <w:rPr>
          <w:rFonts w:ascii="Arial" w:cs="Arial" w:eastAsia="Arial" w:hAnsi="Arial"/>
          <w:sz w:val="18"/>
          <w:szCs w:val="18"/>
          <w:color w:val="auto"/>
        </w:rPr>
        <w:t>from $0.9 million for the year ended December 31, 2006, as a result of increased levels of cash and cash equivalents, offset by slightly lower interest rates.</w:t>
      </w:r>
    </w:p>
    <w:p>
      <w:pPr>
        <w:spacing w:after="0" w:line="87"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for the year ended December 31, 2007 was $1.0 million, an increase of $0.5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92.1%, from $0.5 million for the year ended December 31, 2006. This increase was primarily attributable to increased income before income taxes, partially offset by a decrease in our effective income tax rate to 40.0% from 46.9%.</w:t>
      </w:r>
    </w:p>
    <w:p>
      <w:pPr>
        <w:spacing w:after="0" w:line="71" w:lineRule="exact"/>
        <w:rPr>
          <w:sz w:val="20"/>
          <w:szCs w:val="20"/>
          <w:color w:val="auto"/>
        </w:rPr>
      </w:pPr>
    </w:p>
    <w:p>
      <w:pPr>
        <w:ind w:left="700" w:right="300" w:firstLine="397"/>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Our net income for the year ended December 31, 2007 was $1.5 million, an increase of $0.9 million, or 155.2%,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income of $0.6 million for the year ended December 31, 2006, due to the factors discussed above.</w:t>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18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Our net revenue for the year ended December 31, 2006 was $72.1 million, an increase of $20.3 million, or 39.2%,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revenue of $51.8 million for the 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 ground programs in an online delivery format, as limited by the growth restrictions imposed by the Department of Education, which were eliminated in October 2006.</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Instruction cost and services expenses. </w:t>
      </w:r>
      <w:r>
        <w:rPr>
          <w:rFonts w:ascii="Arial" w:cs="Arial" w:eastAsia="Arial" w:hAnsi="Arial"/>
          <w:sz w:val="16"/>
          <w:szCs w:val="16"/>
          <w:color w:val="auto"/>
        </w:rPr>
        <w:t>Our instructional cost and services expenses for the year ended December 31, 2006 were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$31.3 million, an increase of $3.2 million, or 11.5%, as compared to instructional cost and services expenses of $28.1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2005. This increase was primarily due to increases in instructional compensation expense and student support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services as a result of the increase in enrollments. Our instructional cost and services expenses as a percentage of net revenue decreased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10.8% to 43.4% for the year ended December 31, 2006, as compared to 54.2% for the year ended December 31, 2005. This decrease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2006 was a result of the continued shift of our student population to online programs, our ability to leverage the relatively fixed cost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structure of our campus-based facilities and ground faculty across an increasing revenue base, and more efficient course scheduling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faculty utilization.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Selling and promotional expenses. </w:t>
      </w:r>
      <w:r>
        <w:rPr>
          <w:rFonts w:ascii="Arial" w:cs="Arial" w:eastAsia="Arial" w:hAnsi="Arial"/>
          <w:sz w:val="18"/>
          <w:szCs w:val="18"/>
          <w:color w:val="auto"/>
        </w:rPr>
        <w:t>Our selling and promotional expenses for the year ended December 31, 2006 were</w:t>
      </w:r>
    </w:p>
    <w:p>
      <w:pPr>
        <w:spacing w:after="0" w:line="23"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$20.1 million, an increase of $6.0 million, or 43.0%, as 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year ended December 31, 2006 were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$15.0 million, an increase of $2.0 million, or 15.8%, as compared to general and administrative expenses of $13.0 million for the year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ended December 31, 2005. Bad debt expense increased to $4.7 million for the year ended December 31, 2006 from $2.6 million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year ended December 31, 2005 due to an increase in net revenue and management’s assessment of our rapidly growing student base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payment trends. Our general and administrative expenses as a percentage of net revenue decreased by 4.2% to 20.8%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 ended December 31, 2006, from 25.0% for the year ended December 31, 2005,</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we benefited from leveraging our prior infrastructure investments over a larger enrollment and revenue base.</w:t>
      </w:r>
    </w:p>
    <w:p>
      <w:pPr>
        <w:spacing w:after="0" w:line="131"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i w:val="1"/>
          <w:iCs w:val="1"/>
          <w:color w:val="auto"/>
        </w:rPr>
        <w:t xml:space="preserve">Royalty to former owner. </w:t>
      </w:r>
      <w:r>
        <w:rPr>
          <w:rFonts w:ascii="Arial" w:cs="Arial" w:eastAsia="Arial" w:hAnsi="Arial"/>
          <w:sz w:val="16"/>
          <w:szCs w:val="16"/>
          <w:color w:val="auto"/>
        </w:rPr>
        <w:t>In connection with our royalty fee arrangement with our former owner, we incurred royalty expenses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2006 of $2.7 million, 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64"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year ended December 31, 2006 was $2.8 million, a decrease of $0.3 million, or 8.7%,</w:t>
      </w:r>
      <w:r>
        <w:rPr>
          <w:rFonts w:ascii="Arial" w:cs="Arial" w:eastAsia="Arial" w:hAnsi="Arial"/>
          <w:sz w:val="16"/>
          <w:szCs w:val="16"/>
          <w:i w:val="1"/>
          <w:iCs w:val="1"/>
          <w:color w:val="auto"/>
        </w:rPr>
        <w:t xml:space="preserve"> </w:t>
      </w:r>
      <w:r>
        <w:rPr>
          <w:rFonts w:ascii="Arial" w:cs="Arial" w:eastAsia="Arial" w:hAnsi="Arial"/>
          <w:sz w:val="16"/>
          <w:szCs w:val="16"/>
          <w:color w:val="auto"/>
        </w:rPr>
        <w:t>from $3.1 million for the year ended December 31, 2005. The decrease was primarily due to a lower average level of borrowings in 2006.</w:t>
      </w:r>
    </w:p>
    <w:p>
      <w:pPr>
        <w:spacing w:after="0" w:line="29" w:lineRule="exact"/>
        <w:rPr>
          <w:sz w:val="20"/>
          <w:szCs w:val="20"/>
          <w:color w:val="auto"/>
        </w:rPr>
      </w:pPr>
    </w:p>
    <w:p>
      <w:pPr>
        <w:ind w:left="700" w:right="660" w:firstLine="397"/>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the year ended December 31, 2006 was $0.9 million, an increase of $0.6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$0.3 million for the year ended December 31, 2005 as a result of increased levels of cash and cash equivalents earning interest.</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year ended December 31, 2006 was $0.5 million, an increase of</w:t>
      </w:r>
    </w:p>
    <w:p>
      <w:pPr>
        <w:spacing w:after="0" w:line="35" w:lineRule="exact"/>
        <w:rPr>
          <w:sz w:val="20"/>
          <w:szCs w:val="20"/>
          <w:color w:val="auto"/>
        </w:rPr>
      </w:pPr>
    </w:p>
    <w:p>
      <w:pPr>
        <w:ind w:left="700" w:right="200"/>
        <w:spacing w:after="0" w:line="261" w:lineRule="auto"/>
        <w:rPr>
          <w:sz w:val="20"/>
          <w:szCs w:val="20"/>
          <w:color w:val="auto"/>
        </w:rPr>
      </w:pPr>
      <w:r>
        <w:rPr>
          <w:rFonts w:ascii="Arial" w:cs="Arial" w:eastAsia="Arial" w:hAnsi="Arial"/>
          <w:sz w:val="18"/>
          <w:szCs w:val="18"/>
          <w:color w:val="auto"/>
        </w:rPr>
        <w:t>$4.0 million from income tax benefit of $3.4 million for the year ended December 31, 2005. This increase was primarily attributable to our net income before income taxes and a change in our effective income tax rate to 46.9% from 44.5%.</w:t>
      </w:r>
    </w:p>
    <w:p>
      <w:pPr>
        <w:spacing w:after="0" w:line="89" w:lineRule="exact"/>
        <w:rPr>
          <w:sz w:val="20"/>
          <w:szCs w:val="20"/>
          <w:color w:val="auto"/>
        </w:rPr>
      </w:pPr>
    </w:p>
    <w:p>
      <w:pPr>
        <w:ind w:left="700" w:right="740" w:firstLine="397"/>
        <w:spacing w:after="0" w:line="308" w:lineRule="auto"/>
        <w:rPr>
          <w:sz w:val="20"/>
          <w:szCs w:val="20"/>
          <w:color w:val="auto"/>
        </w:rPr>
      </w:pPr>
      <w:r>
        <w:rPr>
          <w:rFonts w:ascii="Arial" w:cs="Arial" w:eastAsia="Arial" w:hAnsi="Arial"/>
          <w:sz w:val="17"/>
          <w:szCs w:val="17"/>
          <w:i w:val="1"/>
          <w:iCs w:val="1"/>
          <w:color w:val="auto"/>
        </w:rPr>
        <w:t xml:space="preserve">Net income (loss). </w:t>
      </w:r>
      <w:r>
        <w:rPr>
          <w:rFonts w:ascii="Arial" w:cs="Arial" w:eastAsia="Arial" w:hAnsi="Arial"/>
          <w:sz w:val="17"/>
          <w:szCs w:val="17"/>
          <w:color w:val="auto"/>
        </w:rPr>
        <w:t>Our net income for the year ended December 31, 2006 was $0.6 million, an increase of $4.9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loss of $4.3 million for the year ended December 31, 2006 due to the factors discussed above.</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700" w:right="140" w:firstLine="397"/>
        <w:spacing w:after="0" w:line="269"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We financed our operating activities and capital expenditures during the years ended December 31, 2005, 2006, and 2007</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first six months of 2008 primarily through cash provided by operating activities and several private placements of securities. Our unrestricted cash, cash equivalents, and marketable securities were $14.4 million, $23.2 million, and $7.2 million at December 31, 2006 and 2007 and June 30, 2008, respectively.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80" w:firstLine="397"/>
        <w:spacing w:after="0" w:line="308" w:lineRule="auto"/>
        <w:rPr>
          <w:sz w:val="20"/>
          <w:szCs w:val="20"/>
          <w:color w:val="auto"/>
        </w:rPr>
      </w:pPr>
      <w:r>
        <w:rPr>
          <w:rFonts w:ascii="Arial" w:cs="Arial" w:eastAsia="Arial" w:hAnsi="Arial"/>
          <w:sz w:val="17"/>
          <w:szCs w:val="17"/>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2"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by operating activities for the six months ended June 30, 2008 was $1.3 million. This reduction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cash provided by operating activities during the year ended December 31, 2007 is due to the payment of $19.5 million made to our former owner in April 2008 to satisfy in full all past royalties due under the royalty agreement and the elimination of the existing obligation to pay royalties for online student revenues in perpetuity. Excluding this payment, net cash provided by operating activities for the six months ended June 30, 2008 would have been $10.8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 cash provided by operating activities would have been $6.3 million. Our tax payments exceeded our tax expense as our $5.0 million of income taxes paid represented a majority of our 2006 and 2007 tax obligations.</w:t>
      </w:r>
    </w:p>
    <w:p>
      <w:pPr>
        <w:spacing w:after="0" w:line="83" w:lineRule="exact"/>
        <w:rPr>
          <w:sz w:val="20"/>
          <w:szCs w:val="20"/>
          <w:color w:val="auto"/>
        </w:rPr>
      </w:pPr>
    </w:p>
    <w:p>
      <w:pPr>
        <w:jc w:val="both"/>
        <w:ind w:left="700" w:right="340" w:firstLine="397"/>
        <w:spacing w:after="0" w:line="279" w:lineRule="auto"/>
        <w:rPr>
          <w:sz w:val="20"/>
          <w:szCs w:val="20"/>
          <w:color w:val="auto"/>
        </w:rPr>
      </w:pPr>
      <w:r>
        <w:rPr>
          <w:rFonts w:ascii="Arial" w:cs="Arial" w:eastAsia="Arial" w:hAnsi="Arial"/>
          <w:sz w:val="17"/>
          <w:szCs w:val="17"/>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77"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8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provided by (used in) investing activities was $(10.0) million, $6.7 million, and $(7.6)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years ended December 31, 2005, 2006, and 2007, respectively, and $(4.0) million for the six months ended June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$4.0 million for the six months ended June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(used in) financing activities was $16.0 million, $(1.7) million, and $9.3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2005, 2006, and 2007, respectively, and $(10.7) million for the six months ended June 30, 2008. During these periods, principal payments on notes payable, capital lease obligations and our line of credit were offset by private placements of securities by our stockholders and amounts drawn on our line of credit. Net cash used in financing activities for the six months ended June 30, 2008 also included the $6.0 million related to the repurchase of a warrant from our former owner pursuant to the standstill agreement.</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following table sets forth, as of December 31, 2007, the aggregate amounts of our significant contractual obligations and commitments with definitive payment terms due in each of the periods presented (in millions):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6"/>
              </w:rPr>
              <w:t>Payments Due by Period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60" w:type="dxa"/>
            <w:vAlign w:val="bottom"/>
          </w:tcPr>
          <w:p>
            <w:pPr>
              <w:spacing w:after="0"/>
              <w:rPr>
                <w:sz w:val="10"/>
                <w:szCs w:val="10"/>
                <w:color w:val="auto"/>
              </w:rPr>
            </w:pPr>
          </w:p>
        </w:tc>
        <w:tc>
          <w:tcPr>
            <w:tcW w:w="4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Years</w:t>
            </w:r>
          </w:p>
        </w:tc>
        <w:tc>
          <w:tcPr>
            <w:tcW w:w="38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Years</w:t>
            </w:r>
          </w:p>
        </w:tc>
        <w:tc>
          <w:tcPr>
            <w:tcW w:w="74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2-3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w w:val="98"/>
              </w:rPr>
              <w:t>4-5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r>
              <w:rPr>
                <w:rFonts w:ascii="Arial" w:cs="Arial" w:eastAsia="Arial" w:hAnsi="Arial"/>
                <w:sz w:val="15"/>
                <w:szCs w:val="15"/>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improvement obligations</w:t>
            </w:r>
            <w:r>
              <w:rPr>
                <w:rFonts w:ascii="Arial" w:cs="Arial" w:eastAsia="Arial" w:hAnsi="Arial"/>
                <w:sz w:val="15"/>
                <w:szCs w:val="15"/>
                <w:color w:val="auto"/>
              </w:rPr>
              <w:t>(1)</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(2)</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30.4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620" w:hanging="301"/>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8, “Notes Payable and Capital Lease Obligations,” to our financial statements, which are included elsewhere in this prospectus, for a discussion of our long term debt and capital lease obligations.</w:t>
      </w:r>
    </w:p>
    <w:p>
      <w:pPr>
        <w:spacing w:after="0" w:line="21" w:lineRule="exact"/>
        <w:rPr>
          <w:rFonts w:ascii="Arial" w:cs="Arial" w:eastAsia="Arial" w:hAnsi="Arial"/>
          <w:sz w:val="18"/>
          <w:szCs w:val="18"/>
          <w:color w:val="auto"/>
        </w:rPr>
      </w:pPr>
    </w:p>
    <w:p>
      <w:pPr>
        <w:ind w:left="1000" w:right="220" w:hanging="301"/>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9, “Commitments and Contingencies,” to our financial statements, which are included elsewhere in this prospectus, for a discussion of our operating lease obligations.</w:t>
      </w:r>
    </w:p>
    <w:p>
      <w:pPr>
        <w:spacing w:after="0" w:line="7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Inflation</w:t>
      </w:r>
    </w:p>
    <w:p>
      <w:pPr>
        <w:spacing w:after="0" w:line="18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We believe that inflation has not had a material impact on our results of operations for the years ended December 31, 2005, 2006, or</w:t>
      </w:r>
    </w:p>
    <w:p>
      <w:pPr>
        <w:spacing w:after="0" w:line="23" w:lineRule="exact"/>
        <w:rPr>
          <w:sz w:val="20"/>
          <w:szCs w:val="20"/>
          <w:color w:val="auto"/>
        </w:rPr>
      </w:pPr>
    </w:p>
    <w:p>
      <w:pPr>
        <w:ind w:left="700" w:right="380"/>
        <w:spacing w:after="0" w:line="261" w:lineRule="auto"/>
        <w:rPr>
          <w:sz w:val="20"/>
          <w:szCs w:val="20"/>
          <w:color w:val="auto"/>
        </w:rPr>
      </w:pPr>
      <w:r>
        <w:rPr>
          <w:rFonts w:ascii="Arial" w:cs="Arial" w:eastAsia="Arial" w:hAnsi="Arial"/>
          <w:sz w:val="18"/>
          <w:szCs w:val="18"/>
          <w:color w:val="auto"/>
        </w:rPr>
        <w:t>2007 and the six months ended June 30, 2008. There can be no assurance that future inflation will not have an adverse impact on our operating results and financial condition.</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92"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580"/>
        <w:spacing w:after="0" w:line="342" w:lineRule="auto"/>
        <w:rPr>
          <w:sz w:val="20"/>
          <w:szCs w:val="20"/>
          <w:color w:val="auto"/>
        </w:rPr>
      </w:pPr>
      <w:r>
        <w:rPr>
          <w:rFonts w:ascii="Arial" w:cs="Arial" w:eastAsia="Arial" w:hAnsi="Arial"/>
          <w:sz w:val="16"/>
          <w:szCs w:val="16"/>
          <w:color w:val="auto"/>
        </w:rPr>
        <w:t>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29"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7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94" w:lineRule="exact"/>
        <w:rPr>
          <w:sz w:val="20"/>
          <w:szCs w:val="20"/>
          <w:color w:val="auto"/>
        </w:rPr>
      </w:pPr>
    </w:p>
    <w:p>
      <w:pPr>
        <w:ind w:left="1700" w:hanging="21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interest expense, or the cash requirements necessary to service interest or principal payments on our indebtedness;</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or cash required to replace assets that are being depreciated or amortized; and</w:t>
      </w:r>
    </w:p>
    <w:p>
      <w:pPr>
        <w:spacing w:after="0" w:line="130" w:lineRule="exact"/>
        <w:rPr>
          <w:rFonts w:ascii="Arial" w:cs="Arial" w:eastAsia="Arial" w:hAnsi="Arial"/>
          <w:sz w:val="18"/>
          <w:szCs w:val="18"/>
          <w:color w:val="auto"/>
        </w:rPr>
      </w:pPr>
    </w:p>
    <w:p>
      <w:pPr>
        <w:ind w:left="1700" w:hanging="211"/>
        <w:spacing w:after="0" w:line="264"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87"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1"/>
                <w:szCs w:val="11"/>
                <w:b w:val="1"/>
                <w:bCs w:val="1"/>
                <w:color w:val="auto"/>
                <w:w w:val="75"/>
              </w:rPr>
              <w:t>(Unaudited)</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12"/>
                <w:szCs w:val="12"/>
                <w:b w:val="1"/>
                <w:bCs w:val="1"/>
                <w:color w:val="auto"/>
                <w:w w:val="92"/>
              </w:rPr>
              <w:t>(a)</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2,822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3,797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4"/>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(b)</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1,629</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9,074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5,551</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 w:hanging="307"/>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32" w:lineRule="exact"/>
        <w:rPr>
          <w:rFonts w:ascii="Arial" w:cs="Arial" w:eastAsia="Arial" w:hAnsi="Arial"/>
          <w:sz w:val="18"/>
          <w:szCs w:val="18"/>
          <w:color w:val="auto"/>
        </w:rPr>
      </w:pPr>
    </w:p>
    <w:p>
      <w:pPr>
        <w:ind w:left="1000" w:right="40" w:hanging="307"/>
        <w:spacing w:after="0" w:line="27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22" w:lineRule="exact"/>
        <w:rPr>
          <w:rFonts w:ascii="Arial" w:cs="Arial" w:eastAsia="Arial" w:hAnsi="Arial"/>
          <w:sz w:val="17"/>
          <w:szCs w:val="17"/>
          <w:color w:val="auto"/>
        </w:rPr>
      </w:pPr>
    </w:p>
    <w:p>
      <w:pPr>
        <w:ind w:left="1000" w:right="100" w:hanging="291"/>
        <w:spacing w:after="0" w:line="273" w:lineRule="auto"/>
        <w:tabs>
          <w:tab w:leader="none" w:pos="10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Reflects management fees and expenses of $0.1 million, $0.3 million, and $0.3 million for the years ended December 31, 2005, 2006, and 2007, respectively, and $0.1 million and $0.2 million for the six month periods ended June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84"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To date, we have not granted or issued any stock-based compensation. Prior to this offering, we intend to adopt and implement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 portion of which will be fully vested upon grant. As a result, we expect to incur non-cash, stock-based compensation expenses in future periods, including expenses of approximately $10 million in the second half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Quantitative and Qualitative Disclosure About Risk</w:t>
      </w:r>
    </w:p>
    <w:p>
      <w:pPr>
        <w:spacing w:after="0" w:line="189"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i w:val="1"/>
          <w:iCs w:val="1"/>
          <w:color w:val="auto"/>
        </w:rPr>
        <w:t xml:space="preserve">Market risk. </w:t>
      </w:r>
      <w:r>
        <w:rPr>
          <w:rFonts w:ascii="Arial" w:cs="Arial" w:eastAsia="Arial" w:hAnsi="Arial"/>
          <w:sz w:val="18"/>
          <w:szCs w:val="18"/>
          <w:color w:val="auto"/>
        </w:rPr>
        <w:t>We have no derivative financial instruments or derivative commodity instruments. We invest cash in excess of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requirements in short term certificates of deposit and money market instruments.</w:t>
      </w:r>
    </w:p>
    <w:p>
      <w:pPr>
        <w:spacing w:after="0" w:line="76"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manage interest rate risk by investing excess funds in cash equivalents and marketable securities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interest rates, which are tied to various market indices. Our future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302" w:lineRule="auto"/>
        <w:rPr>
          <w:sz w:val="20"/>
          <w:szCs w:val="20"/>
          <w:color w:val="auto"/>
        </w:rPr>
      </w:pPr>
      <w:r>
        <w:rPr>
          <w:rFonts w:ascii="Arial" w:cs="Arial" w:eastAsia="Arial" w:hAnsi="Arial"/>
          <w:sz w:val="16"/>
          <w:szCs w:val="16"/>
          <w:color w:val="auto"/>
        </w:rPr>
        <w:t>investment income may fall short of expectations due to changes in interest rates or we may suffer losses in principal if we are forced to sell securities that have declined in market value due to changes in interest rates. At December 31, 2007 and June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 xml:space="preserve">In June 2006, the FASB issued FASB Interpretation No. 48, </w:t>
      </w:r>
      <w:r>
        <w:rPr>
          <w:rFonts w:ascii="Arial" w:cs="Arial" w:eastAsia="Arial" w:hAnsi="Arial"/>
          <w:sz w:val="16"/>
          <w:szCs w:val="16"/>
          <w:i w:val="1"/>
          <w:iCs w:val="1"/>
          <w:color w:val="auto"/>
        </w:rPr>
        <w:t>Accounting for Uncertainty in Income Taxes — 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109 </w:t>
      </w:r>
      <w:r>
        <w:rPr>
          <w:rFonts w:ascii="Arial" w:cs="Arial" w:eastAsia="Arial" w:hAnsi="Arial"/>
          <w:sz w:val="16"/>
          <w:szCs w:val="16"/>
          <w:color w:val="auto"/>
        </w:rPr>
        <w:t>(“FIN 48”). This interpretation, among other things, creates a two step approach for evaluating uncertain tax</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our adoption did not have a material impact on our financial statements.</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will have a material impact on our financial position or results of operations.</w:t>
      </w:r>
    </w:p>
    <w:p>
      <w:pPr>
        <w:spacing w:after="0" w:line="99"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Amendment of FASB Statement No. 115 </w:t>
      </w:r>
      <w:r>
        <w:rPr>
          <w:rFonts w:ascii="Arial" w:cs="Arial" w:eastAsia="Arial" w:hAnsi="Arial"/>
          <w:sz w:val="17"/>
          <w:szCs w:val="17"/>
          <w:color w:val="auto"/>
        </w:rPr>
        <w:t>(“SFAS No. 159”). This standard permits entities to choose to measure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16,500 students at June 30, 2008, representing a compound annual growth rate of approximately 46%. At December 31, 2007, our enrollment was approximately 14,800, 85% of our students were enrolled in our online programs, and 62% of our students were pursuing master’s degrees.</w:t>
      </w:r>
    </w:p>
    <w:p>
      <w:pPr>
        <w:spacing w:after="0" w:line="57"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30"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primarily focus on recruiting and educating working adults, whom we define as students age 25 or older who are pursuing a degree while employed. As of June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experienced significant growth in enrollment, net revenue, and operating income over the last several years. Our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enrollment at December 31, 2007 was approximately 14,800, representing an increase of approximately 38% over our enrollment at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31, 2006. Our net revenue and operating income for the year ended December 31, 2007 were $99.3 million and $4.3 million,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respectively, representing increases of 37.7% and 42.8%, respectively, over the year ended December 31, 2006. Our enrollment at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June 30, 2008 was approximately 16,500, representing an increase of approximately 60% over our enrollment at June 30, 2007. Our net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revenue and operating income for the six months ended June 30, 2008 were $70.3 million and $6.3 million, respectively, representing</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increases of 59.5% and 172.2%, respectively, over the six months ended June 30, 2007. We believe our growth is the result of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combination of factors, including our:</w:t>
      </w:r>
    </w:p>
    <w:p>
      <w:pPr>
        <w:spacing w:after="0" w:line="89" w:lineRule="exact"/>
        <w:rPr>
          <w:sz w:val="20"/>
          <w:szCs w:val="20"/>
          <w:color w:val="auto"/>
        </w:rPr>
      </w:pPr>
    </w:p>
    <w:p>
      <w:pPr>
        <w:ind w:left="1700" w:hanging="21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focus on our core disciplines of education, business, and healthcare;</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convenient and flexible online delivery platform targeted at working adults;</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innovative marketing, recruitment, and retention approach; and</w:t>
      </w:r>
    </w:p>
    <w:p>
      <w:pPr>
        <w:spacing w:after="0" w:line="76" w:lineRule="exact"/>
        <w:rPr>
          <w:rFonts w:ascii="Arial" w:cs="Arial" w:eastAsia="Arial" w:hAnsi="Arial"/>
          <w:sz w:val="18"/>
          <w:szCs w:val="18"/>
          <w:color w:val="auto"/>
        </w:rPr>
      </w:pPr>
    </w:p>
    <w:p>
      <w:pPr>
        <w:ind w:left="1700" w:hanging="21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portfolio of academically rigorous, career-oriented program offerings.</w:t>
      </w:r>
    </w:p>
    <w:p>
      <w:pPr>
        <w:spacing w:after="0" w:line="90"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3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History</w:t>
      </w:r>
    </w:p>
    <w:p>
      <w:pPr>
        <w:spacing w:after="0" w:line="94"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1970s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60"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38"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Industry</w:t>
      </w:r>
    </w:p>
    <w:p>
      <w:pPr>
        <w:spacing w:after="0" w:line="94"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i w:val="1"/>
          <w:iCs w:val="1"/>
          <w:color w:val="auto"/>
        </w:rPr>
        <w:t xml:space="preserve">Postsecondary education. </w:t>
      </w:r>
      <w:r>
        <w:rPr>
          <w:rFonts w:ascii="Arial" w:cs="Arial" w:eastAsia="Arial" w:hAnsi="Arial"/>
          <w:sz w:val="16"/>
          <w:szCs w:val="16"/>
          <w:color w:val="auto"/>
        </w:rPr>
        <w:t>The United States market for postsecondary education represents a large and growing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 March 2008 NCES report, total revenue for all degree-granting postsecondary institutions was over $385 billion for the 2004-05 school year. In addition, the number of students enrolled in postsecondary institutions was projected to be approximately</w:t>
      </w:r>
    </w:p>
    <w:p>
      <w:pPr>
        <w:ind w:left="700" w:right="20"/>
        <w:spacing w:after="0" w:line="292" w:lineRule="auto"/>
        <w:rPr>
          <w:sz w:val="20"/>
          <w:szCs w:val="20"/>
          <w:color w:val="auto"/>
        </w:rPr>
      </w:pPr>
      <w:r>
        <w:rPr>
          <w:rFonts w:ascii="Arial" w:cs="Arial" w:eastAsia="Arial" w:hAnsi="Arial"/>
          <w:sz w:val="16"/>
          <w:szCs w:val="16"/>
          <w:color w:val="auto"/>
        </w:rPr>
        <w:t>18.0 million in 2007 and the number was projected to grow to 18.8 million by 2010. We 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w:t>
      </w:r>
    </w:p>
    <w:p>
      <w:pPr>
        <w:spacing w:after="0" w:line="3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20"/>
        <w:spacing w:after="0" w:line="342" w:lineRule="auto"/>
        <w:rPr>
          <w:sz w:val="20"/>
          <w:szCs w:val="20"/>
          <w:color w:val="auto"/>
        </w:rPr>
      </w:pPr>
      <w:r>
        <w:rPr>
          <w:rFonts w:ascii="Arial" w:cs="Arial" w:eastAsia="Arial" w:hAnsi="Arial"/>
          <w:sz w:val="16"/>
          <w:szCs w:val="16"/>
          <w:color w:val="auto"/>
        </w:rPr>
        <w:t>U.S. Census Bureau, in 2006, the median income for individuals age 25 years or older with a bachelor’s or master’s degree was approximately 70% or 102% higher, respectively, than for a high school graduate of the same age with no college education.</w:t>
      </w:r>
    </w:p>
    <w:p>
      <w:pPr>
        <w:spacing w:after="0" w:line="2"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According to the March 2008 NCES report, as of 2007 71% of adults age 25 years or older did not possess a bachelor’s or higher degree. In a December 2007 report, the NCES estimated that, as of 2005, adults age 25 years or older represented 39% of total</w:t>
      </w:r>
    </w:p>
    <w:p>
      <w:pPr>
        <w:ind w:left="700"/>
        <w:spacing w:after="0" w:line="252" w:lineRule="auto"/>
        <w:rPr>
          <w:sz w:val="20"/>
          <w:szCs w:val="20"/>
          <w:color w:val="auto"/>
        </w:rPr>
      </w:pPr>
      <w:r>
        <w:rPr>
          <w:rFonts w:ascii="Arial" w:cs="Arial" w:eastAsia="Arial" w:hAnsi="Arial"/>
          <w:sz w:val="18"/>
          <w:szCs w:val="18"/>
          <w:color w:val="auto"/>
        </w:rPr>
        <w:t>U.S. postsecondary enrollments, or approximately 6.8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59"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i w:val="1"/>
          <w:iCs w:val="1"/>
          <w:color w:val="auto"/>
        </w:rPr>
        <w:t xml:space="preserve">Online postsecondary education. </w:t>
      </w:r>
      <w:r>
        <w:rPr>
          <w:rFonts w:ascii="Arial" w:cs="Arial" w:eastAsia="Arial" w:hAnsi="Arial"/>
          <w:sz w:val="17"/>
          <w:szCs w:val="17"/>
          <w:color w:val="auto"/>
        </w:rPr>
        <w:t>The market for online postsecondary education is growing more rapidly than the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December 2007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4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Education, business, and healthcare. </w:t>
      </w:r>
      <w:r>
        <w:rPr>
          <w:rFonts w:ascii="Arial" w:cs="Arial" w:eastAsia="Arial" w:hAnsi="Arial"/>
          <w:sz w:val="17"/>
          <w:szCs w:val="17"/>
          <w:color w:val="auto"/>
        </w:rPr>
        <w:t>The education, business, and healthcare sectors represent a large and growing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postsecondary education. According to the March 2008 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60" w:lineRule="exact"/>
        <w:rPr>
          <w:sz w:val="20"/>
          <w:szCs w:val="20"/>
          <w:color w:val="auto"/>
        </w:rPr>
      </w:pPr>
    </w:p>
    <w:p>
      <w:pPr>
        <w:ind w:left="1700" w:right="120" w:hanging="211"/>
        <w:spacing w:after="0" w:line="25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53" w:lineRule="exact"/>
        <w:rPr>
          <w:rFonts w:ascii="Arial" w:cs="Arial" w:eastAsia="Arial" w:hAnsi="Arial"/>
          <w:sz w:val="18"/>
          <w:szCs w:val="18"/>
          <w:color w:val="auto"/>
        </w:rPr>
      </w:pPr>
    </w:p>
    <w:p>
      <w:pPr>
        <w:jc w:val="both"/>
        <w:ind w:left="1700" w:right="100" w:hanging="211"/>
        <w:spacing w:after="0" w:line="325" w:lineRule="auto"/>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1" w:lineRule="exact"/>
        <w:rPr>
          <w:rFonts w:ascii="Arial" w:cs="Arial" w:eastAsia="Arial" w:hAnsi="Arial"/>
          <w:sz w:val="16"/>
          <w:szCs w:val="16"/>
          <w:color w:val="auto"/>
        </w:rPr>
      </w:pPr>
    </w:p>
    <w:p>
      <w:pPr>
        <w:ind w:left="1700" w:right="60" w:hanging="211"/>
        <w:spacing w:after="0" w:line="302" w:lineRule="auto"/>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we have the following competitive strengths:</w:t>
      </w:r>
    </w:p>
    <w:p>
      <w:pPr>
        <w:spacing w:after="0" w:line="90" w:lineRule="exact"/>
        <w:rPr>
          <w:sz w:val="20"/>
          <w:szCs w:val="20"/>
          <w:color w:val="auto"/>
        </w:rPr>
      </w:pPr>
    </w:p>
    <w:p>
      <w:pPr>
        <w:ind w:left="700" w:right="40" w:firstLine="794"/>
        <w:spacing w:after="0" w:line="290" w:lineRule="auto"/>
        <w:rPr>
          <w:sz w:val="20"/>
          <w:szCs w:val="20"/>
          <w:color w:val="auto"/>
        </w:rPr>
      </w:pPr>
      <w:r>
        <w:rPr>
          <w:rFonts w:ascii="Arial" w:cs="Arial" w:eastAsia="Arial" w:hAnsi="Arial"/>
          <w:sz w:val="16"/>
          <w:szCs w:val="16"/>
          <w:i w:val="1"/>
          <w:iCs w:val="1"/>
          <w:color w:val="auto"/>
        </w:rPr>
        <w:t xml:space="preserve">Established presence in targeted, high demand disciplines. </w:t>
      </w:r>
      <w:r>
        <w:rPr>
          <w:rFonts w:ascii="Arial" w:cs="Arial" w:eastAsia="Arial" w:hAnsi="Arial"/>
          <w:sz w:val="16"/>
          <w:szCs w:val="16"/>
          <w:color w:val="auto"/>
        </w:rPr>
        <w:t>We have an established presence within our three core disciplines</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business, and healthcare, which, 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31" w:lineRule="exact"/>
        <w:rPr>
          <w:sz w:val="20"/>
          <w:szCs w:val="20"/>
          <w:color w:val="auto"/>
        </w:rPr>
      </w:pPr>
    </w:p>
    <w:p>
      <w:pPr>
        <w:ind w:left="700" w:right="120" w:firstLine="794"/>
        <w:spacing w:after="0" w:line="291" w:lineRule="auto"/>
        <w:rPr>
          <w:sz w:val="20"/>
          <w:szCs w:val="20"/>
          <w:color w:val="auto"/>
        </w:rPr>
      </w:pPr>
      <w:r>
        <w:rPr>
          <w:rFonts w:ascii="Arial" w:cs="Arial" w:eastAsia="Arial" w:hAnsi="Arial"/>
          <w:sz w:val="16"/>
          <w:szCs w:val="16"/>
          <w:i w:val="1"/>
          <w:iCs w:val="1"/>
          <w:color w:val="auto"/>
        </w:rPr>
        <w:t xml:space="preserve">Focus on graduate degrees for working adults. </w:t>
      </w:r>
      <w:r>
        <w:rPr>
          <w:rFonts w:ascii="Arial" w:cs="Arial" w:eastAsia="Arial" w:hAnsi="Arial"/>
          <w:sz w:val="16"/>
          <w:szCs w:val="16"/>
          <w:color w:val="auto"/>
        </w:rPr>
        <w:t>We have designed our program offerings and our online delivery platform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needs of working adults, particularly 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June 30, 2008, approximately 68.6% of our online students were enrolled in graduate degree programs.</w:t>
      </w:r>
    </w:p>
    <w:p>
      <w:pPr>
        <w:spacing w:after="0" w:line="46" w:lineRule="exact"/>
        <w:rPr>
          <w:sz w:val="20"/>
          <w:szCs w:val="20"/>
          <w:color w:val="auto"/>
        </w:rPr>
      </w:pPr>
    </w:p>
    <w:p>
      <w:pPr>
        <w:ind w:left="700" w:right="140" w:firstLine="794"/>
        <w:spacing w:after="0" w:line="290" w:lineRule="auto"/>
        <w:rPr>
          <w:sz w:val="20"/>
          <w:szCs w:val="20"/>
          <w:color w:val="auto"/>
        </w:rPr>
      </w:pPr>
      <w:r>
        <w:rPr>
          <w:rFonts w:ascii="Arial" w:cs="Arial" w:eastAsia="Arial" w:hAnsi="Arial"/>
          <w:sz w:val="16"/>
          <w:szCs w:val="16"/>
          <w:i w:val="1"/>
          <w:iCs w:val="1"/>
          <w:color w:val="auto"/>
        </w:rPr>
        <w:t xml:space="preserve">Innovative marketing, recruiting, and retention strategy. </w:t>
      </w:r>
      <w:r>
        <w:rPr>
          <w:rFonts w:ascii="Arial" w:cs="Arial" w:eastAsia="Arial" w:hAnsi="Arial"/>
          <w:sz w:val="16"/>
          <w:szCs w:val="16"/>
          <w:color w:val="auto"/>
        </w:rPr>
        <w:t>We have developed an integrated, innovative approach to student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recruitment, and retention to reach our 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31" w:lineRule="exact"/>
        <w:rPr>
          <w:sz w:val="20"/>
          <w:szCs w:val="20"/>
          <w:color w:val="auto"/>
        </w:rPr>
      </w:pPr>
    </w:p>
    <w:p>
      <w:pPr>
        <w:ind w:left="700" w:firstLine="794"/>
        <w:spacing w:after="0" w:line="254" w:lineRule="auto"/>
        <w:rPr>
          <w:sz w:val="20"/>
          <w:szCs w:val="20"/>
          <w:color w:val="auto"/>
        </w:rPr>
      </w:pPr>
      <w:r>
        <w:rPr>
          <w:rFonts w:ascii="Arial" w:cs="Arial" w:eastAsia="Arial" w:hAnsi="Arial"/>
          <w:sz w:val="18"/>
          <w:szCs w:val="18"/>
          <w:i w:val="1"/>
          <w:iCs w:val="1"/>
          <w:color w:val="auto"/>
        </w:rPr>
        <w:t xml:space="preserve">Commitment to offering academically rigorous, career-oriented programs. </w:t>
      </w:r>
      <w:r>
        <w:rPr>
          <w:rFonts w:ascii="Arial" w:cs="Arial" w:eastAsia="Arial" w:hAnsi="Arial"/>
          <w:sz w:val="18"/>
          <w:szCs w:val="18"/>
          <w:color w:val="auto"/>
        </w:rPr>
        <w:t>We are committed to offering academically</w:t>
      </w:r>
      <w:r>
        <w:rPr>
          <w:rFonts w:ascii="Arial" w:cs="Arial" w:eastAsia="Arial" w:hAnsi="Arial"/>
          <w:sz w:val="18"/>
          <w:szCs w:val="18"/>
          <w:i w:val="1"/>
          <w:iCs w:val="1"/>
          <w:color w:val="auto"/>
        </w:rPr>
        <w:t xml:space="preserve"> </w:t>
      </w:r>
      <w:r>
        <w:rPr>
          <w:rFonts w:ascii="Arial" w:cs="Arial" w:eastAsia="Arial" w:hAnsi="Arial"/>
          <w:sz w:val="18"/>
          <w:szCs w:val="18"/>
          <w:color w:val="auto"/>
        </w:rPr>
        <w:t>rigorous educational programs that are designed to 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57" w:lineRule="exact"/>
        <w:rPr>
          <w:sz w:val="20"/>
          <w:szCs w:val="20"/>
          <w:color w:val="auto"/>
        </w:rPr>
      </w:pPr>
    </w:p>
    <w:p>
      <w:pPr>
        <w:ind w:left="700" w:right="80" w:firstLine="794"/>
        <w:spacing w:after="0" w:line="253" w:lineRule="auto"/>
        <w:rPr>
          <w:sz w:val="20"/>
          <w:szCs w:val="20"/>
          <w:color w:val="auto"/>
        </w:rPr>
      </w:pPr>
      <w:r>
        <w:rPr>
          <w:rFonts w:ascii="Arial" w:cs="Arial" w:eastAsia="Arial" w:hAnsi="Arial"/>
          <w:sz w:val="18"/>
          <w:szCs w:val="18"/>
          <w:i w:val="1"/>
          <w:iCs w:val="1"/>
          <w:color w:val="auto"/>
        </w:rPr>
        <w:t xml:space="preserve">Complementary online capabilities and campus-based tradition. </w:t>
      </w:r>
      <w:r>
        <w:rPr>
          <w:rFonts w:ascii="Arial" w:cs="Arial" w:eastAsia="Arial" w:hAnsi="Arial"/>
          <w:sz w:val="18"/>
          <w:szCs w:val="18"/>
          <w:color w:val="auto"/>
        </w:rPr>
        <w:t>We believe that our online capabilities, combined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794"/>
        <w:spacing w:after="0" w:line="290" w:lineRule="auto"/>
        <w:rPr>
          <w:sz w:val="20"/>
          <w:szCs w:val="20"/>
          <w:color w:val="auto"/>
        </w:rPr>
      </w:pPr>
      <w:r>
        <w:rPr>
          <w:rFonts w:ascii="Arial" w:cs="Arial" w:eastAsia="Arial" w:hAnsi="Arial"/>
          <w:sz w:val="16"/>
          <w:szCs w:val="16"/>
          <w:i w:val="1"/>
          <w:iCs w:val="1"/>
          <w:color w:val="auto"/>
        </w:rPr>
        <w:t xml:space="preserve">Experienced executive management team with strong operating track-record. </w:t>
      </w:r>
      <w:r>
        <w:rPr>
          <w:rFonts w:ascii="Arial" w:cs="Arial" w:eastAsia="Arial" w:hAnsi="Arial"/>
          <w:sz w:val="16"/>
          <w:szCs w:val="16"/>
          <w:color w:val="auto"/>
        </w:rPr>
        <w:t>Our executive management team possesses</w:t>
      </w:r>
      <w:r>
        <w:rPr>
          <w:rFonts w:ascii="Arial" w:cs="Arial" w:eastAsia="Arial" w:hAnsi="Arial"/>
          <w:sz w:val="16"/>
          <w:szCs w:val="16"/>
          <w:i w:val="1"/>
          <w:iCs w:val="1"/>
          <w:color w:val="auto"/>
        </w:rPr>
        <w:t xml:space="preserve"> </w:t>
      </w:r>
      <w:r>
        <w:rPr>
          <w:rFonts w:ascii="Arial" w:cs="Arial" w:eastAsia="Arial" w:hAnsi="Arial"/>
          <w:sz w:val="16"/>
          <w:szCs w:val="16"/>
          <w:color w:val="auto"/>
        </w:rPr>
        <w:t>extensive experience in the management and 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and our Chief Operating Officer, John Crowley, have each worked in the education services sector for more than 20 years and have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45" w:lineRule="exact"/>
        <w:rPr>
          <w:sz w:val="20"/>
          <w:szCs w:val="20"/>
          <w:color w:val="auto"/>
        </w:rPr>
      </w:pPr>
    </w:p>
    <w:p>
      <w:pPr>
        <w:ind w:left="700" w:right="320" w:firstLine="794"/>
        <w:spacing w:after="0" w:line="291" w:lineRule="auto"/>
        <w:rPr>
          <w:sz w:val="20"/>
          <w:szCs w:val="20"/>
          <w:color w:val="auto"/>
        </w:rPr>
      </w:pPr>
      <w:r>
        <w:rPr>
          <w:rFonts w:ascii="Arial" w:cs="Arial" w:eastAsia="Arial" w:hAnsi="Arial"/>
          <w:sz w:val="16"/>
          <w:szCs w:val="16"/>
          <w:color w:val="auto"/>
        </w:rPr>
        <w:t>Effective July 1, 2008, we hired Brian Mueller, Stan Meyer, and Dan Bachus to serve as our Chief Executive Officer, Executive Vice President, and Chief Financial Officer, respectively. Mr. Mueller has been involved in the education industry for over</w:t>
      </w:r>
    </w:p>
    <w:p>
      <w:pPr>
        <w:ind w:left="700" w:right="20"/>
        <w:spacing w:after="0" w:line="253" w:lineRule="auto"/>
        <w:rPr>
          <w:sz w:val="20"/>
          <w:szCs w:val="20"/>
          <w:color w:val="auto"/>
        </w:rPr>
      </w:pPr>
      <w:r>
        <w:rPr>
          <w:rFonts w:ascii="Arial" w:cs="Arial" w:eastAsia="Arial" w:hAnsi="Arial"/>
          <w:sz w:val="18"/>
          <w:szCs w:val="18"/>
          <w:color w:val="auto"/>
        </w:rPr>
        <w:t>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Growth Strategies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pursue the following growth strategies:</w:t>
      </w:r>
    </w:p>
    <w:p>
      <w:pPr>
        <w:spacing w:after="0" w:line="90" w:lineRule="exact"/>
        <w:rPr>
          <w:sz w:val="20"/>
          <w:szCs w:val="20"/>
          <w:color w:val="auto"/>
        </w:rPr>
      </w:pPr>
    </w:p>
    <w:p>
      <w:pPr>
        <w:ind w:left="700" w:firstLine="794"/>
        <w:spacing w:after="0" w:line="271" w:lineRule="auto"/>
        <w:rPr>
          <w:sz w:val="20"/>
          <w:szCs w:val="20"/>
          <w:color w:val="auto"/>
        </w:rPr>
      </w:pPr>
      <w:r>
        <w:rPr>
          <w:rFonts w:ascii="Arial" w:cs="Arial" w:eastAsia="Arial" w:hAnsi="Arial"/>
          <w:sz w:val="17"/>
          <w:szCs w:val="17"/>
          <w:i w:val="1"/>
          <w:iCs w:val="1"/>
          <w:color w:val="auto"/>
        </w:rPr>
        <w:t xml:space="preserve">Increase enrollment in existing programs. </w:t>
      </w:r>
      <w:r>
        <w:rPr>
          <w:rFonts w:ascii="Arial" w:cs="Arial" w:eastAsia="Arial" w:hAnsi="Arial"/>
          <w:sz w:val="17"/>
          <w:szCs w:val="17"/>
          <w:color w:val="auto"/>
        </w:rPr>
        <w:t>We continue to increase enrollment in our three core disciplines by identifying,</w:t>
      </w:r>
      <w:r>
        <w:rPr>
          <w:rFonts w:ascii="Arial" w:cs="Arial" w:eastAsia="Arial" w:hAnsi="Arial"/>
          <w:sz w:val="17"/>
          <w:szCs w:val="17"/>
          <w:i w:val="1"/>
          <w:iCs w:val="1"/>
          <w:color w:val="auto"/>
        </w:rPr>
        <w:t xml:space="preserve"> </w:t>
      </w:r>
      <w:r>
        <w:rPr>
          <w:rFonts w:ascii="Arial" w:cs="Arial" w:eastAsia="Arial" w:hAnsi="Arial"/>
          <w:sz w:val="17"/>
          <w:szCs w:val="17"/>
          <w:color w:val="auto"/>
        </w:rPr>
        <w:t>enrolling, and retaining students seeking careers in 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217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44" w:lineRule="exact"/>
        <w:rPr>
          <w:sz w:val="20"/>
          <w:szCs w:val="20"/>
          <w:color w:val="auto"/>
        </w:rPr>
      </w:pPr>
    </w:p>
    <w:p>
      <w:pPr>
        <w:ind w:left="700" w:right="40" w:firstLine="794"/>
        <w:spacing w:after="0" w:line="254" w:lineRule="auto"/>
        <w:rPr>
          <w:sz w:val="20"/>
          <w:szCs w:val="20"/>
          <w:color w:val="auto"/>
        </w:rPr>
      </w:pPr>
      <w:r>
        <w:rPr>
          <w:rFonts w:ascii="Arial" w:cs="Arial" w:eastAsia="Arial" w:hAnsi="Arial"/>
          <w:sz w:val="18"/>
          <w:szCs w:val="18"/>
          <w:i w:val="1"/>
          <w:iCs w:val="1"/>
          <w:color w:val="auto"/>
        </w:rPr>
        <w:t xml:space="preserve">Expand online program and degree offerings. </w:t>
      </w:r>
      <w:r>
        <w:rPr>
          <w:rFonts w:ascii="Arial" w:cs="Arial" w:eastAsia="Arial" w:hAnsi="Arial"/>
          <w:sz w:val="18"/>
          <w:szCs w:val="18"/>
          <w:color w:val="auto"/>
        </w:rPr>
        <w:t>We develop and offer new programs that we believe have attractive demand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We launched 17 new online program offerings in 2007, including the Ken Blanchard Executive MBA program, and intend to launch a total of 12 new online programs in 2008, seven of which were launched in the first six months of 2008. We recently launched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71" w:lineRule="exact"/>
        <w:rPr>
          <w:sz w:val="20"/>
          <w:szCs w:val="20"/>
          <w:color w:val="auto"/>
        </w:rPr>
      </w:pPr>
    </w:p>
    <w:p>
      <w:pPr>
        <w:ind w:left="700" w:right="40" w:firstLine="794"/>
        <w:spacing w:after="0" w:line="255" w:lineRule="auto"/>
        <w:rPr>
          <w:sz w:val="20"/>
          <w:szCs w:val="20"/>
          <w:color w:val="auto"/>
        </w:rPr>
      </w:pPr>
      <w:r>
        <w:rPr>
          <w:rFonts w:ascii="Arial" w:cs="Arial" w:eastAsia="Arial" w:hAnsi="Arial"/>
          <w:sz w:val="18"/>
          <w:szCs w:val="18"/>
          <w:i w:val="1"/>
          <w:iCs w:val="1"/>
          <w:color w:val="auto"/>
        </w:rPr>
        <w:t xml:space="preserve">Further enhance our brand recognition. </w:t>
      </w:r>
      <w:r>
        <w:rPr>
          <w:rFonts w:ascii="Arial" w:cs="Arial" w:eastAsia="Arial" w:hAnsi="Arial"/>
          <w:sz w:val="18"/>
          <w:szCs w:val="18"/>
          <w:color w:val="auto"/>
        </w:rPr>
        <w:t>We continue to enhance our brand recognition by pursuing online and offline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campaigns, establishing strategic branding relationships with recognized industry leaders, and developing complementary resources in our core disciplines that increase the overall awareness of our offerings. In our marketing efforts, we emphasize the academic rigor and career orientation of our programs. We seek to promote our brand by establishing relationships with industry leaders, such as Ken Blanchard, who have recognizable identities with potential students and further validate the quality and relevance of our program offerings.</w:t>
      </w:r>
    </w:p>
    <w:p>
      <w:pPr>
        <w:spacing w:after="0" w:line="58" w:lineRule="exact"/>
        <w:rPr>
          <w:sz w:val="20"/>
          <w:szCs w:val="20"/>
          <w:color w:val="auto"/>
        </w:rPr>
      </w:pPr>
    </w:p>
    <w:p>
      <w:pPr>
        <w:ind w:left="700" w:right="160" w:firstLine="794"/>
        <w:spacing w:after="0" w:line="259" w:lineRule="auto"/>
        <w:rPr>
          <w:sz w:val="20"/>
          <w:szCs w:val="20"/>
          <w:color w:val="auto"/>
        </w:rPr>
      </w:pPr>
      <w:r>
        <w:rPr>
          <w:rFonts w:ascii="Arial" w:cs="Arial" w:eastAsia="Arial" w:hAnsi="Arial"/>
          <w:sz w:val="18"/>
          <w:szCs w:val="18"/>
          <w:i w:val="1"/>
          <w:iCs w:val="1"/>
          <w:color w:val="auto"/>
        </w:rPr>
        <w:t xml:space="preserve">Expand relationships with private sector and government employers. </w:t>
      </w:r>
      <w:r>
        <w:rPr>
          <w:rFonts w:ascii="Arial" w:cs="Arial" w:eastAsia="Arial" w:hAnsi="Arial"/>
          <w:sz w:val="18"/>
          <w:szCs w:val="18"/>
          <w:color w:val="auto"/>
        </w:rPr>
        <w:t>We seek additional relationships with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school districts, emergency services providers, and other employers through which we can market our offerings to their employees. As evidence of our success in these initiatives to date, in the first six months of 2008, we taught courses at 29 hospitals and had direct billing arrangements</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with 24 employers covering programs being pursued by over 1,000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700" w:right="40" w:firstLine="794"/>
        <w:spacing w:after="0" w:line="290" w:lineRule="auto"/>
        <w:rPr>
          <w:sz w:val="20"/>
          <w:szCs w:val="20"/>
          <w:color w:val="auto"/>
        </w:rPr>
      </w:pPr>
      <w:r>
        <w:rPr>
          <w:rFonts w:ascii="Arial" w:cs="Arial" w:eastAsia="Arial" w:hAnsi="Arial"/>
          <w:sz w:val="16"/>
          <w:szCs w:val="16"/>
          <w:i w:val="1"/>
          <w:iCs w:val="1"/>
          <w:color w:val="auto"/>
        </w:rPr>
        <w:t xml:space="preserve">Leverage infrastructure and drive earnings growth. </w:t>
      </w:r>
      <w:r>
        <w:rPr>
          <w:rFonts w:ascii="Arial" w:cs="Arial" w:eastAsia="Arial" w:hAnsi="Arial"/>
          <w:sz w:val="16"/>
          <w:szCs w:val="16"/>
          <w:color w:val="auto"/>
        </w:rPr>
        <w:t>We have made significant investments in our people, processes,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since 2004. We believe 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Approach to Academic Quality</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04" w:lineRule="exact"/>
        <w:rPr>
          <w:sz w:val="20"/>
          <w:szCs w:val="20"/>
          <w:color w:val="auto"/>
        </w:rPr>
      </w:pPr>
    </w:p>
    <w:p>
      <w:pPr>
        <w:ind w:left="1700" w:right="20" w:hanging="211"/>
        <w:spacing w:after="0" w:line="273" w:lineRule="auto"/>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Academically rigorous, career oriented curricula. </w:t>
      </w:r>
      <w:r>
        <w:rPr>
          <w:rFonts w:ascii="Arial" w:cs="Arial" w:eastAsia="Arial" w:hAnsi="Arial"/>
          <w:sz w:val="17"/>
          <w:szCs w:val="17"/>
          <w:color w:val="auto"/>
        </w:rPr>
        <w:t>We create academically rigorous curricula that are designed to enable all</w:t>
      </w:r>
      <w:r>
        <w:rPr>
          <w:rFonts w:ascii="Arial" w:cs="Arial" w:eastAsia="Arial" w:hAnsi="Arial"/>
          <w:sz w:val="17"/>
          <w:szCs w:val="17"/>
          <w:i w:val="1"/>
          <w:iCs w:val="1"/>
          <w:color w:val="auto"/>
        </w:rPr>
        <w:t xml:space="preserve"> </w:t>
      </w:r>
      <w:r>
        <w:rPr>
          <w:rFonts w:ascii="Arial" w:cs="Arial" w:eastAsia="Arial" w:hAnsi="Arial"/>
          <w:sz w:val="17"/>
          <w:szCs w:val="17"/>
          <w:color w:val="auto"/>
        </w:rPr>
        <w:t>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43" w:lineRule="exact"/>
        <w:rPr>
          <w:rFonts w:ascii="Arial" w:cs="Arial" w:eastAsia="Arial" w:hAnsi="Arial"/>
          <w:sz w:val="17"/>
          <w:szCs w:val="17"/>
          <w:color w:val="auto"/>
        </w:rPr>
      </w:pPr>
    </w:p>
    <w:p>
      <w:pPr>
        <w:ind w:left="1700" w:right="80" w:hanging="211"/>
        <w:spacing w:after="0" w:line="272" w:lineRule="auto"/>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and contracting qualified faculty</w:t>
      </w:r>
      <w:r>
        <w:rPr>
          <w:rFonts w:ascii="Arial" w:cs="Arial" w:eastAsia="Arial" w:hAnsi="Arial"/>
          <w:sz w:val="17"/>
          <w:szCs w:val="17"/>
          <w:i w:val="1"/>
          <w:iCs w:val="1"/>
          <w:color w:val="auto"/>
        </w:rPr>
        <w:t xml:space="preserve"> </w:t>
      </w:r>
      <w:r>
        <w:rPr>
          <w:rFonts w:ascii="Arial" w:cs="Arial" w:eastAsia="Arial" w:hAnsi="Arial"/>
          <w:sz w:val="17"/>
          <w:szCs w:val="17"/>
          <w:color w:val="auto"/>
        </w:rPr>
        <w:t>with relevant practical experience. Substantially all of our current faculty members hold at least a master’s degree in their respective field and approximately 38%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42" w:lineRule="exact"/>
        <w:rPr>
          <w:rFonts w:ascii="Arial" w:cs="Arial" w:eastAsia="Arial" w:hAnsi="Arial"/>
          <w:sz w:val="17"/>
          <w:szCs w:val="17"/>
          <w:color w:val="auto"/>
        </w:rPr>
      </w:pPr>
    </w:p>
    <w:p>
      <w:pPr>
        <w:ind w:left="1700" w:right="160" w:hanging="211"/>
        <w:spacing w:after="0" w:line="302" w:lineRule="auto"/>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Standardized course design. </w:t>
      </w:r>
      <w:r>
        <w:rPr>
          <w:rFonts w:ascii="Arial" w:cs="Arial" w:eastAsia="Arial" w:hAnsi="Arial"/>
          <w:sz w:val="16"/>
          <w:szCs w:val="16"/>
          <w:color w:val="auto"/>
        </w:rPr>
        <w:t>We employ a standardized curriculum development process to ensure a consistent learning</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5" w:lineRule="exact"/>
        <w:rPr>
          <w:rFonts w:ascii="Arial" w:cs="Arial" w:eastAsia="Arial" w:hAnsi="Arial"/>
          <w:sz w:val="16"/>
          <w:szCs w:val="16"/>
          <w:color w:val="auto"/>
        </w:rPr>
      </w:pPr>
    </w:p>
    <w:p>
      <w:pPr>
        <w:ind w:left="1700" w:right="60" w:hanging="211"/>
        <w:spacing w:after="0" w:line="293" w:lineRule="auto"/>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Effective student services. </w:t>
      </w:r>
      <w:r>
        <w:rPr>
          <w:rFonts w:ascii="Arial" w:cs="Arial" w:eastAsia="Arial" w:hAnsi="Arial"/>
          <w:sz w:val="16"/>
          <w:szCs w:val="16"/>
          <w:color w:val="auto"/>
        </w:rPr>
        <w:t>We establish teams comprised of academic and administrative personnel that act as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16" w:lineRule="exact"/>
        <w:rPr>
          <w:rFonts w:ascii="Arial" w:cs="Arial" w:eastAsia="Arial" w:hAnsi="Arial"/>
          <w:sz w:val="16"/>
          <w:szCs w:val="16"/>
          <w:color w:val="auto"/>
        </w:rPr>
      </w:pPr>
    </w:p>
    <w:p>
      <w:pPr>
        <w:ind w:left="1700" w:right="20" w:hanging="211"/>
        <w:spacing w:after="0" w:line="259" w:lineRule="auto"/>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Continual academic oversight. </w:t>
      </w:r>
      <w:r>
        <w:rPr>
          <w:rFonts w:ascii="Arial" w:cs="Arial" w:eastAsia="Arial" w:hAnsi="Arial"/>
          <w:sz w:val="18"/>
          <w:szCs w:val="18"/>
          <w:color w:val="auto"/>
        </w:rPr>
        <w:t>We have centralized the academic oversight and assessment functions for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through our Office of Assessment and Institutional Research, which continuously evaluates the academic content, delivery method, faculty performance, and desired learning outcomes for each of our programs. We continuously assess outcomes data to</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60"/>
        <w:spacing w:after="0" w:line="273" w:lineRule="auto"/>
        <w:rPr>
          <w:sz w:val="20"/>
          <w:szCs w:val="20"/>
          <w:color w:val="auto"/>
        </w:rPr>
      </w:pPr>
      <w:r>
        <w:rPr>
          <w:rFonts w:ascii="Arial" w:cs="Arial" w:eastAsia="Arial" w:hAnsi="Arial"/>
          <w:sz w:val="17"/>
          <w:szCs w:val="17"/>
          <w:color w:val="auto"/>
        </w:rPr>
        <w:t>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We also offer, for both our online and ground programs, the following features in an effort to enrich the academic experience of current and prospective students:</w:t>
      </w:r>
    </w:p>
    <w:p>
      <w:pPr>
        <w:spacing w:after="0" w:line="35" w:lineRule="exact"/>
        <w:rPr>
          <w:sz w:val="20"/>
          <w:szCs w:val="20"/>
          <w:color w:val="auto"/>
        </w:rPr>
      </w:pPr>
    </w:p>
    <w:p>
      <w:pPr>
        <w:ind w:left="1700" w:hanging="211"/>
        <w:spacing w:after="0" w:line="291" w:lineRule="auto"/>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Flexibility in program delivery. </w:t>
      </w:r>
      <w:r>
        <w:rPr>
          <w:rFonts w:ascii="Arial" w:cs="Arial" w:eastAsia="Arial" w:hAnsi="Arial"/>
          <w:sz w:val="16"/>
          <w:szCs w:val="16"/>
          <w:color w:val="auto"/>
        </w:rPr>
        <w:t>We also seek to meet market demands by providing students with the flexibility to take</w:t>
      </w:r>
      <w:r>
        <w:rPr>
          <w:rFonts w:ascii="Arial" w:cs="Arial" w:eastAsia="Arial" w:hAnsi="Arial"/>
          <w:sz w:val="16"/>
          <w:szCs w:val="16"/>
          <w:i w:val="1"/>
          <w:iCs w:val="1"/>
          <w:color w:val="auto"/>
        </w:rPr>
        <w:t xml:space="preserve"> </w:t>
      </w:r>
      <w:r>
        <w:rPr>
          <w:rFonts w:ascii="Arial" w:cs="Arial" w:eastAsia="Arial" w:hAnsi="Arial"/>
          <w:sz w:val="16"/>
          <w:szCs w:val="16"/>
          <w:color w:val="auto"/>
        </w:rPr>
        <w:t>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32" w:lineRule="exact"/>
        <w:rPr>
          <w:rFonts w:ascii="Arial" w:cs="Arial" w:eastAsia="Arial" w:hAnsi="Arial"/>
          <w:sz w:val="16"/>
          <w:szCs w:val="16"/>
          <w:color w:val="auto"/>
        </w:rPr>
      </w:pPr>
    </w:p>
    <w:p>
      <w:pPr>
        <w:ind w:left="1700" w:right="40" w:hanging="211"/>
        <w:spacing w:after="0" w:line="273" w:lineRule="auto"/>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Small class size. </w:t>
      </w:r>
      <w:r>
        <w:rPr>
          <w:rFonts w:ascii="Arial" w:cs="Arial" w:eastAsia="Arial" w:hAnsi="Arial"/>
          <w:sz w:val="17"/>
          <w:szCs w:val="17"/>
          <w:color w:val="auto"/>
        </w:rPr>
        <w:t>Over 90% of our online classes had 25 or fewer students, with no classes exceeding 40 students, and over</w:t>
      </w:r>
      <w:r>
        <w:rPr>
          <w:rFonts w:ascii="Arial" w:cs="Arial" w:eastAsia="Arial" w:hAnsi="Arial"/>
          <w:sz w:val="17"/>
          <w:szCs w:val="17"/>
          <w:i w:val="1"/>
          <w:iCs w:val="1"/>
          <w:color w:val="auto"/>
        </w:rPr>
        <w:t xml:space="preserve"> </w:t>
      </w:r>
      <w:r>
        <w:rPr>
          <w:rFonts w:ascii="Arial" w:cs="Arial" w:eastAsia="Arial" w:hAnsi="Arial"/>
          <w:sz w:val="17"/>
          <w:szCs w:val="17"/>
          <w:color w:val="auto"/>
        </w:rPr>
        <w:t>80% of our ground classes had 25 or fewer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Accreditation and Program Approvals</w:t>
      </w:r>
    </w:p>
    <w:p>
      <w:pPr>
        <w:spacing w:after="0" w:line="135"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3580" w:type="dxa"/>
            <w:vAlign w:val="bottom"/>
          </w:tcPr>
          <w:p>
            <w:pPr>
              <w:spacing w:after="0"/>
              <w:rPr>
                <w:sz w:val="20"/>
                <w:szCs w:val="20"/>
                <w:color w:val="auto"/>
              </w:rPr>
            </w:pPr>
            <w:r>
              <w:rPr>
                <w:rFonts w:ascii="Arial" w:cs="Arial" w:eastAsia="Arial" w:hAnsi="Arial"/>
                <w:sz w:val="14"/>
                <w:szCs w:val="14"/>
                <w:b w:val="1"/>
                <w:bCs w:val="1"/>
                <w:color w:val="auto"/>
              </w:rPr>
              <w:t>College</w:t>
            </w:r>
          </w:p>
        </w:tc>
        <w:tc>
          <w:tcPr>
            <w:tcW w:w="700" w:type="dxa"/>
            <w:vAlign w:val="bottom"/>
          </w:tcPr>
          <w:p>
            <w:pPr>
              <w:spacing w:after="0"/>
              <w:rPr>
                <w:sz w:val="16"/>
                <w:szCs w:val="16"/>
                <w:color w:val="auto"/>
              </w:rPr>
            </w:pPr>
          </w:p>
        </w:tc>
        <w:tc>
          <w:tcPr>
            <w:tcW w:w="3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Specialized Accreditations and Program Approvals</w:t>
            </w:r>
          </w:p>
        </w:tc>
        <w:tc>
          <w:tcPr>
            <w:tcW w:w="2020" w:type="dxa"/>
            <w:vAlign w:val="bottom"/>
          </w:tcPr>
          <w:p>
            <w:pPr>
              <w:ind w:left="1080"/>
              <w:spacing w:after="0"/>
              <w:rPr>
                <w:sz w:val="20"/>
                <w:szCs w:val="20"/>
                <w:color w:val="auto"/>
              </w:rPr>
            </w:pPr>
            <w:r>
              <w:rPr>
                <w:rFonts w:ascii="Arial" w:cs="Arial" w:eastAsia="Arial" w:hAnsi="Arial"/>
                <w:sz w:val="14"/>
                <w:szCs w:val="14"/>
                <w:b w:val="1"/>
                <w:bCs w:val="1"/>
                <w:color w:val="auto"/>
                <w:w w:val="93"/>
              </w:rPr>
              <w:t>Current Period</w:t>
            </w:r>
          </w:p>
        </w:tc>
      </w:tr>
      <w:tr>
        <w:trPr>
          <w:trHeight w:val="249"/>
        </w:trPr>
        <w:tc>
          <w:tcPr>
            <w:tcW w:w="3580" w:type="dxa"/>
            <w:vAlign w:val="bottom"/>
          </w:tcPr>
          <w:p>
            <w:pPr>
              <w:spacing w:after="0"/>
              <w:rPr>
                <w:sz w:val="20"/>
                <w:szCs w:val="20"/>
                <w:color w:val="auto"/>
              </w:rPr>
            </w:pPr>
            <w:r>
              <w:rPr>
                <w:rFonts w:ascii="Arial" w:cs="Arial" w:eastAsia="Arial" w:hAnsi="Arial"/>
                <w:sz w:val="18"/>
                <w:szCs w:val="18"/>
                <w:i w:val="1"/>
                <w:iCs w:val="1"/>
                <w:color w:val="auto"/>
              </w:rPr>
              <w:t>College of Education</w:t>
            </w:r>
          </w:p>
        </w:tc>
        <w:tc>
          <w:tcPr>
            <w:tcW w:w="4460" w:type="dxa"/>
            <w:vAlign w:val="bottom"/>
            <w:gridSpan w:val="2"/>
          </w:tcPr>
          <w:p>
            <w:pPr>
              <w:ind w:left="700"/>
              <w:spacing w:after="0"/>
              <w:rPr>
                <w:sz w:val="20"/>
                <w:szCs w:val="20"/>
                <w:color w:val="auto"/>
              </w:rPr>
            </w:pPr>
            <w:r>
              <w:rPr>
                <w:rFonts w:ascii="Arial" w:cs="Arial" w:eastAsia="Arial" w:hAnsi="Arial"/>
                <w:sz w:val="18"/>
                <w:szCs w:val="18"/>
                <w:color w:val="auto"/>
                <w:w w:val="94"/>
              </w:rPr>
              <w:t>•  The Arizona State Board of Education approves</w:t>
            </w:r>
          </w:p>
        </w:tc>
        <w:tc>
          <w:tcPr>
            <w:tcW w:w="2020" w:type="dxa"/>
            <w:vAlign w:val="bottom"/>
          </w:tcPr>
          <w:p>
            <w:pPr>
              <w:jc w:val="center"/>
              <w:ind w:left="52"/>
              <w:spacing w:after="0"/>
              <w:rPr>
                <w:sz w:val="20"/>
                <w:szCs w:val="20"/>
                <w:color w:val="auto"/>
              </w:rPr>
            </w:pPr>
            <w:r>
              <w:rPr>
                <w:rFonts w:ascii="Arial" w:cs="Arial" w:eastAsia="Arial" w:hAnsi="Arial"/>
                <w:sz w:val="18"/>
                <w:szCs w:val="18"/>
                <w:color w:val="auto"/>
                <w:w w:val="93"/>
              </w:rPr>
              <w:t>2006 - 2008*</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our College of Education to offer Institutional</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Recommendations for the certification of</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elementary, secondary, and special education</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teachers and school administrators.</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4460" w:type="dxa"/>
            <w:vAlign w:val="bottom"/>
            <w:gridSpan w:val="2"/>
          </w:tcPr>
          <w:p>
            <w:pPr>
              <w:ind w:left="700"/>
              <w:spacing w:after="0"/>
              <w:rPr>
                <w:sz w:val="20"/>
                <w:szCs w:val="20"/>
                <w:color w:val="auto"/>
              </w:rPr>
            </w:pPr>
            <w:r>
              <w:rPr>
                <w:rFonts w:ascii="Arial" w:cs="Arial" w:eastAsia="Arial" w:hAnsi="Arial"/>
                <w:sz w:val="18"/>
                <w:szCs w:val="18"/>
                <w:color w:val="auto"/>
                <w:w w:val="94"/>
              </w:rPr>
              <w:t>•  The Association of Collegiate Business Schools</w:t>
            </w:r>
          </w:p>
        </w:tc>
        <w:tc>
          <w:tcPr>
            <w:tcW w:w="2020" w:type="dxa"/>
            <w:vAlign w:val="bottom"/>
          </w:tcPr>
          <w:p>
            <w:pPr>
              <w:jc w:val="center"/>
              <w:ind w:left="72"/>
              <w:spacing w:after="0"/>
              <w:rPr>
                <w:sz w:val="20"/>
                <w:szCs w:val="20"/>
                <w:color w:val="auto"/>
              </w:rPr>
            </w:pPr>
            <w:r>
              <w:rPr>
                <w:rFonts w:ascii="Arial" w:cs="Arial" w:eastAsia="Arial" w:hAnsi="Arial"/>
                <w:sz w:val="18"/>
                <w:szCs w:val="18"/>
                <w:color w:val="auto"/>
                <w:w w:val="89"/>
              </w:rPr>
              <w:t>2007 - 2017</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w w:val="97"/>
              </w:rPr>
              <w:t>and Programs accredits our Master of Business</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w w:val="94"/>
              </w:rPr>
              <w:t>Administration degree program and our Bachelor</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of Science degree programs in Accounting,</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Business Administration, and Marketing.</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i w:val="1"/>
                <w:iCs w:val="1"/>
                <w:color w:val="auto"/>
              </w:rPr>
              <w:t>College of Nursing and Health Sciences</w:t>
            </w:r>
          </w:p>
        </w:tc>
        <w:tc>
          <w:tcPr>
            <w:tcW w:w="4460" w:type="dxa"/>
            <w:vAlign w:val="bottom"/>
            <w:gridSpan w:val="2"/>
          </w:tcPr>
          <w:p>
            <w:pPr>
              <w:ind w:left="700"/>
              <w:spacing w:after="0"/>
              <w:rPr>
                <w:sz w:val="20"/>
                <w:szCs w:val="20"/>
                <w:color w:val="auto"/>
              </w:rPr>
            </w:pPr>
            <w:r>
              <w:rPr>
                <w:rFonts w:ascii="Arial" w:cs="Arial" w:eastAsia="Arial" w:hAnsi="Arial"/>
                <w:sz w:val="18"/>
                <w:szCs w:val="18"/>
                <w:color w:val="auto"/>
              </w:rPr>
              <w:t>•  The Commission on Collegiate Nursing</w:t>
            </w:r>
          </w:p>
        </w:tc>
        <w:tc>
          <w:tcPr>
            <w:tcW w:w="2020" w:type="dxa"/>
            <w:vAlign w:val="bottom"/>
          </w:tcPr>
          <w:p>
            <w:pPr>
              <w:ind w:left="420"/>
              <w:spacing w:after="0"/>
              <w:rPr>
                <w:sz w:val="20"/>
                <w:szCs w:val="20"/>
                <w:color w:val="auto"/>
              </w:rPr>
            </w:pPr>
            <w:r>
              <w:rPr>
                <w:rFonts w:ascii="Arial" w:cs="Arial" w:eastAsia="Arial" w:hAnsi="Arial"/>
                <w:sz w:val="18"/>
                <w:szCs w:val="18"/>
                <w:color w:val="auto"/>
              </w:rPr>
              <w:t>2006 - 2016 (B.S.)</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w w:val="91"/>
              </w:rPr>
              <w:t>Education accredits our Bachelor of Science (B.S.)</w:t>
            </w:r>
          </w:p>
        </w:tc>
        <w:tc>
          <w:tcPr>
            <w:tcW w:w="2020" w:type="dxa"/>
            <w:vAlign w:val="bottom"/>
          </w:tcPr>
          <w:p>
            <w:pPr>
              <w:ind w:left="400"/>
              <w:spacing w:after="0"/>
              <w:rPr>
                <w:sz w:val="20"/>
                <w:szCs w:val="20"/>
                <w:color w:val="auto"/>
              </w:rPr>
            </w:pPr>
            <w:r>
              <w:rPr>
                <w:rFonts w:ascii="Arial" w:cs="Arial" w:eastAsia="Arial" w:hAnsi="Arial"/>
                <w:sz w:val="18"/>
                <w:szCs w:val="18"/>
                <w:color w:val="auto"/>
              </w:rPr>
              <w:t>2006 - 2011 (M.S.)</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in Nursing and Master of Science (M.S.) —</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Nursing degree programs.</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4460" w:type="dxa"/>
            <w:vAlign w:val="bottom"/>
            <w:gridSpan w:val="2"/>
          </w:tcPr>
          <w:p>
            <w:pPr>
              <w:ind w:left="700"/>
              <w:spacing w:after="0"/>
              <w:rPr>
                <w:sz w:val="20"/>
                <w:szCs w:val="20"/>
                <w:color w:val="auto"/>
              </w:rPr>
            </w:pPr>
            <w:r>
              <w:rPr>
                <w:rFonts w:ascii="Arial" w:cs="Arial" w:eastAsia="Arial" w:hAnsi="Arial"/>
                <w:sz w:val="18"/>
                <w:szCs w:val="18"/>
                <w:color w:val="auto"/>
                <w:w w:val="98"/>
              </w:rPr>
              <w:t>•  The Arizona State Board of Nursing approves</w:t>
            </w:r>
          </w:p>
        </w:tc>
        <w:tc>
          <w:tcPr>
            <w:tcW w:w="2020" w:type="dxa"/>
            <w:vAlign w:val="bottom"/>
          </w:tcPr>
          <w:p>
            <w:pPr>
              <w:ind w:left="420"/>
              <w:spacing w:after="0"/>
              <w:rPr>
                <w:sz w:val="20"/>
                <w:szCs w:val="20"/>
                <w:color w:val="auto"/>
              </w:rPr>
            </w:pPr>
            <w:r>
              <w:rPr>
                <w:rFonts w:ascii="Arial" w:cs="Arial" w:eastAsia="Arial" w:hAnsi="Arial"/>
                <w:sz w:val="18"/>
                <w:szCs w:val="18"/>
                <w:color w:val="auto"/>
              </w:rPr>
              <w:t>2006 - 2016 (B.S.)</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our Bachelor of Science (B.S.) in Nursing and</w:t>
            </w:r>
          </w:p>
        </w:tc>
        <w:tc>
          <w:tcPr>
            <w:tcW w:w="2020" w:type="dxa"/>
            <w:vAlign w:val="bottom"/>
          </w:tcPr>
          <w:p>
            <w:pPr>
              <w:ind w:left="400"/>
              <w:spacing w:after="0"/>
              <w:rPr>
                <w:sz w:val="20"/>
                <w:szCs w:val="20"/>
                <w:color w:val="auto"/>
              </w:rPr>
            </w:pPr>
            <w:r>
              <w:rPr>
                <w:rFonts w:ascii="Arial" w:cs="Arial" w:eastAsia="Arial" w:hAnsi="Arial"/>
                <w:sz w:val="18"/>
                <w:szCs w:val="18"/>
                <w:color w:val="auto"/>
              </w:rPr>
              <w:t>2006 - 2011 (M.S.)</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Master of Science (M.S.) — Nursing degree</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programs.</w:t>
            </w:r>
          </w:p>
        </w:tc>
        <w:tc>
          <w:tcPr>
            <w:tcW w:w="20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4460" w:type="dxa"/>
            <w:vAlign w:val="bottom"/>
            <w:gridSpan w:val="2"/>
          </w:tcPr>
          <w:p>
            <w:pPr>
              <w:ind w:left="700"/>
              <w:spacing w:after="0"/>
              <w:rPr>
                <w:sz w:val="20"/>
                <w:szCs w:val="20"/>
                <w:color w:val="auto"/>
              </w:rPr>
            </w:pPr>
            <w:r>
              <w:rPr>
                <w:rFonts w:ascii="Arial" w:cs="Arial" w:eastAsia="Arial" w:hAnsi="Arial"/>
                <w:sz w:val="18"/>
                <w:szCs w:val="18"/>
                <w:color w:val="auto"/>
              </w:rPr>
              <w:t>•  The Commission on Accreditation of Athletic</w:t>
            </w:r>
          </w:p>
        </w:tc>
        <w:tc>
          <w:tcPr>
            <w:tcW w:w="2020" w:type="dxa"/>
            <w:vAlign w:val="bottom"/>
          </w:tcPr>
          <w:p>
            <w:pPr>
              <w:jc w:val="center"/>
              <w:ind w:left="52"/>
              <w:spacing w:after="0"/>
              <w:rPr>
                <w:sz w:val="20"/>
                <w:szCs w:val="20"/>
                <w:color w:val="auto"/>
              </w:rPr>
            </w:pPr>
            <w:r>
              <w:rPr>
                <w:rFonts w:ascii="Arial" w:cs="Arial" w:eastAsia="Arial" w:hAnsi="Arial"/>
                <w:sz w:val="18"/>
                <w:szCs w:val="18"/>
                <w:color w:val="auto"/>
                <w:w w:val="93"/>
              </w:rPr>
              <w:t>2002 - 2008*</w:t>
            </w:r>
          </w:p>
        </w:tc>
      </w:tr>
      <w:tr>
        <w:trPr>
          <w:trHeight w:val="216"/>
        </w:trPr>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w w:val="93"/>
              </w:rPr>
              <w:t>Training Education accredits our Athletic Training</w:t>
            </w:r>
          </w:p>
        </w:tc>
        <w:tc>
          <w:tcPr>
            <w:tcW w:w="20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Program.</w:t>
            </w:r>
          </w:p>
        </w:tc>
        <w:tc>
          <w:tcPr>
            <w:tcW w:w="2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-2923540</wp:posOffset>
            </wp:positionV>
            <wp:extent cx="26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-2923540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7" w:lineRule="exact"/>
        <w:rPr>
          <w:sz w:val="20"/>
          <w:szCs w:val="20"/>
          <w:color w:val="auto"/>
        </w:rPr>
      </w:pPr>
    </w:p>
    <w:p>
      <w:pPr>
        <w:ind w:left="900" w:right="200" w:hanging="207"/>
        <w:spacing w:after="0" w:line="253" w:lineRule="auto"/>
        <w:tabs>
          <w:tab w:leader="none" w:pos="9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have had our site visits related to the renewal of this specialized accreditation or program approval and are not aware of any factors that could cause this specialized accreditation or program approval not to be renewed in the ordinary course.</w:t>
      </w:r>
    </w:p>
    <w:p>
      <w:pPr>
        <w:spacing w:after="0" w:line="84"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Curricula</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recently were approved to offer our first doctoral program in education, which began in May 2008.</w:t>
      </w:r>
    </w:p>
    <w:p>
      <w:pPr>
        <w:spacing w:after="0" w:line="36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offer our academic programs through our four distinct colleges:</w:t>
      </w:r>
    </w:p>
    <w:p>
      <w:pPr>
        <w:spacing w:after="0" w:line="131" w:lineRule="exact"/>
        <w:rPr>
          <w:sz w:val="20"/>
          <w:szCs w:val="20"/>
          <w:color w:val="auto"/>
        </w:rPr>
      </w:pPr>
    </w:p>
    <w:p>
      <w:pPr>
        <w:ind w:left="1700" w:hanging="211"/>
        <w:spacing w:after="0" w:line="342" w:lineRule="auto"/>
        <w:tabs>
          <w:tab w:leader="none" w:pos="1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15" w:lineRule="exact"/>
        <w:rPr>
          <w:rFonts w:ascii="Arial" w:cs="Arial" w:eastAsia="Arial" w:hAnsi="Arial"/>
          <w:sz w:val="16"/>
          <w:szCs w:val="16"/>
          <w:color w:val="auto"/>
        </w:rPr>
      </w:pPr>
    </w:p>
    <w:p>
      <w:pPr>
        <w:jc w:val="both"/>
        <w:ind w:left="1700" w:right="200" w:hanging="211"/>
        <w:spacing w:after="0" w:line="286" w:lineRule="auto"/>
        <w:tabs>
          <w:tab w:leader="none" w:pos="1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7"/>
          <w:szCs w:val="17"/>
          <w:color w:val="auto"/>
        </w:rPr>
      </w:pPr>
    </w:p>
    <w:p>
      <w:pPr>
        <w:ind w:left="1700" w:right="60" w:hanging="211"/>
        <w:spacing w:after="0" w:line="277"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College of Nursing and Health Sciences, which has a strong reputation within the Arizona healthcare community and is the second largest nursing program in Arizona; and</w:t>
      </w:r>
    </w:p>
    <w:p>
      <w:pPr>
        <w:spacing w:after="0" w:line="62" w:lineRule="exact"/>
        <w:rPr>
          <w:rFonts w:ascii="Arial" w:cs="Arial" w:eastAsia="Arial" w:hAnsi="Arial"/>
          <w:sz w:val="18"/>
          <w:szCs w:val="18"/>
          <w:color w:val="auto"/>
        </w:rPr>
      </w:pPr>
    </w:p>
    <w:p>
      <w:pPr>
        <w:ind w:left="1700" w:right="200" w:hanging="211"/>
        <w:spacing w:after="0" w:line="342" w:lineRule="auto"/>
        <w:tabs>
          <w:tab w:leader="none" w:pos="1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29"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 See “Intellectual Property.”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7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College of Education</w:t>
            </w:r>
          </w:p>
        </w:tc>
        <w:tc>
          <w:tcPr>
            <w:tcW w:w="80" w:type="dxa"/>
            <w:vAlign w:val="bottom"/>
          </w:tcPr>
          <w:p>
            <w:pPr>
              <w:spacing w:after="0"/>
              <w:rPr>
                <w:sz w:val="14"/>
                <w:szCs w:val="14"/>
                <w:color w:val="auto"/>
              </w:rPr>
            </w:pPr>
          </w:p>
        </w:tc>
        <w:tc>
          <w:tcPr>
            <w:tcW w:w="476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rPr>
              <w:t>Ken Blanchard College of Business</w:t>
            </w:r>
          </w:p>
        </w:tc>
      </w:tr>
      <w:tr>
        <w:trPr>
          <w:trHeight w:val="142"/>
        </w:trPr>
        <w:tc>
          <w:tcPr>
            <w:tcW w:w="178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b w:val="1"/>
                <w:bCs w:val="1"/>
                <w:color w:val="auto"/>
              </w:rPr>
              <w:t>Degree Program</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80" w:type="dxa"/>
            <w:vAlign w:val="bottom"/>
          </w:tcPr>
          <w:p>
            <w:pPr>
              <w:spacing w:after="0"/>
              <w:rPr>
                <w:sz w:val="12"/>
                <w:szCs w:val="12"/>
                <w:color w:val="auto"/>
              </w:rPr>
            </w:pPr>
          </w:p>
        </w:tc>
        <w:tc>
          <w:tcPr>
            <w:tcW w:w="200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Degree Program</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820"/>
              <w:spacing w:after="0" w:line="142" w:lineRule="exact"/>
              <w:rPr>
                <w:sz w:val="20"/>
                <w:szCs w:val="20"/>
                <w:color w:val="auto"/>
              </w:rPr>
            </w:pPr>
            <w:r>
              <w:rPr>
                <w:rFonts w:ascii="Arial" w:cs="Arial" w:eastAsia="Arial" w:hAnsi="Arial"/>
                <w:sz w:val="14"/>
                <w:szCs w:val="14"/>
                <w:b w:val="1"/>
                <w:bCs w:val="1"/>
                <w:color w:val="auto"/>
              </w:rPr>
              <w:t>Emphasis</w:t>
            </w:r>
          </w:p>
        </w:tc>
      </w:tr>
      <w:tr>
        <w:trPr>
          <w:trHeight w:val="194"/>
        </w:trPr>
        <w:tc>
          <w:tcPr>
            <w:tcW w:w="1780" w:type="dxa"/>
            <w:vAlign w:val="bottom"/>
          </w:tcPr>
          <w:p>
            <w:pPr>
              <w:spacing w:after="0"/>
              <w:rPr>
                <w:sz w:val="20"/>
                <w:szCs w:val="20"/>
                <w:color w:val="auto"/>
              </w:rPr>
            </w:pPr>
            <w:r>
              <w:rPr>
                <w:rFonts w:ascii="Arial" w:cs="Arial" w:eastAsia="Arial" w:hAnsi="Arial"/>
                <w:sz w:val="13"/>
                <w:szCs w:val="13"/>
                <w:color w:val="auto"/>
              </w:rPr>
              <w:t>Master of Arts in Teaching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3"/>
                <w:szCs w:val="13"/>
                <w:color w:val="auto"/>
              </w:rPr>
              <w:t>Ken Blanchard Executive MBA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77"/>
        </w:trPr>
        <w:tc>
          <w:tcPr>
            <w:tcW w:w="1780" w:type="dxa"/>
            <w:vAlign w:val="bottom"/>
          </w:tcPr>
          <w:p>
            <w:pPr>
              <w:spacing w:after="0"/>
              <w:rPr>
                <w:sz w:val="20"/>
                <w:szCs w:val="20"/>
                <w:color w:val="auto"/>
              </w:rPr>
            </w:pPr>
            <w:r>
              <w:rPr>
                <w:rFonts w:ascii="Arial" w:cs="Arial" w:eastAsia="Arial" w:hAnsi="Arial"/>
                <w:sz w:val="13"/>
                <w:szCs w:val="13"/>
                <w:color w:val="auto"/>
              </w:rPr>
              <w:t>Master of Education</w:t>
            </w:r>
          </w:p>
        </w:tc>
        <w:tc>
          <w:tcPr>
            <w:tcW w:w="52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Education Administration —</w:t>
            </w:r>
          </w:p>
        </w:tc>
        <w:tc>
          <w:tcPr>
            <w:tcW w:w="2080" w:type="dxa"/>
            <w:vAlign w:val="bottom"/>
            <w:gridSpan w:val="2"/>
          </w:tcPr>
          <w:p>
            <w:pPr>
              <w:ind w:left="80"/>
              <w:spacing w:after="0"/>
              <w:rPr>
                <w:sz w:val="20"/>
                <w:szCs w:val="20"/>
                <w:color w:val="auto"/>
              </w:rPr>
            </w:pPr>
            <w:r>
              <w:rPr>
                <w:rFonts w:ascii="Arial" w:cs="Arial" w:eastAsia="Arial" w:hAnsi="Arial"/>
                <w:sz w:val="13"/>
                <w:szCs w:val="13"/>
                <w:color w:val="auto"/>
              </w:rPr>
              <w:t>Master of Business Administration</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rPr>
                <w:sz w:val="20"/>
                <w:szCs w:val="20"/>
                <w:color w:val="auto"/>
              </w:rPr>
            </w:pPr>
            <w:r>
              <w:rPr>
                <w:rFonts w:ascii="Arial" w:cs="Arial" w:eastAsia="Arial" w:hAnsi="Arial"/>
                <w:sz w:val="13"/>
                <w:szCs w:val="13"/>
                <w:color w:val="auto"/>
              </w:rPr>
              <w:t>General 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20"/>
              <w:spacing w:after="0" w:line="135" w:lineRule="exact"/>
              <w:rPr>
                <w:sz w:val="20"/>
                <w:szCs w:val="20"/>
                <w:color w:val="auto"/>
              </w:rPr>
            </w:pPr>
            <w:r>
              <w:rPr>
                <w:rFonts w:ascii="Arial" w:cs="Arial" w:eastAsia="Arial" w:hAnsi="Arial"/>
                <w:sz w:val="13"/>
                <w:szCs w:val="13"/>
                <w:color w:val="auto"/>
              </w:rPr>
              <w:t>Institutional Recommendation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 Systems 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Education Administration —</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Organizational   Leadership</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76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  Management of Information Systems</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Education Administration —</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Marketing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School Leadership</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Six Sigma</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IR</w:t>
            </w:r>
          </w:p>
        </w:tc>
        <w:tc>
          <w:tcPr>
            <w:tcW w:w="20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Master of Science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Non-IR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Curriculum and Instruction: Reading</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  Leadership — Disaster Preparedness Crisis</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Curriculum and Instruction: Technology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Executive Fire Leadership</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Non-IR</w:t>
            </w:r>
          </w:p>
        </w:tc>
        <w:tc>
          <w:tcPr>
            <w:tcW w:w="20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Bachelor of Science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for Certified Special</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rPr>
              <w:t>Accounting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Educators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Business Administration</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Teaching English to Speakers of Other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Business Administration — Healthcare</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Languages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Management</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 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6"/>
              </w:rPr>
              <w:t>•  Business Administration — Management of</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Special Education — Non-IR</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Information Systems Marketing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School Counseling — K-12*</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rPr>
              <w:t>Applied Management•  Accounting</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Finance</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Elementary/Special 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Entrepreneurial Studies</w:t>
            </w:r>
          </w:p>
        </w:tc>
      </w:tr>
      <w:tr>
        <w:trPr>
          <w:trHeight w:val="135"/>
        </w:trPr>
        <w:tc>
          <w:tcPr>
            <w:tcW w:w="1780" w:type="dxa"/>
            <w:vAlign w:val="bottom"/>
          </w:tcPr>
          <w:p>
            <w:pPr>
              <w:spacing w:after="0" w:line="135" w:lineRule="exact"/>
              <w:rPr>
                <w:sz w:val="20"/>
                <w:szCs w:val="20"/>
                <w:color w:val="auto"/>
              </w:rPr>
            </w:pPr>
            <w:r>
              <w:rPr>
                <w:rFonts w:ascii="Arial" w:cs="Arial" w:eastAsia="Arial" w:hAnsi="Arial"/>
                <w:sz w:val="13"/>
                <w:szCs w:val="13"/>
                <w:color w:val="auto"/>
              </w:rPr>
              <w:t>Bachelor of Science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Elementary Education — Early Childhood</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2460" w:type="dxa"/>
            <w:vAlign w:val="bottom"/>
          </w:tcPr>
          <w:p>
            <w:pPr>
              <w:ind w:left="60"/>
              <w:spacing w:after="0" w:line="135" w:lineRule="exact"/>
              <w:rPr>
                <w:sz w:val="20"/>
                <w:szCs w:val="20"/>
                <w:color w:val="auto"/>
              </w:rPr>
            </w:pPr>
            <w:r>
              <w:rPr>
                <w:rFonts w:ascii="Arial" w:cs="Arial" w:eastAsia="Arial" w:hAnsi="Arial"/>
                <w:sz w:val="13"/>
                <w:szCs w:val="13"/>
                <w:color w:val="auto"/>
              </w:rPr>
              <w:t>Public Safety Administration</w:t>
            </w: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English</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Math</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Elementary Education — Science</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Secondary Education — Biology*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  Secondary Education — Business Education</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and Technology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2580" w:type="dxa"/>
            <w:vAlign w:val="bottom"/>
          </w:tcPr>
          <w:p>
            <w:pPr>
              <w:ind w:left="100"/>
              <w:spacing w:after="0" w:line="135" w:lineRule="exact"/>
              <w:rPr>
                <w:sz w:val="20"/>
                <w:szCs w:val="20"/>
                <w:color w:val="auto"/>
              </w:rPr>
            </w:pPr>
            <w:r>
              <w:rPr>
                <w:rFonts w:ascii="Arial" w:cs="Arial" w:eastAsia="Arial" w:hAnsi="Arial"/>
                <w:sz w:val="13"/>
                <w:szCs w:val="13"/>
                <w:color w:val="auto"/>
              </w:rPr>
              <w:t>Secondary Education — Chemistry*</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Mathematics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  Secondary Education — Social Studies</w:t>
            </w: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60"/>
        </w:trPr>
        <w:tc>
          <w:tcPr>
            <w:tcW w:w="1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2"/>
          </w:tcPr>
          <w:p>
            <w:pPr>
              <w:ind w:left="60"/>
              <w:spacing w:after="0"/>
              <w:rPr>
                <w:sz w:val="20"/>
                <w:szCs w:val="20"/>
                <w:color w:val="auto"/>
              </w:rPr>
            </w:pPr>
            <w:r>
              <w:rPr>
                <w:rFonts w:ascii="Arial" w:cs="Arial" w:eastAsia="Arial" w:hAnsi="Arial"/>
                <w:sz w:val="13"/>
                <w:szCs w:val="13"/>
                <w:color w:val="auto"/>
                <w:w w:val="97"/>
              </w:rPr>
              <w:t>•  Secondary Education — Physical Education</w:t>
            </w:r>
          </w:p>
        </w:tc>
        <w:tc>
          <w:tcPr>
            <w:tcW w:w="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3"/>
                <w:szCs w:val="13"/>
                <w:color w:val="auto"/>
              </w:rPr>
              <w:t>Bachelor of Arts</w:t>
            </w:r>
          </w:p>
        </w:tc>
        <w:tc>
          <w:tcPr>
            <w:tcW w:w="5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English for Secondary Teachers*</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78740</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program was offered on ground only.</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rPr>
              <w:t>College of Nursing and Health Sciences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College of Liberal Arts</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Degree Program</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99"/>
              </w:rPr>
              <w:t>Degree Program</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68"/>
        </w:trPr>
        <w:tc>
          <w:tcPr>
            <w:tcW w:w="2180" w:type="dxa"/>
            <w:vAlign w:val="bottom"/>
            <w:gridSpan w:val="2"/>
          </w:tcPr>
          <w:p>
            <w:pPr>
              <w:spacing w:after="0"/>
              <w:rPr>
                <w:sz w:val="20"/>
                <w:szCs w:val="20"/>
                <w:color w:val="auto"/>
              </w:rPr>
            </w:pPr>
            <w:r>
              <w:rPr>
                <w:rFonts w:ascii="Arial" w:cs="Arial" w:eastAsia="Arial" w:hAnsi="Arial"/>
                <w:sz w:val="13"/>
                <w:szCs w:val="13"/>
                <w:color w:val="auto"/>
              </w:rPr>
              <w:t>Master of Science — Nursing</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20"/>
              <w:spacing w:after="0"/>
              <w:rPr>
                <w:sz w:val="20"/>
                <w:szCs w:val="20"/>
                <w:color w:val="auto"/>
              </w:rPr>
            </w:pPr>
            <w:r>
              <w:rPr>
                <w:rFonts w:ascii="Arial" w:cs="Arial" w:eastAsia="Arial" w:hAnsi="Arial"/>
                <w:sz w:val="13"/>
                <w:szCs w:val="13"/>
                <w:color w:val="auto"/>
              </w:rPr>
              <w:t>Family Nurse Practitioner*</w:t>
            </w:r>
          </w:p>
        </w:tc>
        <w:tc>
          <w:tcPr>
            <w:tcW w:w="1720" w:type="dxa"/>
            <w:vAlign w:val="bottom"/>
            <w:gridSpan w:val="3"/>
          </w:tcPr>
          <w:p>
            <w:pPr>
              <w:ind w:left="100"/>
              <w:spacing w:after="0"/>
              <w:rPr>
                <w:sz w:val="20"/>
                <w:szCs w:val="20"/>
                <w:color w:val="auto"/>
              </w:rPr>
            </w:pPr>
            <w:r>
              <w:rPr>
                <w:rFonts w:ascii="Arial" w:cs="Arial" w:eastAsia="Arial" w:hAnsi="Arial"/>
                <w:sz w:val="13"/>
                <w:szCs w:val="13"/>
                <w:color w:val="auto"/>
              </w:rPr>
              <w:t>Bachelor of Arts in History*</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Nursing Leadership in Healthcare Systems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Clinical Nurse Specialist*</w:t>
            </w:r>
          </w:p>
        </w:tc>
        <w:tc>
          <w:tcPr>
            <w:tcW w:w="17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Bachelor of Science</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  Clinical Nurse Specialist (Education Focus)*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rPr>
                <w:sz w:val="20"/>
                <w:szCs w:val="20"/>
                <w:color w:val="auto"/>
              </w:rPr>
            </w:pPr>
            <w:r>
              <w:rPr>
                <w:rFonts w:ascii="Arial" w:cs="Arial" w:eastAsia="Arial" w:hAnsi="Arial"/>
                <w:sz w:val="13"/>
                <w:szCs w:val="13"/>
                <w:color w:val="auto"/>
              </w:rPr>
              <w:t>Nursing Education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580" w:type="dxa"/>
            <w:vAlign w:val="bottom"/>
          </w:tcPr>
          <w:p>
            <w:pPr>
              <w:ind w:left="40"/>
              <w:spacing w:after="0"/>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720" w:type="dxa"/>
            <w:vAlign w:val="bottom"/>
            <w:gridSpan w:val="3"/>
          </w:tcPr>
          <w:p>
            <w:pPr>
              <w:ind w:left="100"/>
              <w:spacing w:after="0"/>
              <w:rPr>
                <w:sz w:val="20"/>
                <w:szCs w:val="20"/>
                <w:color w:val="auto"/>
              </w:rPr>
            </w:pPr>
            <w:r>
              <w:rPr>
                <w:rFonts w:ascii="Arial" w:cs="Arial" w:eastAsia="Arial" w:hAnsi="Arial"/>
                <w:sz w:val="13"/>
                <w:szCs w:val="13"/>
                <w:color w:val="auto"/>
              </w:rPr>
              <w:t>Bachelor of Arts</w:t>
            </w:r>
          </w:p>
        </w:tc>
        <w:tc>
          <w:tcPr>
            <w:tcW w:w="460" w:type="dxa"/>
            <w:vAlign w:val="bottom"/>
          </w:tcPr>
          <w:p>
            <w:pPr>
              <w:spacing w:after="0"/>
              <w:rPr>
                <w:sz w:val="21"/>
                <w:szCs w:val="21"/>
                <w:color w:val="auto"/>
              </w:rPr>
            </w:pPr>
          </w:p>
        </w:tc>
        <w:tc>
          <w:tcPr>
            <w:tcW w:w="2760" w:type="dxa"/>
            <w:vAlign w:val="bottom"/>
            <w:gridSpan w:val="3"/>
          </w:tcPr>
          <w:p>
            <w:pPr>
              <w:ind w:left="80"/>
              <w:spacing w:after="0"/>
              <w:rPr>
                <w:sz w:val="20"/>
                <w:szCs w:val="20"/>
                <w:color w:val="auto"/>
              </w:rPr>
            </w:pPr>
            <w:r>
              <w:rPr>
                <w:rFonts w:ascii="Arial" w:cs="Arial" w:eastAsia="Arial" w:hAnsi="Arial"/>
                <w:sz w:val="13"/>
                <w:szCs w:val="13"/>
                <w:color w:val="auto"/>
              </w:rPr>
              <w:t>•  Communications — Digital Media*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Communications — Graphic Design*</w:t>
            </w: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color w:val="auto"/>
              </w:rPr>
              <w:t>Bachelor of Science in Nursing</w:t>
            </w: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Basic Science*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Communications — Public Relations*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Pre-Medicine*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English Literature*</w:t>
            </w: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color w:val="auto"/>
              </w:rPr>
              <w:t>Bachelor of Science</w:t>
            </w: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Pre-Pharmacy*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Interdisciplinary Studies — Communication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Pre-Physician Assistant*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Christian Leadership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Pre-Physical Therapy*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Intercultural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Biology — Pre-Occupational Therapy*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w w:val="92"/>
              </w:rPr>
              <w:t>•  Christian Studies — Biblical/Theological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Biology — Pre-Veterinary*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Pastoral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2"/>
              </w:rPr>
              <w:t>•  Health Science: Professional Development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Worship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Advanced Patient Care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  Christian Studies — Youth Ministry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Medical Imaging Sciences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Christian Leadership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ind w:left="40"/>
              <w:spacing w:after="0" w:line="135" w:lineRule="exact"/>
              <w:rPr>
                <w:sz w:val="20"/>
                <w:szCs w:val="20"/>
                <w:color w:val="auto"/>
              </w:rPr>
            </w:pPr>
            <w:r>
              <w:rPr>
                <w:rFonts w:ascii="Arial" w:cs="Arial" w:eastAsia="Arial" w:hAnsi="Arial"/>
                <w:sz w:val="13"/>
                <w:szCs w:val="13"/>
                <w:color w:val="auto"/>
                <w:w w:val="86"/>
              </w:rPr>
              <w:t>•</w:t>
            </w:r>
          </w:p>
        </w:tc>
        <w:tc>
          <w:tcPr>
            <w:tcW w:w="2580" w:type="dxa"/>
            <w:vAlign w:val="bottom"/>
          </w:tcPr>
          <w:p>
            <w:pPr>
              <w:ind w:left="80"/>
              <w:spacing w:after="0" w:line="135" w:lineRule="exact"/>
              <w:rPr>
                <w:sz w:val="20"/>
                <w:szCs w:val="20"/>
                <w:color w:val="auto"/>
              </w:rPr>
            </w:pPr>
            <w:r>
              <w:rPr>
                <w:rFonts w:ascii="Arial" w:cs="Arial" w:eastAsia="Arial" w:hAnsi="Arial"/>
                <w:sz w:val="13"/>
                <w:szCs w:val="13"/>
                <w:color w:val="auto"/>
              </w:rPr>
              <w:t>Athletic Training*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Corporate Fitness and Wellness*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20"/>
              <w:spacing w:after="0" w:line="135" w:lineRule="exact"/>
              <w:rPr>
                <w:sz w:val="20"/>
                <w:szCs w:val="20"/>
                <w:color w:val="auto"/>
              </w:rPr>
            </w:pPr>
            <w:r>
              <w:rPr>
                <w:rFonts w:ascii="Arial" w:cs="Arial" w:eastAsia="Arial" w:hAnsi="Arial"/>
                <w:sz w:val="13"/>
                <w:szCs w:val="13"/>
                <w:color w:val="auto"/>
              </w:rPr>
              <w:t>Physical Education*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580" w:type="dxa"/>
            <w:vAlign w:val="bottom"/>
          </w:tcPr>
          <w:p>
            <w:pPr>
              <w:ind w:left="20"/>
              <w:spacing w:after="0"/>
              <w:rPr>
                <w:sz w:val="20"/>
                <w:szCs w:val="20"/>
                <w:color w:val="auto"/>
              </w:rPr>
            </w:pPr>
            <w:r>
              <w:rPr>
                <w:rFonts w:ascii="Arial" w:cs="Arial" w:eastAsia="Arial" w:hAnsi="Arial"/>
                <w:sz w:val="13"/>
                <w:szCs w:val="13"/>
                <w:color w:val="auto"/>
              </w:rPr>
              <w:t>Recreation*</w:t>
            </w:r>
          </w:p>
        </w:tc>
        <w:tc>
          <w:tcPr>
            <w:tcW w:w="1720" w:type="dxa"/>
            <w:vAlign w:val="bottom"/>
            <w:gridSpan w:val="3"/>
            <w:vMerge w:val="restart"/>
          </w:tcPr>
          <w:p>
            <w:pPr>
              <w:ind w:left="100"/>
              <w:spacing w:after="0"/>
              <w:rPr>
                <w:sz w:val="20"/>
                <w:szCs w:val="20"/>
                <w:color w:val="auto"/>
              </w:rPr>
            </w:pPr>
            <w:r>
              <w:rPr>
                <w:rFonts w:ascii="Arial" w:cs="Arial" w:eastAsia="Arial" w:hAnsi="Arial"/>
                <w:sz w:val="13"/>
                <w:szCs w:val="13"/>
                <w:i w:val="1"/>
                <w:iCs w:val="1"/>
                <w:color w:val="auto"/>
              </w:rPr>
              <w:t>Undergraduate Minors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Athletic Coaching*</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Behavioral Sciences*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Physical Education*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Business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Political Science*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Critical Thinking and</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Expression*</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Recreation*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Exercise Science*</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Social Sciences*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Family Studies</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480" w:type="dxa"/>
            <w:vAlign w:val="bottom"/>
          </w:tcPr>
          <w:p>
            <w:pPr>
              <w:ind w:left="40"/>
              <w:spacing w:after="0" w:line="135" w:lineRule="exact"/>
              <w:rPr>
                <w:sz w:val="20"/>
                <w:szCs w:val="20"/>
                <w:color w:val="auto"/>
              </w:rPr>
            </w:pPr>
            <w:r>
              <w:rPr>
                <w:rFonts w:ascii="Arial" w:cs="Arial" w:eastAsia="Arial" w:hAnsi="Arial"/>
                <w:sz w:val="13"/>
                <w:szCs w:val="13"/>
                <w:color w:val="auto"/>
              </w:rPr>
              <w:t>Health Education*</w:t>
            </w:r>
          </w:p>
        </w:tc>
        <w:tc>
          <w:tcPr>
            <w:tcW w:w="4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2580" w:type="dxa"/>
            <w:vAlign w:val="bottom"/>
          </w:tcPr>
          <w:p>
            <w:pPr>
              <w:ind w:left="40"/>
              <w:spacing w:after="0" w:line="135" w:lineRule="exact"/>
              <w:rPr>
                <w:sz w:val="20"/>
                <w:szCs w:val="20"/>
                <w:color w:val="auto"/>
              </w:rPr>
            </w:pPr>
            <w:r>
              <w:rPr>
                <w:rFonts w:ascii="Arial" w:cs="Arial" w:eastAsia="Arial" w:hAnsi="Arial"/>
                <w:sz w:val="13"/>
                <w:szCs w:val="13"/>
                <w:color w:val="auto"/>
              </w:rPr>
              <w:t>Spanish*</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1480" w:type="dxa"/>
            <w:vAlign w:val="bottom"/>
          </w:tcPr>
          <w:p>
            <w:pPr>
              <w:ind w:left="40"/>
              <w:spacing w:after="0"/>
              <w:rPr>
                <w:sz w:val="20"/>
                <w:szCs w:val="20"/>
                <w:color w:val="auto"/>
              </w:rPr>
            </w:pPr>
            <w:r>
              <w:rPr>
                <w:rFonts w:ascii="Arial" w:cs="Arial" w:eastAsia="Arial" w:hAnsi="Arial"/>
                <w:sz w:val="13"/>
                <w:szCs w:val="13"/>
                <w:color w:val="auto"/>
              </w:rPr>
              <w:t>History*</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78740</wp:posOffset>
            </wp:positionV>
            <wp:extent cx="8147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6"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program was offered on ground only.</w:t>
      </w:r>
    </w:p>
    <w:p>
      <w:pPr>
        <w:spacing w:after="0" w:line="113" w:lineRule="exact"/>
        <w:rPr>
          <w:sz w:val="20"/>
          <w:szCs w:val="20"/>
          <w:color w:val="auto"/>
        </w:rPr>
      </w:pPr>
    </w:p>
    <w:p>
      <w:pPr>
        <w:ind w:left="700" w:right="280" w:firstLine="397"/>
        <w:spacing w:after="0" w:line="257" w:lineRule="auto"/>
        <w:rPr>
          <w:sz w:val="20"/>
          <w:szCs w:val="20"/>
          <w:color w:val="auto"/>
        </w:rPr>
      </w:pPr>
      <w:r>
        <w:rPr>
          <w:rFonts w:ascii="Arial" w:cs="Arial" w:eastAsia="Arial" w:hAnsi="Arial"/>
          <w:sz w:val="18"/>
          <w:szCs w:val="18"/>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94"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Program Development</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We typically identify a potential new degree program or emphasis area through market demand or from proposals developed by faculty, staff, students, alumni, or partners, and then perform an analysis of the</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1" w:lineRule="auto"/>
        <w:rPr>
          <w:sz w:val="20"/>
          <w:szCs w:val="20"/>
          <w:color w:val="auto"/>
        </w:rPr>
      </w:pPr>
      <w:r>
        <w:rPr>
          <w:rFonts w:ascii="Arial" w:cs="Arial" w:eastAsia="Arial" w:hAnsi="Arial"/>
          <w:sz w:val="17"/>
          <w:szCs w:val="17"/>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Assessment</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Faculty</w:t>
      </w:r>
    </w:p>
    <w:p>
      <w:pPr>
        <w:spacing w:after="0" w:line="135"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Our faculty includes full-time, ground-based faculty who teach under a nine-month or twelve-month teaching contract, as well as adjunct ground-based faculty and online faculty who we contract to teach on a course-by-course basis for a specified fee. As of June 30, 2008, we employed 452 ground-based faculty members, of which 53 were full-time and 399 were part-time adjuncts, and maintained a pool of over 1,000 online faculty members, all of whom had completed our required training and 753 of which taught at least one course during the first six months of 2008. Substantially all of our current faculty members hold at least a master’s degree in their respective field and approximately 38%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9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87"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60"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Student Support Services</w:t>
      </w:r>
    </w:p>
    <w:p>
      <w:pPr>
        <w:spacing w:after="0" w:line="13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99" w:lineRule="exact"/>
        <w:rPr>
          <w:sz w:val="20"/>
          <w:szCs w:val="20"/>
          <w:color w:val="auto"/>
        </w:rPr>
      </w:pPr>
    </w:p>
    <w:p>
      <w:pPr>
        <w:ind w:left="700" w:right="80" w:firstLine="794"/>
        <w:spacing w:after="0" w:line="264"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and Professional Success offers new student orientation, academic advising, technical support, research services, writing services, and other tutoring to all our online and campus students.</w:t>
      </w:r>
    </w:p>
    <w:p>
      <w:pPr>
        <w:spacing w:after="0" w:line="87" w:lineRule="exact"/>
        <w:rPr>
          <w:sz w:val="20"/>
          <w:szCs w:val="20"/>
          <w:color w:val="auto"/>
        </w:rPr>
      </w:pPr>
    </w:p>
    <w:p>
      <w:pPr>
        <w:ind w:left="700" w:right="20" w:firstLine="794"/>
        <w:spacing w:after="0" w:line="279" w:lineRule="auto"/>
        <w:rPr>
          <w:sz w:val="20"/>
          <w:szCs w:val="20"/>
          <w:color w:val="auto"/>
        </w:rPr>
      </w:pPr>
      <w:r>
        <w:rPr>
          <w:rFonts w:ascii="Arial" w:cs="Arial" w:eastAsia="Arial" w:hAnsi="Arial"/>
          <w:sz w:val="17"/>
          <w:szCs w:val="17"/>
          <w:i w:val="1"/>
          <w:iCs w:val="1"/>
          <w:color w:val="auto"/>
        </w:rPr>
        <w:t xml:space="preserve">Administrative services. </w:t>
      </w:r>
      <w:r>
        <w:rPr>
          <w:rFonts w:ascii="Arial" w:cs="Arial" w:eastAsia="Arial" w:hAnsi="Arial"/>
          <w:sz w:val="17"/>
          <w:szCs w:val="17"/>
          <w:color w:val="auto"/>
        </w:rPr>
        <w:t>We provide students with the ability to access a variety of administrative services both telephonically</w:t>
      </w:r>
      <w:r>
        <w:rPr>
          <w:rFonts w:ascii="Arial" w:cs="Arial" w:eastAsia="Arial" w:hAnsi="Arial"/>
          <w:sz w:val="17"/>
          <w:szCs w:val="17"/>
          <w:i w:val="1"/>
          <w:iCs w:val="1"/>
          <w:color w:val="auto"/>
        </w:rPr>
        <w:t xml:space="preserve"> </w:t>
      </w:r>
      <w:r>
        <w:rPr>
          <w:rFonts w:ascii="Arial" w:cs="Arial" w:eastAsia="Arial" w:hAnsi="Arial"/>
          <w:sz w:val="17"/>
          <w:szCs w:val="17"/>
          <w:color w:val="auto"/>
        </w:rPr>
        <w:t>and via the Internet. For example, students can 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77" w:lineRule="exact"/>
        <w:rPr>
          <w:sz w:val="20"/>
          <w:szCs w:val="20"/>
          <w:color w:val="auto"/>
        </w:rPr>
      </w:pPr>
    </w:p>
    <w:p>
      <w:pPr>
        <w:ind w:left="700" w:right="60" w:firstLine="794"/>
        <w:spacing w:after="0" w:line="257"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94" w:lineRule="exact"/>
        <w:rPr>
          <w:sz w:val="20"/>
          <w:szCs w:val="20"/>
          <w:color w:val="auto"/>
        </w:rPr>
      </w:pPr>
    </w:p>
    <w:p>
      <w:pPr>
        <w:ind w:left="700" w:firstLine="794"/>
        <w:spacing w:after="0" w:line="276" w:lineRule="auto"/>
        <w:rPr>
          <w:sz w:val="20"/>
          <w:szCs w:val="20"/>
          <w:color w:val="auto"/>
        </w:rPr>
      </w:pPr>
      <w:r>
        <w:rPr>
          <w:rFonts w:ascii="Arial" w:cs="Arial" w:eastAsia="Arial" w:hAnsi="Arial"/>
          <w:sz w:val="17"/>
          <w:szCs w:val="17"/>
          <w:i w:val="1"/>
          <w:iCs w:val="1"/>
          <w:color w:val="auto"/>
        </w:rPr>
        <w:t xml:space="preserve">Career services. </w:t>
      </w:r>
      <w:r>
        <w:rPr>
          <w:rFonts w:ascii="Arial" w:cs="Arial" w:eastAsia="Arial" w:hAnsi="Arial"/>
          <w:sz w:val="17"/>
          <w:szCs w:val="17"/>
          <w:color w:val="auto"/>
        </w:rPr>
        <w:t>For those students seeking to change careers or explore new career opportunities, we offer career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8" w:lineRule="exact"/>
        <w:rPr>
          <w:sz w:val="20"/>
          <w:szCs w:val="20"/>
          <w:color w:val="auto"/>
        </w:rPr>
      </w:pPr>
    </w:p>
    <w:p>
      <w:pPr>
        <w:jc w:val="both"/>
        <w:ind w:left="700" w:right="80" w:firstLine="794"/>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16 hours per day during the week and 14 hours per day on</w:t>
      </w:r>
      <w:r>
        <w:rPr>
          <w:rFonts w:ascii="Arial" w:cs="Arial" w:eastAsia="Arial" w:hAnsi="Arial"/>
          <w:sz w:val="18"/>
          <w:szCs w:val="18"/>
          <w:i w:val="1"/>
          <w:iCs w:val="1"/>
          <w:color w:val="auto"/>
        </w:rPr>
        <w:t xml:space="preserve"> </w:t>
      </w:r>
      <w:r>
        <w:rPr>
          <w:rFonts w:ascii="Arial" w:cs="Arial" w:eastAsia="Arial" w:hAnsi="Arial"/>
          <w:sz w:val="18"/>
          <w:szCs w:val="18"/>
          <w:color w:val="auto"/>
        </w:rPr>
        <w:t>weekends to help our students remedy technology-related issues. We also provide online tutorials and “Frequently Asked Questions” for students who are new to online coursework.</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Marketing, Recruitment, and Retention</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career-oriented educational programs, build strong brand 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enable us to gain a better understanding of the attributes of our students who ultimately enroll and graduate so that we can target our marketing and enrollment processes accordingly.</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To generate student leads, our marketing and enrollment personnel employ an integrated marketing approach that utilizes a variety of lead sources to identify prospective students. These lead generation sources include:</w:t>
      </w:r>
    </w:p>
    <w:p>
      <w:pPr>
        <w:spacing w:after="0" w:line="76" w:lineRule="exact"/>
        <w:rPr>
          <w:sz w:val="20"/>
          <w:szCs w:val="20"/>
          <w:color w:val="auto"/>
        </w:rPr>
      </w:pPr>
    </w:p>
    <w:p>
      <w:pPr>
        <w:ind w:left="1700" w:right="340" w:hanging="211"/>
        <w:spacing w:after="0" w:line="264"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73" w:lineRule="exact"/>
        <w:rPr>
          <w:rFonts w:ascii="Arial" w:cs="Arial" w:eastAsia="Arial" w:hAnsi="Arial"/>
          <w:sz w:val="18"/>
          <w:szCs w:val="18"/>
          <w:color w:val="auto"/>
        </w:rPr>
      </w:pPr>
    </w:p>
    <w:p>
      <w:pPr>
        <w:ind w:left="1700" w:hanging="211"/>
        <w:spacing w:after="0" w:line="277"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search engine optimization techniques, through which we seek to obtain high placement in search engine results in response to key topic and word searches and drive traffic to our website;</w:t>
      </w:r>
    </w:p>
    <w:p>
      <w:pPr>
        <w:spacing w:after="0" w:line="62" w:lineRule="exact"/>
        <w:rPr>
          <w:rFonts w:ascii="Arial" w:cs="Arial" w:eastAsia="Arial" w:hAnsi="Arial"/>
          <w:sz w:val="18"/>
          <w:szCs w:val="18"/>
          <w:color w:val="auto"/>
        </w:rPr>
      </w:pPr>
    </w:p>
    <w:p>
      <w:pPr>
        <w:ind w:left="1700" w:right="540" w:hanging="211"/>
        <w:spacing w:after="0" w:line="277"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seminar and event marketing, in which our marketing and enrollment personnel host group events at various venues, including community colleges, corporations, and hospitals;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referrals from existing students, alumni, and employees;</w:t>
      </w:r>
    </w:p>
    <w:p>
      <w:pPr>
        <w:spacing w:after="0" w:line="117" w:lineRule="exact"/>
        <w:rPr>
          <w:rFonts w:ascii="Arial" w:cs="Arial" w:eastAsia="Arial" w:hAnsi="Arial"/>
          <w:sz w:val="18"/>
          <w:szCs w:val="18"/>
          <w:color w:val="auto"/>
        </w:rPr>
      </w:pPr>
    </w:p>
    <w:p>
      <w:pPr>
        <w:ind w:left="1700" w:right="20" w:hanging="211"/>
        <w:spacing w:after="0" w:line="259"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78" w:lineRule="exact"/>
        <w:rPr>
          <w:rFonts w:ascii="Arial" w:cs="Arial" w:eastAsia="Arial" w:hAnsi="Arial"/>
          <w:sz w:val="18"/>
          <w:szCs w:val="18"/>
          <w:color w:val="auto"/>
        </w:rPr>
      </w:pPr>
    </w:p>
    <w:p>
      <w:pPr>
        <w:ind w:left="1700" w:right="260" w:hanging="211"/>
        <w:spacing w:after="0" w:line="277" w:lineRule="auto"/>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print and direct mail advertising campaigns, and other public relations and communications efforts, including promoting our athletic programs and student and alumni events.</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i w:val="1"/>
          <w:iCs w:val="1"/>
          <w:color w:val="auto"/>
        </w:rPr>
        <w:t xml:space="preserve">Recruitment. </w:t>
      </w:r>
      <w:r>
        <w:rPr>
          <w:rFonts w:ascii="Arial" w:cs="Arial" w:eastAsia="Arial" w:hAnsi="Arial"/>
          <w:sz w:val="16"/>
          <w:szCs w:val="16"/>
          <w:color w:val="auto"/>
        </w:rPr>
        <w:t>Once a prospective student has indicated an interest in enrolling in one of our programs, our lead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enrollment counselors typically have prior education industry or sales experience. Each counselor undergoes a standardized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three-week training program that involves both classroom and supervisor-monitored fieldwork and provides the counselor with training</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financial aid, regulatory requirements, general sales skills, and our history and heritage, mission, and academic programs. As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June 30, 2008, we employed over 450 enrollment counselors at facilities in Arizona and Utah and have capacity at our existing locations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 support approximately 700 enrollment counselors, which we expect to be sufficient to handle our growth plans through 2009. We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believe we can obtain additional capacity to accommodate our growth plans beyond 2009 on terms acceptable to us.</w:t>
      </w:r>
    </w:p>
    <w:p>
      <w:pPr>
        <w:spacing w:after="0" w:line="116"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i w:val="1"/>
          <w:iCs w:val="1"/>
          <w:color w:val="auto"/>
        </w:rPr>
        <w:t xml:space="preserve">Retention. </w:t>
      </w:r>
      <w:r>
        <w:rPr>
          <w:rFonts w:ascii="Arial" w:cs="Arial" w:eastAsia="Arial" w:hAnsi="Arial"/>
          <w:sz w:val="17"/>
          <w:szCs w:val="17"/>
          <w:color w:val="auto"/>
        </w:rPr>
        <w:t>We employ a retention team whose purpose is to support the student in advancing from matriculation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graduation. At June 30, 2008, our retention team consisted of 19 “retention specialists,” whom, among other 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60"/>
        <w:spacing w:after="0" w:line="264" w:lineRule="auto"/>
        <w:rPr>
          <w:sz w:val="20"/>
          <w:szCs w:val="20"/>
          <w:color w:val="auto"/>
        </w:rPr>
      </w:pPr>
      <w:r>
        <w:rPr>
          <w:rFonts w:ascii="Arial" w:cs="Arial" w:eastAsia="Arial" w:hAnsi="Arial"/>
          <w:sz w:val="18"/>
          <w:szCs w:val="18"/>
          <w:color w:val="auto"/>
        </w:rPr>
        <w:t>significantly increase retention 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Admissions</w:t>
      </w:r>
    </w:p>
    <w:p>
      <w:pPr>
        <w:spacing w:after="0" w:line="135"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Enrollment</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At June 30, 2008, we had 16,531 students enrolled in our courses, of which 14,814, or 89.6%, were enrolled in our online programs, and 1,717, or 10.4%, were enrolled in our ground programs. Of our online students, which were geographically distributed throughout all 50 states of the United States, and Canada, 91.7% were age 25 or older. Of our ground students, which, although we draw students from throughout the United States, were predominantly comprised of students from Arizona, 82.1% were age 25 or older.</w:t>
      </w:r>
    </w:p>
    <w:p>
      <w:pPr>
        <w:spacing w:after="0" w:line="60" w:lineRule="exact"/>
        <w:rPr>
          <w:sz w:val="20"/>
          <w:szCs w:val="20"/>
          <w:color w:val="auto"/>
        </w:rPr>
      </w:pPr>
    </w:p>
    <w:p>
      <w:pPr>
        <w:ind w:left="700" w:right="760" w:firstLine="397"/>
        <w:spacing w:after="0" w:line="308" w:lineRule="auto"/>
        <w:rPr>
          <w:sz w:val="20"/>
          <w:szCs w:val="20"/>
          <w:color w:val="auto"/>
        </w:rPr>
      </w:pPr>
      <w:r>
        <w:rPr>
          <w:rFonts w:ascii="Arial" w:cs="Arial" w:eastAsia="Arial" w:hAnsi="Arial"/>
          <w:sz w:val="17"/>
          <w:szCs w:val="17"/>
          <w:color w:val="auto"/>
        </w:rPr>
        <w:t>The following is a summary of our student enrollment at June 30, 2008 and December 31, 2007 (which included less than 100 students pursuing non-degree certificates) by degree type and by instructional delivery method:</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 2008</w:t>
            </w:r>
          </w:p>
        </w:tc>
        <w:tc>
          <w:tcPr>
            <w:tcW w:w="400" w:type="dxa"/>
            <w:vAlign w:val="bottom"/>
          </w:tcPr>
          <w:p>
            <w:pPr>
              <w:spacing w:after="0"/>
              <w:rPr>
                <w:sz w:val="14"/>
                <w:szCs w:val="1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of Total</w:t>
            </w:r>
          </w:p>
        </w:tc>
        <w:tc>
          <w:tcPr>
            <w:tcW w:w="4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Master’s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Bachelor’s</w:t>
            </w:r>
          </w:p>
        </w:tc>
        <w:tc>
          <w:tcPr>
            <w:tcW w:w="4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5,598</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 2008</w:t>
            </w:r>
          </w:p>
        </w:tc>
        <w:tc>
          <w:tcPr>
            <w:tcW w:w="400" w:type="dxa"/>
            <w:vAlign w:val="bottom"/>
          </w:tcPr>
          <w:p>
            <w:pPr>
              <w:spacing w:after="0"/>
              <w:rPr>
                <w:sz w:val="24"/>
                <w:szCs w:val="24"/>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of Total</w:t>
            </w:r>
          </w:p>
        </w:tc>
        <w:tc>
          <w:tcPr>
            <w:tcW w:w="4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Ground*</w:t>
            </w:r>
          </w:p>
        </w:tc>
        <w:tc>
          <w:tcPr>
            <w:tcW w:w="4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00" w:right="580" w:hanging="207"/>
        <w:spacing w:after="0" w:line="253" w:lineRule="auto"/>
        <w:tabs>
          <w:tab w:leader="none" w:pos="9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our traditional ground students, as well as our professional studies ground students. Enrollment of our ground students is typically lower at June 30 as compared to December 31 because a portion of our ground students are not enrolled in classes during the summer months.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Tuition and Fees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94" w:lineRule="exact"/>
        <w:rPr>
          <w:sz w:val="20"/>
          <w:szCs w:val="20"/>
          <w:color w:val="auto"/>
        </w:rPr>
      </w:pPr>
    </w:p>
    <w:p>
      <w:pPr>
        <w:ind w:left="700" w:right="200" w:firstLine="397"/>
        <w:spacing w:after="0" w:line="312" w:lineRule="auto"/>
        <w:rPr>
          <w:sz w:val="20"/>
          <w:szCs w:val="20"/>
          <w:color w:val="auto"/>
        </w:rPr>
      </w:pPr>
      <w:r>
        <w:rPr>
          <w:rFonts w:ascii="Arial" w:cs="Arial" w:eastAsia="Arial" w:hAnsi="Arial"/>
          <w:sz w:val="16"/>
          <w:szCs w:val="16"/>
          <w:color w:val="auto"/>
        </w:rPr>
        <w:t>We offer tuition scholarships to select students, including online students, athletes, employees, and participants in programs we offer through relationships with employers. For the years ended December 31, 2006 and 2007 and the six months ended June 30, 2008, we offered tuition scholarships representing a total value of approximately $8.2 million, $10.3 million and $7.7 million, respectively.</w:t>
      </w:r>
    </w:p>
    <w:p>
      <w:pPr>
        <w:spacing w:after="0" w:line="5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Sources of Student Financing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Title IV programs. </w:t>
      </w:r>
      <w:r>
        <w:rPr>
          <w:rFonts w:ascii="Arial" w:cs="Arial" w:eastAsia="Arial" w:hAnsi="Arial"/>
          <w:sz w:val="16"/>
          <w:szCs w:val="16"/>
          <w:color w:val="auto"/>
        </w:rPr>
        <w:t>The federal government provides for grants and loans to students under the Title IV programs, and students can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use those funds at any institution that has been certified as eligible by the Department of Education. Student financial aid under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Title IV programs is primarily awarded on the basis of a student’s financial need, which is generally defined as the difference between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cost of attending the institution and the amount the student and the student’s family can reasonably contribute to that cost. All students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receiving Title IV program funds must maintain satisfactory academic progress toward completion of their program of study. In addition,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school must ensure that Title IV program funds are properly accounted for and disbursed in the correct amounts to eligible students.</w:t>
      </w:r>
    </w:p>
    <w:p>
      <w:pPr>
        <w:spacing w:after="0" w:line="139"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92" w:lineRule="exact"/>
        <w:rPr>
          <w:sz w:val="20"/>
          <w:szCs w:val="20"/>
          <w:color w:val="auto"/>
        </w:rPr>
      </w:pPr>
    </w:p>
    <w:p>
      <w:pPr>
        <w:ind w:left="1700" w:right="40" w:hanging="211"/>
        <w:spacing w:after="0" w:line="288" w:lineRule="auto"/>
        <w:tabs>
          <w:tab w:leader="none" w:pos="17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FFEL. </w:t>
      </w:r>
      <w:r>
        <w:rPr>
          <w:rFonts w:ascii="Arial" w:cs="Arial" w:eastAsia="Arial" w:hAnsi="Arial"/>
          <w:sz w:val="16"/>
          <w:szCs w:val="16"/>
          <w:color w:val="auto"/>
        </w:rPr>
        <w:t>Under the FFEL Program, banks and other lending institutions make loans to students. The FFEL Program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Stafford Loan Program, the 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4" w:lineRule="exact"/>
        <w:rPr>
          <w:rFonts w:ascii="Arial" w:cs="Arial" w:eastAsia="Arial" w:hAnsi="Arial"/>
          <w:sz w:val="16"/>
          <w:szCs w:val="16"/>
          <w:color w:val="auto"/>
        </w:rPr>
      </w:pPr>
    </w:p>
    <w:p>
      <w:pPr>
        <w:ind w:left="1700" w:right="280"/>
        <w:spacing w:after="0" w:line="259" w:lineRule="auto"/>
        <w:rPr>
          <w:rFonts w:ascii="Arial" w:cs="Arial" w:eastAsia="Arial" w:hAnsi="Arial"/>
          <w:sz w:val="16"/>
          <w:szCs w:val="16"/>
          <w:color w:val="auto"/>
        </w:rPr>
      </w:pPr>
      <w:r>
        <w:rPr>
          <w:rFonts w:ascii="Arial" w:cs="Arial" w:eastAsia="Arial" w:hAnsi="Arial"/>
          <w:sz w:val="18"/>
          <w:szCs w:val="18"/>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 and dependent students whose parents were denied a parent loan for undergraduate students, can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220"/>
        <w:spacing w:after="0" w:line="312" w:lineRule="auto"/>
        <w:rPr>
          <w:sz w:val="20"/>
          <w:szCs w:val="20"/>
          <w:color w:val="auto"/>
        </w:rPr>
      </w:pPr>
      <w:r>
        <w:rPr>
          <w:rFonts w:ascii="Arial" w:cs="Arial" w:eastAsia="Arial" w:hAnsi="Arial"/>
          <w:sz w:val="16"/>
          <w:szCs w:val="16"/>
          <w:color w:val="auto"/>
        </w:rPr>
        <w:t>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52" w:lineRule="exact"/>
        <w:rPr>
          <w:sz w:val="20"/>
          <w:szCs w:val="20"/>
          <w:color w:val="auto"/>
        </w:rPr>
      </w:pPr>
    </w:p>
    <w:p>
      <w:pPr>
        <w:ind w:left="1700" w:right="140" w:hanging="211"/>
        <w:spacing w:after="0" w:line="255"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Pell. </w:t>
      </w:r>
      <w:r>
        <w:rPr>
          <w:rFonts w:ascii="Arial" w:cs="Arial" w:eastAsia="Arial" w:hAnsi="Arial"/>
          <w:sz w:val="18"/>
          <w:szCs w:val="18"/>
          <w:color w:val="auto"/>
        </w:rPr>
        <w:t>Under the Pell Program, the Department of Education makes grants to undergraduate students who demonstrate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need. Effective July 1, 2008, the maximum annual grant a student can receive under the Pell Program is $4,731. Under the Higher Education Act reauthorization, which Congress passed in July 2008 and which the President is expected to sign, students would be able for the first time to receive Pell Grant funds for attendance on a year-round basis, which means that the amount a student could receive in a given year would be more than the traditionally defined maximum annual amount.</w:t>
      </w:r>
    </w:p>
    <w:p>
      <w:pPr>
        <w:spacing w:after="0" w:line="99"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w:t>
      </w:r>
    </w:p>
    <w:p>
      <w:pPr>
        <w:spacing w:after="0" w:line="87"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aid programs or receive support from other governmental sources. These include veterans educational benefits administered by the U.S. Department of Veterans Affairs and state financial aid programs. During fiscal 2007 and the first six months of 2008, we derived an immaterial amount of our net revenue from tuition financed by such programs.</w:t>
      </w:r>
    </w:p>
    <w:p>
      <w:pPr>
        <w:spacing w:after="0" w:line="7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different lenders for private loans at current market interest rates. Private loans are intended to fund a portion of students’ cost of education not covered by the Title IV programs and other financial aid. During fiscal 2007 and the first six months of 2008, payments derived from private loans constituted approximately 5.0% and 4.9%, respectively,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99"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We derived the remainder of our net revenue from tuition that is self-funded or attributable to employer tuition</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Technology Systems and Management</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76" w:lineRule="exact"/>
        <w:rPr>
          <w:sz w:val="20"/>
          <w:szCs w:val="20"/>
          <w:color w:val="auto"/>
        </w:rPr>
      </w:pPr>
    </w:p>
    <w:p>
      <w:pPr>
        <w:ind w:left="700" w:right="280" w:firstLine="397"/>
        <w:spacing w:after="0" w:line="273" w:lineRule="auto"/>
        <w:rPr>
          <w:sz w:val="20"/>
          <w:szCs w:val="20"/>
          <w:color w:val="auto"/>
        </w:rPr>
      </w:pPr>
      <w:r>
        <w:rPr>
          <w:rFonts w:ascii="Arial" w:cs="Arial" w:eastAsia="Arial" w:hAnsi="Arial"/>
          <w:sz w:val="17"/>
          <w:szCs w:val="17"/>
          <w:i w:val="1"/>
          <w:iCs w:val="1"/>
          <w:color w:val="auto"/>
        </w:rPr>
        <w:t xml:space="preserve">Online course delivery and management. </w:t>
      </w:r>
      <w:r>
        <w:rPr>
          <w:rFonts w:ascii="Arial" w:cs="Arial" w:eastAsia="Arial" w:hAnsi="Arial"/>
          <w:sz w:val="17"/>
          <w:szCs w:val="17"/>
          <w:color w:val="auto"/>
        </w:rPr>
        <w:t>In 2007, we implemented the ANGEL Learning Management Suite, which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expect to begin for selected courses in the fall of 2008.</w:t>
      </w:r>
    </w:p>
    <w:p>
      <w:pPr>
        <w:spacing w:after="0" w:line="8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package to distribute, manage, track, and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all prospective student leads developed, both internally and externally. We also utilize a commercial software package to track Title IV funds, student records, grades, accounts receivable, and accounts payable. Each of these packages is scalable to capacity levels well in excess of current requirements.</w:t>
      </w:r>
    </w:p>
    <w:p>
      <w:pPr>
        <w:spacing w:after="0" w:line="92"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 third party co-location facility. All of our servers are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networked and we have redundant data backup. We manage our technology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86" w:lineRule="auto"/>
        <w:rPr>
          <w:sz w:val="20"/>
          <w:szCs w:val="20"/>
          <w:color w:val="auto"/>
        </w:rPr>
      </w:pPr>
      <w:r>
        <w:rPr>
          <w:rFonts w:ascii="Arial" w:cs="Arial" w:eastAsia="Arial" w:hAnsi="Arial"/>
          <w:sz w:val="17"/>
          <w:szCs w:val="17"/>
          <w:color w:val="auto"/>
        </w:rPr>
        <w:t>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Ground Campus</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64"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7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addition to our faculty, as of June 30, 2008, we employed 979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7"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98"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career-oriented and accredited program offerings;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types of degrees offered and marketability of those degrees;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w:t>
      </w:r>
    </w:p>
    <w:p>
      <w:pPr>
        <w:spacing w:after="0" w:line="13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We believe our existing facilities are adequate for current requirements and that additional space can be obtained on commercially reasonable terms to meet future requirements.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9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78"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8"/>
          <w:szCs w:val="18"/>
          <w:u w:val="single" w:color="auto"/>
          <w:color w:val="auto"/>
        </w:rPr>
        <w:t>www.gcu.edu</w:t>
      </w:r>
      <w:r>
        <w:rPr>
          <w:rFonts w:ascii="Arial" w:cs="Arial" w:eastAsia="Arial" w:hAnsi="Arial"/>
          <w:sz w:val="18"/>
          <w:szCs w:val="18"/>
          <w:color w:val="auto"/>
        </w:rPr>
        <w:t>,” as well as other words and phrases important to our business.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On February 28, 2007, we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has also counterclaimed alleging</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breach of contract relating to the parties’ technology services agreement. Following discovery, the arbitration occurred in late May 2008 and final arguments were heard in July 2008. We are seeking approximately $1.4 million from SunGard, and SunGard has counterclaimed for approximately $1.7 million.</w:t>
      </w:r>
    </w:p>
    <w:p>
      <w:pPr>
        <w:spacing w:after="0" w:line="87"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REGULATION</w:t>
      </w:r>
    </w:p>
    <w:p>
      <w:pPr>
        <w:spacing w:after="0" w:line="135"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77" w:lineRule="exact"/>
        <w:rPr>
          <w:sz w:val="20"/>
          <w:szCs w:val="20"/>
          <w:color w:val="auto"/>
        </w:rPr>
      </w:pPr>
    </w:p>
    <w:p>
      <w:pPr>
        <w:ind w:left="700" w:right="120" w:firstLine="397"/>
        <w:spacing w:after="0" w:line="272" w:lineRule="auto"/>
        <w:rPr>
          <w:sz w:val="20"/>
          <w:szCs w:val="20"/>
          <w:color w:val="auto"/>
        </w:rPr>
      </w:pPr>
      <w:r>
        <w:rPr>
          <w:rFonts w:ascii="Arial" w:cs="Arial" w:eastAsia="Arial" w:hAnsi="Arial"/>
          <w:sz w:val="17"/>
          <w:szCs w:val="17"/>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operations are also subject to regulation by the Department of Education due to our participation in federal student financial aid</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programs under Title IV of the Higher Education Act, which we refer to in this prospectus as the Title IV programs. The Title IV</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programs include educational loans with below-market interest rates that are guaranteed by the federal government in the event of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student’s default on repaying the loan, and also grant programs for students with demonstrated financial need. To participate in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Title IV programs, a school must receive and maintain authorization by the appropriate state education agency or agencies, be accredited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by an accrediting commission recognized by the Department of Education, and be certified as an eligible institution by the Department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Education.</w:t>
      </w:r>
    </w:p>
    <w:p>
      <w:pPr>
        <w:spacing w:after="0" w:line="11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73"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Although we believe we are licensed or authorized in those jurisdictions where a license or authorization is currently required, because we enroll students in all 50 states and the District of Columbia, we expect that other state regulatory authorities will request that we seek licensure or authorization in their states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Professional Licensure</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92" w:lineRule="exact"/>
        <w:rPr>
          <w:sz w:val="20"/>
          <w:szCs w:val="20"/>
          <w:color w:val="auto"/>
        </w:rPr>
      </w:pPr>
    </w:p>
    <w:p>
      <w:pPr>
        <w:ind w:left="1700" w:right="800" w:hanging="211"/>
        <w:spacing w:after="0" w:line="277" w:lineRule="auto"/>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whether the program from which the student graduated meets all requirements for professional licensure in that state;</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131" w:lineRule="exact"/>
        <w:rPr>
          <w:sz w:val="20"/>
          <w:szCs w:val="20"/>
          <w:color w:val="auto"/>
        </w:rPr>
      </w:pPr>
    </w:p>
    <w:p>
      <w:pPr>
        <w:ind w:left="700" w:right="260"/>
        <w:spacing w:after="0" w:line="308" w:lineRule="auto"/>
        <w:rPr>
          <w:sz w:val="20"/>
          <w:szCs w:val="20"/>
          <w:color w:val="auto"/>
        </w:rPr>
      </w:pPr>
      <w:r>
        <w:rPr>
          <w:rFonts w:ascii="Arial" w:cs="Arial" w:eastAsia="Arial" w:hAnsi="Arial"/>
          <w:sz w:val="17"/>
          <w:szCs w:val="17"/>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 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Accreditation</w:t>
      </w:r>
    </w:p>
    <w:p>
      <w:pPr>
        <w:spacing w:after="0" w:line="135"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03"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8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9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In connection with our reaccreditation by the Higher Learning Commission in 2007, the Higher Learning Commission did identify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60" w:lineRule="exact"/>
        <w:rPr>
          <w:sz w:val="20"/>
          <w:szCs w:val="20"/>
          <w:color w:val="auto"/>
        </w:rPr>
      </w:pPr>
    </w:p>
    <w:p>
      <w:pPr>
        <w:ind w:left="1700" w:right="380" w:hanging="211"/>
        <w:spacing w:after="0" w:line="317" w:lineRule="auto"/>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Association of Collegiate Business Schools and Programs accredits our Master of Business Administration degree program and our Bachelor of Science degree programs in Accounting, Business Administration, and Marketing;</w:t>
      </w:r>
    </w:p>
    <w:p>
      <w:pPr>
        <w:ind w:left="1700" w:right="140" w:hanging="211"/>
        <w:spacing w:after="0" w:line="277"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 Nursing degree programs; and</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7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35"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7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31" w:lineRule="exact"/>
        <w:rPr>
          <w:sz w:val="20"/>
          <w:szCs w:val="20"/>
          <w:color w:val="auto"/>
        </w:rPr>
      </w:pPr>
    </w:p>
    <w:p>
      <w:pPr>
        <w:ind w:left="700" w:right="40" w:firstLine="397"/>
        <w:spacing w:after="0" w:line="283"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w:t>
      </w:r>
      <w:r>
        <w:rPr>
          <w:rFonts w:ascii="Arial" w:cs="Arial" w:eastAsia="Arial" w:hAnsi="Arial"/>
          <w:sz w:val="16"/>
          <w:szCs w:val="16"/>
          <w:i w:val="1"/>
          <w:iCs w:val="1"/>
          <w:color w:val="auto"/>
        </w:rPr>
        <w:t xml:space="preserve"> </w:t>
      </w:r>
      <w:r>
        <w:rPr>
          <w:rFonts w:ascii="Arial" w:cs="Arial" w:eastAsia="Arial" w:hAnsi="Arial"/>
          <w:sz w:val="16"/>
          <w:szCs w:val="16"/>
          <w:color w:val="auto"/>
        </w:rPr>
        <w:t>Congress’ most recent comprehensive reauthorization of the Higher Education Act was in 1998, and it has been temporarily extended several times since then. In July 2008, Congress passed the full reauthorization of the Higher Education Act, which the President is expected to sign. It would reauthorize all of the Title IV programs in which we participate, but would make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w:t>
      </w:r>
    </w:p>
    <w:p>
      <w:pPr>
        <w:spacing w:after="0" w:line="7"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color w:val="auto"/>
        </w:rPr>
        <w:t>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9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92"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color w:val="auto"/>
        </w:rPr>
        <w:t>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77"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81"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Department of Education regulations specify extensive criteria by which an institution must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has the requisite “administrative capability” to participate in the Title IV programs. To meet the administrative capability standards, an institution must, among other things:</w:t>
      </w:r>
    </w:p>
    <w:p>
      <w:pPr>
        <w:spacing w:after="0" w:line="87" w:lineRule="exact"/>
        <w:rPr>
          <w:sz w:val="20"/>
          <w:szCs w:val="20"/>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63" w:lineRule="exact"/>
        <w:rPr>
          <w:rFonts w:ascii="Arial" w:cs="Arial" w:eastAsia="Arial" w:hAnsi="Arial"/>
          <w:sz w:val="18"/>
          <w:szCs w:val="18"/>
          <w:color w:val="auto"/>
        </w:rPr>
      </w:pPr>
    </w:p>
    <w:p>
      <w:pPr>
        <w:ind w:left="1700" w:right="320" w:hanging="211"/>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63" w:lineRule="exact"/>
        <w:rPr>
          <w:rFonts w:ascii="Arial" w:cs="Arial" w:eastAsia="Arial" w:hAnsi="Arial"/>
          <w:sz w:val="18"/>
          <w:szCs w:val="18"/>
          <w:color w:val="auto"/>
        </w:rPr>
      </w:pPr>
    </w:p>
    <w:p>
      <w:pPr>
        <w:ind w:left="1700" w:right="580" w:hanging="211"/>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63" w:lineRule="exact"/>
        <w:rPr>
          <w:rFonts w:ascii="Arial" w:cs="Arial" w:eastAsia="Arial" w:hAnsi="Arial"/>
          <w:sz w:val="18"/>
          <w:szCs w:val="18"/>
          <w:color w:val="auto"/>
        </w:rPr>
      </w:pPr>
    </w:p>
    <w:p>
      <w:pPr>
        <w:ind w:left="1700" w:right="300" w:hanging="211"/>
        <w:spacing w:after="0" w:line="264"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9"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submit all required reports and financial statements in a timely manner; and</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77" w:lineRule="exact"/>
        <w:rPr>
          <w:sz w:val="20"/>
          <w:szCs w:val="20"/>
          <w:color w:val="auto"/>
        </w:rPr>
      </w:pPr>
    </w:p>
    <w:p>
      <w:pPr>
        <w:ind w:left="5560" w:right="3340" w:hanging="4071"/>
        <w:spacing w:after="0" w:line="747" w:lineRule="auto"/>
        <w:tabs>
          <w:tab w:leader="none" w:pos="1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80" w:hanging="211"/>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8" w:lineRule="exact"/>
        <w:rPr>
          <w:rFonts w:ascii="Arial" w:cs="Arial" w:eastAsia="Arial" w:hAnsi="Arial"/>
          <w:sz w:val="18"/>
          <w:szCs w:val="18"/>
          <w:color w:val="auto"/>
        </w:rPr>
      </w:pPr>
    </w:p>
    <w:p>
      <w:pPr>
        <w:ind w:left="1700" w:hanging="211"/>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63" w:lineRule="exact"/>
        <w:rPr>
          <w:rFonts w:ascii="Arial" w:cs="Arial" w:eastAsia="Arial" w:hAnsi="Arial"/>
          <w:sz w:val="18"/>
          <w:szCs w:val="18"/>
          <w:color w:val="auto"/>
        </w:rPr>
      </w:pPr>
    </w:p>
    <w:p>
      <w:pPr>
        <w:ind w:left="1700" w:right="420" w:hanging="211"/>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7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Financial responsibility. </w:t>
      </w:r>
      <w:r>
        <w:rPr>
          <w:rFonts w:ascii="Arial" w:cs="Arial" w:eastAsia="Arial" w:hAnsi="Arial"/>
          <w:sz w:val="16"/>
          <w:szCs w:val="16"/>
          <w:color w:val="auto"/>
        </w:rPr>
        <w:t>The Higher Education Act and Department of Education regulations establish extensive standards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0" w:lineRule="exact"/>
        <w:rPr>
          <w:sz w:val="20"/>
          <w:szCs w:val="20"/>
          <w:color w:val="auto"/>
        </w:rPr>
      </w:pPr>
    </w:p>
    <w:p>
      <w:pPr>
        <w:ind w:left="1700" w:hanging="211"/>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primary reserve ratio, which measures the institution’s ability to support current operations from expendable resources; and</w:t>
      </w:r>
    </w:p>
    <w:p>
      <w:pPr>
        <w:spacing w:after="0" w:line="86" w:lineRule="exact"/>
        <w:rPr>
          <w:rFonts w:ascii="Arial" w:cs="Arial" w:eastAsia="Arial" w:hAnsi="Arial"/>
          <w:sz w:val="16"/>
          <w:szCs w:val="16"/>
          <w:color w:val="auto"/>
        </w:rPr>
      </w:pPr>
    </w:p>
    <w:p>
      <w:pPr>
        <w:ind w:left="1700" w:hanging="211"/>
        <w:spacing w:after="0"/>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131"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84"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100"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limitations on our ability to increase the number of programs we offer or the number of students we enroll.</w:t>
      </w:r>
    </w:p>
    <w:p>
      <w:pPr>
        <w:spacing w:after="0" w:line="131" w:lineRule="exact"/>
        <w:rPr>
          <w:sz w:val="20"/>
          <w:szCs w:val="20"/>
          <w:color w:val="auto"/>
        </w:rPr>
      </w:pPr>
    </w:p>
    <w:p>
      <w:pPr>
        <w:ind w:left="700" w:right="220" w:firstLine="397"/>
        <w:spacing w:after="0" w:line="279" w:lineRule="auto"/>
        <w:rPr>
          <w:sz w:val="20"/>
          <w:szCs w:val="20"/>
          <w:color w:val="auto"/>
        </w:rPr>
      </w:pPr>
      <w:r>
        <w:rPr>
          <w:rFonts w:ascii="Arial" w:cs="Arial" w:eastAsia="Arial" w:hAnsi="Arial"/>
          <w:sz w:val="17"/>
          <w:szCs w:val="17"/>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7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Return of Title IV funds for students who withdraw. </w:t>
      </w:r>
      <w:r>
        <w:rPr>
          <w:rFonts w:ascii="Arial" w:cs="Arial" w:eastAsia="Arial" w:hAnsi="Arial"/>
          <w:sz w:val="17"/>
          <w:szCs w:val="17"/>
          <w:color w:val="auto"/>
        </w:rPr>
        <w:t>When a student who has received Title IV funds withdraws from school,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 must determine the amount of Title IV 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93"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A requirement of the Higher Education Act commonly referred to as the “90/10 Rule” provides that an</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loses its eligibility to participate in the Title IV 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 applicable lender or the Department of Education. In July 2008, Congress passed the reauthorization of the Higher Education Act, which the President is expected to sign and which includes significant revisions to the “90/10 Rule.” Under the revised law, an institution would be subject to loss of eligibility to participate in the Title IV programs only if it exceeded the 90% threshold for two consecutive years, the period of ineligibility would be extended to at least two years, and an institution whose rate exceeded 90% for any single year would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However, such effects may be mitigated by other provisions of the recent Higher Education Act reauthorization that would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7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Higher Education Act, an educational institution may lose its eligibility to participate in some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Title IV programs if defaults by its students on the repayment of their FFEL student loans exceed certain levels. For each federal fiscal year, the Department of Education calculates a rate of student defaults for each institution (known as a “cohort default rate”). An institution’s FFEL cohort</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default rate for a federal fiscal year is calculated by determining the rate at which borrowers who became subject to their repayment obligation in that federal fiscal year defaulted by the end of the following federal fiscal year.</w:t>
      </w:r>
    </w:p>
    <w:p>
      <w:pPr>
        <w:spacing w:after="0" w:line="76"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2003, 2004, and 2005 federal fiscal years, the three most recent years for which such rates have been calculated, were 1.2%, 1.4%, and 1.8%, respectively. The FFEL cohort default rates for federal fiscal year 2006 are expected to be released by the Department of Education in September 2008, but the Department of Education advised us in February 2008 that our estimated FFEL cohort default rate for federal fiscal year 2006 was 1.6%. In July 2008, Congress passed the reauthorization of the Higher Education Act, which the President is expected to sign and which includes significant revisions to the requirements concerning FFEL cohort default rates. Under the revised law, the period for which students’ defaults on their loans would be included in the calculation of an institution’s cohort default rate would be extended by one additional year, which is expected to increase the cohort default rates for most institutions. That change would be effective with the calculation of institutions’ cohort default rates for federal fiscal year 2009, which would be expected to be calculated and issued by the Department of Education in 2012. However, the revised law would also increase the threshold for ending an institution’s participation in the relevant Title IV programs from 25% to 30%, effective in 2012.</w:t>
      </w:r>
    </w:p>
    <w:p>
      <w:pPr>
        <w:spacing w:after="0" w:line="290"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but the law and regulations governing this requirement do not establish clear criteria for compliance in all circumstances.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98"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In recent years, several for-profit education companies have been faced with whistleblower lawsuits, known as “qui tam” cases, brought by former employees alleging that their institution had made impermissible incentive payments. The employees bringing such lawsuits typically seek, for themselves and for the federal government, substantial financial penalties against the subject company. If we or any third parties we have engaged or engage in the future violate the incentive compensation rule, we could be fined or sanctioned by the Department of Education, or subjected to other monetary penalties that could be substantial. Although there can be no assurance that the Department of Education or a court would not find deficiencies in our present or former compensation practices for employees and third parties, we believe that our employee compensation and third-party contractual arrangements comply with the incentive compensation rule.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Department of Education, its Office 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8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Privacy of student records. </w:t>
      </w:r>
      <w:r>
        <w:rPr>
          <w:rFonts w:ascii="Arial" w:cs="Arial" w:eastAsia="Arial" w:hAnsi="Arial"/>
          <w:sz w:val="17"/>
          <w:szCs w:val="17"/>
          <w:color w:val="auto"/>
        </w:rPr>
        <w:t>The Family Educational Rights and Privacy Act of 1974, or FERPA, and the Department of Education’s</w:t>
      </w:r>
      <w:r>
        <w:rPr>
          <w:rFonts w:ascii="Arial" w:cs="Arial" w:eastAsia="Arial" w:hAnsi="Arial"/>
          <w:sz w:val="17"/>
          <w:szCs w:val="17"/>
          <w:i w:val="1"/>
          <w:iCs w:val="1"/>
          <w:color w:val="auto"/>
        </w:rPr>
        <w:t xml:space="preserve"> </w:t>
      </w:r>
      <w:r>
        <w:rPr>
          <w:rFonts w:ascii="Arial" w:cs="Arial" w:eastAsia="Arial" w:hAnsi="Arial"/>
          <w:sz w:val="17"/>
          <w:szCs w:val="17"/>
          <w:color w:val="auto"/>
        </w:rPr>
        <w:t>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8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87"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funding for our students, would be expected to have a material adverse effect on our results of operations, even if we could arrange or provide alternative sources of revenue or student financial aid.</w:t>
      </w:r>
    </w:p>
    <w:p>
      <w:pPr>
        <w:spacing w:after="0" w:line="76"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71"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i w:val="1"/>
          <w:iCs w:val="1"/>
          <w:color w:val="auto"/>
        </w:rPr>
        <w:t xml:space="preserve">Uncertainties, increased oversight, and changes in student loan environment. </w:t>
      </w:r>
      <w:r>
        <w:rPr>
          <w:rFonts w:ascii="Arial" w:cs="Arial" w:eastAsia="Arial" w:hAnsi="Arial"/>
          <w:sz w:val="16"/>
          <w:szCs w:val="16"/>
          <w:color w:val="auto"/>
        </w:rPr>
        <w:t>During 2007 and 2008, student loan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investigation will be.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8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41" w:lineRule="exact"/>
        <w:rPr>
          <w:sz w:val="20"/>
          <w:szCs w:val="20"/>
          <w:color w:val="auto"/>
        </w:rPr>
      </w:pPr>
    </w:p>
    <w:p>
      <w:pPr>
        <w:ind w:left="1700" w:right="100" w:hanging="211"/>
        <w:spacing w:after="0" w:line="277" w:lineRule="auto"/>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8" w:lineRule="exact"/>
        <w:rPr>
          <w:rFonts w:ascii="Arial" w:cs="Arial" w:eastAsia="Arial" w:hAnsi="Arial"/>
          <w:sz w:val="18"/>
          <w:szCs w:val="18"/>
          <w:color w:val="auto"/>
        </w:rPr>
      </w:pPr>
    </w:p>
    <w:p>
      <w:pPr>
        <w:ind w:left="1700" w:right="260" w:hanging="211"/>
        <w:spacing w:after="0" w:line="264" w:lineRule="auto"/>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87"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i w:val="1"/>
          <w:iCs w:val="1"/>
          <w:color w:val="auto"/>
        </w:rPr>
        <w:t xml:space="preserve">Adding teaching locations, implementing new educational programs, and increasing enrollment. </w:t>
      </w:r>
      <w:r>
        <w:rPr>
          <w:rFonts w:ascii="Arial" w:cs="Arial" w:eastAsia="Arial" w:hAnsi="Arial"/>
          <w:sz w:val="17"/>
          <w:szCs w:val="17"/>
          <w:color w:val="auto"/>
        </w:rPr>
        <w:t>The requirements and standards of</w:t>
      </w:r>
      <w:r>
        <w:rPr>
          <w:rFonts w:ascii="Arial" w:cs="Arial" w:eastAsia="Arial" w:hAnsi="Arial"/>
          <w:sz w:val="17"/>
          <w:szCs w:val="17"/>
          <w:i w:val="1"/>
          <w:iCs w:val="1"/>
          <w:color w:val="auto"/>
        </w:rPr>
        <w:t xml:space="preserve"> </w:t>
      </w:r>
      <w:r>
        <w:rPr>
          <w:rFonts w:ascii="Arial" w:cs="Arial" w:eastAsia="Arial" w:hAnsi="Arial"/>
          <w:sz w:val="17"/>
          <w:szCs w:val="17"/>
          <w:color w:val="auto"/>
        </w:rPr>
        <w:t>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88" w:lineRule="exact"/>
        <w:rPr>
          <w:sz w:val="20"/>
          <w:szCs w:val="20"/>
          <w:color w:val="auto"/>
        </w:rPr>
      </w:pPr>
    </w:p>
    <w:p>
      <w:pPr>
        <w:ind w:left="700" w:right="100" w:firstLine="397"/>
        <w:spacing w:after="0" w:line="268" w:lineRule="auto"/>
        <w:rPr>
          <w:sz w:val="20"/>
          <w:szCs w:val="20"/>
          <w:color w:val="auto"/>
        </w:rPr>
      </w:pPr>
      <w:r>
        <w:rPr>
          <w:rFonts w:ascii="Arial" w:cs="Arial" w:eastAsia="Arial" w:hAnsi="Arial"/>
          <w:sz w:val="17"/>
          <w:szCs w:val="17"/>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93"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Acquiring other schools. </w:t>
      </w:r>
      <w:r>
        <w:rPr>
          <w:rFonts w:ascii="Arial" w:cs="Arial" w:eastAsia="Arial" w:hAnsi="Arial"/>
          <w:sz w:val="17"/>
          <w:szCs w:val="17"/>
          <w:color w:val="auto"/>
        </w:rPr>
        <w:t>While we have not acquired any other schools in the past, we may seek to do so in the future.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83"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i w:val="1"/>
          <w:iCs w:val="1"/>
          <w:color w:val="auto"/>
        </w:rPr>
        <w:t xml:space="preserve">Provisional certification. </w:t>
      </w:r>
      <w:r>
        <w:rPr>
          <w:rFonts w:ascii="Arial" w:cs="Arial" w:eastAsia="Arial" w:hAnsi="Arial"/>
          <w:sz w:val="18"/>
          <w:szCs w:val="18"/>
          <w:color w:val="auto"/>
        </w:rPr>
        <w:t>Each institution must apply to the Department of Education for continued certification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92"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84"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We are currently certified to participate in the Title IV programs on a provisional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which means that the Department of Education may more closely review our applications for recertification, new locations, new educational programs, acquisitions of other schools, or other significant changes, and it may revoke its certification of us without advance notice if it determines we are not fulfilling material Title IV requirements.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or that it will not impose restrictions as a condition of approving our pending recertification application or with respect to any future recertification.</w:t>
      </w:r>
    </w:p>
    <w:p>
      <w:pPr>
        <w:spacing w:after="0" w:line="89"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i w:val="1"/>
          <w:iCs w:val="1"/>
          <w:color w:val="auto"/>
        </w:rPr>
        <w:t xml:space="preserve">Change in ownership resulting in a change in control. </w:t>
      </w:r>
      <w:r>
        <w:rPr>
          <w:rFonts w:ascii="Arial" w:cs="Arial" w:eastAsia="Arial" w:hAnsi="Arial"/>
          <w:sz w:val="16"/>
          <w:szCs w:val="16"/>
          <w:color w:val="auto"/>
        </w:rPr>
        <w:t>Many states and accrediting commissions require institutions of higher</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to report or obtain approval of certain changes in control and changes in other 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72"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84"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99" w:lineRule="exact"/>
        <w:rPr>
          <w:sz w:val="20"/>
          <w:szCs w:val="20"/>
          <w:color w:val="auto"/>
        </w:rPr>
      </w:pPr>
    </w:p>
    <w:p>
      <w:pPr>
        <w:ind w:left="700" w:right="240" w:firstLine="397"/>
        <w:spacing w:after="0" w:line="254" w:lineRule="auto"/>
        <w:rPr>
          <w:sz w:val="20"/>
          <w:szCs w:val="20"/>
          <w:color w:val="auto"/>
        </w:rPr>
      </w:pPr>
      <w:r>
        <w:rPr>
          <w:rFonts w:ascii="Arial" w:cs="Arial" w:eastAsia="Arial" w:hAnsi="Arial"/>
          <w:sz w:val="18"/>
          <w:szCs w:val="18"/>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98"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2" w:lineRule="exact"/>
        <w:rPr>
          <w:sz w:val="20"/>
          <w:szCs w:val="20"/>
          <w:color w:val="auto"/>
        </w:rPr>
      </w:pPr>
    </w:p>
    <w:p>
      <w:pPr>
        <w:ind w:left="700" w:right="40" w:firstLine="397"/>
        <w:spacing w:after="0" w:line="269" w:lineRule="auto"/>
        <w:rPr>
          <w:sz w:val="20"/>
          <w:szCs w:val="20"/>
          <w:color w:val="auto"/>
        </w:rPr>
      </w:pPr>
      <w:r>
        <w:rPr>
          <w:rFonts w:ascii="Arial" w:cs="Arial" w:eastAsia="Arial" w:hAnsi="Arial"/>
          <w:sz w:val="17"/>
          <w:szCs w:val="17"/>
          <w:color w:val="auto"/>
        </w:rPr>
        <w:t>The Higher Learning Commission has informed us that it will consider the offering to be a change in control under its policies, which will require us to obtain the Higher Learning Commission’s approval prior to consummating the offering. We have filed additional correspondence with the Higher Learning Commission regarding the information needed to obtain such approval. As a result of its determination that the offering will be a change in control, the Higher Learning Commission is likely to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Any failure to comply with the requirements of either the Higher Learning Commission or the Arizona State Board for Private Postsecondary 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8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also intend to seek confirmation from other accrediting commissions and state agencies, as we believe necessary, that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in some cases in advance of this offering, according to its procedures.</w:t>
      </w:r>
    </w:p>
    <w:p>
      <w:pPr>
        <w:spacing w:after="0" w:line="84"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3" w:lineRule="auto"/>
        <w:rPr>
          <w:sz w:val="20"/>
          <w:szCs w:val="20"/>
          <w:color w:val="auto"/>
        </w:rPr>
      </w:pPr>
      <w:r>
        <w:rPr>
          <w:rFonts w:ascii="Arial" w:cs="Arial" w:eastAsia="Arial" w:hAnsi="Arial"/>
          <w:sz w:val="17"/>
          <w:szCs w:val="17"/>
          <w:color w:val="auto"/>
        </w:rPr>
        <w:t>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84"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i w:val="1"/>
          <w:iCs w:val="1"/>
          <w:color w:val="auto"/>
        </w:rPr>
        <w:t xml:space="preserve">Additional state regulation. </w:t>
      </w:r>
      <w:r>
        <w:rPr>
          <w:rFonts w:ascii="Arial" w:cs="Arial" w:eastAsia="Arial" w:hAnsi="Arial"/>
          <w:sz w:val="16"/>
          <w:szCs w:val="16"/>
          <w:color w:val="auto"/>
        </w:rPr>
        <w:t>Most state education agencies impose regulatory requirements on educational institutions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their boundaries. Some states have sought to 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 and Directors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regarding our executive officers, directors, and director-nominees.</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8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380" w:type="dxa"/>
            <w:vAlign w:val="bottom"/>
          </w:tcPr>
          <w:p>
            <w:pPr>
              <w:jc w:val="right"/>
              <w:ind w:right="51"/>
              <w:spacing w:after="0"/>
              <w:rPr>
                <w:sz w:val="20"/>
                <w:szCs w:val="20"/>
                <w:color w:val="auto"/>
              </w:rPr>
            </w:pPr>
            <w:r>
              <w:rPr>
                <w:rFonts w:ascii="Arial" w:cs="Arial" w:eastAsia="Arial" w:hAnsi="Arial"/>
                <w:sz w:val="14"/>
                <w:szCs w:val="14"/>
                <w:b w:val="1"/>
                <w:bCs w:val="1"/>
                <w:color w:val="auto"/>
              </w:rPr>
              <w:t>Age</w:t>
            </w:r>
          </w:p>
        </w:tc>
        <w:tc>
          <w:tcPr>
            <w:tcW w:w="368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Brian E. Mueller</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51</w:t>
            </w:r>
          </w:p>
        </w:tc>
        <w:tc>
          <w:tcPr>
            <w:tcW w:w="36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John E. Crowley</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52</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35</w:t>
            </w:r>
          </w:p>
        </w:tc>
        <w:tc>
          <w:tcPr>
            <w:tcW w:w="3680" w:type="dxa"/>
            <w:vAlign w:val="bottom"/>
          </w:tcPr>
          <w:p>
            <w:pPr>
              <w:ind w:left="120"/>
              <w:spacing w:after="0"/>
              <w:rPr>
                <w:sz w:val="20"/>
                <w:szCs w:val="20"/>
                <w:color w:val="auto"/>
              </w:rPr>
            </w:pPr>
            <w:r>
              <w:rPr>
                <w:rFonts w:ascii="Arial" w:cs="Arial" w:eastAsia="Arial" w:hAnsi="Arial"/>
                <w:sz w:val="18"/>
                <w:szCs w:val="18"/>
                <w:color w:val="auto"/>
              </w:rPr>
              <w:t>General Counsel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 Stan Meyer</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47</w:t>
            </w:r>
          </w:p>
        </w:tc>
        <w:tc>
          <w:tcPr>
            <w:tcW w:w="368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Timothy R. Fischer</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Michael S. Lacrosse</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53</w:t>
            </w:r>
          </w:p>
        </w:tc>
        <w:tc>
          <w:tcPr>
            <w:tcW w:w="3680" w:type="dxa"/>
            <w:vAlign w:val="bottom"/>
          </w:tcPr>
          <w:p>
            <w:pPr>
              <w:ind w:left="120"/>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Dr. Kathy Player</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Grand Canyon University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Chad N. Heath</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34</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David J. Johnson</w:t>
            </w:r>
          </w:p>
        </w:tc>
        <w:tc>
          <w:tcPr>
            <w:tcW w:w="2380" w:type="dxa"/>
            <w:vAlign w:val="bottom"/>
          </w:tcPr>
          <w:p>
            <w:pPr>
              <w:jc w:val="right"/>
              <w:ind w:right="191"/>
              <w:spacing w:after="0"/>
              <w:rPr>
                <w:sz w:val="20"/>
                <w:szCs w:val="20"/>
                <w:color w:val="auto"/>
              </w:rPr>
            </w:pPr>
            <w:r>
              <w:rPr>
                <w:rFonts w:ascii="Arial" w:cs="Arial" w:eastAsia="Arial" w:hAnsi="Arial"/>
                <w:sz w:val="18"/>
                <w:szCs w:val="18"/>
                <w:color w:val="auto"/>
              </w:rPr>
              <w:t>62</w:t>
            </w:r>
          </w:p>
        </w:tc>
        <w:tc>
          <w:tcPr>
            <w:tcW w:w="3680" w:type="dxa"/>
            <w:vAlign w:val="bottom"/>
          </w:tcPr>
          <w:p>
            <w:pPr>
              <w:ind w:left="120"/>
              <w:spacing w:after="0"/>
              <w:rPr>
                <w:sz w:val="20"/>
                <w:szCs w:val="20"/>
                <w:color w:val="auto"/>
              </w:rPr>
            </w:pPr>
            <w:r>
              <w:rPr>
                <w:rFonts w:ascii="Arial" w:cs="Arial" w:eastAsia="Arial" w:hAnsi="Arial"/>
                <w:sz w:val="18"/>
                <w:szCs w:val="18"/>
                <w:color w:val="auto"/>
              </w:rPr>
              <w:t>Director-Nominee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2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64</w:t>
            </w:r>
          </w:p>
        </w:tc>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-1826260</wp:posOffset>
            </wp:positionV>
            <wp:extent cx="26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jc w:val="both"/>
        <w:ind w:left="700" w:firstLine="397"/>
        <w:spacing w:after="0" w:line="272" w:lineRule="auto"/>
        <w:rPr>
          <w:sz w:val="20"/>
          <w:szCs w:val="20"/>
          <w:color w:val="auto"/>
        </w:rPr>
      </w:pPr>
      <w:r>
        <w:rPr>
          <w:rFonts w:ascii="Arial" w:cs="Arial" w:eastAsia="Arial" w:hAnsi="Arial"/>
          <w:sz w:val="17"/>
          <w:szCs w:val="17"/>
          <w:i w:val="1"/>
          <w:iCs w:val="1"/>
          <w:color w:val="auto"/>
        </w:rPr>
        <w:t xml:space="preserve">Brent D. Richardson </w:t>
      </w:r>
      <w:r>
        <w:rPr>
          <w:rFonts w:ascii="Arial" w:cs="Arial" w:eastAsia="Arial" w:hAnsi="Arial"/>
          <w:sz w:val="17"/>
          <w:szCs w:val="17"/>
          <w:color w:val="auto"/>
        </w:rPr>
        <w:t>has been serving as our Executive Chairman since July 1, 2008. Mr. Richardson previously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 Mr. Richardson earned his Bachelor of Science degree in Finance from Eastern Illinois University. Brent Richardson and Chris Richardson are brothers.</w:t>
      </w:r>
    </w:p>
    <w:p>
      <w:pPr>
        <w:spacing w:after="0" w:line="83"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 From 1987 to 2008, Mr. Mueller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Group, Inc., a for-profit, 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8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John E. Crowley </w:t>
      </w:r>
      <w:r>
        <w:rPr>
          <w:rFonts w:ascii="Arial" w:cs="Arial" w:eastAsia="Arial" w:hAnsi="Arial"/>
          <w:sz w:val="18"/>
          <w:szCs w:val="18"/>
          <w:color w:val="auto"/>
        </w:rPr>
        <w:t>has been serving as our Chief Operating Officer since 2004. Prior to 2004, Mr. Crowley served as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Educational Resources, a national distributor of 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92"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i w:val="1"/>
          <w:iCs w:val="1"/>
          <w:color w:val="auto"/>
        </w:rPr>
        <w:t xml:space="preserve">Christopher C. Richardson </w:t>
      </w:r>
      <w:r>
        <w:rPr>
          <w:rFonts w:ascii="Arial" w:cs="Arial" w:eastAsia="Arial" w:hAnsi="Arial"/>
          <w:sz w:val="16"/>
          <w:szCs w:val="16"/>
          <w:color w:val="auto"/>
        </w:rPr>
        <w:t>has been serving as our General Counsel since 2007 and as a director since 2004. From 2004 to 2007,</w:t>
      </w:r>
      <w:r>
        <w:rPr>
          <w:rFonts w:ascii="Arial" w:cs="Arial" w:eastAsia="Arial" w:hAnsi="Arial"/>
          <w:sz w:val="16"/>
          <w:szCs w:val="16"/>
          <w:i w:val="1"/>
          <w:iCs w:val="1"/>
          <w:color w:val="auto"/>
        </w:rPr>
        <w:t xml:space="preserve"> </w:t>
      </w:r>
      <w:r>
        <w:rPr>
          <w:rFonts w:ascii="Arial" w:cs="Arial" w:eastAsia="Arial" w:hAnsi="Arial"/>
          <w:sz w:val="16"/>
          <w:szCs w:val="16"/>
          <w:color w:val="auto"/>
        </w:rPr>
        <w:t>Mr. Richardson served as 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University, and Juris Doctor from the University of Arizona College of Law, where he graduated summa cum laude. Brent Richardson and Chris Richardson are brothers.</w:t>
      </w:r>
    </w:p>
    <w:p>
      <w:pPr>
        <w:spacing w:after="0" w:line="7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From January 2007 until June 2008, Mr.</w:t>
      </w:r>
      <w:r>
        <w:rPr>
          <w:rFonts w:ascii="Arial" w:cs="Arial" w:eastAsia="Arial" w:hAnsi="Arial"/>
          <w:sz w:val="16"/>
          <w:szCs w:val="16"/>
          <w:i w:val="1"/>
          <w:iCs w:val="1"/>
          <w:color w:val="auto"/>
        </w:rPr>
        <w:t xml:space="preserve"> </w:t>
      </w:r>
      <w:r>
        <w:rPr>
          <w:rFonts w:ascii="Arial" w:cs="Arial" w:eastAsia="Arial" w:hAnsi="Arial"/>
          <w:sz w:val="16"/>
          <w:szCs w:val="16"/>
          <w:color w:val="auto"/>
        </w:rPr>
        <w:t>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0"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W. Stan Meyer </w:t>
      </w:r>
      <w:r>
        <w:rPr>
          <w:rFonts w:ascii="Arial" w:cs="Arial" w:eastAsia="Arial" w:hAnsi="Arial"/>
          <w:sz w:val="18"/>
          <w:szCs w:val="18"/>
          <w:color w:val="auto"/>
        </w:rPr>
        <w:t>has been serving as our Executive Vice President since July 1, 2008. From August 2002 to June 2008, Mr. Meyer</w:t>
      </w:r>
      <w:r>
        <w:rPr>
          <w:rFonts w:ascii="Arial" w:cs="Arial" w:eastAsia="Arial" w:hAnsi="Arial"/>
          <w:sz w:val="18"/>
          <w:szCs w:val="18"/>
          <w:i w:val="1"/>
          <w:iCs w:val="1"/>
          <w:color w:val="auto"/>
        </w:rPr>
        <w:t xml:space="preserve"> </w:t>
      </w:r>
      <w:r>
        <w:rPr>
          <w:rFonts w:ascii="Arial" w:cs="Arial" w:eastAsia="Arial" w:hAnsi="Arial"/>
          <w:sz w:val="18"/>
          <w:szCs w:val="18"/>
          <w:color w:val="auto"/>
        </w:rPr>
        <w:t>was employed by Apollo Group, Inc., a for-profit, 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98" w:lineRule="exact"/>
        <w:rPr>
          <w:sz w:val="20"/>
          <w:szCs w:val="20"/>
          <w:color w:val="auto"/>
        </w:rPr>
      </w:pPr>
    </w:p>
    <w:p>
      <w:pPr>
        <w:ind w:left="700" w:right="180" w:firstLine="397"/>
        <w:spacing w:after="0" w:line="276" w:lineRule="auto"/>
        <w:rPr>
          <w:sz w:val="20"/>
          <w:szCs w:val="20"/>
          <w:color w:val="auto"/>
        </w:rPr>
      </w:pPr>
      <w:r>
        <w:rPr>
          <w:rFonts w:ascii="Arial" w:cs="Arial" w:eastAsia="Arial" w:hAnsi="Arial"/>
          <w:sz w:val="17"/>
          <w:szCs w:val="17"/>
          <w:i w:val="1"/>
          <w:iCs w:val="1"/>
          <w:color w:val="auto"/>
        </w:rPr>
        <w:t xml:space="preserve">Timothy R. Fischer </w:t>
      </w:r>
      <w:r>
        <w:rPr>
          <w:rFonts w:ascii="Arial" w:cs="Arial" w:eastAsia="Arial" w:hAnsi="Arial"/>
          <w:sz w:val="17"/>
          <w:szCs w:val="17"/>
          <w:color w:val="auto"/>
        </w:rPr>
        <w:t>has been serving as our Chief Administrative Officer since July 1, 2008. Mr. Fischer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from 2005 until July 2008. 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8"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i w:val="1"/>
          <w:iCs w:val="1"/>
          <w:color w:val="auto"/>
        </w:rPr>
        <w:t xml:space="preserve">Michael S. Lacrosse </w:t>
      </w:r>
      <w:r>
        <w:rPr>
          <w:rFonts w:ascii="Arial" w:cs="Arial" w:eastAsia="Arial" w:hAnsi="Arial"/>
          <w:sz w:val="18"/>
          <w:szCs w:val="18"/>
          <w:color w:val="auto"/>
        </w:rPr>
        <w:t>has been serving as our Chief Information Officer since August 2006. From February 2001 to August 2006,</w:t>
      </w:r>
      <w:r>
        <w:rPr>
          <w:rFonts w:ascii="Arial" w:cs="Arial" w:eastAsia="Arial" w:hAnsi="Arial"/>
          <w:sz w:val="18"/>
          <w:szCs w:val="18"/>
          <w:i w:val="1"/>
          <w:iCs w:val="1"/>
          <w:color w:val="auto"/>
        </w:rPr>
        <w:t xml:space="preserve"> </w:t>
      </w:r>
      <w:r>
        <w:rPr>
          <w:rFonts w:ascii="Arial" w:cs="Arial" w:eastAsia="Arial" w:hAnsi="Arial"/>
          <w:sz w:val="18"/>
          <w:szCs w:val="18"/>
          <w:color w:val="auto"/>
        </w:rPr>
        <w:t>Mr. Lacrosse served as chief information officer of 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92"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i w:val="1"/>
          <w:iCs w:val="1"/>
          <w:color w:val="auto"/>
        </w:rPr>
        <w:t xml:space="preserve">Dr. Kathy Player </w:t>
      </w:r>
      <w:r>
        <w:rPr>
          <w:rFonts w:ascii="Arial" w:cs="Arial" w:eastAsia="Arial" w:hAnsi="Arial"/>
          <w:sz w:val="17"/>
          <w:szCs w:val="17"/>
          <w:color w:val="auto"/>
        </w:rPr>
        <w:t>has been serving as Grand Canyon University President since July 31, 2008. From 2007 to July 2008 she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Provost and Chief Academic Officer. From 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8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Chad N. Heath </w:t>
      </w:r>
      <w:r>
        <w:rPr>
          <w:rFonts w:ascii="Arial" w:cs="Arial" w:eastAsia="Arial" w:hAnsi="Arial"/>
          <w:sz w:val="18"/>
          <w:szCs w:val="18"/>
          <w:color w:val="auto"/>
        </w:rPr>
        <w:t>has been serving as a director of Grand Canyon University since 2005. Mr. Heath is a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Endeavour Capital, a private equity firm based in Portland, 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95"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i w:val="1"/>
          <w:iCs w:val="1"/>
          <w:color w:val="auto"/>
        </w:rPr>
        <w:t xml:space="preserve">D. Mark Dorman </w:t>
      </w:r>
      <w:r>
        <w:rPr>
          <w:rFonts w:ascii="Arial" w:cs="Arial" w:eastAsia="Arial" w:hAnsi="Arial"/>
          <w:sz w:val="16"/>
          <w:szCs w:val="16"/>
          <w:color w:val="auto"/>
        </w:rPr>
        <w:t>has been serving as a director of Grand Canyon University since 2005. Mr. Dorman is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Endeavour Capital. Prior to joining Endeavour 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440"/>
        <w:spacing w:after="0" w:line="264" w:lineRule="auto"/>
        <w:rPr>
          <w:sz w:val="20"/>
          <w:szCs w:val="20"/>
          <w:color w:val="auto"/>
        </w:rPr>
      </w:pPr>
      <w:r>
        <w:rPr>
          <w:rFonts w:ascii="Arial" w:cs="Arial" w:eastAsia="Arial" w:hAnsi="Arial"/>
          <w:sz w:val="18"/>
          <w:szCs w:val="18"/>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87"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nominated and has agreed to serve as a member of our board of directors effective upon the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offering. From 1997 to 2006, Mr. Johnson 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Jack A. Henry </w:t>
      </w:r>
      <w:r>
        <w:rPr>
          <w:rFonts w:ascii="Arial" w:cs="Arial" w:eastAsia="Arial" w:hAnsi="Arial"/>
          <w:sz w:val="17"/>
          <w:szCs w:val="17"/>
          <w:color w:val="auto"/>
        </w:rPr>
        <w:t>has been nominated and has agreed to serve as a member of our board of directors effective upon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Mr. Henry began his career with Arthur 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8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Other than Brent Richardson and Chris Richardson, who are brothers, there are no family relationships among any of our directors or executive officers.</w:t>
      </w:r>
    </w:p>
    <w:p>
      <w:pPr>
        <w:spacing w:after="0" w:line="76"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Apollo Group, Inc. and certain of its current and former officers and directors, including Messrs. Mueller and Bachus, are named as defendants in various litigation matters relating to alleged misconduct in connection with Apollo’s stock option grant practices and related financial statement reporting. As disclosed in Apollo Group’s most recent Quarterly Report on Form 10-Q, one of these cases, a derivative action, has been settled subject to final Court approval. A related securities class action is ongoing. In addition, Mr. Bachus was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is expected to be appealed. Mr. Bachus also was originally named as a defendant in a related, ongoing derivative action, but was not named in the current, amended complaint.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Composition</w:t>
      </w:r>
    </w:p>
    <w:p>
      <w:pPr>
        <w:spacing w:after="0" w:line="135"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87"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64" w:lineRule="exact"/>
        <w:rPr>
          <w:sz w:val="20"/>
          <w:szCs w:val="20"/>
          <w:color w:val="auto"/>
        </w:rPr>
      </w:pPr>
    </w:p>
    <w:p>
      <w:pPr>
        <w:jc w:val="both"/>
        <w:ind w:left="700" w:right="500" w:firstLine="397"/>
        <w:spacing w:after="0" w:line="264" w:lineRule="auto"/>
        <w:rPr>
          <w:sz w:val="20"/>
          <w:szCs w:val="20"/>
          <w:color w:val="auto"/>
        </w:rPr>
      </w:pPr>
      <w:r>
        <w:rPr>
          <w:rFonts w:ascii="Arial" w:cs="Arial" w:eastAsia="Arial" w:hAnsi="Arial"/>
          <w:sz w:val="18"/>
          <w:szCs w:val="18"/>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3" w:lineRule="auto"/>
        <w:rPr>
          <w:sz w:val="20"/>
          <w:szCs w:val="20"/>
          <w:color w:val="auto"/>
        </w:rPr>
      </w:pPr>
      <w:r>
        <w:rPr>
          <w:rFonts w:ascii="Arial" w:cs="Arial" w:eastAsia="Arial" w:hAnsi="Arial"/>
          <w:sz w:val="16"/>
          <w:szCs w:val="16"/>
          <w:color w:val="auto"/>
        </w:rPr>
        <w:t>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 Messrs. Dorman and Heath and the Endeavour Entities will positively align their interests with those of our public stockholders, our board of directors has affirmatively determined (with</w:t>
      </w:r>
    </w:p>
    <w:p>
      <w:pPr>
        <w:spacing w:after="0" w:line="6" w:lineRule="exact"/>
        <w:rPr>
          <w:sz w:val="20"/>
          <w:szCs w:val="20"/>
          <w:color w:val="auto"/>
        </w:rPr>
      </w:pPr>
    </w:p>
    <w:p>
      <w:pPr>
        <w:ind w:left="700" w:right="360"/>
        <w:spacing w:after="0" w:line="261" w:lineRule="auto"/>
        <w:rPr>
          <w:sz w:val="20"/>
          <w:szCs w:val="20"/>
          <w:color w:val="auto"/>
        </w:rPr>
      </w:pPr>
      <w:r>
        <w:rPr>
          <w:rFonts w:ascii="Arial" w:cs="Arial" w:eastAsia="Arial" w:hAnsi="Arial"/>
          <w:sz w:val="18"/>
          <w:szCs w:val="18"/>
          <w:color w:val="auto"/>
        </w:rPr>
        <w:t>Messrs. Dorman and Heath abstaining) that, in its judgment, Messrs. Dorman and Heath meet the applicable independence standards established by the Nasdaq Stock Market.</w:t>
      </w:r>
    </w:p>
    <w:p>
      <w:pPr>
        <w:spacing w:after="0" w:line="89"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At each annual meeting, our stockholders elect our full board of directors. Directors may be removed at any time for cause by the affirmative vote of the holders of a majority of the voting power then entitled to vote.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9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Our audit committee will consist of Messrs. Henry (chair) and Johnson, each of whom will be “independent,”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and required by the rules of Nasdaq 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84"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will consist of Messrs. Johnson (chair), Heath, and Dorman,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is or will be “independent,” as defined under and 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70" w:lineRule="exact"/>
        <w:rPr>
          <w:sz w:val="20"/>
          <w:szCs w:val="20"/>
          <w:color w:val="auto"/>
        </w:rPr>
      </w:pPr>
    </w:p>
    <w:p>
      <w:pPr>
        <w:ind w:left="700" w:right="380" w:firstLine="397"/>
        <w:spacing w:after="0" w:line="297" w:lineRule="auto"/>
        <w:rPr>
          <w:sz w:val="20"/>
          <w:szCs w:val="20"/>
          <w:color w:val="auto"/>
        </w:rPr>
      </w:pPr>
      <w:r>
        <w:rPr>
          <w:rFonts w:ascii="Arial" w:cs="Arial" w:eastAsia="Arial" w:hAnsi="Arial"/>
          <w:sz w:val="16"/>
          <w:szCs w:val="16"/>
          <w:i w:val="1"/>
          <w:iCs w:val="1"/>
          <w:color w:val="auto"/>
        </w:rPr>
        <w:t xml:space="preserve">Nominating and Governance Committee. </w:t>
      </w:r>
      <w:r>
        <w:rPr>
          <w:rFonts w:ascii="Arial" w:cs="Arial" w:eastAsia="Arial" w:hAnsi="Arial"/>
          <w:sz w:val="16"/>
          <w:szCs w:val="16"/>
          <w:color w:val="auto"/>
        </w:rPr>
        <w:t>Our nominating and governance committee will consist of Messrs. Heath (chair) and</w:t>
      </w:r>
      <w:r>
        <w:rPr>
          <w:rFonts w:ascii="Arial" w:cs="Arial" w:eastAsia="Arial" w:hAnsi="Arial"/>
          <w:sz w:val="16"/>
          <w:szCs w:val="16"/>
          <w:i w:val="1"/>
          <w:iCs w:val="1"/>
          <w:color w:val="auto"/>
        </w:rPr>
        <w:t xml:space="preserve"> </w:t>
      </w:r>
      <w:r>
        <w:rPr>
          <w:rFonts w:ascii="Arial" w:cs="Arial" w:eastAsia="Arial" w:hAnsi="Arial"/>
          <w:sz w:val="16"/>
          <w:szCs w:val="16"/>
          <w:color w:val="auto"/>
        </w:rPr>
        <w:t>Dorman, each of whom is “independent,” as defined 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corporate governance principles, codes of conduct and compliance mechanisms; and providing oversight in the evaluation of the board and each committee.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There are no interlocking relationships requiring disclosure under the applicable rules promulgated under the U.S. federal securities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laws.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92" w:lineRule="exact"/>
        <w:rPr>
          <w:sz w:val="20"/>
          <w:szCs w:val="20"/>
          <w:color w:val="auto"/>
        </w:rPr>
      </w:pPr>
    </w:p>
    <w:p>
      <w:pPr>
        <w:ind w:left="1480" w:hanging="180"/>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Brent D. Richardson, our Chief Executive Officer;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John E. Crowley, our Chief Operating Officer;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Christopher C. Richardson, our General Counsel;</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Timothy R. Fischer, currently our Chief Administrative Officer and formerly our Chief Financial Officer; and</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Michael S. Lacrosse, our Chief Information Officer.</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6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Compensation philosophy. </w:t>
      </w:r>
      <w:r>
        <w:rPr>
          <w:rFonts w:ascii="Arial" w:cs="Arial" w:eastAsia="Arial" w:hAnsi="Arial"/>
          <w:sz w:val="16"/>
          <w:szCs w:val="16"/>
          <w:color w:val="auto"/>
        </w:rPr>
        <w:t>Under our compensation philosophy, a named executive officer’s total compensation will vary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overall performance and with the particular 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Compensation objectives. </w:t>
      </w:r>
      <w:r>
        <w:rPr>
          <w:rFonts w:ascii="Arial" w:cs="Arial" w:eastAsia="Arial" w:hAnsi="Arial"/>
          <w:sz w:val="17"/>
          <w:szCs w:val="17"/>
          <w:color w:val="auto"/>
        </w:rPr>
        <w:t>We believe that the compensation program we follow helps us achieve the following objectives:</w:t>
      </w:r>
    </w:p>
    <w:p>
      <w:pPr>
        <w:spacing w:after="0" w:line="142" w:lineRule="exact"/>
        <w:rPr>
          <w:sz w:val="20"/>
          <w:szCs w:val="20"/>
          <w:color w:val="auto"/>
        </w:rPr>
      </w:pPr>
    </w:p>
    <w:p>
      <w:pPr>
        <w:ind w:left="1700" w:right="240" w:hanging="211"/>
        <w:spacing w:after="0" w:line="259" w:lineRule="auto"/>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related to performance. </w:t>
      </w:r>
      <w:r>
        <w:rPr>
          <w:rFonts w:ascii="Arial" w:cs="Arial" w:eastAsia="Arial" w:hAnsi="Arial"/>
          <w:sz w:val="18"/>
          <w:szCs w:val="18"/>
          <w:color w:val="auto"/>
        </w:rPr>
        <w:t>We believe that the performance-based portion of an individual’s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should increase as the individual’s business responsibilities increase. Thus, a material portion of executive compensation should be linked to our and the individual’s performance, which also serves to align the named executive officers’ interests with those of our investors.</w:t>
      </w:r>
    </w:p>
    <w:p>
      <w:pPr>
        <w:spacing w:after="0" w:line="78" w:lineRule="exact"/>
        <w:rPr>
          <w:rFonts w:ascii="Arial" w:cs="Arial" w:eastAsia="Arial" w:hAnsi="Arial"/>
          <w:sz w:val="18"/>
          <w:szCs w:val="18"/>
          <w:color w:val="auto"/>
        </w:rPr>
      </w:pPr>
    </w:p>
    <w:p>
      <w:pPr>
        <w:ind w:left="1700" w:right="80" w:hanging="211"/>
        <w:spacing w:after="0" w:line="257" w:lineRule="auto"/>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programs should foster an</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high integrity, and performance-oriented 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94"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i w:val="1"/>
          <w:iCs w:val="1"/>
          <w:color w:val="auto"/>
        </w:rPr>
        <w:t xml:space="preserve">Company compensation policies. </w:t>
      </w:r>
      <w:r>
        <w:rPr>
          <w:rFonts w:ascii="Arial" w:cs="Arial" w:eastAsia="Arial" w:hAnsi="Arial"/>
          <w:sz w:val="16"/>
          <w:szCs w:val="16"/>
          <w:color w:val="auto"/>
        </w:rPr>
        <w:t>A named executive officer’s total in-service compensation consists of base salary, a cash bonus,</w:t>
      </w:r>
      <w:r>
        <w:rPr>
          <w:rFonts w:ascii="Arial" w:cs="Arial" w:eastAsia="Arial" w:hAnsi="Arial"/>
          <w:sz w:val="16"/>
          <w:szCs w:val="16"/>
          <w:i w:val="1"/>
          <w:iCs w:val="1"/>
          <w:color w:val="auto"/>
        </w:rPr>
        <w:t xml:space="preserve"> </w:t>
      </w:r>
      <w:r>
        <w:rPr>
          <w:rFonts w:ascii="Arial" w:cs="Arial" w:eastAsia="Arial" w:hAnsi="Arial"/>
          <w:sz w:val="16"/>
          <w:szCs w:val="16"/>
          <w:color w:val="auto"/>
        </w:rPr>
        <w:t>and limited perquisites. With regard to these components, we have in the past adhered to the following compensation policies:</w:t>
      </w:r>
    </w:p>
    <w:p>
      <w:pPr>
        <w:spacing w:after="0" w:line="29" w:lineRule="exact"/>
        <w:rPr>
          <w:sz w:val="20"/>
          <w:szCs w:val="20"/>
          <w:color w:val="auto"/>
        </w:rPr>
      </w:pPr>
    </w:p>
    <w:p>
      <w:pPr>
        <w:ind w:left="1700" w:hanging="211"/>
        <w:spacing w:after="0" w:line="257" w:lineRule="auto"/>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Founders with significant equity stakes require limited incentives. </w:t>
      </w:r>
      <w:r>
        <w:rPr>
          <w:rFonts w:ascii="Arial" w:cs="Arial" w:eastAsia="Arial" w:hAnsi="Arial"/>
          <w:sz w:val="18"/>
          <w:szCs w:val="18"/>
          <w:color w:val="auto"/>
        </w:rPr>
        <w:t>As founders of our company, Brent Richardson and Chris</w:t>
      </w:r>
      <w:r>
        <w:rPr>
          <w:rFonts w:ascii="Arial" w:cs="Arial" w:eastAsia="Arial" w:hAnsi="Arial"/>
          <w:sz w:val="18"/>
          <w:szCs w:val="18"/>
          <w:i w:val="1"/>
          <w:iCs w:val="1"/>
          <w:color w:val="auto"/>
        </w:rPr>
        <w:t xml:space="preserve"> </w:t>
      </w:r>
      <w:r>
        <w:rPr>
          <w:rFonts w:ascii="Arial" w:cs="Arial" w:eastAsia="Arial" w:hAnsi="Arial"/>
          <w:sz w:val="18"/>
          <w:szCs w:val="18"/>
          <w:color w:val="auto"/>
        </w:rPr>
        <w:t>Richardson have significant equity ownership 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93" w:lineRule="exact"/>
        <w:rPr>
          <w:rFonts w:ascii="Arial" w:cs="Arial" w:eastAsia="Arial" w:hAnsi="Arial"/>
          <w:sz w:val="18"/>
          <w:szCs w:val="18"/>
          <w:color w:val="auto"/>
        </w:rPr>
      </w:pPr>
    </w:p>
    <w:p>
      <w:pPr>
        <w:ind w:left="1700" w:right="40" w:hanging="211"/>
        <w:spacing w:after="0" w:line="279" w:lineRule="auto"/>
        <w:tabs>
          <w:tab w:leader="none" w:pos="17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Base salaries should be the largest component of compensation</w:t>
      </w:r>
      <w:r>
        <w:rPr>
          <w:rFonts w:ascii="Arial" w:cs="Arial" w:eastAsia="Arial" w:hAnsi="Arial"/>
          <w:sz w:val="17"/>
          <w:szCs w:val="17"/>
          <w:color w:val="auto"/>
        </w:rPr>
        <w:t>. Our compensation programs should reflect base salaries as</w:t>
      </w:r>
      <w:r>
        <w:rPr>
          <w:rFonts w:ascii="Arial" w:cs="Arial" w:eastAsia="Arial" w:hAnsi="Arial"/>
          <w:sz w:val="17"/>
          <w:szCs w:val="17"/>
          <w:i w:val="1"/>
          <w:iCs w:val="1"/>
          <w:color w:val="auto"/>
        </w:rPr>
        <w:t xml:space="preserve"> </w:t>
      </w:r>
      <w:r>
        <w:rPr>
          <w:rFonts w:ascii="Arial" w:cs="Arial" w:eastAsia="Arial" w:hAnsi="Arial"/>
          <w:sz w:val="17"/>
          <w:szCs w:val="17"/>
          <w:color w:val="auto"/>
        </w:rPr>
        <w:t>being compensation for the named executive 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63" w:lineRule="exact"/>
        <w:rPr>
          <w:rFonts w:ascii="Arial" w:cs="Arial" w:eastAsia="Arial" w:hAnsi="Arial"/>
          <w:sz w:val="17"/>
          <w:szCs w:val="17"/>
          <w:color w:val="auto"/>
        </w:rPr>
      </w:pPr>
    </w:p>
    <w:p>
      <w:pPr>
        <w:ind w:left="1700" w:right="140" w:hanging="211"/>
        <w:spacing w:after="0" w:line="297" w:lineRule="auto"/>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paid in cash. </w:t>
      </w:r>
      <w:r>
        <w:rPr>
          <w:rFonts w:ascii="Arial" w:cs="Arial" w:eastAsia="Arial" w:hAnsi="Arial"/>
          <w:sz w:val="16"/>
          <w:szCs w:val="16"/>
          <w:color w:val="auto"/>
        </w:rPr>
        <w:t>As a private company whose equity securities were not publicly traded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 we believed that the 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64"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motivation and retention, as evidenced by the limited turnover in our executive officer ranks over the past several years.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31"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i w:val="1"/>
          <w:iCs w:val="1"/>
          <w:color w:val="auto"/>
        </w:rPr>
        <w:t xml:space="preserve">Elements of In-Service Compensation. </w:t>
      </w:r>
      <w:r>
        <w:rPr>
          <w:rFonts w:ascii="Arial" w:cs="Arial" w:eastAsia="Arial" w:hAnsi="Arial"/>
          <w:sz w:val="17"/>
          <w:szCs w:val="17"/>
          <w:color w:val="auto"/>
        </w:rPr>
        <w:t>For our 2007 fiscal year, our executive compensation mix included base salary, discretionary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cash bonuses, and other benefits generally available to all employees. Perquisites were not a significant component of executive compensation. We generally determine the nature and amount of each element of compensation as follows:</w:t>
      </w:r>
    </w:p>
    <w:p>
      <w:pPr>
        <w:spacing w:after="0" w:line="71" w:lineRule="exact"/>
        <w:rPr>
          <w:sz w:val="20"/>
          <w:szCs w:val="20"/>
          <w:color w:val="auto"/>
        </w:rPr>
      </w:pPr>
    </w:p>
    <w:p>
      <w:pPr>
        <w:ind w:left="1700" w:right="40" w:hanging="211"/>
        <w:spacing w:after="0" w:line="264"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or may not be reflected in an employment agreement. The amount of base salary agreed upon, which is not at risk, reflects our views as to the individual executive’s</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past experience, future potential, knowledge, scope of anticipated responsibilities, skills, expertise, and potential to add</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value through performance, as well as competitive industry salary practices. Although minimum base salaries for Brent</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Richardson, John Crowley, and Chris Richardson are set by their respective employment agreements, as described below,</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we review executive salaries annually and may adjust them based on an evaluation of the company’s performance for the</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year and the performance of the functional area(s) under an executive’s scope of responsibility. For example, base salaries</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for each of Brent Richardson, John Crowley, and Chris Richardson were increased from $250,000 in fiscal 2006 to</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$292,019 in fiscal 2007 as a result of the growth in our net revenue and Adjusted EBITDA for 2006, which was driven, in</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part, by the leadership and execution of our strategy by these named executive officers. We also consider qualitative</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criteria, such as education and experience requirements, complexity, and scope or impact of the position compared to other</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executive positions internally.</w:t>
      </w:r>
    </w:p>
    <w:p>
      <w:pPr>
        <w:spacing w:after="0" w:line="116" w:lineRule="exact"/>
        <w:rPr>
          <w:sz w:val="20"/>
          <w:szCs w:val="20"/>
          <w:color w:val="auto"/>
        </w:rPr>
      </w:pPr>
    </w:p>
    <w:p>
      <w:pPr>
        <w:ind w:left="1700" w:right="60" w:hanging="211"/>
        <w:spacing w:after="0" w:line="312" w:lineRule="auto"/>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Bonuses. </w:t>
      </w:r>
      <w:r>
        <w:rPr>
          <w:rFonts w:ascii="Arial" w:cs="Arial" w:eastAsia="Arial" w:hAnsi="Arial"/>
          <w:sz w:val="16"/>
          <w:szCs w:val="16"/>
          <w:color w:val="auto"/>
        </w:rPr>
        <w:t>We provide cash bonuses, which are at-risk, to recognize and reward our named executive officers with cash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above base salary based on our success in a given year. In the past, we have awarded bonuses on a discretionary basis, and we have not implemented or followed a formal bonus plan tied to specific financial and non-financial objectives.</w:t>
      </w:r>
    </w:p>
    <w:p>
      <w:pPr>
        <w:spacing w:after="0" w:line="52" w:lineRule="exact"/>
        <w:rPr>
          <w:rFonts w:ascii="Arial" w:cs="Arial" w:eastAsia="Arial" w:hAnsi="Arial"/>
          <w:sz w:val="16"/>
          <w:szCs w:val="16"/>
          <w:color w:val="auto"/>
        </w:rPr>
      </w:pPr>
    </w:p>
    <w:p>
      <w:pPr>
        <w:ind w:left="1700" w:right="60" w:hanging="211"/>
        <w:spacing w:after="0" w:line="312" w:lineRule="auto"/>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We seek to compensate our named executive officers at levels that eliminate the need for perquisites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enable each individual officer to provide for his or her own needs. Accordingly, in 2007, the only perquisite we provided to any of our named executive officers was allowing Brent Richardson to utilize a car leased by Grand Canyon University.</w:t>
      </w:r>
    </w:p>
    <w:p>
      <w:pPr>
        <w:spacing w:after="0" w:line="38" w:lineRule="exact"/>
        <w:rPr>
          <w:rFonts w:ascii="Arial" w:cs="Arial" w:eastAsia="Arial" w:hAnsi="Arial"/>
          <w:sz w:val="16"/>
          <w:szCs w:val="16"/>
          <w:color w:val="auto"/>
        </w:rPr>
      </w:pPr>
    </w:p>
    <w:p>
      <w:pPr>
        <w:ind w:left="1700" w:hanging="211"/>
        <w:spacing w:after="0" w:line="273" w:lineRule="auto"/>
        <w:tabs>
          <w:tab w:leader="none" w:pos="17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key executives for the purpose of meeting current and future health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needs for the executives and their families. 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84"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We are a party to written agreements that provide certain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with post-termination salary and 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 provide consist of the following:</w:t>
      </w:r>
    </w:p>
    <w:p>
      <w:pPr>
        <w:spacing w:after="0" w:line="64" w:lineRule="exact"/>
        <w:rPr>
          <w:sz w:val="20"/>
          <w:szCs w:val="20"/>
          <w:color w:val="auto"/>
        </w:rPr>
      </w:pPr>
    </w:p>
    <w:p>
      <w:pPr>
        <w:ind w:left="1700" w:right="60" w:hanging="211"/>
        <w:spacing w:after="0" w:line="255" w:lineRule="auto"/>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of Brent Richardson, John Crowley, and Chris Richardson has a written employment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which he will receive continuing salary 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 12 months if we seek to extend their post-termination non-compete and related covenants.</w:t>
      </w:r>
    </w:p>
    <w:p>
      <w:pPr>
        <w:spacing w:after="0" w:line="81" w:lineRule="exact"/>
        <w:rPr>
          <w:rFonts w:ascii="Arial" w:cs="Arial" w:eastAsia="Arial" w:hAnsi="Arial"/>
          <w:sz w:val="18"/>
          <w:szCs w:val="18"/>
          <w:color w:val="auto"/>
        </w:rPr>
      </w:pPr>
    </w:p>
    <w:p>
      <w:pPr>
        <w:ind w:left="1700" w:right="80" w:hanging="211"/>
        <w:spacing w:after="0" w:line="277" w:lineRule="auto"/>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Under their agreements, Brent Richardson, John Crowley, and Chris Richardson would also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continuation of benefits during the applicable salary continuation period.</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31"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In the past, we have reviewed overall company and individual performance in connection with our review of named executive officer compensation.</w:t>
      </w:r>
    </w:p>
    <w:p>
      <w:pPr>
        <w:spacing w:after="0" w:line="76" w:lineRule="exact"/>
        <w:rPr>
          <w:sz w:val="20"/>
          <w:szCs w:val="20"/>
          <w:color w:val="auto"/>
        </w:rPr>
      </w:pPr>
    </w:p>
    <w:p>
      <w:pPr>
        <w:ind w:left="700" w:right="320" w:firstLine="397"/>
        <w:spacing w:after="0" w:line="288" w:lineRule="auto"/>
        <w:rPr>
          <w:sz w:val="20"/>
          <w:szCs w:val="20"/>
          <w:color w:val="auto"/>
        </w:rPr>
      </w:pPr>
      <w:r>
        <w:rPr>
          <w:rFonts w:ascii="Arial" w:cs="Arial" w:eastAsia="Arial" w:hAnsi="Arial"/>
          <w:sz w:val="16"/>
          <w:szCs w:val="16"/>
          <w:i w:val="1"/>
          <w:iCs w:val="1"/>
          <w:color w:val="auto"/>
        </w:rPr>
        <w:t xml:space="preserve">Company performance. </w:t>
      </w:r>
      <w:r>
        <w:rPr>
          <w:rFonts w:ascii="Arial" w:cs="Arial" w:eastAsia="Arial" w:hAnsi="Arial"/>
          <w:sz w:val="16"/>
          <w:szCs w:val="16"/>
          <w:color w:val="auto"/>
        </w:rPr>
        <w:t>In reviewing our performance, we focus principally on the achievement of net revenue and Adjusted</w:t>
      </w:r>
      <w:r>
        <w:rPr>
          <w:rFonts w:ascii="Arial" w:cs="Arial" w:eastAsia="Arial" w:hAnsi="Arial"/>
          <w:sz w:val="16"/>
          <w:szCs w:val="16"/>
          <w:i w:val="1"/>
          <w:iCs w:val="1"/>
          <w:color w:val="auto"/>
        </w:rPr>
        <w:t xml:space="preserve"> </w:t>
      </w:r>
      <w:r>
        <w:rPr>
          <w:rFonts w:ascii="Arial" w:cs="Arial" w:eastAsia="Arial" w:hAnsi="Arial"/>
          <w:sz w:val="16"/>
          <w:szCs w:val="16"/>
          <w:color w:val="auto"/>
        </w:rPr>
        <w:t>EBITDA levels, and on maintaining regulatory compliance. We presently define Adjusted EBITDA as net income (loss) plus interest expense net of interest income, plus income tax expense (benefit), and plus depreciation and amortization (EBITDA), as adjusted for</w:t>
      </w:r>
    </w:p>
    <w:p>
      <w:pPr>
        <w:ind w:left="700" w:hanging="7"/>
        <w:spacing w:after="0" w:line="268" w:lineRule="auto"/>
        <w:tabs>
          <w:tab w:leader="none" w:pos="9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90"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In reviewing individual performance, we also look at an executive’s achievement of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that, with respect to a given named executive officer, may include achieving objectives related to some or all of the following:</w:t>
      </w:r>
    </w:p>
    <w:p>
      <w:pPr>
        <w:spacing w:after="0" w:line="29" w:lineRule="exact"/>
        <w:rPr>
          <w:sz w:val="20"/>
          <w:szCs w:val="20"/>
          <w:color w:val="auto"/>
        </w:rPr>
      </w:pPr>
    </w:p>
    <w:p>
      <w:pPr>
        <w:ind w:left="1700" w:hanging="211"/>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enrollment growth;</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program development and expansion; and</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Conclusion</w:t>
      </w:r>
    </w:p>
    <w:p>
      <w:pPr>
        <w:spacing w:after="0" w:line="131"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2007 were reasonable and appropriate and in our best interests.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Actions Taken in Current Fiscal Year</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Equity Plans. </w:t>
      </w:r>
      <w:r>
        <w:rPr>
          <w:rFonts w:ascii="Arial" w:cs="Arial" w:eastAsia="Arial" w:hAnsi="Arial"/>
          <w:sz w:val="17"/>
          <w:szCs w:val="17"/>
          <w:color w:val="auto"/>
        </w:rPr>
        <w:t>As discussed above, we have historically relied upon base salaries and cash bonuses to attract, motivate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Effective upon the completion of this offering, we intend to adopt a 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These plans, the intended terms of which are described below, will be effective upon the approval of our stockholders, which will occur immediately prior to the closing of the offering.</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Incentive Plan. </w:t>
      </w:r>
      <w:r>
        <w:rPr>
          <w:rFonts w:ascii="Arial" w:cs="Arial" w:eastAsia="Arial" w:hAnsi="Arial"/>
          <w:sz w:val="18"/>
          <w:szCs w:val="18"/>
          <w:color w:val="auto"/>
        </w:rPr>
        <w:t>We will initially authorize and reserve a total of shares of our common stock for issuance under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This reserve will automatically increase on a cumulative basis on January 1, 2009 and each subsequent anniversary through 2017, by an amount equal to the smaller of (a) %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again become available for 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92"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77"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60"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7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In conjunction with adoption of the Incentive Plan, our board of directors will approve a comprehensive policy relating to the granting of stock options and other equity-based awards. Under this policy:</w:t>
      </w:r>
    </w:p>
    <w:p>
      <w:pPr>
        <w:spacing w:after="0" w:line="76" w:lineRule="exact"/>
        <w:rPr>
          <w:sz w:val="20"/>
          <w:szCs w:val="20"/>
          <w:color w:val="auto"/>
        </w:rPr>
      </w:pPr>
    </w:p>
    <w:p>
      <w:pPr>
        <w:ind w:left="1700" w:right="400" w:hanging="211"/>
        <w:spacing w:after="0" w:line="277" w:lineRule="auto"/>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stock-based grants will be approved at formal meetings (including telephonic) of the compensation committee;</w:t>
      </w:r>
    </w:p>
    <w:p>
      <w:pPr>
        <w:spacing w:after="0" w:line="128" w:lineRule="exact"/>
        <w:rPr>
          <w:rFonts w:ascii="Arial" w:cs="Arial" w:eastAsia="Arial" w:hAnsi="Arial"/>
          <w:sz w:val="17"/>
          <w:szCs w:val="17"/>
          <w:color w:val="auto"/>
        </w:rPr>
      </w:pPr>
    </w:p>
    <w:p>
      <w:pPr>
        <w:ind w:left="1700" w:right="20" w:hanging="211"/>
        <w:spacing w:after="0" w:line="264" w:lineRule="auto"/>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73" w:lineRule="exact"/>
        <w:rPr>
          <w:rFonts w:ascii="Arial" w:cs="Arial" w:eastAsia="Arial" w:hAnsi="Arial"/>
          <w:sz w:val="18"/>
          <w:szCs w:val="18"/>
          <w:color w:val="auto"/>
        </w:rPr>
      </w:pPr>
    </w:p>
    <w:p>
      <w:pPr>
        <w:ind w:left="1700" w:right="100" w:hanging="211"/>
        <w:spacing w:after="0" w:line="279" w:lineRule="auto"/>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63" w:lineRule="exact"/>
        <w:rPr>
          <w:rFonts w:ascii="Arial" w:cs="Arial" w:eastAsia="Arial" w:hAnsi="Arial"/>
          <w:sz w:val="17"/>
          <w:szCs w:val="17"/>
          <w:color w:val="auto"/>
        </w:rPr>
      </w:pPr>
    </w:p>
    <w:p>
      <w:pPr>
        <w:ind w:left="1700" w:right="760" w:hanging="211"/>
        <w:spacing w:after="0" w:line="277" w:lineRule="auto"/>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grant to executive officers and directors, if any, will occur at the same time as the annual grant to other employees;</w:t>
      </w:r>
    </w:p>
    <w:p>
      <w:pPr>
        <w:spacing w:after="0" w:line="62" w:lineRule="exact"/>
        <w:rPr>
          <w:rFonts w:ascii="Arial" w:cs="Arial" w:eastAsia="Arial" w:hAnsi="Arial"/>
          <w:sz w:val="18"/>
          <w:szCs w:val="18"/>
          <w:color w:val="auto"/>
        </w:rPr>
      </w:pPr>
    </w:p>
    <w:p>
      <w:pPr>
        <w:ind w:left="1700" w:right="300" w:hanging="211"/>
        <w:spacing w:after="0" w:line="342" w:lineRule="auto"/>
        <w:tabs>
          <w:tab w:leader="none" w:pos="1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5" w:lineRule="exact"/>
        <w:rPr>
          <w:rFonts w:ascii="Arial" w:cs="Arial" w:eastAsia="Arial" w:hAnsi="Arial"/>
          <w:sz w:val="16"/>
          <w:szCs w:val="16"/>
          <w:color w:val="auto"/>
        </w:rPr>
      </w:pPr>
    </w:p>
    <w:p>
      <w:pPr>
        <w:ind w:left="1700" w:right="420" w:hanging="211"/>
        <w:spacing w:after="0" w:line="277" w:lineRule="auto"/>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i w:val="1"/>
          <w:iCs w:val="1"/>
          <w:color w:val="auto"/>
        </w:rPr>
        <w:t xml:space="preserve">ESPP. </w:t>
      </w:r>
      <w:r>
        <w:rPr>
          <w:rFonts w:ascii="Arial" w:cs="Arial" w:eastAsia="Arial" w:hAnsi="Arial"/>
          <w:sz w:val="16"/>
          <w:szCs w:val="16"/>
          <w:color w:val="auto"/>
        </w:rPr>
        <w:t>We will initially authorize and reserve a total of shares of our common stock for sale under the ESPP.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ESPP will provide for an automatic annual increase in the number of shares available for issuance under the plan on January 1 of each year beginning in 2009 and continuing through and including January 1, 2017 equal to the lesser of (a) % of our then issued and outstanding shares of common stock on the immediately preceding December 31, (b)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73"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w:t>
      </w:r>
    </w:p>
    <w:p>
      <w:pPr>
        <w:jc w:val="both"/>
        <w:ind w:left="700" w:right="160" w:hanging="7"/>
        <w:spacing w:after="0" w:line="255" w:lineRule="auto"/>
        <w:tabs>
          <w:tab w:leader="none" w:pos="9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96"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The ESPP will be implemented through a series of sequential offering periods, generally three months in duration beginning on the first trading days of February, May, August, and November each year. However, the administrator may establish an offering period to commence on the effective date of the ESPP that will end on September 30, 2008.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78"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maximum number of shares a participant may purchase in any three-month offering period will be the lesser of (a) that number</w:t>
      </w:r>
    </w:p>
    <w:p>
      <w:pPr>
        <w:spacing w:after="0" w:line="46"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of shares determined by multiplying (i) shares by (ii) the number of months (rounded to the nearest whole month) in the offering period and rounding to the nearest whole share, or (b) that number of whole shares determined by dividing (i) the product of $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9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Executive Employment Agreements. </w:t>
      </w:r>
      <w:r>
        <w:rPr>
          <w:rFonts w:ascii="Arial" w:cs="Arial" w:eastAsia="Arial" w:hAnsi="Arial"/>
          <w:sz w:val="18"/>
          <w:szCs w:val="18"/>
          <w:color w:val="auto"/>
        </w:rPr>
        <w:t>Effective July 1, 2008, we entered into employment agreements with Brian E. Mueller, Daniel</w:t>
      </w:r>
      <w:r>
        <w:rPr>
          <w:rFonts w:ascii="Arial" w:cs="Arial" w:eastAsia="Arial" w:hAnsi="Arial"/>
          <w:sz w:val="18"/>
          <w:szCs w:val="18"/>
          <w:i w:val="1"/>
          <w:iCs w:val="1"/>
          <w:color w:val="auto"/>
        </w:rPr>
        <w:t xml:space="preserve"> </w:t>
      </w:r>
      <w:r>
        <w:rPr>
          <w:rFonts w:ascii="Arial" w:cs="Arial" w:eastAsia="Arial" w:hAnsi="Arial"/>
          <w:sz w:val="18"/>
          <w:szCs w:val="18"/>
          <w:color w:val="auto"/>
        </w:rPr>
        <w:t>E. Bachus, and W. Stan Meyer that govern the terms of their service as our Chief Executive Officer, Chief Financial Officer, and Executive Vice President, respectively. Each agreement has a four-year term and automatically renews for one year periods after the initial four-year term unless either party provides written notice that it does not wish to renew the respective agreement. Except with respect to</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items of compensation, as described below, the terms of each agreement are similar in all material respects.</w:t>
      </w:r>
    </w:p>
    <w:p>
      <w:pPr>
        <w:spacing w:after="0" w:line="131"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agreement with Mr. Mueller provides for a base salary of $500,000 per year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w:t>
      </w:r>
    </w:p>
    <w:p>
      <w:pPr>
        <w:ind w:left="700" w:right="100"/>
        <w:spacing w:after="0" w:line="265" w:lineRule="auto"/>
        <w:rPr>
          <w:sz w:val="20"/>
          <w:szCs w:val="20"/>
          <w:color w:val="auto"/>
        </w:rPr>
      </w:pPr>
      <w:r>
        <w:rPr>
          <w:rFonts w:ascii="Arial" w:cs="Arial" w:eastAsia="Arial" w:hAnsi="Arial"/>
          <w:sz w:val="17"/>
          <w:szCs w:val="17"/>
          <w:color w:val="auto"/>
        </w:rPr>
        <w:t>to the completion of this offering, Mr. Mueller is also entitled to receive (i) a grant of an option to purchase shares of our common stock, which will vest ratably, on an annual basis, over a five-year period, and (ii) a grant of shares of our common stock which</w:t>
      </w:r>
    </w:p>
    <w:p>
      <w:pPr>
        <w:ind w:left="700" w:right="260"/>
        <w:spacing w:after="0" w:line="261" w:lineRule="auto"/>
        <w:rPr>
          <w:sz w:val="20"/>
          <w:szCs w:val="20"/>
          <w:color w:val="auto"/>
        </w:rPr>
      </w:pPr>
      <w:r>
        <w:rPr>
          <w:rFonts w:ascii="Arial" w:cs="Arial" w:eastAsia="Arial" w:hAnsi="Arial"/>
          <w:sz w:val="18"/>
          <w:szCs w:val="18"/>
          <w:color w:val="auto"/>
        </w:rPr>
        <w:t>shares shall be fully vested on the grant date. The shares subject to the foregoing grants will have a grant or exercise price equal to the initial public offering price.</w:t>
      </w:r>
    </w:p>
    <w:p>
      <w:pPr>
        <w:spacing w:after="0" w:line="89"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agreement with Mr. Bachus provides for a base salary of $275,000 per year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w:t>
      </w:r>
    </w:p>
    <w:p>
      <w:pPr>
        <w:ind w:left="700" w:right="340"/>
        <w:spacing w:after="0" w:line="255" w:lineRule="auto"/>
        <w:rPr>
          <w:sz w:val="20"/>
          <w:szCs w:val="20"/>
          <w:color w:val="auto"/>
        </w:rPr>
      </w:pPr>
      <w:r>
        <w:rPr>
          <w:rFonts w:ascii="Arial" w:cs="Arial" w:eastAsia="Arial" w:hAnsi="Arial"/>
          <w:sz w:val="18"/>
          <w:szCs w:val="18"/>
          <w:color w:val="auto"/>
        </w:rPr>
        <w:t>to the completion of this offering, Mr. Bachus is also entitled to receive a grant of an option to purchase shares of our common stock, which will vest ratably, on an annual basis, over a five-year period and will have an exercise price equal to the initial public offering price.</w:t>
      </w:r>
    </w:p>
    <w:p>
      <w:pPr>
        <w:spacing w:after="0" w:line="96"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agreement with Mr. Meyer provides for a base salary of $300,000 per year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w:t>
      </w:r>
    </w:p>
    <w:p>
      <w:pPr>
        <w:jc w:val="both"/>
        <w:ind w:left="700" w:right="380"/>
        <w:spacing w:after="0" w:line="255" w:lineRule="auto"/>
        <w:rPr>
          <w:sz w:val="20"/>
          <w:szCs w:val="20"/>
          <w:color w:val="auto"/>
        </w:rPr>
      </w:pPr>
      <w:r>
        <w:rPr>
          <w:rFonts w:ascii="Arial" w:cs="Arial" w:eastAsia="Arial" w:hAnsi="Arial"/>
          <w:sz w:val="18"/>
          <w:szCs w:val="18"/>
          <w:color w:val="auto"/>
        </w:rPr>
        <w:t>completion of this offering, Mr. Meyer is also entitled to receive a grant of an option to purchase shares of our common stock, which will vest ratably, on an annual basis, over a five-year period and will have an exercise price equal to the initial public offering price.</w:t>
      </w:r>
    </w:p>
    <w:p>
      <w:pPr>
        <w:spacing w:after="0" w:line="9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6"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The agreements prohibit the executives from engaging in any work that creates an actual conflict of interest with us, and include customary non-competition and non-solicitation covenants that prohibit the executives, during their employment with us and for</w:t>
      </w:r>
    </w:p>
    <w:p>
      <w:pPr>
        <w:ind w:left="700" w:right="40"/>
        <w:spacing w:after="0" w:line="286" w:lineRule="auto"/>
        <w:rPr>
          <w:sz w:val="20"/>
          <w:szCs w:val="20"/>
          <w:color w:val="auto"/>
        </w:rPr>
      </w:pPr>
      <w:r>
        <w:rPr>
          <w:rFonts w:ascii="Arial" w:cs="Arial" w:eastAsia="Arial" w:hAnsi="Arial"/>
          <w:sz w:val="16"/>
          <w:szCs w:val="16"/>
          <w:color w:val="auto"/>
        </w:rPr>
        <w:t>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 12 months of COBRA premiums, and partial acceleration of the vesting of their stock options to the next vesting date. If, within the 12 months after a change in control (as defined in the agreement), the executives are terminated</w:t>
      </w:r>
    </w:p>
    <w:p>
      <w:pPr>
        <w:spacing w:after="0" w:line="3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other than for cause or they resign for good reason, they shall be entitled to the same severance package as described above for similar separation reasons, plus the full vesting of all stock options held by the executives.</w:t>
      </w:r>
    </w:p>
    <w:p>
      <w:pPr>
        <w:spacing w:after="0" w:line="76"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i w:val="1"/>
          <w:iCs w:val="1"/>
          <w:color w:val="auto"/>
        </w:rPr>
        <w:t xml:space="preserve">Named Executive Officer Salary Adjustments. </w:t>
      </w:r>
      <w:r>
        <w:rPr>
          <w:rFonts w:ascii="Arial" w:cs="Arial" w:eastAsia="Arial" w:hAnsi="Arial"/>
          <w:sz w:val="18"/>
          <w:szCs w:val="18"/>
          <w:color w:val="auto"/>
        </w:rPr>
        <w:t>Effective January 1, 2008, the base salary of each of Brent Richardson, John</w:t>
      </w:r>
      <w:r>
        <w:rPr>
          <w:rFonts w:ascii="Arial" w:cs="Arial" w:eastAsia="Arial" w:hAnsi="Arial"/>
          <w:sz w:val="18"/>
          <w:szCs w:val="18"/>
          <w:i w:val="1"/>
          <w:iCs w:val="1"/>
          <w:color w:val="auto"/>
        </w:rPr>
        <w:t xml:space="preserve"> </w:t>
      </w:r>
      <w:r>
        <w:rPr>
          <w:rFonts w:ascii="Arial" w:cs="Arial" w:eastAsia="Arial" w:hAnsi="Arial"/>
          <w:sz w:val="18"/>
          <w:szCs w:val="18"/>
          <w:color w:val="auto"/>
        </w:rPr>
        <w:t>Crowley, and Chris Richardson was increased by $5,000 per year to $297,500.</w:t>
      </w:r>
    </w:p>
    <w:p>
      <w:pPr>
        <w:spacing w:after="0" w:line="76"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Other than as described above, there have been no other material changes to items of compensation applicable to our named executive officers or directors for fiscal 2008.</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following table sets forth the total compensation earned for services rendered during fiscal year 2007 by our named executive officers.</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2007 SUMMARY COMPENSATION TABLE</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Bonus</w:t>
            </w:r>
            <w:r>
              <w:rPr>
                <w:rFonts w:ascii="Arial" w:cs="Arial" w:eastAsia="Arial" w:hAnsi="Arial"/>
                <w:sz w:val="12"/>
                <w:szCs w:val="12"/>
                <w:b w:val="1"/>
                <w:bCs w:val="1"/>
                <w:color w:val="auto"/>
                <w:w w:val="89"/>
              </w:rPr>
              <w:t>(2)</w:t>
            </w:r>
          </w:p>
        </w:tc>
        <w:tc>
          <w:tcPr>
            <w:tcW w:w="156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15,312</w:t>
            </w:r>
            <w:r>
              <w:rPr>
                <w:rFonts w:ascii="Arial" w:cs="Arial" w:eastAsia="Arial" w:hAnsi="Arial"/>
                <w:sz w:val="24"/>
                <w:szCs w:val="24"/>
                <w:color w:val="auto"/>
                <w:vertAlign w:val="subscript"/>
              </w:rPr>
              <w:t>(3)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John E. Crowley</w:t>
            </w:r>
          </w:p>
        </w:tc>
        <w:tc>
          <w:tcPr>
            <w:tcW w:w="6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84"/>
              </w:rPr>
              <w:t>2007</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292,019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14,000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306,019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Timothy R. Fischer</w:t>
            </w:r>
            <w:r>
              <w:rPr>
                <w:rFonts w:ascii="Arial" w:cs="Arial" w:eastAsia="Arial" w:hAnsi="Arial"/>
                <w:sz w:val="15"/>
                <w:szCs w:val="15"/>
                <w:color w:val="auto"/>
              </w:rPr>
              <w:t>(4)</w:t>
            </w:r>
          </w:p>
        </w:tc>
        <w:tc>
          <w:tcPr>
            <w:tcW w:w="640" w:type="dxa"/>
            <w:vAlign w:val="bottom"/>
            <w:gridSpan w:val="2"/>
          </w:tcPr>
          <w:p>
            <w:pPr>
              <w:ind w:left="280"/>
              <w:spacing w:after="0" w:line="201" w:lineRule="exact"/>
              <w:rPr>
                <w:sz w:val="20"/>
                <w:szCs w:val="20"/>
                <w:color w:val="auto"/>
              </w:rPr>
            </w:pPr>
            <w:r>
              <w:rPr>
                <w:rFonts w:ascii="Arial" w:cs="Arial" w:eastAsia="Arial" w:hAnsi="Arial"/>
                <w:sz w:val="18"/>
                <w:szCs w:val="18"/>
                <w:color w:val="auto"/>
                <w:w w:val="84"/>
              </w:rPr>
              <w:t>2007</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194,500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7"/>
              </w:rPr>
              <w:t>25,000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219,500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Administrative Officer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Lacrosse</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Information Officer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-1508760</wp:posOffset>
            </wp:positionV>
            <wp:extent cx="26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440" w:hanging="301"/>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Brent Richardson, John Crowley, and Chris Richardson, represents the minimum base salary payable under their respective employment agreements of $250,000, as adjusted for fiscal year 2007 by the board of directors.</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cash bonuses awarded to the recipients by the board of directors on a discretionary basis.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value of lease payments made by Grand Canyon University on a vehicle utilized by Mr. Richardson.</w:t>
      </w:r>
    </w:p>
    <w:p>
      <w:pPr>
        <w:spacing w:after="0" w:line="76" w:lineRule="exact"/>
        <w:rPr>
          <w:rFonts w:ascii="Arial" w:cs="Arial" w:eastAsia="Arial" w:hAnsi="Arial"/>
          <w:sz w:val="18"/>
          <w:szCs w:val="18"/>
          <w:color w:val="auto"/>
        </w:rPr>
      </w:pPr>
    </w:p>
    <w:p>
      <w:pPr>
        <w:ind w:left="1000" w:right="280" w:hanging="301"/>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Fischer was appointed our Chief Administrative Officer effective July 1, 2008. During 2007, he served as our Chief Financial Officer.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have entered into an employment agreement with each of Brent D. Richardson, John E. Crowley, and Christopher C. Richardson relating to 2007 compensation. In 2008, we entered into an employment agreement with each of Brian E. Mueller, Daniel E. Bachus, and W. Stan Meyer.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agreements with Messrs. Mueller, Bachus, and Meyer.</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i w:val="1"/>
          <w:iCs w:val="1"/>
          <w:color w:val="auto"/>
        </w:rPr>
        <w:t xml:space="preserve">Agreement with Brent D. Richardson. </w:t>
      </w:r>
      <w:r>
        <w:rPr>
          <w:rFonts w:ascii="Arial" w:cs="Arial" w:eastAsia="Arial" w:hAnsi="Arial"/>
          <w:sz w:val="17"/>
          <w:szCs w:val="17"/>
          <w:color w:val="auto"/>
        </w:rPr>
        <w:t>Effective August 24, 2005, we and Brent Richardson entered into an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agreement remains in effect until 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w:t>
      </w: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board of directors. Mr. Richardson is also entitled to insurance, vacation, holidays, and other benefits that are consistent with those that we provide to our practices for our employees generally.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9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i w:val="1"/>
          <w:iCs w:val="1"/>
          <w:color w:val="auto"/>
        </w:rPr>
        <w:t xml:space="preserve">Agreement with John E. Crowley. </w:t>
      </w:r>
      <w:r>
        <w:rPr>
          <w:rFonts w:ascii="Arial" w:cs="Arial" w:eastAsia="Arial" w:hAnsi="Arial"/>
          <w:sz w:val="18"/>
          <w:szCs w:val="18"/>
          <w:color w:val="auto"/>
        </w:rPr>
        <w:t>Effective August 24, 2005, we and John Crowley entered into an employment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remains in effect until Mr. Crowley’s 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100"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Agreement with Christopher C. Richardson. </w:t>
      </w:r>
      <w:r>
        <w:rPr>
          <w:rFonts w:ascii="Arial" w:cs="Arial" w:eastAsia="Arial" w:hAnsi="Arial"/>
          <w:sz w:val="18"/>
          <w:szCs w:val="18"/>
          <w:color w:val="auto"/>
        </w:rPr>
        <w:t>Effective August 24, 2005, we and Chris Richardson entered into an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agreement with Chris Richardson contains substantially the same terms as the agreement with John Crowley. The agreement also provides for certain benefits upon separation as further described in the “Severance and Change of Control Payments” section below.</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520" w:firstLine="397"/>
        <w:spacing w:after="0" w:line="272" w:lineRule="auto"/>
        <w:rPr>
          <w:sz w:val="20"/>
          <w:szCs w:val="20"/>
          <w:color w:val="auto"/>
        </w:rPr>
      </w:pPr>
      <w:r>
        <w:rPr>
          <w:rFonts w:ascii="Arial" w:cs="Arial" w:eastAsia="Arial" w:hAnsi="Arial"/>
          <w:sz w:val="17"/>
          <w:szCs w:val="17"/>
          <w:i w:val="1"/>
          <w:iCs w:val="1"/>
          <w:color w:val="auto"/>
        </w:rPr>
        <w:t xml:space="preserve">Severance and Change of Control Payments. </w:t>
      </w:r>
      <w:r>
        <w:rPr>
          <w:rFonts w:ascii="Arial" w:cs="Arial" w:eastAsia="Arial" w:hAnsi="Arial"/>
          <w:sz w:val="17"/>
          <w:szCs w:val="17"/>
          <w:color w:val="auto"/>
        </w:rPr>
        <w:t>The employment agreements with Brent Richardson, John Crowley, and Chris</w:t>
      </w:r>
      <w:r>
        <w:rPr>
          <w:rFonts w:ascii="Arial" w:cs="Arial" w:eastAsia="Arial" w:hAnsi="Arial"/>
          <w:sz w:val="17"/>
          <w:szCs w:val="17"/>
          <w:i w:val="1"/>
          <w:iCs w:val="1"/>
          <w:color w:val="auto"/>
        </w:rPr>
        <w:t xml:space="preserve"> </w:t>
      </w:r>
      <w:r>
        <w:rPr>
          <w:rFonts w:ascii="Arial" w:cs="Arial" w:eastAsia="Arial" w:hAnsi="Arial"/>
          <w:sz w:val="17"/>
          <w:szCs w:val="17"/>
          <w:color w:val="auto"/>
        </w:rPr>
        <w:t>Richardson entitle them to certain severance payments 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1060"/>
          </w:cols>
          <w:pgMar w:left="240" w:top="419" w:right="599" w:bottom="1440" w:gutter="0" w:footer="0" w:header="0"/>
        </w:sectPr>
      </w:pP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Named Executive</w:t>
            </w: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7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120" w:type="dxa"/>
            <w:vAlign w:val="bottom"/>
          </w:tcPr>
          <w:p>
            <w:pPr>
              <w:spacing w:after="0"/>
              <w:rPr>
                <w:sz w:val="14"/>
                <w:szCs w:val="14"/>
                <w:color w:val="auto"/>
              </w:rPr>
            </w:pP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Triggering Event</w:t>
            </w:r>
            <w:r>
              <w:rPr>
                <w:rFonts w:ascii="Arial" w:cs="Arial" w:eastAsia="Arial" w:hAnsi="Arial"/>
                <w:sz w:val="12"/>
                <w:szCs w:val="12"/>
                <w:b w:val="1"/>
                <w:bCs w:val="1"/>
                <w:color w:val="auto"/>
              </w:rPr>
              <w:t>(1)(2)</w:t>
            </w:r>
          </w:p>
        </w:tc>
      </w:tr>
      <w:tr>
        <w:trPr>
          <w:trHeight w:val="177"/>
        </w:trPr>
        <w:tc>
          <w:tcPr>
            <w:tcW w:w="2380" w:type="dxa"/>
            <w:vAlign w:val="bottom"/>
          </w:tcPr>
          <w:p>
            <w:pPr>
              <w:spacing w:after="0"/>
              <w:rPr>
                <w:sz w:val="20"/>
                <w:szCs w:val="20"/>
                <w:color w:val="auto"/>
              </w:rPr>
            </w:pPr>
            <w:r>
              <w:rPr>
                <w:rFonts w:ascii="Arial" w:cs="Arial" w:eastAsia="Arial" w:hAnsi="Arial"/>
                <w:sz w:val="14"/>
                <w:szCs w:val="14"/>
                <w:color w:val="auto"/>
              </w:rPr>
              <w:t>Brent Richardson</w:t>
            </w: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Separation by Mr. Richardson</w:t>
            </w:r>
          </w:p>
        </w:tc>
      </w:tr>
      <w:tr>
        <w:trPr>
          <w:trHeight w:val="149"/>
        </w:trPr>
        <w:tc>
          <w:tcPr>
            <w:tcW w:w="2380" w:type="dxa"/>
            <w:vAlign w:val="bottom"/>
          </w:tcPr>
          <w:p>
            <w:pPr>
              <w:spacing w:after="0"/>
              <w:rPr>
                <w:sz w:val="12"/>
                <w:szCs w:val="12"/>
                <w:color w:val="auto"/>
              </w:rPr>
            </w:pPr>
          </w:p>
        </w:tc>
        <w:tc>
          <w:tcPr>
            <w:tcW w:w="2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 “Good Reason” or</w:t>
            </w:r>
          </w:p>
        </w:tc>
      </w:tr>
      <w:tr>
        <w:trPr>
          <w:trHeight w:val="149"/>
        </w:trPr>
        <w:tc>
          <w:tcPr>
            <w:tcW w:w="2380" w:type="dxa"/>
            <w:vAlign w:val="bottom"/>
          </w:tcPr>
          <w:p>
            <w:pPr>
              <w:spacing w:after="0"/>
              <w:rPr>
                <w:sz w:val="12"/>
                <w:szCs w:val="12"/>
                <w:color w:val="auto"/>
              </w:rPr>
            </w:pPr>
          </w:p>
        </w:tc>
        <w:tc>
          <w:tcPr>
            <w:tcW w:w="2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termination by us without</w:t>
            </w:r>
          </w:p>
        </w:tc>
      </w:tr>
      <w:tr>
        <w:trPr>
          <w:trHeight w:val="182"/>
        </w:trPr>
        <w:tc>
          <w:tcPr>
            <w:tcW w:w="2380" w:type="dxa"/>
            <w:vAlign w:val="bottom"/>
          </w:tcPr>
          <w:p>
            <w:pPr>
              <w:spacing w:after="0"/>
              <w:rPr>
                <w:sz w:val="15"/>
                <w:szCs w:val="15"/>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“Cause”</w:t>
            </w:r>
          </w:p>
        </w:tc>
      </w:tr>
    </w:tbl>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2007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Continued payment of base salary and provision of benefits for 12 months following separation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Material Conditions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Potential Value</w:t>
            </w:r>
            <w:r>
              <w:rPr>
                <w:rFonts w:ascii="Arial" w:cs="Arial" w:eastAsia="Arial" w:hAnsi="Arial"/>
                <w:sz w:val="12"/>
                <w:szCs w:val="12"/>
                <w:b w:val="1"/>
                <w:bCs w:val="1"/>
                <w:color w:val="auto"/>
              </w:rPr>
              <w:t>(3)</w:t>
            </w:r>
          </w:p>
        </w:tc>
      </w:tr>
      <w:tr>
        <w:trPr>
          <w:trHeight w:val="177"/>
        </w:trPr>
        <w:tc>
          <w:tcPr>
            <w:tcW w:w="1880" w:type="dxa"/>
            <w:vAlign w:val="bottom"/>
          </w:tcPr>
          <w:p>
            <w:pPr>
              <w:spacing w:after="0"/>
              <w:rPr>
                <w:sz w:val="20"/>
                <w:szCs w:val="20"/>
                <w:color w:val="auto"/>
              </w:rPr>
            </w:pPr>
            <w:r>
              <w:rPr>
                <w:rFonts w:ascii="Arial" w:cs="Arial" w:eastAsia="Arial" w:hAnsi="Arial"/>
                <w:sz w:val="14"/>
                <w:szCs w:val="14"/>
                <w:color w:val="auto"/>
              </w:rPr>
              <w:t>Mr. Richardson must abide by</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68"/>
              <w:spacing w:after="0"/>
              <w:rPr>
                <w:sz w:val="20"/>
                <w:szCs w:val="20"/>
                <w:color w:val="auto"/>
              </w:rPr>
            </w:pPr>
            <w:r>
              <w:rPr>
                <w:rFonts w:ascii="Arial" w:cs="Arial" w:eastAsia="Arial" w:hAnsi="Arial"/>
                <w:sz w:val="14"/>
                <w:szCs w:val="14"/>
                <w:color w:val="auto"/>
              </w:rPr>
              <w:t>300,373</w:t>
            </w: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the confidentiality, non-</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6"/>
              </w:rPr>
              <w:t>covenants discussed above for</w:t>
            </w:r>
          </w:p>
        </w:tc>
        <w:tc>
          <w:tcPr>
            <w:tcW w:w="4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2"/>
        </w:trPr>
        <w:tc>
          <w:tcPr>
            <w:tcW w:w="1880" w:type="dxa"/>
            <w:vAlign w:val="bottom"/>
          </w:tcPr>
          <w:p>
            <w:pPr>
              <w:spacing w:after="0"/>
              <w:rPr>
                <w:sz w:val="20"/>
                <w:szCs w:val="20"/>
                <w:color w:val="auto"/>
              </w:rPr>
            </w:pPr>
            <w:r>
              <w:rPr>
                <w:rFonts w:ascii="Arial" w:cs="Arial" w:eastAsia="Arial" w:hAnsi="Arial"/>
                <w:sz w:val="14"/>
                <w:szCs w:val="14"/>
                <w:color w:val="auto"/>
              </w:rPr>
              <w:t>24 months</w:t>
            </w: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-617855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3">
            <w:col w:w="5080" w:space="200"/>
            <w:col w:w="1820" w:space="280"/>
            <w:col w:w="3680"/>
          </w:cols>
          <w:pgMar w:left="240" w:top="419" w:right="599" w:bottom="1440" w:gutter="0" w:footer="0" w:header="0"/>
          <w:type w:val="continuous"/>
        </w:sect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rPr>
          <w:sz w:val="20"/>
          <w:szCs w:val="20"/>
          <w:color w:val="auto"/>
        </w:rPr>
      </w:pPr>
      <w:r>
        <w:rPr>
          <w:rFonts w:ascii="Arial" w:cs="Arial" w:eastAsia="Arial" w:hAnsi="Arial"/>
          <w:sz w:val="13"/>
          <w:szCs w:val="13"/>
          <w:color w:val="auto"/>
        </w:rPr>
        <w:t>Richardson, separation by Mr.</w:t>
      </w:r>
    </w:p>
    <w:p>
      <w:pPr>
        <w:ind w:left="3200"/>
        <w:spacing w:after="0" w:line="221" w:lineRule="auto"/>
        <w:rPr>
          <w:sz w:val="20"/>
          <w:szCs w:val="20"/>
          <w:color w:val="auto"/>
        </w:rPr>
      </w:pPr>
      <w:r>
        <w:rPr>
          <w:rFonts w:ascii="Arial" w:cs="Arial" w:eastAsia="Arial" w:hAnsi="Arial"/>
          <w:sz w:val="14"/>
          <w:szCs w:val="14"/>
          <w:color w:val="auto"/>
        </w:rPr>
        <w:t>Richardson without “Good</w:t>
      </w:r>
    </w:p>
    <w:p>
      <w:pPr>
        <w:ind w:left="3200"/>
        <w:spacing w:after="0" w:line="221" w:lineRule="auto"/>
        <w:rPr>
          <w:sz w:val="20"/>
          <w:szCs w:val="20"/>
          <w:color w:val="auto"/>
        </w:rPr>
      </w:pPr>
      <w:r>
        <w:rPr>
          <w:rFonts w:ascii="Arial" w:cs="Arial" w:eastAsia="Arial" w:hAnsi="Arial"/>
          <w:sz w:val="14"/>
          <w:szCs w:val="14"/>
          <w:color w:val="auto"/>
        </w:rPr>
        <w:t>Reason,” or sale of Grand</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tabs>
          <w:tab w:leader="none" w:pos="2080" w:val="left"/>
          <w:tab w:leader="none" w:pos="4900" w:val="left"/>
        </w:tabs>
        <w:rPr>
          <w:sz w:val="20"/>
          <w:szCs w:val="20"/>
          <w:color w:val="auto"/>
        </w:rPr>
      </w:pPr>
      <w:r>
        <w:rPr>
          <w:rFonts w:ascii="Arial" w:cs="Arial" w:eastAsia="Arial" w:hAnsi="Arial"/>
          <w:sz w:val="14"/>
          <w:szCs w:val="14"/>
          <w:color w:val="auto"/>
        </w:rPr>
        <w:t>No severance payments, but Mr.</w:t>
      </w:r>
      <w:r>
        <w:rPr>
          <w:sz w:val="20"/>
          <w:szCs w:val="20"/>
          <w:color w:val="auto"/>
        </w:rPr>
        <w:tab/>
      </w:r>
      <w:r>
        <w:rPr>
          <w:rFonts w:ascii="Arial" w:cs="Arial" w:eastAsia="Arial" w:hAnsi="Arial"/>
          <w:sz w:val="14"/>
          <w:szCs w:val="14"/>
          <w:color w:val="auto"/>
        </w:rPr>
        <w:t>See above</w:t>
      </w:r>
      <w:r>
        <w:rPr>
          <w:sz w:val="20"/>
          <w:szCs w:val="20"/>
          <w:color w:val="auto"/>
        </w:rPr>
        <w:tab/>
      </w:r>
      <w:r>
        <w:rPr>
          <w:rFonts w:ascii="Arial" w:cs="Arial" w:eastAsia="Arial" w:hAnsi="Arial"/>
          <w:sz w:val="12"/>
          <w:szCs w:val="12"/>
          <w:color w:val="auto"/>
        </w:rPr>
        <w:t>8,354</w:t>
      </w:r>
    </w:p>
    <w:p>
      <w:pPr>
        <w:spacing w:after="0" w:line="221" w:lineRule="auto"/>
        <w:rPr>
          <w:sz w:val="20"/>
          <w:szCs w:val="20"/>
          <w:color w:val="auto"/>
        </w:rPr>
      </w:pPr>
      <w:r>
        <w:rPr>
          <w:rFonts w:ascii="Arial" w:cs="Arial" w:eastAsia="Arial" w:hAnsi="Arial"/>
          <w:sz w:val="14"/>
          <w:szCs w:val="14"/>
          <w:color w:val="auto"/>
        </w:rPr>
        <w:t>Richardson will receive benefits</w:t>
      </w:r>
    </w:p>
    <w:p>
      <w:pPr>
        <w:spacing w:after="0" w:line="221" w:lineRule="auto"/>
        <w:rPr>
          <w:sz w:val="20"/>
          <w:szCs w:val="20"/>
          <w:color w:val="auto"/>
        </w:rPr>
      </w:pPr>
      <w:r>
        <w:rPr>
          <w:rFonts w:ascii="Arial" w:cs="Arial" w:eastAsia="Arial" w:hAnsi="Arial"/>
          <w:sz w:val="14"/>
          <w:szCs w:val="14"/>
          <w:color w:val="auto"/>
        </w:rPr>
        <w:t>as determined in accordance</w:t>
      </w:r>
    </w:p>
    <w:p>
      <w:pPr>
        <w:spacing w:after="0" w:line="222" w:lineRule="auto"/>
        <w:rPr>
          <w:sz w:val="20"/>
          <w:szCs w:val="20"/>
          <w:color w:val="auto"/>
        </w:rPr>
      </w:pPr>
      <w:r>
        <w:rPr>
          <w:rFonts w:ascii="Arial" w:cs="Arial" w:eastAsia="Arial" w:hAnsi="Arial"/>
          <w:sz w:val="14"/>
          <w:szCs w:val="14"/>
          <w:color w:val="auto"/>
        </w:rPr>
        <w:t>with the plans or programs</w:t>
      </w:r>
    </w:p>
    <w:p>
      <w:pPr>
        <w:spacing w:after="0"/>
        <w:rPr>
          <w:sz w:val="20"/>
          <w:szCs w:val="20"/>
          <w:color w:val="auto"/>
        </w:rPr>
      </w:pPr>
      <w:r>
        <w:rPr>
          <w:rFonts w:ascii="Arial" w:cs="Arial" w:eastAsia="Arial" w:hAnsi="Arial"/>
          <w:sz w:val="14"/>
          <w:szCs w:val="14"/>
          <w:color w:val="auto"/>
        </w:rPr>
        <w:t>providing for such benefits</w:t>
      </w:r>
    </w:p>
    <w:p>
      <w:pPr>
        <w:spacing w:after="0" w:line="327" w:lineRule="exact"/>
        <w:rPr>
          <w:sz w:val="20"/>
          <w:szCs w:val="20"/>
          <w:color w:val="auto"/>
        </w:rPr>
      </w:pPr>
    </w:p>
    <w:p>
      <w:pPr>
        <w:sectPr>
          <w:pgSz w:w="11900" w:h="16838" w:orient="portrait"/>
          <w:cols w:equalWidth="0" w:num="2">
            <w:col w:w="5000" w:space="280"/>
            <w:col w:w="5780"/>
          </w:cols>
          <w:pgMar w:left="240" w:top="419" w:right="599" w:bottom="1440" w:gutter="0" w:footer="0" w:header="0"/>
          <w:type w:val="continuous"/>
        </w:sectPr>
      </w:pPr>
    </w:p>
    <w:p>
      <w:pPr>
        <w:spacing w:after="0" w:line="12" w:lineRule="exact"/>
        <w:rPr>
          <w:sz w:val="20"/>
          <w:szCs w:val="20"/>
          <w:color w:val="auto"/>
        </w:rPr>
      </w:pPr>
    </w:p>
    <w:p>
      <w:pPr>
        <w:ind w:left="700"/>
        <w:spacing w:after="0"/>
        <w:tabs>
          <w:tab w:leader="none" w:pos="3180" w:val="left"/>
        </w:tabs>
        <w:rPr>
          <w:sz w:val="20"/>
          <w:szCs w:val="20"/>
          <w:color w:val="auto"/>
        </w:rPr>
      </w:pPr>
      <w:r>
        <w:rPr>
          <w:rFonts w:ascii="Arial" w:cs="Arial" w:eastAsia="Arial" w:hAnsi="Arial"/>
          <w:sz w:val="14"/>
          <w:szCs w:val="14"/>
          <w:color w:val="auto"/>
        </w:rPr>
        <w:t>John Crowley</w:t>
      </w:r>
      <w:r>
        <w:rPr>
          <w:sz w:val="20"/>
          <w:szCs w:val="20"/>
          <w:color w:val="auto"/>
        </w:rPr>
        <w:tab/>
      </w:r>
      <w:r>
        <w:rPr>
          <w:rFonts w:ascii="Arial" w:cs="Arial" w:eastAsia="Arial" w:hAnsi="Arial"/>
          <w:sz w:val="13"/>
          <w:szCs w:val="13"/>
          <w:color w:val="auto"/>
        </w:rPr>
        <w:t>Separation by Mr. Crowley for</w:t>
      </w:r>
    </w:p>
    <w:p>
      <w:pPr>
        <w:ind w:left="3200"/>
        <w:spacing w:after="0"/>
        <w:rPr>
          <w:sz w:val="20"/>
          <w:szCs w:val="20"/>
          <w:color w:val="auto"/>
        </w:rPr>
      </w:pPr>
      <w:r>
        <w:rPr>
          <w:rFonts w:ascii="Arial" w:cs="Arial" w:eastAsia="Arial" w:hAnsi="Arial"/>
          <w:sz w:val="13"/>
          <w:szCs w:val="13"/>
          <w:color w:val="auto"/>
        </w:rPr>
        <w:t>“Good Reason” or termination</w:t>
      </w:r>
    </w:p>
    <w:p>
      <w:pPr>
        <w:ind w:left="3200"/>
        <w:spacing w:after="0"/>
        <w:rPr>
          <w:sz w:val="20"/>
          <w:szCs w:val="20"/>
          <w:color w:val="auto"/>
        </w:rPr>
      </w:pPr>
      <w:r>
        <w:rPr>
          <w:rFonts w:ascii="Arial" w:cs="Arial" w:eastAsia="Arial" w:hAnsi="Arial"/>
          <w:sz w:val="14"/>
          <w:szCs w:val="14"/>
          <w:color w:val="auto"/>
        </w:rPr>
        <w:t>by us without “Cause”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line="222" w:lineRule="auto"/>
        <w:rPr>
          <w:sz w:val="20"/>
          <w:szCs w:val="20"/>
          <w:color w:val="auto"/>
        </w:rPr>
      </w:pPr>
      <w:r>
        <w:rPr>
          <w:rFonts w:ascii="Arial" w:cs="Arial" w:eastAsia="Arial" w:hAnsi="Arial"/>
          <w:sz w:val="14"/>
          <w:szCs w:val="14"/>
          <w:color w:val="auto"/>
        </w:rPr>
        <w:t>Crowley, separation by Mr.</w:t>
      </w:r>
    </w:p>
    <w:p>
      <w:pPr>
        <w:ind w:left="3200"/>
        <w:spacing w:after="0" w:line="221" w:lineRule="auto"/>
        <w:rPr>
          <w:sz w:val="20"/>
          <w:szCs w:val="20"/>
          <w:color w:val="auto"/>
        </w:rPr>
      </w:pPr>
      <w:r>
        <w:rPr>
          <w:rFonts w:ascii="Arial" w:cs="Arial" w:eastAsia="Arial" w:hAnsi="Arial"/>
          <w:sz w:val="14"/>
          <w:szCs w:val="14"/>
          <w:color w:val="auto"/>
        </w:rPr>
        <w:t>Crowley without “Good</w:t>
      </w:r>
    </w:p>
    <w:p>
      <w:pPr>
        <w:ind w:left="3200"/>
        <w:spacing w:after="0" w:line="222" w:lineRule="auto"/>
        <w:rPr>
          <w:sz w:val="20"/>
          <w:szCs w:val="20"/>
          <w:color w:val="auto"/>
        </w:rPr>
      </w:pPr>
      <w:r>
        <w:rPr>
          <w:rFonts w:ascii="Arial" w:cs="Arial" w:eastAsia="Arial" w:hAnsi="Arial"/>
          <w:sz w:val="14"/>
          <w:szCs w:val="14"/>
          <w:color w:val="auto"/>
        </w:rPr>
        <w:t>Reason,” or sale of Grand</w:t>
      </w: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3"/>
          <w:szCs w:val="13"/>
          <w:color w:val="auto"/>
        </w:rPr>
        <w:t>Continued payment of base salary and provision of benefits for six months following separation, with the option by us to extend such payments (and related benefits) for up to</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12 months following separation</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No severance payments, but Mr. Crowley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auto"/>
              </w:rPr>
              <w:t>Mr. Crowley must abide by the</w:t>
            </w:r>
          </w:p>
        </w:tc>
        <w:tc>
          <w:tcPr>
            <w:tcW w:w="880" w:type="dxa"/>
            <w:vAlign w:val="bottom"/>
          </w:tcPr>
          <w:p>
            <w:pPr>
              <w:jc w:val="right"/>
              <w:spacing w:after="0"/>
              <w:rPr>
                <w:sz w:val="20"/>
                <w:szCs w:val="20"/>
                <w:color w:val="auto"/>
              </w:rPr>
            </w:pPr>
            <w:r>
              <w:rPr>
                <w:rFonts w:ascii="Arial" w:cs="Arial" w:eastAsia="Arial" w:hAnsi="Arial"/>
                <w:sz w:val="14"/>
                <w:szCs w:val="14"/>
                <w:color w:val="auto"/>
              </w:rPr>
              <w:t>295,004</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confidentiality, non-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covenants discussed above for</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12 months (subject to extension</w:t>
            </w:r>
          </w:p>
        </w:tc>
        <w:tc>
          <w:tcPr>
            <w:tcW w:w="880" w:type="dxa"/>
            <w:vAlign w:val="bottom"/>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to 24 months)</w:t>
            </w:r>
          </w:p>
        </w:tc>
        <w:tc>
          <w:tcPr>
            <w:tcW w:w="880" w:type="dxa"/>
            <w:vAlign w:val="bottom"/>
          </w:tcPr>
          <w:p>
            <w:pPr>
              <w:spacing w:after="0"/>
              <w:rPr>
                <w:sz w:val="15"/>
                <w:szCs w:val="15"/>
                <w:color w:val="auto"/>
              </w:rPr>
            </w:pPr>
          </w:p>
        </w:tc>
      </w:tr>
      <w:tr>
        <w:trPr>
          <w:trHeight w:val="365"/>
        </w:trPr>
        <w:tc>
          <w:tcPr>
            <w:tcW w:w="2260" w:type="dxa"/>
            <w:vAlign w:val="bottom"/>
          </w:tcPr>
          <w:p>
            <w:pPr>
              <w:spacing w:after="0"/>
              <w:rPr>
                <w:sz w:val="20"/>
                <w:szCs w:val="20"/>
                <w:color w:val="auto"/>
              </w:rPr>
            </w:pPr>
            <w:r>
              <w:rPr>
                <w:rFonts w:ascii="Arial" w:cs="Arial" w:eastAsia="Arial" w:hAnsi="Arial"/>
                <w:sz w:val="14"/>
                <w:szCs w:val="14"/>
                <w:color w:val="auto"/>
              </w:rPr>
              <w:t>See above</w:t>
            </w:r>
          </w:p>
        </w:tc>
        <w:tc>
          <w:tcPr>
            <w:tcW w:w="880" w:type="dxa"/>
            <w:vAlign w:val="bottom"/>
          </w:tcPr>
          <w:p>
            <w:pPr>
              <w:jc w:val="right"/>
              <w:spacing w:after="0"/>
              <w:rPr>
                <w:sz w:val="20"/>
                <w:szCs w:val="20"/>
                <w:color w:val="auto"/>
              </w:rPr>
            </w:pPr>
            <w:r>
              <w:rPr>
                <w:rFonts w:ascii="Arial" w:cs="Arial" w:eastAsia="Arial" w:hAnsi="Arial"/>
                <w:sz w:val="14"/>
                <w:szCs w:val="14"/>
                <w:color w:val="auto"/>
              </w:rPr>
              <w:t>2,985</w:t>
            </w:r>
          </w:p>
        </w:tc>
      </w:tr>
    </w:tbl>
    <w:p>
      <w:pPr>
        <w:spacing w:after="0" w:line="912" w:lineRule="exact"/>
        <w:rPr>
          <w:sz w:val="20"/>
          <w:szCs w:val="20"/>
          <w:color w:val="auto"/>
        </w:rPr>
      </w:pPr>
    </w:p>
    <w:p>
      <w:pPr>
        <w:sectPr>
          <w:pgSz w:w="11900" w:h="16838" w:orient="portrait"/>
          <w:cols w:equalWidth="0" w:num="3">
            <w:col w:w="5000" w:space="280"/>
            <w:col w:w="1880" w:space="220"/>
            <w:col w:w="3680"/>
          </w:cols>
          <w:pgMar w:left="240" w:top="419" w:right="599" w:bottom="1440" w:gutter="0" w:footer="0" w:header="0"/>
          <w:type w:val="continuous"/>
        </w:sectPr>
      </w:pPr>
    </w:p>
    <w:p>
      <w:pPr>
        <w:spacing w:after="0" w:line="12" w:lineRule="exact"/>
        <w:rPr>
          <w:sz w:val="20"/>
          <w:szCs w:val="20"/>
          <w:color w:val="auto"/>
        </w:rPr>
      </w:pPr>
    </w:p>
    <w:p>
      <w:pPr>
        <w:ind w:left="700"/>
        <w:spacing w:after="0"/>
        <w:tabs>
          <w:tab w:leader="none" w:pos="3180" w:val="left"/>
        </w:tabs>
        <w:rPr>
          <w:sz w:val="20"/>
          <w:szCs w:val="20"/>
          <w:color w:val="auto"/>
        </w:rPr>
      </w:pPr>
      <w:r>
        <w:rPr>
          <w:rFonts w:ascii="Arial" w:cs="Arial" w:eastAsia="Arial" w:hAnsi="Arial"/>
          <w:sz w:val="14"/>
          <w:szCs w:val="14"/>
          <w:color w:val="auto"/>
        </w:rPr>
        <w:t>Chris Richardson</w:t>
      </w:r>
      <w:r>
        <w:rPr>
          <w:sz w:val="20"/>
          <w:szCs w:val="20"/>
          <w:color w:val="auto"/>
        </w:rPr>
        <w:tab/>
      </w:r>
      <w:r>
        <w:rPr>
          <w:rFonts w:ascii="Arial" w:cs="Arial" w:eastAsia="Arial" w:hAnsi="Arial"/>
          <w:sz w:val="13"/>
          <w:szCs w:val="13"/>
          <w:color w:val="auto"/>
        </w:rPr>
        <w:t>Separation by Mr. Richardson</w:t>
      </w:r>
    </w:p>
    <w:p>
      <w:pPr>
        <w:ind w:left="3200"/>
        <w:spacing w:after="0" w:line="221" w:lineRule="auto"/>
        <w:rPr>
          <w:sz w:val="20"/>
          <w:szCs w:val="20"/>
          <w:color w:val="auto"/>
        </w:rPr>
      </w:pPr>
      <w:r>
        <w:rPr>
          <w:rFonts w:ascii="Arial" w:cs="Arial" w:eastAsia="Arial" w:hAnsi="Arial"/>
          <w:sz w:val="14"/>
          <w:szCs w:val="14"/>
          <w:color w:val="auto"/>
        </w:rPr>
        <w:t>for “Good Reason” or</w:t>
      </w:r>
    </w:p>
    <w:p>
      <w:pPr>
        <w:ind w:left="3200"/>
        <w:spacing w:after="0" w:line="221" w:lineRule="auto"/>
        <w:rPr>
          <w:sz w:val="20"/>
          <w:szCs w:val="20"/>
          <w:color w:val="auto"/>
        </w:rPr>
      </w:pPr>
      <w:r>
        <w:rPr>
          <w:rFonts w:ascii="Arial" w:cs="Arial" w:eastAsia="Arial" w:hAnsi="Arial"/>
          <w:sz w:val="14"/>
          <w:szCs w:val="14"/>
          <w:color w:val="auto"/>
        </w:rPr>
        <w:t>termination by us without</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“Cause”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Termination by us for “Cause,”</w:t>
      </w:r>
    </w:p>
    <w:p>
      <w:pPr>
        <w:ind w:left="3200"/>
        <w:spacing w:after="0" w:line="237" w:lineRule="auto"/>
        <w:rPr>
          <w:sz w:val="20"/>
          <w:szCs w:val="20"/>
          <w:color w:val="auto"/>
        </w:rPr>
      </w:pPr>
      <w:r>
        <w:rPr>
          <w:rFonts w:ascii="Arial" w:cs="Arial" w:eastAsia="Arial" w:hAnsi="Arial"/>
          <w:sz w:val="14"/>
          <w:szCs w:val="14"/>
          <w:color w:val="auto"/>
        </w:rPr>
        <w:t>death or disability of Mr.</w:t>
      </w:r>
    </w:p>
    <w:p>
      <w:pPr>
        <w:ind w:left="3200"/>
        <w:spacing w:after="0"/>
        <w:rPr>
          <w:sz w:val="20"/>
          <w:szCs w:val="20"/>
          <w:color w:val="auto"/>
        </w:rPr>
      </w:pPr>
      <w:r>
        <w:rPr>
          <w:rFonts w:ascii="Arial" w:cs="Arial" w:eastAsia="Arial" w:hAnsi="Arial"/>
          <w:sz w:val="13"/>
          <w:szCs w:val="13"/>
          <w:color w:val="auto"/>
        </w:rPr>
        <w:t>Richardson, separation by Mr.</w:t>
      </w:r>
    </w:p>
    <w:p>
      <w:pPr>
        <w:ind w:left="3200"/>
        <w:spacing w:after="0" w:line="221" w:lineRule="auto"/>
        <w:rPr>
          <w:sz w:val="20"/>
          <w:szCs w:val="20"/>
          <w:color w:val="auto"/>
        </w:rPr>
      </w:pPr>
      <w:r>
        <w:rPr>
          <w:rFonts w:ascii="Arial" w:cs="Arial" w:eastAsia="Arial" w:hAnsi="Arial"/>
          <w:sz w:val="14"/>
          <w:szCs w:val="14"/>
          <w:color w:val="auto"/>
        </w:rPr>
        <w:t>Richardson without “Good</w:t>
      </w:r>
    </w:p>
    <w:p>
      <w:pPr>
        <w:ind w:left="3200"/>
        <w:spacing w:after="0" w:line="221" w:lineRule="auto"/>
        <w:rPr>
          <w:sz w:val="20"/>
          <w:szCs w:val="20"/>
          <w:color w:val="auto"/>
        </w:rPr>
      </w:pPr>
      <w:r>
        <w:rPr>
          <w:rFonts w:ascii="Arial" w:cs="Arial" w:eastAsia="Arial" w:hAnsi="Arial"/>
          <w:sz w:val="14"/>
          <w:szCs w:val="14"/>
          <w:color w:val="auto"/>
        </w:rPr>
        <w:t>Reason,” or sale of Grand</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Canyon University</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3"/>
          <w:szCs w:val="13"/>
          <w:color w:val="auto"/>
        </w:rPr>
        <w:t>Continued payment of base salary and provision of benefits for six months following separation, with the option by us to extend such payments (and related benefits) for up to</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12 months following separation</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auto"/>
              </w:rPr>
              <w:t>Mr. Richardson must abide by</w:t>
            </w:r>
          </w:p>
        </w:tc>
        <w:tc>
          <w:tcPr>
            <w:tcW w:w="880" w:type="dxa"/>
            <w:vAlign w:val="bottom"/>
          </w:tcPr>
          <w:p>
            <w:pPr>
              <w:jc w:val="right"/>
              <w:spacing w:after="0"/>
              <w:rPr>
                <w:sz w:val="20"/>
                <w:szCs w:val="20"/>
                <w:color w:val="auto"/>
              </w:rPr>
            </w:pPr>
            <w:r>
              <w:rPr>
                <w:rFonts w:ascii="Arial" w:cs="Arial" w:eastAsia="Arial" w:hAnsi="Arial"/>
                <w:sz w:val="14"/>
                <w:szCs w:val="14"/>
                <w:color w:val="auto"/>
              </w:rPr>
              <w:t>300,373</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the confidentiality, non-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competition, non-solicitation</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and non-disparagement</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covenants discussed above for</w:t>
            </w:r>
          </w:p>
        </w:tc>
        <w:tc>
          <w:tcPr>
            <w:tcW w:w="880" w:type="dxa"/>
            <w:vAlign w:val="bottom"/>
          </w:tcPr>
          <w:p>
            <w:pPr>
              <w:spacing w:after="0"/>
              <w:rPr>
                <w:sz w:val="12"/>
                <w:szCs w:val="12"/>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12 months (subject to extension</w:t>
            </w:r>
          </w:p>
        </w:tc>
        <w:tc>
          <w:tcPr>
            <w:tcW w:w="880" w:type="dxa"/>
            <w:vAlign w:val="bottom"/>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to 24 months)</w:t>
            </w:r>
          </w:p>
        </w:tc>
        <w:tc>
          <w:tcPr>
            <w:tcW w:w="880" w:type="dxa"/>
            <w:vAlign w:val="bottom"/>
          </w:tcPr>
          <w:p>
            <w:pPr>
              <w:spacing w:after="0"/>
              <w:rPr>
                <w:sz w:val="15"/>
                <w:szCs w:val="15"/>
                <w:color w:val="auto"/>
              </w:rPr>
            </w:pPr>
          </w:p>
        </w:tc>
      </w:tr>
      <w:tr>
        <w:trPr>
          <w:trHeight w:val="365"/>
        </w:trPr>
        <w:tc>
          <w:tcPr>
            <w:tcW w:w="2260" w:type="dxa"/>
            <w:vAlign w:val="bottom"/>
          </w:tcPr>
          <w:p>
            <w:pPr>
              <w:spacing w:after="0"/>
              <w:rPr>
                <w:sz w:val="20"/>
                <w:szCs w:val="20"/>
                <w:color w:val="auto"/>
              </w:rPr>
            </w:pPr>
            <w:r>
              <w:rPr>
                <w:rFonts w:ascii="Arial" w:cs="Arial" w:eastAsia="Arial" w:hAnsi="Arial"/>
                <w:sz w:val="14"/>
                <w:szCs w:val="14"/>
                <w:color w:val="auto"/>
              </w:rPr>
              <w:t>See above</w:t>
            </w:r>
          </w:p>
        </w:tc>
        <w:tc>
          <w:tcPr>
            <w:tcW w:w="880" w:type="dxa"/>
            <w:vAlign w:val="bottom"/>
          </w:tcPr>
          <w:p>
            <w:pPr>
              <w:jc w:val="right"/>
              <w:spacing w:after="0"/>
              <w:rPr>
                <w:sz w:val="20"/>
                <w:szCs w:val="20"/>
                <w:color w:val="auto"/>
              </w:rPr>
            </w:pPr>
            <w:r>
              <w:rPr>
                <w:rFonts w:ascii="Arial" w:cs="Arial" w:eastAsia="Arial" w:hAnsi="Arial"/>
                <w:sz w:val="14"/>
                <w:szCs w:val="14"/>
                <w:color w:val="auto"/>
              </w:rPr>
              <w:t>8,354</w:t>
            </w:r>
          </w:p>
        </w:tc>
      </w:tr>
    </w:tbl>
    <w:p>
      <w:pPr>
        <w:spacing w:after="0" w:line="933" w:lineRule="exact"/>
        <w:rPr>
          <w:sz w:val="20"/>
          <w:szCs w:val="20"/>
          <w:color w:val="auto"/>
        </w:rPr>
      </w:pPr>
    </w:p>
    <w:p>
      <w:pPr>
        <w:sectPr>
          <w:pgSz w:w="11900" w:h="16838" w:orient="portrait"/>
          <w:cols w:equalWidth="0" w:num="3">
            <w:col w:w="5000" w:space="280"/>
            <w:col w:w="1880" w:space="220"/>
            <w:col w:w="3680"/>
          </w:cols>
          <w:pgMar w:left="240" w:top="419" w:right="599" w:bottom="1440" w:gutter="0" w:footer="0" w:header="0"/>
          <w:type w:val="continuous"/>
        </w:sectPr>
      </w:pP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right="100" w:hanging="301"/>
        <w:spacing w:after="0" w:line="25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spacing w:after="0" w:line="26" w:lineRule="exact"/>
        <w:rPr>
          <w:rFonts w:ascii="Arial" w:cs="Arial" w:eastAsia="Arial" w:hAnsi="Arial"/>
          <w:sz w:val="18"/>
          <w:szCs w:val="18"/>
          <w:color w:val="auto"/>
        </w:rPr>
      </w:pPr>
    </w:p>
    <w:p>
      <w:pPr>
        <w:ind w:left="1000" w:right="40" w:hanging="301"/>
        <w:spacing w:after="0" w:line="255"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 (c) the executive’s engaging in conduct that constitutes cause for separation under applicable law, and (d) the executive’s breaching the confidentiality, non-competition, non-solicitation, and non-disparagement covenants applicable to him.</w:t>
      </w:r>
    </w:p>
    <w:p>
      <w:pPr>
        <w:spacing w:after="0" w:line="27" w:lineRule="exact"/>
        <w:rPr>
          <w:rFonts w:ascii="Arial" w:cs="Arial" w:eastAsia="Arial" w:hAnsi="Arial"/>
          <w:sz w:val="18"/>
          <w:szCs w:val="18"/>
          <w:color w:val="auto"/>
        </w:rPr>
      </w:pPr>
    </w:p>
    <w:p>
      <w:pPr>
        <w:ind w:left="1000" w:right="100" w:hanging="301"/>
        <w:spacing w:after="0" w:line="259"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Beginning upon the completion of this offering, we intend to pay our non-employee directors an annual cash retainer of $30,000 for their board service and a per meeting fee of $2,000 for each meeting of the board attended. We also intend to pay the members of our audit, compensation, and nominating and corporate governance committees an additional annual cash retainer of $5,000, with the chair of the audit committee receiving an additional annual cash retainer of $5,000, and the chairs of the other committees each receiving an additional annual cash retainer of $2,500. In addition, non-employee directors will be eligible to receive awards under our Incentive Plan valued at $35,000 per year. We will reimburse all directors for reasonable expenses incurred to attend our board and board committee meetings.</w:t>
      </w: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connection with this offering, we intend to adopt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Stockholders Agreement</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Investor Rights Agreement</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Agreement</w:t>
      </w:r>
    </w:p>
    <w:p>
      <w:pPr>
        <w:spacing w:after="0" w:line="135"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 of our outstanding shares of capital stock. See “Beneficial Ownership of Common Stock.”</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Endeavour Professional Services Agreement</w:t>
      </w:r>
    </w:p>
    <w:p>
      <w:pPr>
        <w:spacing w:after="0" w:line="135"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w:t>
      </w:r>
    </w:p>
    <w:p>
      <w:pPr>
        <w:spacing w:after="0" w:line="7"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5% of Endeavour Capital IV, LLC’s consolidated gross revenues for each such year. The professional services agreement will terminate by its terms upon the closing of this offering.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Transactions</w:t>
      </w:r>
    </w:p>
    <w:p>
      <w:pPr>
        <w:spacing w:after="0" w:line="135"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29"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i w:val="1"/>
          <w:iCs w:val="1"/>
          <w:color w:val="auto"/>
        </w:rPr>
        <w:t xml:space="preserve">Series A Convertible Preferred Stock Issuance. </w:t>
      </w:r>
      <w:r>
        <w:rPr>
          <w:rFonts w:ascii="Arial" w:cs="Arial" w:eastAsia="Arial" w:hAnsi="Arial"/>
          <w:sz w:val="16"/>
          <w:szCs w:val="16"/>
          <w:color w:val="auto"/>
        </w:rPr>
        <w:t>On March 31, 2005, we sold $14.0 million aggregate principal amount of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Endeavour Entities. On August 24, 2005, we 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 Mr. Chad N. Heath, two of our directors, are managing directors.</w:t>
      </w:r>
    </w:p>
    <w:p>
      <w:pPr>
        <w:spacing w:after="0" w:line="5" w:lineRule="exact"/>
        <w:rPr>
          <w:sz w:val="20"/>
          <w:szCs w:val="20"/>
          <w:color w:val="auto"/>
        </w:rPr>
      </w:pPr>
    </w:p>
    <w:p>
      <w:pPr>
        <w:ind w:left="700"/>
        <w:spacing w:after="0" w:line="261" w:lineRule="auto"/>
        <w:rPr>
          <w:sz w:val="20"/>
          <w:szCs w:val="20"/>
          <w:color w:val="auto"/>
        </w:rPr>
      </w:pPr>
      <w:r>
        <w:rPr>
          <w:rFonts w:ascii="Arial" w:cs="Arial" w:eastAsia="Arial" w:hAnsi="Arial"/>
          <w:sz w:val="18"/>
          <w:szCs w:val="18"/>
          <w:color w:val="auto"/>
        </w:rPr>
        <w:t>Mr. Charles M. Preston III, one of our former directors, is an affiliate of 220 Management, LLC, which is the general partner of 220 GCU GP, L.P., the general partner of 220 GCU, L.P.</w:t>
      </w:r>
    </w:p>
    <w:p>
      <w:pPr>
        <w:spacing w:after="0" w:line="8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Series B Convertible Preferred Stock Issuance. </w:t>
      </w:r>
      <w:r>
        <w:rPr>
          <w:rFonts w:ascii="Arial" w:cs="Arial" w:eastAsia="Arial" w:hAnsi="Arial"/>
          <w:sz w:val="18"/>
          <w:szCs w:val="18"/>
          <w:color w:val="auto"/>
        </w:rPr>
        <w:t>On December 31, 2005, we issued 2,163 shares of our newly designated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95" w:lineRule="exact"/>
        <w:rPr>
          <w:sz w:val="20"/>
          <w:szCs w:val="20"/>
          <w:color w:val="auto"/>
        </w:rPr>
      </w:pPr>
    </w:p>
    <w:p>
      <w:pPr>
        <w:jc w:val="both"/>
        <w:ind w:left="700" w:right="460" w:firstLine="397"/>
        <w:spacing w:after="0" w:line="288" w:lineRule="auto"/>
        <w:rPr>
          <w:sz w:val="20"/>
          <w:szCs w:val="20"/>
          <w:color w:val="auto"/>
        </w:rPr>
      </w:pPr>
      <w:r>
        <w:rPr>
          <w:rFonts w:ascii="Arial" w:cs="Arial" w:eastAsia="Arial" w:hAnsi="Arial"/>
          <w:sz w:val="16"/>
          <w:szCs w:val="16"/>
          <w:i w:val="1"/>
          <w:iCs w:val="1"/>
          <w:color w:val="auto"/>
        </w:rPr>
        <w:t xml:space="preserve">Series C Preferred Stock Issuance. </w:t>
      </w:r>
      <w:r>
        <w:rPr>
          <w:rFonts w:ascii="Arial" w:cs="Arial" w:eastAsia="Arial" w:hAnsi="Arial"/>
          <w:sz w:val="16"/>
          <w:szCs w:val="16"/>
          <w:color w:val="auto"/>
        </w:rPr>
        <w:t>On December 18, 2007 and January 11, 2008, we sold an aggregate of 3,829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newly designated Series C preferred stock at a purchase price of $3,500.00 per share, or approximately $13.4 million in total gross proceeds, of which 1,675 shares were sold to the Endeavour Entities, 834 shares were sold to Rich Crow Enterprises, LLC, and</w:t>
      </w:r>
    </w:p>
    <w:p>
      <w:pPr>
        <w:ind w:left="700" w:right="160"/>
        <w:spacing w:after="0" w:line="290" w:lineRule="auto"/>
        <w:rPr>
          <w:sz w:val="20"/>
          <w:szCs w:val="20"/>
          <w:color w:val="auto"/>
        </w:rPr>
      </w:pPr>
      <w:r>
        <w:rPr>
          <w:rFonts w:ascii="Arial" w:cs="Arial" w:eastAsia="Arial" w:hAnsi="Arial"/>
          <w:sz w:val="17"/>
          <w:szCs w:val="17"/>
          <w:color w:val="auto"/>
        </w:rPr>
        <w:t>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3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Special Distribution</w:t>
      </w:r>
    </w:p>
    <w:p>
      <w:pPr>
        <w:spacing w:after="0" w:line="135" w:lineRule="exact"/>
        <w:rPr>
          <w:sz w:val="20"/>
          <w:szCs w:val="20"/>
          <w:color w:val="auto"/>
        </w:rPr>
      </w:pPr>
    </w:p>
    <w:p>
      <w:pPr>
        <w:ind w:left="700" w:right="1040" w:firstLine="397"/>
        <w:spacing w:after="0" w:line="291" w:lineRule="auto"/>
        <w:rPr>
          <w:sz w:val="20"/>
          <w:szCs w:val="20"/>
          <w:color w:val="auto"/>
        </w:rPr>
      </w:pPr>
      <w:r>
        <w:rPr>
          <w:rFonts w:ascii="Arial" w:cs="Arial" w:eastAsia="Arial" w:hAnsi="Arial"/>
          <w:sz w:val="16"/>
          <w:szCs w:val="16"/>
          <w:color w:val="auto"/>
        </w:rPr>
        <w:t>We intend to declare a special distribution equal to % of the gross proceeds of this offering, including any proceeds we receive from the underwriters’ exercise of their over-allotment option, that will be paid promptly upon the completion of this offering (and</w:t>
      </w:r>
    </w:p>
    <w:p>
      <w:pPr>
        <w:ind w:left="700" w:right="880"/>
        <w:spacing w:after="0" w:line="281" w:lineRule="auto"/>
        <w:rPr>
          <w:sz w:val="20"/>
          <w:szCs w:val="20"/>
          <w:color w:val="auto"/>
        </w:rPr>
      </w:pPr>
      <w:r>
        <w:rPr>
          <w:rFonts w:ascii="Arial" w:cs="Arial" w:eastAsia="Arial" w:hAnsi="Arial"/>
          <w:sz w:val="16"/>
          <w:szCs w:val="16"/>
          <w:color w:val="auto"/>
        </w:rPr>
        <w:t>following the exercise of the over-allotment option, if applicable) to our stockholders of record as of ,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 per share, which is the midpoint of the price range set forth on the cover page of this prospectus, we</w:t>
      </w:r>
    </w:p>
    <w:p>
      <w:pPr>
        <w:spacing w:after="0" w:line="3" w:lineRule="exact"/>
        <w:rPr>
          <w:sz w:val="20"/>
          <w:szCs w:val="20"/>
          <w:color w:val="auto"/>
        </w:rPr>
      </w:pPr>
    </w:p>
    <w:p>
      <w:pPr>
        <w:ind w:left="700" w:right="900"/>
        <w:spacing w:after="0" w:line="261" w:lineRule="auto"/>
        <w:rPr>
          <w:sz w:val="20"/>
          <w:szCs w:val="20"/>
          <w:color w:val="auto"/>
        </w:rPr>
      </w:pPr>
      <w:r>
        <w:rPr>
          <w:rFonts w:ascii="Arial" w:cs="Arial" w:eastAsia="Arial" w:hAnsi="Arial"/>
          <w:sz w:val="18"/>
          <w:szCs w:val="18"/>
          <w:color w:val="auto"/>
        </w:rPr>
        <w:t>estimate that the amount of the special distribution will be $ million, or $ per common share on an as-if converted basis (exclusive of any amounts that may be received from the underwriters’ exercise of the over-allotment option).</w:t>
      </w:r>
    </w:p>
    <w:p>
      <w:pPr>
        <w:spacing w:after="0" w:line="89" w:lineRule="exact"/>
        <w:rPr>
          <w:sz w:val="20"/>
          <w:szCs w:val="20"/>
          <w:color w:val="auto"/>
        </w:rPr>
      </w:pPr>
    </w:p>
    <w:p>
      <w:pPr>
        <w:ind w:left="700" w:right="820" w:firstLine="397"/>
        <w:spacing w:after="0" w:line="291" w:lineRule="auto"/>
        <w:rPr>
          <w:sz w:val="20"/>
          <w:szCs w:val="20"/>
          <w:color w:val="auto"/>
        </w:rPr>
      </w:pPr>
      <w:r>
        <w:rPr>
          <w:rFonts w:ascii="Arial" w:cs="Arial" w:eastAsia="Arial" w:hAnsi="Arial"/>
          <w:sz w:val="16"/>
          <w:szCs w:val="16"/>
          <w:color w:val="auto"/>
        </w:rPr>
        <w:t>Each $1.00 increase or decrease in the assumed public offering price of $ per share would increase or decrease, as applicable, the aggregate amount of the special distribution by $ million and the per share amount of the special distribution by $ , assuming the</w:t>
      </w:r>
    </w:p>
    <w:p>
      <w:pPr>
        <w:ind w:left="700" w:right="860"/>
        <w:spacing w:after="0" w:line="254" w:lineRule="auto"/>
        <w:rPr>
          <w:sz w:val="20"/>
          <w:szCs w:val="20"/>
          <w:color w:val="auto"/>
        </w:rPr>
      </w:pPr>
      <w:r>
        <w:rPr>
          <w:rFonts w:ascii="Arial" w:cs="Arial" w:eastAsia="Arial" w:hAnsi="Arial"/>
          <w:sz w:val="18"/>
          <w:szCs w:val="18"/>
          <w:color w:val="auto"/>
        </w:rPr>
        <w:t>number of shares offered by us, as set forth on the cover page of this prospectus, remains the same.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 and offering expenses.</w:t>
      </w:r>
    </w:p>
    <w:p>
      <w:pPr>
        <w:spacing w:after="0" w:line="95"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Of the estimated aggregate amount of the special distribution, $ million will be paid in respect of shares of our capital stock over which our directors and executive officers are deemed to exercise sole or shared voting or investment power. These proceeds will be allocated among our directors and executive officers as set forth in the following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of Beneficial Owner</w:t>
            </w: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Special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7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(3)</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220 GCU, L.P. and affiliates</w:t>
            </w:r>
            <w:r>
              <w:rPr>
                <w:rFonts w:ascii="Arial" w:cs="Arial" w:eastAsia="Arial" w:hAnsi="Arial"/>
                <w:sz w:val="15"/>
                <w:szCs w:val="15"/>
                <w:color w:val="auto"/>
              </w:rPr>
              <w:t>(4)</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Staci L. Buse</w:t>
            </w:r>
            <w:r>
              <w:rPr>
                <w:rFonts w:ascii="Arial" w:cs="Arial" w:eastAsia="Arial" w:hAnsi="Arial"/>
                <w:sz w:val="15"/>
                <w:szCs w:val="15"/>
                <w:color w:val="auto"/>
              </w:rPr>
              <w:t>(5)</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Significant Ventures, LLC</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(3)</w:t>
            </w: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convertible preferred stock</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7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0" w:type="dxa"/>
            <w:vAlign w:val="bottom"/>
            <w:gridSpan w:val="2"/>
          </w:tcPr>
          <w:p>
            <w:pPr>
              <w:jc w:val="right"/>
              <w:ind w:right="1395"/>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-3929380</wp:posOffset>
            </wp:positionV>
            <wp:extent cx="260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Acquisition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 Acquisition</w:t>
            </w:r>
          </w:p>
        </w:tc>
        <w:tc>
          <w:tcPr>
            <w:tcW w:w="8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to Which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 of Shares to Which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Special Distribution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Special Distribution</w:t>
            </w: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Relates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Relates</w:t>
            </w:r>
            <w:r>
              <w:rPr>
                <w:rFonts w:ascii="Arial" w:cs="Arial" w:eastAsia="Arial" w:hAnsi="Arial"/>
                <w:sz w:val="12"/>
                <w:szCs w:val="12"/>
                <w:b w:val="1"/>
                <w:bCs w:val="1"/>
                <w:color w:val="auto"/>
                <w:w w:val="89"/>
              </w:rPr>
              <w:t>(1)</w:t>
            </w:r>
          </w:p>
        </w:tc>
        <w:tc>
          <w:tcPr>
            <w:tcW w:w="3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Distribution</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(3)</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Series A convertible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August 24, 2005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(5)</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John E. Crowley</w:t>
            </w:r>
            <w:r>
              <w:rPr>
                <w:rFonts w:ascii="Arial" w:cs="Arial" w:eastAsia="Arial" w:hAnsi="Arial"/>
                <w:sz w:val="15"/>
                <w:szCs w:val="15"/>
                <w:color w:val="auto"/>
              </w:rPr>
              <w:t>(6)</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Christopher C. Richardson</w:t>
            </w:r>
            <w:r>
              <w:rPr>
                <w:rFonts w:ascii="Arial" w:cs="Arial" w:eastAsia="Arial" w:hAnsi="Arial"/>
                <w:sz w:val="15"/>
                <w:szCs w:val="15"/>
                <w:color w:val="auto"/>
              </w:rPr>
              <w:t>(5)</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 2004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Series C preferred stock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18, 2007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All directors and executive officers as a group</w:t>
            </w:r>
          </w:p>
        </w:tc>
        <w:tc>
          <w:tcPr>
            <w:tcW w:w="16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30,093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-2684145</wp:posOffset>
            </wp:positionV>
            <wp:extent cx="26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100" w:hanging="301"/>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38" w:lineRule="exact"/>
        <w:rPr>
          <w:rFonts w:ascii="Arial" w:cs="Arial" w:eastAsia="Arial" w:hAnsi="Arial"/>
          <w:sz w:val="18"/>
          <w:szCs w:val="18"/>
          <w:color w:val="auto"/>
        </w:rPr>
      </w:pPr>
    </w:p>
    <w:p>
      <w:pPr>
        <w:ind w:left="1000" w:right="60" w:hanging="301"/>
        <w:spacing w:after="0" w:line="297"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one-for-one basis and shares of the Series C preferred stock will convert into shares of common stock at a rate equal to their liquidation preference per share divided by the initial public offering price per share, which is estimated to be $ per share, which is the midpoint of the range set forth on the cover page of this prospectus.</w:t>
      </w:r>
    </w:p>
    <w:p>
      <w:pPr>
        <w:spacing w:after="0" w:line="9" w:lineRule="exact"/>
        <w:rPr>
          <w:rFonts w:ascii="Arial" w:cs="Arial" w:eastAsia="Arial" w:hAnsi="Arial"/>
          <w:sz w:val="16"/>
          <w:szCs w:val="16"/>
          <w:color w:val="auto"/>
        </w:rPr>
      </w:pPr>
    </w:p>
    <w:p>
      <w:pPr>
        <w:ind w:left="1000" w:right="80" w:hanging="301"/>
        <w:spacing w:after="0" w:line="264"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shares held of record by the Endeavour Entities. Messrs. Chad N. Heath and D. Mark Dorman, each of whom is a managing director of Endeavor Capital IV, LLC., the general partner of each of the Endeavour Entities, are members of our board of directors.</w:t>
      </w:r>
    </w:p>
    <w:p>
      <w:pPr>
        <w:spacing w:after="0" w:line="32" w:lineRule="exact"/>
        <w:rPr>
          <w:rFonts w:ascii="Arial" w:cs="Arial" w:eastAsia="Arial" w:hAnsi="Arial"/>
          <w:sz w:val="18"/>
          <w:szCs w:val="18"/>
          <w:color w:val="auto"/>
        </w:rPr>
      </w:pPr>
    </w:p>
    <w:p>
      <w:pPr>
        <w:ind w:left="1000" w:hanging="301"/>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shares held of record by 220 GCU, L.P., 220 Education, L.P., 220-SigEd, L.P., and SV One, L.P.</w:t>
      </w:r>
    </w:p>
    <w:p>
      <w:pPr>
        <w:spacing w:after="0" w:line="76" w:lineRule="exact"/>
        <w:rPr>
          <w:rFonts w:ascii="Arial" w:cs="Arial" w:eastAsia="Arial" w:hAnsi="Arial"/>
          <w:sz w:val="18"/>
          <w:szCs w:val="18"/>
          <w:color w:val="auto"/>
        </w:rPr>
      </w:pPr>
    </w:p>
    <w:p>
      <w:pPr>
        <w:ind w:left="1000" w:right="180" w:hanging="301"/>
        <w:spacing w:after="0" w:line="264"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32" w:lineRule="exact"/>
        <w:rPr>
          <w:rFonts w:ascii="Arial" w:cs="Arial" w:eastAsia="Arial" w:hAnsi="Arial"/>
          <w:sz w:val="18"/>
          <w:szCs w:val="18"/>
          <w:color w:val="auto"/>
        </w:rPr>
      </w:pPr>
    </w:p>
    <w:p>
      <w:pPr>
        <w:ind w:left="1000" w:right="60" w:hanging="301"/>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shares held of record by Rich Crow Enterprises, LLC, of which John Crowley is a member, which are attributable to, and beneficially owned by, John Crowley.</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additional information regarding share ownership, see “Beneficial Ownership of Common Stock.”</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Arrangement with Mind Streams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are a party to an agreement with Mind Streams, LLC, which is owned and operated, in part, by Gail Richardson, father to Brent Richardson, our Executive Chairman, and Chris Richardson, our General Counsel and a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We previously were a party to an agreement with 21st Century Learning, which was owned by Gail Richardson, Brent Richardson, and Chris Richardson, providing for a similar revenue sharing arrangement. This agreement was terminated in 2005 when we entered into the agreement with Mind Streams. For the years ended December 31, 2005, 2006 and 2007, and for the six months ended June 30, 2008, we expensed $2.8 million, $3.7 million, $4.3 million, and $2.9 million, respectively, to these parties pursuant to this arrangement for students enrolled and expenses reimbursed.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Arrowhead Management</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Center for Educational Excellence</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six months ended June 30, 2008, we paid approximately $0.6 million and $0.2 million, respectively, of expenses incurred by The Center for Educational Excellence, LLC, of which $0.3 million and $0, respectively, were reimbursed to us.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Arrangement with Vergo Marketing</w:t>
      </w:r>
    </w:p>
    <w:p>
      <w:pPr>
        <w:spacing w:after="0" w:line="13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Youth in Motion Consulting Arrangement</w:t>
      </w:r>
    </w:p>
    <w:p>
      <w:pPr>
        <w:spacing w:after="0" w:line="135"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Youth in Motion, Inc. is owned by John Crowley, our Chief Operating Officer. For the years ended December 31, 2005, 2006, and 2007 and the six months ended June 30, 2008, we paid to Youth in Motion, Inc. $0.2 million, $0.1 million, $0, and $0, respectively, for consulting services rendered.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Ventures Consulting Agreement</w:t>
      </w:r>
    </w:p>
    <w:p>
      <w:pPr>
        <w:spacing w:after="0" w:line="135"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six months ended June 30, 2008, we paid $0.1 million, $0.4 million, $0, and $0, respectively, to Significant Ventures for services rendered and expenses reimbursed pursuant to this arrangement.</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220 Consulting Agreement</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six months ended June 30, 2008, we paid $0.3 million, $0.3 million, $0, and $0, respectively, to 220 Partners, LLC for services rendered and expenses reimbursed pursuant to this arrangement.</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08" w:lineRule="exact"/>
        <w:rPr>
          <w:sz w:val="20"/>
          <w:szCs w:val="20"/>
          <w:color w:val="auto"/>
        </w:rPr>
      </w:pPr>
    </w:p>
    <w:p>
      <w:pPr>
        <w:ind w:left="700" w:right="1200" w:firstLine="397"/>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June 30, 2008, and as adjusted to reflect the sale of common stock being offered in this offering, for:</w:t>
      </w:r>
    </w:p>
    <w:p>
      <w:pPr>
        <w:spacing w:after="0" w:line="35" w:lineRule="exact"/>
        <w:rPr>
          <w:sz w:val="20"/>
          <w:szCs w:val="20"/>
          <w:color w:val="auto"/>
        </w:rPr>
      </w:pPr>
    </w:p>
    <w:p>
      <w:pPr>
        <w:ind w:left="1700" w:hanging="211"/>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36" w:lineRule="exact"/>
        <w:rPr>
          <w:rFonts w:ascii="Arial" w:cs="Arial" w:eastAsia="Arial" w:hAnsi="Arial"/>
          <w:sz w:val="18"/>
          <w:szCs w:val="18"/>
          <w:color w:val="auto"/>
        </w:rPr>
      </w:pPr>
    </w:p>
    <w:p>
      <w:pPr>
        <w:ind w:left="1700" w:hanging="211"/>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director-nominees;</w:t>
      </w:r>
    </w:p>
    <w:p>
      <w:pPr>
        <w:spacing w:after="0" w:line="49" w:lineRule="exact"/>
        <w:rPr>
          <w:rFonts w:ascii="Arial" w:cs="Arial" w:eastAsia="Arial" w:hAnsi="Arial"/>
          <w:sz w:val="18"/>
          <w:szCs w:val="18"/>
          <w:color w:val="auto"/>
        </w:rPr>
      </w:pPr>
    </w:p>
    <w:p>
      <w:pPr>
        <w:ind w:left="1700" w:hanging="211"/>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executive officers; and</w:t>
      </w:r>
    </w:p>
    <w:p>
      <w:pPr>
        <w:spacing w:after="0" w:line="63" w:lineRule="exact"/>
        <w:rPr>
          <w:rFonts w:ascii="Arial" w:cs="Arial" w:eastAsia="Arial" w:hAnsi="Arial"/>
          <w:sz w:val="18"/>
          <w:szCs w:val="18"/>
          <w:color w:val="auto"/>
        </w:rPr>
      </w:pPr>
    </w:p>
    <w:p>
      <w:pPr>
        <w:ind w:left="1700" w:hanging="211"/>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90" w:lineRule="exact"/>
        <w:rPr>
          <w:sz w:val="20"/>
          <w:szCs w:val="20"/>
          <w:color w:val="auto"/>
        </w:rPr>
      </w:pPr>
    </w:p>
    <w:p>
      <w:pPr>
        <w:jc w:val="both"/>
        <w:ind w:left="700" w:right="1120" w:firstLine="397"/>
        <w:spacing w:after="0" w:line="288"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w:t>
      </w:r>
    </w:p>
    <w:p>
      <w:pPr>
        <w:ind w:left="700" w:right="920"/>
        <w:spacing w:after="0" w:line="292" w:lineRule="auto"/>
        <w:rPr>
          <w:sz w:val="20"/>
          <w:szCs w:val="20"/>
          <w:color w:val="auto"/>
        </w:rPr>
      </w:pPr>
      <w:r>
        <w:rPr>
          <w:rFonts w:ascii="Arial" w:cs="Arial" w:eastAsia="Arial" w:hAnsi="Arial"/>
          <w:sz w:val="16"/>
          <w:szCs w:val="16"/>
          <w:color w:val="auto"/>
        </w:rPr>
        <w:t>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calculating beneficial ownership, we have assumed that, as of June 30, 2008:</w:t>
      </w:r>
    </w:p>
    <w:p>
      <w:pPr>
        <w:spacing w:after="0" w:line="90" w:lineRule="exact"/>
        <w:rPr>
          <w:sz w:val="20"/>
          <w:szCs w:val="20"/>
          <w:color w:val="auto"/>
        </w:rPr>
      </w:pPr>
    </w:p>
    <w:p>
      <w:pPr>
        <w:ind w:left="1700" w:right="800" w:hanging="211"/>
        <w:spacing w:after="0" w:line="277" w:lineRule="auto"/>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outstanding shares of our Series A convertible preferred stock are converted into an equal number of shares of common stock;</w:t>
      </w:r>
    </w:p>
    <w:p>
      <w:pPr>
        <w:spacing w:after="0" w:line="35" w:lineRule="exact"/>
        <w:rPr>
          <w:rFonts w:ascii="Arial" w:cs="Arial" w:eastAsia="Arial" w:hAnsi="Arial"/>
          <w:sz w:val="18"/>
          <w:szCs w:val="18"/>
          <w:color w:val="auto"/>
        </w:rPr>
      </w:pPr>
    </w:p>
    <w:p>
      <w:pPr>
        <w:ind w:left="1700" w:right="900" w:hanging="211"/>
        <w:spacing w:after="0" w:line="264" w:lineRule="auto"/>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outstanding shares of our Series C preferred stock, which will convert into common stock upon the closing of the offering based on a conversion price equal to the initial public offering price per share, are converted into an equal number of shares of common stock; and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400" w:type="dxa"/>
            <w:vAlign w:val="bottom"/>
          </w:tcPr>
          <w:p>
            <w:pPr>
              <w:ind w:left="780"/>
              <w:spacing w:after="0"/>
              <w:rPr>
                <w:sz w:val="20"/>
                <w:szCs w:val="20"/>
                <w:color w:val="auto"/>
              </w:rPr>
            </w:pPr>
            <w:r>
              <w:rPr>
                <w:rFonts w:ascii="Arial" w:cs="Arial" w:eastAsia="Arial" w:hAnsi="Arial"/>
                <w:sz w:val="18"/>
                <w:szCs w:val="18"/>
                <w:color w:val="auto"/>
              </w:rPr>
              <w:t>•  We will issue</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shares of common stock in the offering.</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Beneficially</w:t>
            </w:r>
          </w:p>
        </w:tc>
        <w:tc>
          <w:tcPr>
            <w:tcW w:w="18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Beneficially</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Owned Prior to the</w:t>
            </w:r>
          </w:p>
        </w:tc>
        <w:tc>
          <w:tcPr>
            <w:tcW w:w="18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5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18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9"/>
              </w:rPr>
              <w:t>Offering</w:t>
            </w: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Over-Allotment</w:t>
            </w:r>
            <w:r>
              <w:rPr>
                <w:rFonts w:ascii="Arial" w:cs="Arial" w:eastAsia="Arial" w:hAnsi="Arial"/>
                <w:sz w:val="12"/>
                <w:szCs w:val="12"/>
                <w:b w:val="1"/>
                <w:bCs w:val="1"/>
                <w:color w:val="auto"/>
                <w:w w:val="96"/>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2"/>
                <w:szCs w:val="12"/>
                <w:color w:val="auto"/>
              </w:rPr>
            </w:pP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Principal Stockholders:</w:t>
            </w: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Fund IV, L.P. and affiliates</w:t>
            </w:r>
            <w:r>
              <w:rPr>
                <w:rFonts w:ascii="Arial" w:cs="Arial" w:eastAsia="Arial" w:hAnsi="Arial"/>
                <w:sz w:val="15"/>
                <w:szCs w:val="15"/>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8"/>
              </w:rPr>
              <w:t>220 GCU, L.P. and affiliates</w:t>
            </w:r>
            <w:r>
              <w:rPr>
                <w:rFonts w:ascii="Arial" w:cs="Arial" w:eastAsia="Arial" w:hAnsi="Arial"/>
                <w:sz w:val="15"/>
                <w:szCs w:val="15"/>
                <w:color w:val="auto"/>
                <w:w w:val="98"/>
              </w:rPr>
              <w:t>(4)</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4,544</w:t>
            </w:r>
          </w:p>
        </w:tc>
        <w:tc>
          <w:tcPr>
            <w:tcW w:w="2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23.4%</w:t>
            </w:r>
          </w:p>
        </w:tc>
        <w:tc>
          <w:tcPr>
            <w:tcW w:w="580" w:type="dxa"/>
            <w:vAlign w:val="bottom"/>
          </w:tcPr>
          <w:p>
            <w:pPr>
              <w:jc w:val="right"/>
              <w:spacing w:after="0"/>
              <w:rPr>
                <w:sz w:val="20"/>
                <w:szCs w:val="20"/>
                <w:color w:val="auto"/>
              </w:rPr>
            </w:pPr>
            <w:r>
              <w:rPr>
                <w:rFonts w:ascii="Arial" w:cs="Arial" w:eastAsia="Arial" w:hAnsi="Arial"/>
                <w:sz w:val="18"/>
                <w:szCs w:val="18"/>
                <w:color w:val="auto"/>
              </w:rPr>
              <w:t>4,544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4,544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Staci L. Buse</w:t>
            </w:r>
            <w:r>
              <w:rPr>
                <w:rFonts w:ascii="Arial" w:cs="Arial" w:eastAsia="Arial" w:hAnsi="Arial"/>
                <w:sz w:val="15"/>
                <w:szCs w:val="15"/>
                <w:color w:val="auto"/>
              </w:rPr>
              <w:t>(5)</w:t>
            </w:r>
          </w:p>
        </w:tc>
        <w:tc>
          <w:tcPr>
            <w:tcW w:w="2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Significant Ventures, LLC</w:t>
            </w:r>
            <w:r>
              <w:rPr>
                <w:rFonts w:ascii="Arial" w:cs="Arial" w:eastAsia="Arial" w:hAnsi="Arial"/>
                <w:sz w:val="15"/>
                <w:szCs w:val="15"/>
                <w:color w:val="auto"/>
              </w:rPr>
              <w:t>(6)</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9.2%</w:t>
            </w: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1,865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(7)(10)</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10.3%</w:t>
            </w:r>
          </w:p>
        </w:tc>
        <w:tc>
          <w:tcPr>
            <w:tcW w:w="580" w:type="dxa"/>
            <w:vAlign w:val="bottom"/>
          </w:tcPr>
          <w:p>
            <w:pPr>
              <w:jc w:val="right"/>
              <w:spacing w:after="0"/>
              <w:rPr>
                <w:sz w:val="20"/>
                <w:szCs w:val="20"/>
                <w:color w:val="auto"/>
              </w:rPr>
            </w:pPr>
            <w:r>
              <w:rPr>
                <w:rFonts w:ascii="Arial" w:cs="Arial" w:eastAsia="Arial" w:hAnsi="Arial"/>
                <w:sz w:val="18"/>
                <w:szCs w:val="18"/>
                <w:color w:val="auto"/>
              </w:rPr>
              <w:t>12,154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12,154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John E. Crowley</w:t>
            </w:r>
            <w:r>
              <w:rPr>
                <w:rFonts w:ascii="Arial" w:cs="Arial" w:eastAsia="Arial" w:hAnsi="Arial"/>
                <w:sz w:val="15"/>
                <w:szCs w:val="15"/>
                <w:color w:val="auto"/>
              </w:rPr>
              <w:t>(8)</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2"/>
              </w:rPr>
              <w:t>Christopher C. Richardson</w:t>
            </w:r>
            <w:r>
              <w:rPr>
                <w:rFonts w:ascii="Arial" w:cs="Arial" w:eastAsia="Arial" w:hAnsi="Arial"/>
                <w:sz w:val="15"/>
                <w:szCs w:val="15"/>
                <w:color w:val="auto"/>
                <w:w w:val="92"/>
              </w:rPr>
              <w:t>(9)(10)</w:t>
            </w:r>
          </w:p>
        </w:tc>
        <w:tc>
          <w:tcPr>
            <w:tcW w:w="2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Daniel E. Bachus</w:t>
            </w:r>
          </w:p>
        </w:tc>
        <w:tc>
          <w:tcPr>
            <w:tcW w:w="2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 Stan Meyer</w:t>
            </w:r>
          </w:p>
        </w:tc>
        <w:tc>
          <w:tcPr>
            <w:tcW w:w="2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Timothy N. Fischer</w:t>
            </w:r>
          </w:p>
        </w:tc>
        <w:tc>
          <w:tcPr>
            <w:tcW w:w="2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Michael S. Lacrosse</w:t>
            </w:r>
          </w:p>
        </w:tc>
        <w:tc>
          <w:tcPr>
            <w:tcW w:w="2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Chad N. Heath</w:t>
            </w:r>
            <w:r>
              <w:rPr>
                <w:rFonts w:ascii="Arial" w:cs="Arial" w:eastAsia="Arial" w:hAnsi="Arial"/>
                <w:sz w:val="15"/>
                <w:szCs w:val="15"/>
                <w:color w:val="auto"/>
              </w:rPr>
              <w:t>(11)</w:t>
            </w:r>
          </w:p>
        </w:tc>
        <w:tc>
          <w:tcPr>
            <w:tcW w:w="2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6,623</w:t>
            </w:r>
          </w:p>
        </w:tc>
        <w:tc>
          <w:tcPr>
            <w:tcW w:w="2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32.6%</w:t>
            </w:r>
          </w:p>
        </w:tc>
        <w:tc>
          <w:tcPr>
            <w:tcW w:w="580" w:type="dxa"/>
            <w:vAlign w:val="bottom"/>
          </w:tcPr>
          <w:p>
            <w:pPr>
              <w:jc w:val="right"/>
              <w:spacing w:after="0"/>
              <w:rPr>
                <w:sz w:val="20"/>
                <w:szCs w:val="20"/>
                <w:color w:val="auto"/>
              </w:rPr>
            </w:pPr>
            <w:r>
              <w:rPr>
                <w:rFonts w:ascii="Arial" w:cs="Arial" w:eastAsia="Arial" w:hAnsi="Arial"/>
                <w:sz w:val="18"/>
                <w:szCs w:val="18"/>
                <w:color w:val="auto"/>
              </w:rPr>
              <w:t>6,623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6,623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r>
              <w:rPr>
                <w:rFonts w:ascii="Arial" w:cs="Arial" w:eastAsia="Arial" w:hAnsi="Arial"/>
                <w:sz w:val="15"/>
                <w:szCs w:val="15"/>
                <w:color w:val="auto"/>
              </w:rPr>
              <w:t>(11)</w:t>
            </w:r>
          </w:p>
        </w:tc>
        <w:tc>
          <w:tcPr>
            <w:tcW w:w="2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David J. Johnson</w:t>
            </w:r>
          </w:p>
        </w:tc>
        <w:tc>
          <w:tcPr>
            <w:tcW w:w="22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2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3"/>
              </w:rPr>
              <w:t>All directors, director-nominees, and executive officers as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a group (12 persons)</w:t>
            </w:r>
          </w:p>
        </w:tc>
        <w:tc>
          <w:tcPr>
            <w:tcW w:w="2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10,824</w:t>
            </w:r>
          </w:p>
        </w:tc>
        <w:tc>
          <w:tcPr>
            <w:tcW w:w="22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53.3%</w:t>
            </w:r>
          </w:p>
        </w:tc>
        <w:tc>
          <w:tcPr>
            <w:tcW w:w="580" w:type="dxa"/>
            <w:vAlign w:val="bottom"/>
          </w:tcPr>
          <w:p>
            <w:pPr>
              <w:jc w:val="right"/>
              <w:spacing w:after="0"/>
              <w:rPr>
                <w:sz w:val="20"/>
                <w:szCs w:val="20"/>
                <w:color w:val="auto"/>
              </w:rPr>
            </w:pPr>
            <w:r>
              <w:rPr>
                <w:rFonts w:ascii="Arial" w:cs="Arial" w:eastAsia="Arial" w:hAnsi="Arial"/>
                <w:sz w:val="18"/>
                <w:szCs w:val="18"/>
                <w:color w:val="auto"/>
              </w:rPr>
              <w:t>18,777</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18,777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Represents beneficial ownership of less than 1%</w:t>
      </w:r>
    </w:p>
    <w:p>
      <w:pPr>
        <w:spacing w:after="0" w:line="63" w:lineRule="exact"/>
        <w:rPr>
          <w:sz w:val="20"/>
          <w:szCs w:val="20"/>
          <w:color w:val="auto"/>
        </w:rPr>
      </w:pPr>
    </w:p>
    <w:p>
      <w:pPr>
        <w:ind w:left="1000" w:right="80" w:hanging="301"/>
        <w:spacing w:after="0" w:line="295"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3" w:lineRule="exact"/>
        <w:rPr>
          <w:rFonts w:ascii="Arial" w:cs="Arial" w:eastAsia="Arial" w:hAnsi="Arial"/>
          <w:sz w:val="16"/>
          <w:szCs w:val="16"/>
          <w:color w:val="auto"/>
        </w:rPr>
      </w:pPr>
    </w:p>
    <w:p>
      <w:pPr>
        <w:ind w:left="1000" w:hanging="301"/>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presented assume that the over-allotment option is exercised in full.</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76" w:lineRule="exact"/>
        <w:rPr>
          <w:rFonts w:ascii="Arial" w:cs="Arial" w:eastAsia="Arial" w:hAnsi="Arial"/>
          <w:sz w:val="18"/>
          <w:szCs w:val="18"/>
          <w:color w:val="auto"/>
        </w:rPr>
      </w:pPr>
    </w:p>
    <w:p>
      <w:pPr>
        <w:ind w:left="1900" w:right="20" w:hanging="208"/>
        <w:spacing w:after="0" w:line="264"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4,213 shares of common stock issuable upon the conversion of shares of Series A convertible preferred stock and approximately 1,426 shares of common stock issuable upon the conversion of shares of Series C preferred stock, in each case held of record by Endeavour Capital Fund IV, L.P.;</w:t>
      </w:r>
    </w:p>
    <w:p>
      <w:pPr>
        <w:spacing w:after="0" w:line="32" w:lineRule="exact"/>
        <w:rPr>
          <w:rFonts w:ascii="Arial" w:cs="Arial" w:eastAsia="Arial" w:hAnsi="Arial"/>
          <w:sz w:val="18"/>
          <w:szCs w:val="18"/>
          <w:color w:val="auto"/>
        </w:rPr>
      </w:pPr>
    </w:p>
    <w:p>
      <w:pPr>
        <w:ind w:left="1900" w:right="260" w:hanging="208"/>
        <w:spacing w:after="0" w:line="264"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258 shares of common stock issuable upon the conversion of shares of Series A convertible preferred stock and approximately 87 shares of common stock issuable upon the conversion of shares of Series C preferred stock, in each case held of record by Endeavour Associates Fund IV, L.P.; and</w:t>
      </w:r>
    </w:p>
    <w:p>
      <w:pPr>
        <w:spacing w:after="0" w:line="32" w:lineRule="exact"/>
        <w:rPr>
          <w:rFonts w:ascii="Arial" w:cs="Arial" w:eastAsia="Arial" w:hAnsi="Arial"/>
          <w:sz w:val="18"/>
          <w:szCs w:val="18"/>
          <w:color w:val="auto"/>
        </w:rPr>
      </w:pPr>
    </w:p>
    <w:p>
      <w:pPr>
        <w:ind w:left="1900" w:right="160" w:hanging="208"/>
        <w:spacing w:after="0" w:line="264" w:lineRule="auto"/>
        <w:tabs>
          <w:tab w:leader="none" w:pos="1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477 shares of common stock issuable upon the conversion of shares of Series A convertible preferred stock and approximately 161 shares of common stock issuable upon the conversion of shares of Series C preferred stock, in each case held of record by Endeavour Capital Parallel Fund IV, L.P.</w:t>
      </w:r>
    </w:p>
    <w:p>
      <w:pPr>
        <w:spacing w:after="0" w:line="33" w:lineRule="exact"/>
        <w:rPr>
          <w:sz w:val="20"/>
          <w:szCs w:val="20"/>
          <w:color w:val="auto"/>
        </w:rPr>
      </w:pPr>
    </w:p>
    <w:p>
      <w:pPr>
        <w:ind w:left="1600" w:right="80"/>
        <w:spacing w:after="0" w:line="257" w:lineRule="auto"/>
        <w:rPr>
          <w:sz w:val="20"/>
          <w:szCs w:val="20"/>
          <w:color w:val="auto"/>
        </w:rPr>
      </w:pPr>
      <w:r>
        <w:rPr>
          <w:rFonts w:ascii="Arial" w:cs="Arial" w:eastAsia="Arial" w:hAnsi="Arial"/>
          <w:sz w:val="18"/>
          <w:szCs w:val="18"/>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40" w:lineRule="exact"/>
        <w:rPr>
          <w:sz w:val="20"/>
          <w:szCs w:val="20"/>
          <w:color w:val="auto"/>
        </w:rPr>
      </w:pPr>
    </w:p>
    <w:p>
      <w:pPr>
        <w:ind w:left="1000" w:hanging="301"/>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76" w:lineRule="exact"/>
        <w:rPr>
          <w:rFonts w:ascii="Arial" w:cs="Arial" w:eastAsia="Arial" w:hAnsi="Arial"/>
          <w:sz w:val="18"/>
          <w:szCs w:val="18"/>
          <w:color w:val="auto"/>
        </w:rPr>
      </w:pPr>
    </w:p>
    <w:p>
      <w:pPr>
        <w:ind w:left="1900" w:right="160" w:hanging="208"/>
        <w:spacing w:after="0" w:line="264" w:lineRule="auto"/>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1,005 shares of common stock issuable upon the conversion of shares of Series A convertible preferred stock and approximately 340 shares of common stock issuable upon the conversion of shares of Series C preferred stock, in each case held of record by 220 GCU, L.P.;</w:t>
      </w:r>
    </w:p>
    <w:p>
      <w:pPr>
        <w:spacing w:after="0" w:line="32" w:lineRule="exact"/>
        <w:rPr>
          <w:rFonts w:ascii="Arial" w:cs="Arial" w:eastAsia="Arial" w:hAnsi="Arial"/>
          <w:sz w:val="18"/>
          <w:szCs w:val="18"/>
          <w:color w:val="auto"/>
        </w:rPr>
      </w:pPr>
    </w:p>
    <w:p>
      <w:pPr>
        <w:ind w:left="1900" w:right="140" w:hanging="208"/>
        <w:spacing w:after="0" w:line="277" w:lineRule="auto"/>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710 shares of common stock and approximately 162 shares of common stock issuable upon the conversion of shares of Series C preferred stock, in each case held of record by 220 Education, L.P.;</w:t>
      </w:r>
    </w:p>
    <w:p>
      <w:pPr>
        <w:spacing w:after="0" w:line="21" w:lineRule="exact"/>
        <w:rPr>
          <w:rFonts w:ascii="Arial" w:cs="Arial" w:eastAsia="Arial" w:hAnsi="Arial"/>
          <w:sz w:val="18"/>
          <w:szCs w:val="18"/>
          <w:color w:val="auto"/>
        </w:rPr>
      </w:pPr>
    </w:p>
    <w:p>
      <w:pPr>
        <w:ind w:left="1900" w:right="140" w:hanging="208"/>
        <w:spacing w:after="0" w:line="277" w:lineRule="auto"/>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568 shares of common stock and approximately 130 shares of common stock issuable upon the conversion of shares of Series C preferred stock, in each case held of record by 220-SigEd, L.P.; and</w:t>
      </w:r>
    </w:p>
    <w:p>
      <w:pPr>
        <w:spacing w:after="0" w:line="21" w:lineRule="exact"/>
        <w:rPr>
          <w:rFonts w:ascii="Arial" w:cs="Arial" w:eastAsia="Arial" w:hAnsi="Arial"/>
          <w:sz w:val="18"/>
          <w:szCs w:val="18"/>
          <w:color w:val="auto"/>
        </w:rPr>
      </w:pPr>
    </w:p>
    <w:p>
      <w:pPr>
        <w:ind w:left="1900" w:hanging="208"/>
        <w:spacing w:after="0" w:line="277" w:lineRule="auto"/>
        <w:tabs>
          <w:tab w:leader="none" w:pos="1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1,326 shares of common stock and approximately 303 shares of common stock issuable upon the conversion of shares of Series C preferred stock, in each case held of record by SV One, L.P.</w:t>
      </w:r>
    </w:p>
    <w:p>
      <w:pPr>
        <w:spacing w:after="0" w:line="22" w:lineRule="exact"/>
        <w:rPr>
          <w:sz w:val="20"/>
          <w:szCs w:val="20"/>
          <w:color w:val="auto"/>
        </w:rPr>
      </w:pPr>
    </w:p>
    <w:p>
      <w:pPr>
        <w:ind w:left="1600"/>
        <w:spacing w:after="0" w:line="289" w:lineRule="auto"/>
        <w:rPr>
          <w:sz w:val="20"/>
          <w:szCs w:val="20"/>
          <w:color w:val="auto"/>
        </w:rPr>
      </w:pPr>
      <w:r>
        <w:rPr>
          <w:rFonts w:ascii="Arial" w:cs="Arial" w:eastAsia="Arial" w:hAnsi="Arial"/>
          <w:sz w:val="16"/>
          <w:szCs w:val="16"/>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w:t>
      </w: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00" w:right="180"/>
        <w:spacing w:after="0" w:line="277" w:lineRule="auto"/>
        <w:rPr>
          <w:sz w:val="20"/>
          <w:szCs w:val="20"/>
          <w:color w:val="auto"/>
        </w:rPr>
      </w:pPr>
      <w:r>
        <w:rPr>
          <w:rFonts w:ascii="Arial" w:cs="Arial" w:eastAsia="Arial" w:hAnsi="Arial"/>
          <w:sz w:val="18"/>
          <w:szCs w:val="18"/>
          <w:color w:val="auto"/>
        </w:rPr>
        <w:t>stock. Each of Messrs. Brent Richardson and Chris Richardson disclaim beneficial ownership of such shares, except to the extent of such voting interest.</w:t>
      </w:r>
    </w:p>
    <w:p>
      <w:pPr>
        <w:spacing w:after="0" w:line="22" w:lineRule="exact"/>
        <w:rPr>
          <w:sz w:val="20"/>
          <w:szCs w:val="20"/>
          <w:color w:val="auto"/>
        </w:rPr>
      </w:pPr>
    </w:p>
    <w:p>
      <w:pPr>
        <w:ind w:left="1000" w:right="80" w:hanging="301"/>
        <w:spacing w:after="0" w:line="293"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16" w:lineRule="exact"/>
        <w:rPr>
          <w:rFonts w:ascii="Arial" w:cs="Arial" w:eastAsia="Arial" w:hAnsi="Arial"/>
          <w:sz w:val="16"/>
          <w:szCs w:val="16"/>
          <w:color w:val="auto"/>
        </w:rPr>
      </w:pPr>
    </w:p>
    <w:p>
      <w:pPr>
        <w:ind w:left="1000" w:right="20" w:hanging="301"/>
        <w:spacing w:after="0" w:line="293"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1,516 shares of common stock and approximately 349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16" w:lineRule="exact"/>
        <w:rPr>
          <w:rFonts w:ascii="Arial" w:cs="Arial" w:eastAsia="Arial" w:hAnsi="Arial"/>
          <w:sz w:val="16"/>
          <w:szCs w:val="16"/>
          <w:color w:val="auto"/>
        </w:rPr>
      </w:pPr>
    </w:p>
    <w:p>
      <w:pPr>
        <w:ind w:left="1000" w:right="380" w:hanging="301"/>
        <w:spacing w:after="0" w:line="288"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this offering, the total for Brent D. Richardson consists of 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w:t>
      </w:r>
    </w:p>
    <w:p>
      <w:pPr>
        <w:ind w:left="1000"/>
        <w:spacing w:after="0"/>
        <w:rPr>
          <w:rFonts w:ascii="Arial" w:cs="Arial" w:eastAsia="Arial" w:hAnsi="Arial"/>
          <w:sz w:val="16"/>
          <w:szCs w:val="16"/>
          <w:color w:val="auto"/>
        </w:rPr>
      </w:pPr>
      <w:r>
        <w:rPr>
          <w:rFonts w:ascii="Arial" w:cs="Arial" w:eastAsia="Arial" w:hAnsi="Arial"/>
          <w:sz w:val="18"/>
          <w:szCs w:val="18"/>
          <w:color w:val="auto"/>
        </w:rPr>
        <w:t>Mr. Richardson.</w:t>
      </w:r>
    </w:p>
    <w:p>
      <w:pPr>
        <w:spacing w:after="0" w:line="62" w:lineRule="exact"/>
        <w:rPr>
          <w:rFonts w:ascii="Arial" w:cs="Arial" w:eastAsia="Arial" w:hAnsi="Arial"/>
          <w:sz w:val="16"/>
          <w:szCs w:val="16"/>
          <w:color w:val="auto"/>
        </w:rPr>
      </w:pPr>
    </w:p>
    <w:p>
      <w:pPr>
        <w:ind w:left="1000" w:right="160" w:hanging="301"/>
        <w:spacing w:after="0" w:line="255"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209 shares of common stock and approximately 33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 and Chris Richardson have voting power over the shares beneficially owned by Mr. Crowley. Each of Messrs. Brent Richardson and Chris Richardson disclaim beneficial ownership of such shares, except to the extent of such voting interest.</w:t>
      </w:r>
    </w:p>
    <w:p>
      <w:pPr>
        <w:spacing w:after="0" w:line="44" w:lineRule="exact"/>
        <w:rPr>
          <w:rFonts w:ascii="Arial" w:cs="Arial" w:eastAsia="Arial" w:hAnsi="Arial"/>
          <w:sz w:val="18"/>
          <w:szCs w:val="18"/>
          <w:color w:val="auto"/>
        </w:rPr>
      </w:pPr>
    </w:p>
    <w:p>
      <w:pPr>
        <w:ind w:left="1000" w:right="60" w:hanging="301"/>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this offering, the total for Christopher C. Richardson consists of 1,834 shares of common stock held of record by Rich Crow Enterprises, LLC and Masters Online, LLC and 267 shares of common stock issuable upon conversion of Series C preferred stock held of record by Rich Crow Enterprises, LLC, in each case which are attributable to, and beneficially owned by, Mr. Richardson.</w:t>
      </w:r>
    </w:p>
    <w:p>
      <w:pPr>
        <w:ind w:left="1100" w:hanging="397"/>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Following this offering, the total for Brent D. Richardson and Christopher C. Richardson consists of:</w:t>
      </w:r>
    </w:p>
    <w:p>
      <w:pPr>
        <w:spacing w:after="0" w:line="76" w:lineRule="exact"/>
        <w:rPr>
          <w:rFonts w:ascii="Arial" w:cs="Arial" w:eastAsia="Arial" w:hAnsi="Arial"/>
          <w:sz w:val="18"/>
          <w:szCs w:val="18"/>
          <w:color w:val="auto"/>
        </w:rPr>
      </w:pPr>
    </w:p>
    <w:p>
      <w:pPr>
        <w:ind w:left="1900" w:right="120" w:hanging="208"/>
        <w:spacing w:after="0" w:line="286" w:lineRule="auto"/>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 Mr. Brent D. Richardson.</w:t>
      </w:r>
    </w:p>
    <w:p>
      <w:pPr>
        <w:spacing w:after="0" w:line="3" w:lineRule="exact"/>
        <w:rPr>
          <w:rFonts w:ascii="Arial" w:cs="Arial" w:eastAsia="Arial" w:hAnsi="Arial"/>
          <w:sz w:val="17"/>
          <w:szCs w:val="17"/>
          <w:color w:val="auto"/>
        </w:rPr>
      </w:pPr>
    </w:p>
    <w:p>
      <w:pPr>
        <w:ind w:left="1900" w:hanging="208"/>
        <w:spacing w:after="0" w:line="286" w:lineRule="auto"/>
        <w:tabs>
          <w:tab w:leader="none" w:pos="1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1,834 shares of common stock held of record by Rich Crow Enterprises, LLC and Masters Online, LLC and 267 shares of common stock issuable upon conversion of Series C preferred stock held of record by Rich Crow Enterprises, LLC, in each case which are attributable to, and beneficially owned by, Mr. Christopher C. Richardson.</w:t>
      </w:r>
    </w:p>
    <w:p>
      <w:pPr>
        <w:spacing w:after="0" w:line="16" w:lineRule="exact"/>
        <w:rPr>
          <w:rFonts w:ascii="Arial" w:cs="Arial" w:eastAsia="Arial" w:hAnsi="Arial"/>
          <w:sz w:val="17"/>
          <w:szCs w:val="17"/>
          <w:color w:val="auto"/>
        </w:rPr>
      </w:pPr>
    </w:p>
    <w:p>
      <w:pPr>
        <w:ind w:left="1900" w:right="40" w:hanging="208"/>
        <w:spacing w:after="0" w:line="259"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38" w:lineRule="exact"/>
        <w:rPr>
          <w:rFonts w:ascii="Arial" w:cs="Arial" w:eastAsia="Arial" w:hAnsi="Arial"/>
          <w:sz w:val="18"/>
          <w:szCs w:val="18"/>
          <w:color w:val="auto"/>
        </w:rPr>
      </w:pPr>
    </w:p>
    <w:p>
      <w:pPr>
        <w:jc w:val="both"/>
        <w:ind w:left="1900" w:right="220" w:hanging="208"/>
        <w:spacing w:after="0" w:line="264" w:lineRule="auto"/>
        <w:tabs>
          <w:tab w:leader="none" w:pos="1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209 shares of common stock held of record by Rich Crow Enterprises, LLC and approximately 33 shares of common stock issuable upon the conversion of Series C preferred stock held of record by Rich Crow Enterprises, LLC, in each case which are attributable to, and beneficially owned by, Mr. John Crowley.</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900" w:hanging="208"/>
        <w:spacing w:after="0"/>
        <w:tabs>
          <w:tab w:leader="none" w:pos="1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shares held by the 220 Entities and the shares held by Significant Ventures, as described in Notes (4) and (5) above.</w:t>
      </w:r>
    </w:p>
    <w:p>
      <w:pPr>
        <w:spacing w:after="0" w:line="99" w:lineRule="exact"/>
        <w:rPr>
          <w:rFonts w:ascii="Arial" w:cs="Arial" w:eastAsia="Arial" w:hAnsi="Arial"/>
          <w:sz w:val="16"/>
          <w:szCs w:val="16"/>
          <w:color w:val="auto"/>
        </w:rPr>
      </w:pPr>
    </w:p>
    <w:p>
      <w:pPr>
        <w:ind w:left="1900" w:right="240" w:hanging="208"/>
        <w:spacing w:after="0" w:line="277" w:lineRule="auto"/>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170 shares of common stock and 35 shares of common stock issuable upon the conversion of Series C preferred stock held of record by other stockholders.</w:t>
      </w:r>
    </w:p>
    <w:p>
      <w:pPr>
        <w:spacing w:after="0" w:line="22" w:lineRule="exact"/>
        <w:rPr>
          <w:sz w:val="20"/>
          <w:szCs w:val="20"/>
          <w:color w:val="auto"/>
        </w:rPr>
      </w:pPr>
    </w:p>
    <w:p>
      <w:pPr>
        <w:ind w:left="1600" w:right="120"/>
        <w:spacing w:after="0" w:line="257" w:lineRule="auto"/>
        <w:rPr>
          <w:sz w:val="20"/>
          <w:szCs w:val="20"/>
          <w:color w:val="auto"/>
        </w:rPr>
      </w:pPr>
      <w:r>
        <w:rPr>
          <w:rFonts w:ascii="Arial" w:cs="Arial" w:eastAsia="Arial" w:hAnsi="Arial"/>
          <w:sz w:val="18"/>
          <w:szCs w:val="18"/>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40" w:lineRule="exact"/>
        <w:rPr>
          <w:sz w:val="20"/>
          <w:szCs w:val="20"/>
          <w:color w:val="auto"/>
        </w:rPr>
      </w:pPr>
    </w:p>
    <w:p>
      <w:pPr>
        <w:ind w:left="1100" w:hanging="390"/>
        <w:spacing w:after="0" w:line="257"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4,948 shares of common stock issuable upon conversion of Series A convertible preferred stock and 1,675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description of our capital stock summarizes provisions of our certificate of incorporation and bylaws as they will be</w:t>
      </w:r>
    </w:p>
    <w:p>
      <w:pPr>
        <w:spacing w:after="0" w:line="46" w:lineRule="exact"/>
        <w:rPr>
          <w:sz w:val="20"/>
          <w:szCs w:val="20"/>
          <w:color w:val="auto"/>
        </w:rPr>
      </w:pPr>
    </w:p>
    <w:p>
      <w:pPr>
        <w:ind w:left="700" w:right="140"/>
        <w:spacing w:after="0" w:line="265" w:lineRule="auto"/>
        <w:rPr>
          <w:sz w:val="20"/>
          <w:szCs w:val="20"/>
          <w:color w:val="auto"/>
        </w:rPr>
      </w:pPr>
      <w:r>
        <w:rPr>
          <w:rFonts w:ascii="Arial" w:cs="Arial" w:eastAsia="Arial" w:hAnsi="Arial"/>
          <w:sz w:val="17"/>
          <w:szCs w:val="17"/>
          <w:color w:val="auto"/>
        </w:rPr>
        <w:t>in effect upon completion of the offering. As of the date of this prospectus, our authorized capital stock consists of shares of common stock, $0.01 par value per share, and shares of preferred stock, $0.01 par value per share, of which are designated as Series A convertible preferred stock and are designated as Series C preferred stock. Immediately after completion of this</w:t>
      </w:r>
    </w:p>
    <w:p>
      <w:pPr>
        <w:spacing w:after="0" w:line="1" w:lineRule="exact"/>
        <w:rPr>
          <w:sz w:val="20"/>
          <w:szCs w:val="20"/>
          <w:color w:val="auto"/>
        </w:rPr>
      </w:pPr>
    </w:p>
    <w:p>
      <w:pPr>
        <w:ind w:left="700" w:right="220"/>
        <w:spacing w:after="0" w:line="281" w:lineRule="auto"/>
        <w:rPr>
          <w:sz w:val="20"/>
          <w:szCs w:val="20"/>
          <w:color w:val="auto"/>
        </w:rPr>
      </w:pPr>
      <w:r>
        <w:rPr>
          <w:rFonts w:ascii="Arial" w:cs="Arial" w:eastAsia="Arial" w:hAnsi="Arial"/>
          <w:sz w:val="16"/>
          <w:szCs w:val="16"/>
          <w:color w:val="auto"/>
        </w:rPr>
        <w:t>offering, after giving effect to the conversion of our outstanding Series A convertible preferred stock and Series C preferred stock into common stock and the effectiveness of our amended and restated certificate of incorporation, our authorized capital stock will consist</w:t>
      </w:r>
    </w:p>
    <w:p>
      <w:pPr>
        <w:spacing w:after="0" w:line="1" w:lineRule="exact"/>
        <w:rPr>
          <w:sz w:val="20"/>
          <w:szCs w:val="20"/>
          <w:color w:val="auto"/>
        </w:rPr>
      </w:pPr>
    </w:p>
    <w:p>
      <w:pPr>
        <w:ind w:left="700"/>
        <w:spacing w:after="0"/>
        <w:tabs>
          <w:tab w:leader="none" w:pos="1320" w:val="left"/>
          <w:tab w:leader="none" w:pos="58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common stock, $0.01 par value per share, and</w:t>
      </w:r>
      <w:r>
        <w:rPr>
          <w:sz w:val="20"/>
          <w:szCs w:val="20"/>
          <w:color w:val="auto"/>
        </w:rPr>
        <w:tab/>
      </w:r>
      <w:r>
        <w:rPr>
          <w:rFonts w:ascii="Arial" w:cs="Arial" w:eastAsia="Arial" w:hAnsi="Arial"/>
          <w:sz w:val="15"/>
          <w:szCs w:val="15"/>
          <w:color w:val="auto"/>
        </w:rPr>
        <w:t>shares of undesignated preferred stock, $0.01 par value per share.</w:t>
      </w:r>
    </w:p>
    <w:p>
      <w:pPr>
        <w:spacing w:after="0" w:line="11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As of June 30, 2008, there were 20,307 shares of our common stock outstanding and held of record by seven stockholders, assuming conversion of all outstanding shares of preferred stock into an equal number of shares of common stock.</w:t>
      </w:r>
    </w:p>
    <w:p>
      <w:pPr>
        <w:spacing w:after="0" w:line="29"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common stock are entitled to one vote per share on any matter to be voted upon by stockholders.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the prior rights of holders of preferred stock, for as long as such stock is outstanding,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entitled to receive ratably any 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60" w:lineRule="exact"/>
        <w:rPr>
          <w:sz w:val="20"/>
          <w:szCs w:val="20"/>
          <w:color w:val="auto"/>
        </w:rPr>
      </w:pPr>
    </w:p>
    <w:p>
      <w:pPr>
        <w:jc w:val="both"/>
        <w:ind w:left="700" w:right="180" w:firstLine="397"/>
        <w:spacing w:after="0" w:line="28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Upon a liquidation or dissolution of our company, whether voluntary or involuntary, creditors and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preferred stock with preferential liquidation rights will be paid before any distribution to holders of our common stock. After such distribution, holders of common stock are entitled to receive a pro rata distribution per share of any excess amount.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Undesignated Preferred Stock</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Warrants</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As of June 30, 2008, we had outstanding a warrant to purchase an aggregate of 498 shares of our common stock at exercise prices of approximately $1,057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owned by our original investors. In connection with this offering, if such investors do not exercise such right, then we may exercise the right to repurchase the warrant or the underlying shares. We intend to use up to $16.0 million of the gross proceeds of this offering to repurchase any portion of the warrant or the underlying shares not purchased by such investors. See “Use of Proceeds” for further information.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of Delaware Law and our Charter and Bylaws with Anti-Takeover Implications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Charter and Bylaw Provisions</w:t>
      </w:r>
    </w:p>
    <w:p>
      <w:pPr>
        <w:spacing w:after="0" w:line="131"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7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Our bylaws will provide that directors may be removed only for cause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 majority of the voting 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94"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charter will provide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3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bylaws will provide that only a majority of the members of our board of directors then in office may</w:t>
      </w:r>
      <w:r>
        <w:rPr>
          <w:rFonts w:ascii="Arial" w:cs="Arial" w:eastAsia="Arial" w:hAnsi="Arial"/>
          <w:sz w:val="18"/>
          <w:szCs w:val="18"/>
          <w:i w:val="1"/>
          <w:iCs w:val="1"/>
          <w:color w:val="auto"/>
        </w:rPr>
        <w:t xml:space="preserve"> </w:t>
      </w:r>
      <w:r>
        <w:rPr>
          <w:rFonts w:ascii="Arial" w:cs="Arial" w:eastAsia="Arial" w:hAnsi="Arial"/>
          <w:sz w:val="18"/>
          <w:szCs w:val="18"/>
          <w:color w:val="auto"/>
        </w:rPr>
        <w:t>call special meetings of stockholders and only 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9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Our bylaws will establish advance notice procedures with regard to stockholder proposals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120 days prior to the first anniversary date of the annual meeting for the preceding year. The notice must contain certain information specified in the bylaws.</w:t>
      </w:r>
    </w:p>
    <w:p>
      <w:pPr>
        <w:spacing w:after="0" w:line="99" w:lineRule="exact"/>
        <w:rPr>
          <w:sz w:val="20"/>
          <w:szCs w:val="20"/>
          <w:color w:val="auto"/>
        </w:rPr>
      </w:pPr>
    </w:p>
    <w:p>
      <w:pPr>
        <w:ind w:left="700" w:firstLine="397"/>
        <w:spacing w:after="0" w:line="265" w:lineRule="auto"/>
        <w:rPr>
          <w:sz w:val="20"/>
          <w:szCs w:val="20"/>
          <w:color w:val="auto"/>
        </w:rPr>
      </w:pPr>
      <w:r>
        <w:rPr>
          <w:rFonts w:ascii="Arial" w:cs="Arial" w:eastAsia="Arial" w:hAnsi="Arial"/>
          <w:sz w:val="16"/>
          <w:szCs w:val="16"/>
          <w:i w:val="1"/>
          <w:iCs w:val="1"/>
          <w:color w:val="auto"/>
        </w:rPr>
        <w:t xml:space="preserve">Amendment to Bylaws and Charter. </w:t>
      </w:r>
      <w:r>
        <w:rPr>
          <w:rFonts w:ascii="Arial" w:cs="Arial" w:eastAsia="Arial" w:hAnsi="Arial"/>
          <w:sz w:val="16"/>
          <w:szCs w:val="16"/>
          <w:color w:val="auto"/>
        </w:rPr>
        <w:t>As required by the DGCL, any amendment of our charter must first be approved by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board of directors and, if required by law 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percent of the voting power of all of the shares of capital stock issued and outstanding and entitled to vote generally in any election of directors, voting together as a single class.</w:t>
      </w:r>
    </w:p>
    <w:p>
      <w:pPr>
        <w:spacing w:after="0" w:line="86"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charter will provide for authorized shares of preferred stock. The existence of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203 of the Delaware General Corporate Law</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combination between a corporation and an interested stockholder is prohibited unless it satisfies one of the following conditions:</w:t>
      </w:r>
    </w:p>
    <w:p>
      <w:pPr>
        <w:spacing w:after="0" w:line="131" w:lineRule="exact"/>
        <w:rPr>
          <w:sz w:val="20"/>
          <w:szCs w:val="20"/>
          <w:color w:val="auto"/>
        </w:rPr>
      </w:pPr>
    </w:p>
    <w:p>
      <w:pPr>
        <w:ind w:left="1700" w:hanging="211"/>
        <w:spacing w:after="0" w:line="277" w:lineRule="auto"/>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700" w:right="60" w:hanging="211"/>
        <w:spacing w:after="0" w:line="259" w:lineRule="auto"/>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8" w:lineRule="exact"/>
        <w:rPr>
          <w:rFonts w:ascii="Arial" w:cs="Arial" w:eastAsia="Arial" w:hAnsi="Arial"/>
          <w:sz w:val="18"/>
          <w:szCs w:val="18"/>
          <w:color w:val="auto"/>
        </w:rPr>
      </w:pPr>
    </w:p>
    <w:p>
      <w:pPr>
        <w:ind w:left="1700" w:right="140" w:hanging="211"/>
        <w:spacing w:after="0" w:line="286" w:lineRule="auto"/>
        <w:tabs>
          <w:tab w:leader="none" w:pos="1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of Director Liability and Indemnification Directors, Officers and Employees</w:t>
      </w:r>
    </w:p>
    <w:p>
      <w:pPr>
        <w:spacing w:after="0" w:line="135"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As permitted by the DGCL, provisions in our charter and bylaws that will be in effect at the closing of this offering will limit or eliminate the personal liability of our directors. Consequently, directors will not be personally liable to us or our stockholders for monetary damages or breach of fiduciary duty as a director, except for liability for:</w:t>
      </w:r>
    </w:p>
    <w:p>
      <w:pPr>
        <w:spacing w:after="0" w:line="87" w:lineRule="exact"/>
        <w:rPr>
          <w:sz w:val="20"/>
          <w:szCs w:val="20"/>
          <w:color w:val="auto"/>
        </w:rPr>
      </w:pPr>
    </w:p>
    <w:p>
      <w:pPr>
        <w:ind w:left="1700" w:hanging="211"/>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31"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700" w:hanging="211"/>
        <w:spacing w:after="0" w:line="264" w:lineRule="auto"/>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73" w:lineRule="exact"/>
        <w:rPr>
          <w:rFonts w:ascii="Arial" w:cs="Arial" w:eastAsia="Arial" w:hAnsi="Arial"/>
          <w:sz w:val="18"/>
          <w:szCs w:val="18"/>
          <w:color w:val="auto"/>
        </w:rPr>
      </w:pPr>
    </w:p>
    <w:p>
      <w:pPr>
        <w:ind w:left="1700" w:right="40" w:hanging="211"/>
        <w:spacing w:after="0" w:line="277" w:lineRule="auto"/>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will advance expenses, including attorneys’ fees, to our directors and, in the discretion of our board of directors, certain officers and employees, in connection with legal proceedings, subject to limited exceptions.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informed that in the opinion of the SEC such indemnification is against public policy as expressed in the Securities Act and is therefore unenforceable.</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84"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Nasdaq</w:t>
      </w:r>
    </w:p>
    <w:p>
      <w:pPr>
        <w:spacing w:after="0" w:line="135"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7"/>
          <w:szCs w:val="17"/>
          <w:color w:val="auto"/>
        </w:rPr>
        <w:t>Before the date of this prospectus, there has been no public market for the common stock. We intend to apply to have our common stock approved for listing on the Nasdaq Global Market, subject to notice of issuance, under the symbol “LOPE.”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Table of Contents</w:t>
              </w:r>
            </w:hyperlink>
          </w:p>
        </w:tc>
        <w:tc>
          <w:tcPr>
            <w:tcW w:w="4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2"/>
          </w:tcPr>
          <w:p>
            <w:pPr>
              <w:ind w:left="2480"/>
              <w:spacing w:after="0"/>
              <w:rPr>
                <w:sz w:val="20"/>
                <w:szCs w:val="20"/>
                <w:color w:val="auto"/>
              </w:rPr>
            </w:pPr>
            <w:r>
              <w:rPr>
                <w:rFonts w:ascii="Arial" w:cs="Arial" w:eastAsia="Arial" w:hAnsi="Arial"/>
                <w:sz w:val="18"/>
                <w:szCs w:val="18"/>
                <w:b w:val="1"/>
                <w:bCs w:val="1"/>
                <w:color w:val="auto"/>
              </w:rPr>
              <w:t>SHARES ELIGIBLE FOR FUTURE SALE</w:t>
            </w:r>
          </w:p>
        </w:tc>
        <w:tc>
          <w:tcPr>
            <w:tcW w:w="2780" w:type="dxa"/>
            <w:vAlign w:val="bottom"/>
          </w:tcPr>
          <w:p>
            <w:pPr>
              <w:spacing w:after="0"/>
              <w:rPr>
                <w:sz w:val="24"/>
                <w:szCs w:val="24"/>
                <w:color w:val="auto"/>
              </w:rPr>
            </w:pPr>
          </w:p>
        </w:tc>
      </w:tr>
      <w:tr>
        <w:trPr>
          <w:trHeight w:val="323"/>
        </w:trPr>
        <w:tc>
          <w:tcPr>
            <w:tcW w:w="7820" w:type="dxa"/>
            <w:vAlign w:val="bottom"/>
            <w:gridSpan w:val="4"/>
          </w:tcPr>
          <w:p>
            <w:pPr>
              <w:ind w:left="1080"/>
              <w:spacing w:after="0"/>
              <w:rPr>
                <w:sz w:val="20"/>
                <w:szCs w:val="20"/>
                <w:color w:val="auto"/>
              </w:rPr>
            </w:pPr>
            <w:r>
              <w:rPr>
                <w:rFonts w:ascii="Arial" w:cs="Arial" w:eastAsia="Arial" w:hAnsi="Arial"/>
                <w:sz w:val="18"/>
                <w:szCs w:val="18"/>
                <w:color w:val="auto"/>
                <w:w w:val="95"/>
              </w:rPr>
              <w:t>Upon the closing of this offering, we will have outstanding an aggregate of approximately</w:t>
            </w:r>
          </w:p>
        </w:tc>
        <w:tc>
          <w:tcPr>
            <w:tcW w:w="2780" w:type="dxa"/>
            <w:vAlign w:val="bottom"/>
          </w:tcPr>
          <w:p>
            <w:pPr>
              <w:ind w:left="240"/>
              <w:spacing w:after="0"/>
              <w:rPr>
                <w:sz w:val="20"/>
                <w:szCs w:val="20"/>
                <w:color w:val="auto"/>
              </w:rPr>
            </w:pPr>
            <w:r>
              <w:rPr>
                <w:rFonts w:ascii="Arial" w:cs="Arial" w:eastAsia="Arial" w:hAnsi="Arial"/>
                <w:sz w:val="18"/>
                <w:szCs w:val="18"/>
                <w:color w:val="auto"/>
                <w:w w:val="92"/>
              </w:rPr>
              <w:t>shares of common stock. Of these</w:t>
            </w:r>
          </w:p>
        </w:tc>
      </w:tr>
      <w:tr>
        <w:trPr>
          <w:trHeight w:val="230"/>
        </w:trPr>
        <w:tc>
          <w:tcPr>
            <w:tcW w:w="1500" w:type="dxa"/>
            <w:vAlign w:val="bottom"/>
            <w:gridSpan w:val="2"/>
          </w:tcPr>
          <w:p>
            <w:pPr>
              <w:ind w:left="700"/>
              <w:spacing w:after="0"/>
              <w:rPr>
                <w:sz w:val="20"/>
                <w:szCs w:val="20"/>
                <w:color w:val="auto"/>
              </w:rPr>
            </w:pPr>
            <w:r>
              <w:rPr>
                <w:rFonts w:ascii="Arial" w:cs="Arial" w:eastAsia="Arial" w:hAnsi="Arial"/>
                <w:sz w:val="18"/>
                <w:szCs w:val="18"/>
                <w:color w:val="auto"/>
              </w:rPr>
              <w:t>shares,</w:t>
            </w:r>
          </w:p>
        </w:tc>
        <w:tc>
          <w:tcPr>
            <w:tcW w:w="4220" w:type="dxa"/>
            <w:vAlign w:val="bottom"/>
          </w:tcPr>
          <w:p>
            <w:pPr>
              <w:ind w:left="140"/>
              <w:spacing w:after="0"/>
              <w:rPr>
                <w:sz w:val="20"/>
                <w:szCs w:val="20"/>
                <w:color w:val="auto"/>
              </w:rPr>
            </w:pPr>
            <w:r>
              <w:rPr>
                <w:rFonts w:ascii="Arial" w:cs="Arial" w:eastAsia="Arial" w:hAnsi="Arial"/>
                <w:sz w:val="18"/>
                <w:szCs w:val="18"/>
                <w:color w:val="auto"/>
                <w:w w:val="96"/>
              </w:rPr>
              <w:t>shares of common stock to be sold in this offering, or</w:t>
            </w:r>
          </w:p>
        </w:tc>
        <w:tc>
          <w:tcPr>
            <w:tcW w:w="4880" w:type="dxa"/>
            <w:vAlign w:val="bottom"/>
            <w:gridSpan w:val="2"/>
          </w:tcPr>
          <w:p>
            <w:pPr>
              <w:ind w:left="260"/>
              <w:spacing w:after="0"/>
              <w:rPr>
                <w:sz w:val="20"/>
                <w:szCs w:val="20"/>
                <w:color w:val="auto"/>
              </w:rPr>
            </w:pPr>
            <w:r>
              <w:rPr>
                <w:rFonts w:ascii="Arial" w:cs="Arial" w:eastAsia="Arial" w:hAnsi="Arial"/>
                <w:sz w:val="18"/>
                <w:szCs w:val="18"/>
                <w:color w:val="auto"/>
                <w:w w:val="90"/>
              </w:rPr>
              <w:t>shares if the underwriters exercise their over-allotment option in</w:t>
            </w:r>
          </w:p>
        </w:tc>
      </w:tr>
    </w:tbl>
    <w:p>
      <w:pPr>
        <w:ind w:left="700"/>
        <w:spacing w:after="0" w:line="281" w:lineRule="auto"/>
        <w:rPr>
          <w:sz w:val="20"/>
          <w:szCs w:val="20"/>
          <w:color w:val="auto"/>
        </w:rPr>
      </w:pPr>
      <w:r>
        <w:rPr>
          <w:rFonts w:ascii="Arial" w:cs="Arial" w:eastAsia="Arial" w:hAnsi="Arial"/>
          <w:sz w:val="16"/>
          <w:szCs w:val="16"/>
          <w:color w:val="auto"/>
        </w:rPr>
        <w:t>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w:t>
      </w:r>
    </w:p>
    <w:p>
      <w:pPr>
        <w:spacing w:after="0" w:line="3" w:lineRule="exact"/>
        <w:rPr>
          <w:sz w:val="20"/>
          <w:szCs w:val="20"/>
          <w:color w:val="auto"/>
        </w:rPr>
      </w:pPr>
    </w:p>
    <w:p>
      <w:pPr>
        <w:ind w:left="700"/>
        <w:spacing w:after="0"/>
        <w:tabs>
          <w:tab w:leader="none" w:pos="2520" w:val="left"/>
        </w:tabs>
        <w:rPr>
          <w:sz w:val="20"/>
          <w:szCs w:val="20"/>
          <w:color w:val="auto"/>
        </w:rPr>
      </w:pPr>
      <w:r>
        <w:rPr>
          <w:rFonts w:ascii="Arial" w:cs="Arial" w:eastAsia="Arial" w:hAnsi="Arial"/>
          <w:sz w:val="18"/>
          <w:szCs w:val="18"/>
          <w:color w:val="auto"/>
        </w:rPr>
        <w:t>for the purchase of</w:t>
      </w:r>
      <w:r>
        <w:rPr>
          <w:sz w:val="20"/>
          <w:szCs w:val="20"/>
          <w:color w:val="auto"/>
        </w:rPr>
        <w:tab/>
      </w:r>
      <w:r>
        <w:rPr>
          <w:rFonts w:ascii="Arial" w:cs="Arial" w:eastAsia="Arial" w:hAnsi="Arial"/>
          <w:sz w:val="16"/>
          <w:szCs w:val="16"/>
          <w:color w:val="auto"/>
        </w:rPr>
        <w:t>shares of common stock.</w:t>
      </w:r>
    </w:p>
    <w:p>
      <w:pPr>
        <w:spacing w:after="0" w:line="11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77" w:lineRule="exact"/>
        <w:rPr>
          <w:sz w:val="20"/>
          <w:szCs w:val="20"/>
          <w:color w:val="auto"/>
        </w:rPr>
      </w:pPr>
    </w:p>
    <w:p>
      <w:pPr>
        <w:jc w:val="both"/>
        <w:ind w:left="700" w:right="240" w:firstLine="397"/>
        <w:spacing w:after="0" w:line="342" w:lineRule="auto"/>
        <w:rPr>
          <w:sz w:val="20"/>
          <w:szCs w:val="20"/>
          <w:color w:val="auto"/>
        </w:rPr>
      </w:pPr>
      <w:r>
        <w:rPr>
          <w:rFonts w:ascii="Arial" w:cs="Arial" w:eastAsia="Arial" w:hAnsi="Arial"/>
          <w:sz w:val="16"/>
          <w:szCs w:val="16"/>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29" w:lineRule="exact"/>
        <w:rPr>
          <w:sz w:val="20"/>
          <w:szCs w:val="20"/>
          <w:color w:val="auto"/>
        </w:rPr>
      </w:pPr>
    </w:p>
    <w:p>
      <w:pPr>
        <w:ind w:left="1700" w:hanging="211"/>
        <w:spacing w:after="0"/>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shares will be eligible for sale under Rule 144 or Rule 701 beginning 90 days after the date of this prospectus; and</w:t>
      </w:r>
    </w:p>
    <w:p>
      <w:pPr>
        <w:spacing w:after="0" w:line="128" w:lineRule="exact"/>
        <w:rPr>
          <w:rFonts w:ascii="Arial" w:cs="Arial" w:eastAsia="Arial" w:hAnsi="Arial"/>
          <w:sz w:val="17"/>
          <w:szCs w:val="17"/>
          <w:color w:val="auto"/>
        </w:rPr>
      </w:pPr>
    </w:p>
    <w:p>
      <w:pPr>
        <w:ind w:left="1700" w:right="120" w:hanging="211"/>
        <w:spacing w:after="0" w:line="277" w:lineRule="auto"/>
        <w:tabs>
          <w:tab w:leader="none" w:pos="1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will be eligible for sale upon the expiration of the lock-up agreements, as more particularly and except as described below, beginning after expiration of the lock-up period pursuant to Rule 144 or Rule 701.</w:t>
      </w:r>
    </w:p>
    <w:p>
      <w:pPr>
        <w:spacing w:after="0" w:line="76"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expect the remaining shares to become eligible for future sale in the public market pursuant to Rule 144 at varying times after six months from the date of this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144</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ectPr>
          <w:pgSz w:w="11900" w:h="16838" w:orient="portrait"/>
          <w:cols w:equalWidth="0" w:num="1">
            <w:col w:w="10600"/>
          </w:cols>
          <w:pgMar w:left="240" w:top="405" w:right="1059" w:bottom="1440" w:gutter="0" w:footer="0" w:header="0"/>
        </w:sectPr>
      </w:pPr>
    </w:p>
    <w:p>
      <w:pPr>
        <w:spacing w:after="0" w:line="60" w:lineRule="exact"/>
        <w:rPr>
          <w:sz w:val="20"/>
          <w:szCs w:val="20"/>
          <w:color w:val="auto"/>
        </w:rPr>
      </w:pPr>
    </w:p>
    <w:p>
      <w:pPr>
        <w:ind w:left="1700" w:hanging="219"/>
        <w:spacing w:after="0" w:line="277" w:lineRule="auto"/>
        <w:tabs>
          <w:tab w:leader="none" w:pos="1680" w:val="left"/>
        </w:tabs>
        <w:rPr>
          <w:sz w:val="20"/>
          <w:szCs w:val="20"/>
          <w:color w:val="auto"/>
        </w:rPr>
      </w:pPr>
      <w:r>
        <w:rPr>
          <w:rFonts w:ascii="Arial" w:cs="Arial" w:eastAsia="Arial" w:hAnsi="Arial"/>
          <w:sz w:val="18"/>
          <w:szCs w:val="18"/>
          <w:color w:val="auto"/>
        </w:rPr>
        <w:t>•</w:t>
        <w:tab/>
        <w:t>one percent of the number of shares of common stock then outstanding, which will equal approximately immediately after this offering; and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shares</w:t>
      </w:r>
    </w:p>
    <w:p>
      <w:pPr>
        <w:spacing w:after="0" w:line="378" w:lineRule="exact"/>
        <w:rPr>
          <w:sz w:val="20"/>
          <w:szCs w:val="20"/>
          <w:color w:val="auto"/>
        </w:rPr>
      </w:pPr>
    </w:p>
    <w:p>
      <w:pPr>
        <w:sectPr>
          <w:pgSz w:w="11900" w:h="16838" w:orient="portrait"/>
          <w:cols w:equalWidth="0" w:num="2">
            <w:col w:w="9180" w:space="500"/>
            <w:col w:w="920"/>
          </w:cols>
          <w:pgMar w:left="240" w:top="405" w:right="1059" w:bottom="1440" w:gutter="0" w:footer="0" w:header="0"/>
          <w:type w:val="continuous"/>
        </w:sectPr>
      </w:pPr>
    </w:p>
    <w:p>
      <w:pPr>
        <w:ind w:left="1700" w:right="40" w:hanging="211"/>
        <w:spacing w:after="0" w:line="277" w:lineRule="auto"/>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76" w:lineRule="exact"/>
        <w:rPr>
          <w:sz w:val="20"/>
          <w:szCs w:val="20"/>
          <w:color w:val="auto"/>
        </w:rPr>
      </w:pPr>
    </w:p>
    <w:p>
      <w:pPr>
        <w:jc w:val="both"/>
        <w:ind w:left="700" w:right="20" w:firstLine="397"/>
        <w:spacing w:after="0" w:line="288" w:lineRule="auto"/>
        <w:rPr>
          <w:sz w:val="20"/>
          <w:szCs w:val="20"/>
          <w:color w:val="auto"/>
        </w:rPr>
      </w:pPr>
      <w:r>
        <w:rPr>
          <w:rFonts w:ascii="Arial" w:cs="Arial" w:eastAsia="Arial" w:hAnsi="Arial"/>
          <w:sz w:val="16"/>
          <w:szCs w:val="16"/>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w:t>
      </w:r>
    </w:p>
    <w:p>
      <w:pPr>
        <w:ind w:left="700"/>
        <w:spacing w:after="0"/>
        <w:tabs>
          <w:tab w:leader="none" w:pos="220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our outstanding restricted securities will be eligible for sale under Rule 144.</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Statement on Form S-8</w:t>
      </w:r>
    </w:p>
    <w:p>
      <w:pPr>
        <w:spacing w:after="0" w:line="135" w:lineRule="exact"/>
        <w:rPr>
          <w:sz w:val="20"/>
          <w:szCs w:val="20"/>
          <w:color w:val="auto"/>
        </w:rPr>
      </w:pPr>
    </w:p>
    <w:p>
      <w:pPr>
        <w:ind w:left="1080"/>
        <w:spacing w:after="0"/>
        <w:tabs>
          <w:tab w:leader="none" w:pos="9160" w:val="left"/>
        </w:tabs>
        <w:rPr>
          <w:sz w:val="20"/>
          <w:szCs w:val="20"/>
          <w:color w:val="auto"/>
        </w:rPr>
      </w:pPr>
      <w:r>
        <w:rPr>
          <w:rFonts w:ascii="Arial" w:cs="Arial" w:eastAsia="Arial" w:hAnsi="Arial"/>
          <w:sz w:val="18"/>
          <w:szCs w:val="18"/>
          <w:color w:val="auto"/>
        </w:rPr>
        <w:t>We intend to file one or more registration statements on Form S-8 under the Securities Act covering up to</w:t>
      </w:r>
      <w:r>
        <w:rPr>
          <w:sz w:val="20"/>
          <w:szCs w:val="20"/>
          <w:color w:val="auto"/>
        </w:rPr>
        <w:tab/>
      </w:r>
      <w:r>
        <w:rPr>
          <w:rFonts w:ascii="Arial" w:cs="Arial" w:eastAsia="Arial" w:hAnsi="Arial"/>
          <w:sz w:val="16"/>
          <w:szCs w:val="16"/>
          <w:color w:val="auto"/>
        </w:rPr>
        <w:t>shares of common</w:t>
      </w:r>
    </w:p>
    <w:p>
      <w:pPr>
        <w:spacing w:after="0" w:line="23" w:lineRule="exact"/>
        <w:rPr>
          <w:sz w:val="20"/>
          <w:szCs w:val="20"/>
          <w:color w:val="auto"/>
        </w:rPr>
      </w:pPr>
    </w:p>
    <w:p>
      <w:pPr>
        <w:ind w:left="700" w:right="180"/>
        <w:spacing w:after="0" w:line="261" w:lineRule="auto"/>
        <w:rPr>
          <w:sz w:val="20"/>
          <w:szCs w:val="20"/>
          <w:color w:val="auto"/>
        </w:rPr>
      </w:pPr>
      <w:r>
        <w:rPr>
          <w:rFonts w:ascii="Arial" w:cs="Arial" w:eastAsia="Arial" w:hAnsi="Arial"/>
          <w:sz w:val="18"/>
          <w:szCs w:val="18"/>
          <w:color w:val="auto"/>
        </w:rPr>
        <w:t>stock reserved for issuance under our Incentive Plan and our ESPP. These registration statements are expected to be filed soon after the date of this prospectus and will automatically</w:t>
      </w:r>
    </w:p>
    <w:p>
      <w:pPr>
        <w:spacing w:after="0" w:line="37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05" w:right="105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64" w:lineRule="auto"/>
        <w:rPr>
          <w:sz w:val="20"/>
          <w:szCs w:val="20"/>
          <w:color w:val="auto"/>
        </w:rPr>
      </w:pPr>
      <w:r>
        <w:rPr>
          <w:rFonts w:ascii="Arial" w:cs="Arial" w:eastAsia="Arial" w:hAnsi="Arial"/>
          <w:sz w:val="18"/>
          <w:szCs w:val="18"/>
          <w:color w:val="auto"/>
        </w:rPr>
        <w:t>become effective upon filing. Accordingly, shares registered under such registration statements will be available for sale in the open market, unless such shares are subject to vesting restrictions with us or are otherwise subject to the lock-up agreements and manner of sale and notice requirements that apply to affiliates under Rule 144 described above.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For a description of the lock-up agreements with the underwriters that restrict sales of shares by us, or directors, executive officers, and stockholders, see the information under the heading “Underwriting.”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For a description of registration rights with respect to our common stock, see the information under the heading titled “Description of Capital Stock — Registration Rights.”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 NON-U.S. HOLDERS</w:t>
      </w:r>
    </w:p>
    <w:p>
      <w:pPr>
        <w:spacing w:after="0" w:line="11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87" w:lineRule="exact"/>
        <w:rPr>
          <w:sz w:val="20"/>
          <w:szCs w:val="20"/>
          <w:color w:val="auto"/>
        </w:rPr>
      </w:pPr>
    </w:p>
    <w:p>
      <w:pPr>
        <w:ind w:left="1700" w:right="320" w:hanging="211"/>
        <w:spacing w:after="0" w:line="277"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citizen or resident of the United States, including an alien individual who is a lawful permanent resident of the United States or meets the “substantial presence” test under section 7701(b)(3) of the Code;</w:t>
      </w:r>
    </w:p>
    <w:p>
      <w:pPr>
        <w:spacing w:after="0" w:line="62" w:lineRule="exact"/>
        <w:rPr>
          <w:rFonts w:ascii="Arial" w:cs="Arial" w:eastAsia="Arial" w:hAnsi="Arial"/>
          <w:sz w:val="18"/>
          <w:szCs w:val="18"/>
          <w:color w:val="auto"/>
        </w:rPr>
      </w:pPr>
    </w:p>
    <w:p>
      <w:pPr>
        <w:ind w:left="1700" w:hanging="211"/>
        <w:spacing w:after="0" w:line="277"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created or organized in the United States or under the laws of the United States, any state thereof, or the District of Columbia;</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700" w:right="20" w:hanging="211"/>
        <w:spacing w:after="0" w:line="342" w:lineRule="auto"/>
        <w:tabs>
          <w:tab w:leader="none" w:pos="1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29"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PROSPECTIVE INVESTORS ARE URGED TO CONSULT THEIR TAX ADVISORS REGARDING THE</w:t>
      </w:r>
    </w:p>
    <w:p>
      <w:pPr>
        <w:spacing w:after="0" w:line="27" w:lineRule="exact"/>
        <w:rPr>
          <w:sz w:val="20"/>
          <w:szCs w:val="20"/>
          <w:color w:val="auto"/>
        </w:rPr>
      </w:pPr>
    </w:p>
    <w:p>
      <w:pPr>
        <w:ind w:left="700" w:right="540"/>
        <w:spacing w:after="0" w:line="261" w:lineRule="auto"/>
        <w:rPr>
          <w:sz w:val="20"/>
          <w:szCs w:val="20"/>
          <w:color w:val="auto"/>
        </w:rPr>
      </w:pPr>
      <w:r>
        <w:rPr>
          <w:rFonts w:ascii="Arial" w:cs="Arial" w:eastAsia="Arial" w:hAnsi="Arial"/>
          <w:sz w:val="18"/>
          <w:szCs w:val="18"/>
          <w:b w:val="1"/>
          <w:bCs w:val="1"/>
          <w:color w:val="auto"/>
        </w:rPr>
        <w:t>U.S. FEDERAL, STATE, LOCAL, AND NON-U.S. INCOME AND OTHER TAX CONSIDERATIONS OF ACQUIRING, HOLDING, AND DISPOSING OF SHARES OF COMMON STOCK.</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0"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In general, a Non-U.S. Holder will not be subject to U.S. federal income tax on any gain realized upon the sale or other taxable disposition of the Non-U.S. Holder’s shares of common stock unless:</w:t>
      </w:r>
    </w:p>
    <w:p>
      <w:pPr>
        <w:spacing w:after="0" w:line="76" w:lineRule="exact"/>
        <w:rPr>
          <w:sz w:val="20"/>
          <w:szCs w:val="20"/>
          <w:color w:val="auto"/>
        </w:rPr>
      </w:pPr>
    </w:p>
    <w:p>
      <w:pPr>
        <w:ind w:left="1700" w:hanging="211"/>
        <w:spacing w:after="0"/>
        <w:tabs>
          <w:tab w:leader="none" w:pos="1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w:t>
      </w:r>
    </w:p>
    <w:p>
      <w:pPr>
        <w:spacing w:after="0" w:line="128" w:lineRule="exact"/>
        <w:rPr>
          <w:rFonts w:ascii="Arial" w:cs="Arial" w:eastAsia="Arial" w:hAnsi="Arial"/>
          <w:sz w:val="17"/>
          <w:szCs w:val="17"/>
          <w:color w:val="auto"/>
        </w:rPr>
      </w:pPr>
    </w:p>
    <w:p>
      <w:pPr>
        <w:ind w:left="1700" w:right="20" w:hanging="211"/>
        <w:spacing w:after="0" w:line="277" w:lineRule="auto"/>
        <w:tabs>
          <w:tab w:leader="none" w:pos="1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Non-U.S. Holder is an individual who holds shares of common stock as capital assets and is present in the United States for 183 days or more in the taxable year of disposition and various other conditions are met; or</w:t>
      </w:r>
    </w:p>
    <w:p>
      <w:pPr>
        <w:spacing w:after="0" w:line="62" w:lineRule="exact"/>
        <w:rPr>
          <w:rFonts w:ascii="Arial" w:cs="Arial" w:eastAsia="Arial" w:hAnsi="Arial"/>
          <w:sz w:val="18"/>
          <w:szCs w:val="18"/>
          <w:color w:val="auto"/>
        </w:rPr>
      </w:pPr>
    </w:p>
    <w:p>
      <w:pPr>
        <w:ind w:left="1700" w:right="100" w:hanging="211"/>
        <w:spacing w:after="0" w:line="264" w:lineRule="auto"/>
        <w:tabs>
          <w:tab w:leader="none" w:pos="1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87" w:lineRule="exact"/>
        <w:rPr>
          <w:sz w:val="20"/>
          <w:szCs w:val="20"/>
          <w:color w:val="auto"/>
        </w:rPr>
      </w:pPr>
    </w:p>
    <w:p>
      <w:pPr>
        <w:ind w:left="700" w:right="200" w:firstLine="397"/>
        <w:spacing w:after="0" w:line="297" w:lineRule="auto"/>
        <w:rPr>
          <w:sz w:val="20"/>
          <w:szCs w:val="20"/>
          <w:color w:val="auto"/>
        </w:rPr>
      </w:pPr>
      <w:r>
        <w:rPr>
          <w:rFonts w:ascii="Arial" w:cs="Arial" w:eastAsia="Arial" w:hAnsi="Arial"/>
          <w:sz w:val="16"/>
          <w:szCs w:val="16"/>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6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35" w:lineRule="exact"/>
        <w:rPr>
          <w:sz w:val="20"/>
          <w:szCs w:val="20"/>
          <w:color w:val="auto"/>
        </w:rPr>
      </w:pPr>
    </w:p>
    <w:p>
      <w:pPr>
        <w:jc w:val="both"/>
        <w:ind w:left="700" w:right="60" w:firstLine="397"/>
        <w:spacing w:after="0" w:line="302" w:lineRule="auto"/>
        <w:rPr>
          <w:sz w:val="20"/>
          <w:szCs w:val="20"/>
          <w:color w:val="auto"/>
        </w:rPr>
      </w:pPr>
      <w:r>
        <w:rPr>
          <w:rFonts w:ascii="Arial" w:cs="Arial" w:eastAsia="Arial" w:hAnsi="Arial"/>
          <w:sz w:val="16"/>
          <w:szCs w:val="16"/>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60" w:lineRule="exact"/>
        <w:rPr>
          <w:sz w:val="20"/>
          <w:szCs w:val="20"/>
          <w:color w:val="auto"/>
        </w:rPr>
      </w:pPr>
    </w:p>
    <w:p>
      <w:pPr>
        <w:jc w:val="both"/>
        <w:ind w:left="700" w:right="80" w:firstLine="397"/>
        <w:spacing w:after="0" w:line="308" w:lineRule="auto"/>
        <w:rPr>
          <w:sz w:val="20"/>
          <w:szCs w:val="20"/>
          <w:color w:val="auto"/>
        </w:rPr>
      </w:pPr>
      <w:r>
        <w:rPr>
          <w:rFonts w:ascii="Arial" w:cs="Arial" w:eastAsia="Arial" w:hAnsi="Arial"/>
          <w:sz w:val="17"/>
          <w:szCs w:val="17"/>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2"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88" w:lineRule="auto"/>
        <w:rPr>
          <w:sz w:val="20"/>
          <w:szCs w:val="20"/>
          <w:color w:val="auto"/>
        </w:rPr>
      </w:pPr>
      <w:r>
        <w:rPr>
          <w:rFonts w:ascii="Arial" w:cs="Arial" w:eastAsia="Arial" w:hAnsi="Arial"/>
          <w:sz w:val="16"/>
          <w:szCs w:val="16"/>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w:t>
      </w:r>
    </w:p>
    <w:p>
      <w:pPr>
        <w:jc w:val="both"/>
        <w:ind w:left="700" w:right="160"/>
        <w:spacing w:after="0" w:line="277" w:lineRule="auto"/>
        <w:rPr>
          <w:sz w:val="20"/>
          <w:szCs w:val="20"/>
          <w:color w:val="auto"/>
        </w:rPr>
      </w:pPr>
      <w:r>
        <w:rPr>
          <w:rFonts w:ascii="Arial" w:cs="Arial" w:eastAsia="Arial" w:hAnsi="Arial"/>
          <w:sz w:val="17"/>
          <w:szCs w:val="17"/>
          <w:color w:val="auto"/>
        </w:rPr>
        <w:t>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9" w:lineRule="exact"/>
        <w:rPr>
          <w:sz w:val="20"/>
          <w:szCs w:val="20"/>
          <w:color w:val="auto"/>
        </w:rPr>
      </w:pPr>
    </w:p>
    <w:p>
      <w:pPr>
        <w:ind w:left="1700" w:hanging="211"/>
        <w:spacing w:after="0"/>
        <w:tabs>
          <w:tab w:leader="none" w:pos="17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broker has documentary evidence in its files that the holder is a Non-U.S. Holder and other conditions are met; or</w:t>
      </w:r>
    </w:p>
    <w:p>
      <w:pPr>
        <w:spacing w:after="0" w:line="128" w:lineRule="exact"/>
        <w:rPr>
          <w:rFonts w:ascii="Arial" w:cs="Arial" w:eastAsia="Arial" w:hAnsi="Arial"/>
          <w:sz w:val="17"/>
          <w:szCs w:val="17"/>
          <w:color w:val="auto"/>
        </w:rPr>
      </w:pPr>
    </w:p>
    <w:p>
      <w:pPr>
        <w:ind w:left="1700" w:hanging="211"/>
        <w:spacing w:after="0"/>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 otherwise establishes an exemption.</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Estate Tax</w:t>
      </w:r>
    </w:p>
    <w:p>
      <w:pPr>
        <w:spacing w:after="0" w:line="135"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6560" w:type="dxa"/>
            <w:vAlign w:val="bottom"/>
          </w:tcPr>
          <w:p>
            <w:pPr>
              <w:ind w:left="3560"/>
              <w:spacing w:after="0"/>
              <w:rPr>
                <w:sz w:val="20"/>
                <w:szCs w:val="20"/>
                <w:color w:val="auto"/>
              </w:rPr>
            </w:pPr>
            <w:r>
              <w:rPr>
                <w:rFonts w:ascii="Arial" w:cs="Arial" w:eastAsia="Arial" w:hAnsi="Arial"/>
                <w:sz w:val="18"/>
                <w:szCs w:val="18"/>
                <w:b w:val="1"/>
                <w:bCs w:val="1"/>
                <w:color w:val="auto"/>
              </w:rPr>
              <w:t>UNDERWRITING</w:t>
            </w:r>
          </w:p>
        </w:tc>
        <w:tc>
          <w:tcPr>
            <w:tcW w:w="2560" w:type="dxa"/>
            <w:vAlign w:val="bottom"/>
          </w:tcPr>
          <w:p>
            <w:pPr>
              <w:spacing w:after="0"/>
              <w:rPr>
                <w:sz w:val="24"/>
                <w:szCs w:val="24"/>
                <w:color w:val="auto"/>
              </w:rPr>
            </w:pPr>
          </w:p>
        </w:tc>
      </w:tr>
      <w:tr>
        <w:trPr>
          <w:trHeight w:val="338"/>
        </w:trPr>
        <w:tc>
          <w:tcPr>
            <w:tcW w:w="7920" w:type="dxa"/>
            <w:vAlign w:val="bottom"/>
            <w:gridSpan w:val="2"/>
          </w:tcPr>
          <w:p>
            <w:pPr>
              <w:ind w:left="1080"/>
              <w:spacing w:after="0"/>
              <w:rPr>
                <w:sz w:val="20"/>
                <w:szCs w:val="20"/>
                <w:color w:val="auto"/>
              </w:rPr>
            </w:pPr>
            <w:r>
              <w:rPr>
                <w:rFonts w:ascii="Arial" w:cs="Arial" w:eastAsia="Arial" w:hAnsi="Arial"/>
                <w:sz w:val="18"/>
                <w:szCs w:val="18"/>
                <w:color w:val="auto"/>
                <w:w w:val="92"/>
              </w:rPr>
              <w:t>Under the terms and subject to the conditions contained in an underwriting agreement dated</w:t>
            </w:r>
          </w:p>
        </w:tc>
        <w:tc>
          <w:tcPr>
            <w:tcW w:w="2560" w:type="dxa"/>
            <w:vAlign w:val="bottom"/>
          </w:tcPr>
          <w:p>
            <w:pPr>
              <w:ind w:left="240"/>
              <w:spacing w:after="0"/>
              <w:rPr>
                <w:sz w:val="20"/>
                <w:szCs w:val="20"/>
                <w:color w:val="auto"/>
              </w:rPr>
            </w:pPr>
            <w:r>
              <w:rPr>
                <w:rFonts w:ascii="Arial" w:cs="Arial" w:eastAsia="Arial" w:hAnsi="Arial"/>
                <w:sz w:val="18"/>
                <w:szCs w:val="18"/>
                <w:color w:val="auto"/>
                <w:w w:val="88"/>
              </w:rPr>
              <w:t>, 2008, we have agreed to sell to</w:t>
            </w:r>
          </w:p>
        </w:tc>
      </w:tr>
    </w:tbl>
    <w:p>
      <w:pPr>
        <w:ind w:left="700" w:right="180"/>
        <w:spacing w:after="0" w:line="261" w:lineRule="auto"/>
        <w:rPr>
          <w:sz w:val="20"/>
          <w:szCs w:val="20"/>
          <w:color w:val="auto"/>
        </w:rPr>
      </w:pPr>
      <w:r>
        <w:rPr>
          <w:rFonts w:ascii="Arial" w:cs="Arial" w:eastAsia="Arial" w:hAnsi="Arial"/>
          <w:sz w:val="18"/>
          <w:szCs w:val="18"/>
          <w:color w:val="auto"/>
        </w:rPr>
        <w:t>the underwriters named below, for whom Credit Suisse Securities (USA) LLC and Merrill Lynch, Pierce, Fenner &amp; Smith Incorporated are acting as the representatives, the following respective numbers of shares of common stock:</w:t>
      </w:r>
    </w:p>
    <w:p>
      <w:pPr>
        <w:spacing w:after="0" w:line="94" w:lineRule="exact"/>
        <w:rPr>
          <w:sz w:val="20"/>
          <w:szCs w:val="20"/>
          <w:color w:val="auto"/>
        </w:rPr>
      </w:pPr>
    </w:p>
    <w:p>
      <w:pPr>
        <w:ind w:left="700"/>
        <w:spacing w:after="0"/>
        <w:tabs>
          <w:tab w:leader="none" w:pos="9200" w:val="left"/>
        </w:tabs>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15240</wp:posOffset>
            </wp:positionV>
            <wp:extent cx="9436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3010" cy="14605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14605</wp:posOffset>
            </wp:positionV>
            <wp:extent cx="9436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31750</wp:posOffset>
            </wp:positionV>
            <wp:extent cx="9436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92"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shares from us at the initial public offering price less the underwriting discounts and commissions. The option may be exercised only to cover any over-allotments of common stock.</w:t>
      </w:r>
    </w:p>
    <w:p>
      <w:pPr>
        <w:spacing w:after="0" w:line="87"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136" w:lineRule="exact"/>
        <w:rPr>
          <w:sz w:val="20"/>
          <w:szCs w:val="20"/>
          <w:color w:val="auto"/>
        </w:rPr>
      </w:pPr>
    </w:p>
    <w:tbl>
      <w:tblPr>
        <w:tblLayout w:type="fixed"/>
        <w:tblInd w:w="5360" w:type="dxa"/>
        <w:tblCellMar>
          <w:top w:w="0" w:type="dxa"/>
          <w:left w:w="0" w:type="dxa"/>
          <w:bottom w:w="0" w:type="dxa"/>
          <w:right w:w="0" w:type="dxa"/>
        </w:tblCellMar>
      </w:tblPr>
      <w:tr>
        <w:trPr>
          <w:trHeight w:val="171"/>
        </w:trPr>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119"/>
        </w:trPr>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4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3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Over-allotment</w:t>
            </w: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Over-allotment</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Over-allotment</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Over-allotment</w:t>
            </w:r>
          </w:p>
        </w:tc>
      </w:tr>
    </w:tbl>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Underwriting discounts and commissions paid by us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Expenses payable by us</w:t>
      </w:r>
    </w:p>
    <w:p>
      <w:pPr>
        <w:spacing w:after="0" w:line="116"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representatives have informed us that they do not expect sales to accounts over which the underwriters have discretionary authority to exceed 5% of the shares of common stock being offered.</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83"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Our directors, executive officers, and stockholders have agreed that they will not offer, sell, contract to sell, pledge, or otherwise dispose of, directly or indirectly, any shares of our common stock or securities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4" w:lineRule="auto"/>
        <w:rPr>
          <w:sz w:val="20"/>
          <w:szCs w:val="20"/>
          <w:color w:val="auto"/>
        </w:rPr>
      </w:pPr>
      <w:r>
        <w:rPr>
          <w:rFonts w:ascii="Arial" w:cs="Arial" w:eastAsia="Arial" w:hAnsi="Arial"/>
          <w:sz w:val="16"/>
          <w:szCs w:val="16"/>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w:t>
      </w:r>
    </w:p>
    <w:p>
      <w:pPr>
        <w:spacing w:after="0" w:line="5" w:lineRule="exact"/>
        <w:rPr>
          <w:sz w:val="20"/>
          <w:szCs w:val="20"/>
          <w:color w:val="auto"/>
        </w:rPr>
      </w:pPr>
    </w:p>
    <w:p>
      <w:pPr>
        <w:ind w:left="700" w:right="80" w:hanging="7"/>
        <w:spacing w:after="0" w:line="252" w:lineRule="auto"/>
        <w:tabs>
          <w:tab w:leader="none" w:pos="9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100" w:lineRule="exact"/>
        <w:rPr>
          <w:sz w:val="20"/>
          <w:szCs w:val="20"/>
          <w:color w:val="auto"/>
        </w:rPr>
      </w:pPr>
    </w:p>
    <w:p>
      <w:pPr>
        <w:jc w:val="both"/>
        <w:ind w:left="700" w:right="120" w:firstLine="397"/>
        <w:spacing w:after="0" w:line="302" w:lineRule="auto"/>
        <w:rPr>
          <w:sz w:val="20"/>
          <w:szCs w:val="20"/>
          <w:color w:val="auto"/>
        </w:rPr>
      </w:pPr>
      <w:r>
        <w:rPr>
          <w:rFonts w:ascii="Arial" w:cs="Arial" w:eastAsia="Arial" w:hAnsi="Arial"/>
          <w:sz w:val="16"/>
          <w:szCs w:val="16"/>
          <w:color w:val="auto"/>
        </w:rPr>
        <w:t>The underwriters have reserved for sale at the initial public offering price up to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60"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apply to list the shares of common stock on the Nasdaq Global Market under the symbol “LOPE.”</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87" w:lineRule="exact"/>
        <w:rPr>
          <w:sz w:val="20"/>
          <w:szCs w:val="20"/>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history of and the prospects for the industry in which we will compete;</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prospects for our future earning;</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present state of our development and our current financial condition;</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recent market prices of, and the demand for, publicly traded common stock of generally comparable companies; and</w:t>
      </w:r>
    </w:p>
    <w:p>
      <w:pPr>
        <w:spacing w:after="0" w:line="140" w:lineRule="exact"/>
        <w:rPr>
          <w:rFonts w:ascii="Arial" w:cs="Arial" w:eastAsia="Arial" w:hAnsi="Arial"/>
          <w:sz w:val="16"/>
          <w:szCs w:val="16"/>
          <w:color w:val="auto"/>
        </w:rPr>
      </w:pPr>
    </w:p>
    <w:p>
      <w:pPr>
        <w:ind w:left="1700" w:hanging="211"/>
        <w:spacing w:after="0"/>
        <w:tabs>
          <w:tab w:leader="none" w:pos="1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the offering.</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87" w:lineRule="exact"/>
        <w:rPr>
          <w:sz w:val="20"/>
          <w:szCs w:val="20"/>
          <w:color w:val="auto"/>
        </w:rPr>
      </w:pPr>
    </w:p>
    <w:p>
      <w:pPr>
        <w:ind w:left="700" w:right="440" w:firstLine="397"/>
        <w:spacing w:after="0" w:line="308"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460" w:hanging="211"/>
        <w:spacing w:after="0" w:line="277" w:lineRule="auto"/>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700" w:hanging="211"/>
        <w:spacing w:after="0" w:line="293" w:lineRule="auto"/>
        <w:tabs>
          <w:tab w:leader="none" w:pos="1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56" w:lineRule="exact"/>
        <w:rPr>
          <w:rFonts w:ascii="Arial" w:cs="Arial" w:eastAsia="Arial" w:hAnsi="Arial"/>
          <w:sz w:val="16"/>
          <w:szCs w:val="16"/>
          <w:color w:val="auto"/>
        </w:rPr>
      </w:pPr>
    </w:p>
    <w:p>
      <w:pPr>
        <w:ind w:left="1700" w:hanging="211"/>
        <w:spacing w:after="0" w:line="254" w:lineRule="auto"/>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4" w:lineRule="exact"/>
        <w:rPr>
          <w:rFonts w:ascii="Arial" w:cs="Arial" w:eastAsia="Arial" w:hAnsi="Arial"/>
          <w:sz w:val="18"/>
          <w:szCs w:val="18"/>
          <w:color w:val="auto"/>
        </w:rPr>
      </w:pPr>
    </w:p>
    <w:p>
      <w:pPr>
        <w:ind w:left="1700" w:right="200" w:hanging="211"/>
        <w:spacing w:after="0" w:line="264" w:lineRule="auto"/>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7"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77"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NOTICE TO EUROPEAN ECONOMIC AREA RESIDENTS</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72" w:lineRule="exact"/>
        <w:rPr>
          <w:sz w:val="20"/>
          <w:szCs w:val="20"/>
          <w:color w:val="auto"/>
        </w:rPr>
      </w:pPr>
    </w:p>
    <w:p>
      <w:pPr>
        <w:ind w:left="700" w:right="160" w:firstLine="787"/>
        <w:spacing w:after="0" w:line="277" w:lineRule="auto"/>
        <w:tabs>
          <w:tab w:leader="none" w:pos="17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700" w:right="180" w:firstLine="787"/>
        <w:spacing w:after="0" w:line="264" w:lineRule="auto"/>
        <w:tabs>
          <w:tab w:leader="none" w:pos="17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6" w:lineRule="exact"/>
        <w:rPr>
          <w:rFonts w:ascii="Arial" w:cs="Arial" w:eastAsia="Arial" w:hAnsi="Arial"/>
          <w:sz w:val="18"/>
          <w:szCs w:val="18"/>
          <w:color w:val="auto"/>
        </w:rPr>
      </w:pPr>
    </w:p>
    <w:p>
      <w:pPr>
        <w:ind w:left="700" w:right="80" w:firstLine="787"/>
        <w:spacing w:after="0" w:line="277" w:lineRule="auto"/>
        <w:tabs>
          <w:tab w:leader="none" w:pos="17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manager for any such offer; or</w:t>
      </w:r>
    </w:p>
    <w:p>
      <w:pPr>
        <w:spacing w:after="0" w:line="75" w:lineRule="exact"/>
        <w:rPr>
          <w:rFonts w:ascii="Arial" w:cs="Arial" w:eastAsia="Arial" w:hAnsi="Arial"/>
          <w:sz w:val="18"/>
          <w:szCs w:val="18"/>
          <w:color w:val="auto"/>
        </w:rPr>
      </w:pPr>
    </w:p>
    <w:p>
      <w:pPr>
        <w:ind w:left="700" w:right="700" w:firstLine="787"/>
        <w:spacing w:after="0" w:line="277" w:lineRule="auto"/>
        <w:tabs>
          <w:tab w:leader="none" w:pos="17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us of a prospectus pursuant to Article 3 of the Prospectus Directive.</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311" w:lineRule="exact"/>
        <w:rPr>
          <w:sz w:val="20"/>
          <w:szCs w:val="20"/>
          <w:color w:val="auto"/>
        </w:rPr>
      </w:pPr>
    </w:p>
    <w:p>
      <w:pPr>
        <w:ind w:left="1080" w:right="3020" w:firstLine="2674"/>
        <w:spacing w:after="0" w:line="393" w:lineRule="auto"/>
        <w:rPr>
          <w:sz w:val="20"/>
          <w:szCs w:val="20"/>
          <w:color w:val="auto"/>
        </w:rPr>
      </w:pPr>
      <w:r>
        <w:rPr>
          <w:rFonts w:ascii="Arial" w:cs="Arial" w:eastAsia="Arial" w:hAnsi="Arial"/>
          <w:sz w:val="18"/>
          <w:szCs w:val="18"/>
          <w:b w:val="1"/>
          <w:bCs w:val="1"/>
          <w:color w:val="auto"/>
        </w:rPr>
        <w:t xml:space="preserve">NOTICE TO UNITED KINGDOM RESIDENTS </w:t>
      </w:r>
      <w:r>
        <w:rPr>
          <w:rFonts w:ascii="Arial" w:cs="Arial" w:eastAsia="Arial" w:hAnsi="Arial"/>
          <w:sz w:val="18"/>
          <w:szCs w:val="18"/>
          <w:color w:val="auto"/>
        </w:rPr>
        <w:t>Each of the underwriters severally represents, warrants and agrees as follows:</w:t>
      </w:r>
    </w:p>
    <w:p>
      <w:pPr>
        <w:spacing w:after="0" w:line="1" w:lineRule="exact"/>
        <w:rPr>
          <w:sz w:val="20"/>
          <w:szCs w:val="20"/>
          <w:color w:val="auto"/>
        </w:rPr>
      </w:pPr>
    </w:p>
    <w:p>
      <w:pPr>
        <w:ind w:left="700" w:right="40" w:firstLine="787"/>
        <w:spacing w:after="0" w:line="302" w:lineRule="auto"/>
        <w:tabs>
          <w:tab w:leader="none" w:pos="1739" w:val="left"/>
        </w:tabs>
        <w:numPr>
          <w:ilvl w:val="0"/>
          <w:numId w:val="8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59" w:lineRule="exact"/>
        <w:rPr>
          <w:rFonts w:ascii="Arial" w:cs="Arial" w:eastAsia="Arial" w:hAnsi="Arial"/>
          <w:sz w:val="16"/>
          <w:szCs w:val="16"/>
          <w:color w:val="auto"/>
        </w:rPr>
      </w:pPr>
    </w:p>
    <w:p>
      <w:pPr>
        <w:ind w:left="700" w:right="480" w:firstLine="787"/>
        <w:spacing w:after="0" w:line="277" w:lineRule="auto"/>
        <w:tabs>
          <w:tab w:leader="none" w:pos="17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shares of common stock in, from or otherwise involving the United Kingdom.</w:t>
      </w:r>
    </w:p>
    <w:p>
      <w:pPr>
        <w:spacing w:after="0" w:line="2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NOTICE TO CANADIAN RESIDENTS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Resale Restrictions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applicable Canadian securities regulatory authority. Purchasers are advised to seek legal advice prior to any resale of the common stock.</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Representations of Purchasers</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By purchasing the common stock in Canada and accepting a purchase confirmation a purchaser is representing to us and the dealer from whom the purchase confirmation is received that:</w:t>
      </w:r>
    </w:p>
    <w:p>
      <w:pPr>
        <w:spacing w:after="0" w:line="76" w:lineRule="exact"/>
        <w:rPr>
          <w:sz w:val="20"/>
          <w:szCs w:val="20"/>
          <w:color w:val="auto"/>
        </w:rPr>
      </w:pPr>
    </w:p>
    <w:p>
      <w:pPr>
        <w:ind w:left="1700" w:right="140" w:hanging="211"/>
        <w:spacing w:after="0" w:line="277" w:lineRule="auto"/>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common stock without the benefit of a prospectus qualified under those securities laws,</w:t>
      </w:r>
    </w:p>
    <w:p>
      <w:pPr>
        <w:spacing w:after="0" w:line="62" w:lineRule="exact"/>
        <w:rPr>
          <w:rFonts w:ascii="Arial" w:cs="Arial" w:eastAsia="Arial" w:hAnsi="Arial"/>
          <w:sz w:val="18"/>
          <w:szCs w:val="18"/>
          <w:color w:val="auto"/>
        </w:rPr>
      </w:pPr>
    </w:p>
    <w:p>
      <w:pPr>
        <w:ind w:left="1700" w:hanging="211"/>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17" w:lineRule="exact"/>
        <w:rPr>
          <w:rFonts w:ascii="Arial" w:cs="Arial" w:eastAsia="Arial" w:hAnsi="Arial"/>
          <w:sz w:val="18"/>
          <w:szCs w:val="18"/>
          <w:color w:val="auto"/>
        </w:rPr>
      </w:pPr>
    </w:p>
    <w:p>
      <w:pPr>
        <w:ind w:left="1700" w:hanging="211"/>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17" w:lineRule="exact"/>
        <w:rPr>
          <w:rFonts w:ascii="Arial" w:cs="Arial" w:eastAsia="Arial" w:hAnsi="Arial"/>
          <w:sz w:val="18"/>
          <w:szCs w:val="18"/>
          <w:color w:val="auto"/>
        </w:rPr>
      </w:pPr>
    </w:p>
    <w:p>
      <w:pPr>
        <w:ind w:left="1700" w:right="100" w:hanging="211"/>
        <w:spacing w:after="0" w:line="277" w:lineRule="auto"/>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the common stock to the regulatory authority that by law is entitled to collect the information.</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Further details concerning the legal authority for this information is available on request.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Enforcement of Legal Rights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60" w:firstLine="397"/>
        <w:spacing w:after="0" w:line="342" w:lineRule="auto"/>
        <w:rPr>
          <w:sz w:val="20"/>
          <w:szCs w:val="20"/>
          <w:color w:val="auto"/>
        </w:rPr>
      </w:pPr>
      <w:r>
        <w:rPr>
          <w:rFonts w:ascii="Arial" w:cs="Arial" w:eastAsia="Arial" w:hAnsi="Arial"/>
          <w:sz w:val="16"/>
          <w:szCs w:val="16"/>
          <w:color w:val="auto"/>
        </w:rPr>
        <w:t>The validity of the shares of common stock offered by this prospectus and other legal matters will be passed upon for us by DLA Piper US LLP, Phoenix, Arizona. The underwriters have been represented by Latham &amp; Watkins LLP, Los Angeles, California.</w:t>
      </w:r>
    </w:p>
    <w:p>
      <w:pPr>
        <w:spacing w:after="0" w:line="24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30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7"/>
          <w:szCs w:val="17"/>
          <w:u w:val="single" w:color="auto"/>
          <w:color w:val="auto"/>
        </w:rPr>
        <w:t>http://www.sec.gov.</w:t>
      </w:r>
    </w:p>
    <w:p>
      <w:pPr>
        <w:spacing w:after="0" w:line="8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39" w:name="page140"/>
    <w:bookmarkEnd w:id="139"/>
    <w:p>
      <w:pPr>
        <w:ind w:left="412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800" w:type="dxa"/>
            <w:vAlign w:val="bottom"/>
          </w:tcPr>
          <w:p>
            <w:pPr>
              <w:spacing w:after="0"/>
              <w:rPr>
                <w:sz w:val="14"/>
                <w:szCs w:val="14"/>
                <w:color w:val="auto"/>
              </w:rPr>
            </w:pPr>
          </w:p>
        </w:tc>
      </w:tr>
      <w:tr>
        <w:trPr>
          <w:trHeight w:val="223"/>
        </w:trPr>
        <w:tc>
          <w:tcPr>
            <w:tcW w:w="700" w:type="dxa"/>
            <w:vAlign w:val="bottom"/>
          </w:tcPr>
          <w:p>
            <w:pPr>
              <w:spacing w:after="0"/>
              <w:rPr>
                <w:sz w:val="19"/>
                <w:szCs w:val="19"/>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Report of Independent Registered Public Accounting Firm</w:t>
              </w:r>
            </w:hyperlink>
          </w:p>
        </w:tc>
        <w:tc>
          <w:tcPr>
            <w:tcW w:w="5300" w:type="dxa"/>
            <w:vAlign w:val="bottom"/>
            <w:gridSpan w:val="6"/>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Balance Sheets as of December 31, 2006 and 2007 (restated) and June 30, 2008 (unaudited)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Statements of Operations for the years ended December 31, 2005, 2006, and 2007 (restated) and for the six month periods ended</w:t>
              </w:r>
            </w:hyperlink>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40" w:type="dxa"/>
            <w:vAlign w:val="bottom"/>
            <w:gridSpan w:val="10"/>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June 30, 2007 and 2008 (unaudited)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1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Statements of Preferred Stock and Stockholders’ Deficit for the years ended December 31, 2005, 2006, and 2007 (restated) and</w:t>
              </w:r>
            </w:hyperlink>
          </w:p>
        </w:tc>
        <w:tc>
          <w:tcPr>
            <w:tcW w:w="3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for the six month period ended June 30, 2008 (unaudited)</w:t>
              </w:r>
            </w:hyperlink>
          </w:p>
        </w:tc>
        <w:tc>
          <w:tcPr>
            <w:tcW w:w="52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Statements of Cash Flows for the years ended December 31, 2005, 2006, and 2007 (restated) and for the six month period ended</w:t>
              </w:r>
            </w:hyperlink>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June 30, 2008 (unaudited)</w:t>
              </w:r>
            </w:hyperlink>
          </w:p>
        </w:tc>
        <w:tc>
          <w:tcPr>
            <w:tcW w:w="7180" w:type="dxa"/>
            <w:vAlign w:val="bottom"/>
            <w:tcBorders>
              <w:top w:val="single" w:sz="8" w:color="0000EE"/>
            </w:tcBorders>
            <w:gridSpan w:val="7"/>
          </w:tcPr>
          <w:p>
            <w:pPr>
              <w:spacing w:after="0"/>
              <w:rPr>
                <w:sz w:val="17"/>
                <w:szCs w:val="17"/>
                <w:color w:val="auto"/>
              </w:rPr>
            </w:pPr>
          </w:p>
        </w:tc>
        <w:tc>
          <w:tcPr>
            <w:tcW w:w="2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20" w:type="dxa"/>
            <w:vAlign w:val="bottom"/>
            <w:gridSpan w:val="1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Notes to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800" w:type="dxa"/>
            <w:vAlign w:val="bottom"/>
          </w:tcPr>
          <w:p>
            <w:pPr>
              <w:spacing w:after="0"/>
              <w:rPr>
                <w:sz w:val="17"/>
                <w:szCs w:val="17"/>
                <w:color w:val="auto"/>
              </w:rPr>
            </w:pPr>
          </w:p>
        </w:tc>
      </w:tr>
      <w:tr>
        <w:trPr>
          <w:trHeight w:val="642"/>
        </w:trPr>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5"/>
          </w:tcPr>
          <w:p>
            <w:pPr>
              <w:ind w:left="5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Grand Canyon Education, Inc.</w:t>
      </w:r>
    </w:p>
    <w:p>
      <w:pPr>
        <w:spacing w:after="0" w:line="116"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60"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72"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52"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6"/>
          <w:szCs w:val="16"/>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Ernst &amp; Young LLP</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12, 2008, except for Note 3, as to which the date is August 11, 2008, and Note 17(a), as to which the date is [ l ], 2008</w:t>
      </w:r>
    </w:p>
    <w:p>
      <w:pPr>
        <w:spacing w:after="0" w:line="278"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The foregoing report is in the form that will be signed upon the determination of the special distribution to stockholders described in Note 17(a)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11, 2008</w:t>
      </w:r>
    </w:p>
    <w:p>
      <w:pPr>
        <w:spacing w:after="0" w:line="4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 thousands, except share data)</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w w:val="90"/>
              </w:rPr>
              <w:t>As of December 31,</w:t>
            </w: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86"/>
              </w:rPr>
              <w:t>June 30,</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Pro forma</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ind w:right="77"/>
              <w:spacing w:after="0"/>
              <w:rPr>
                <w:sz w:val="20"/>
                <w:szCs w:val="20"/>
                <w:color w:val="auto"/>
              </w:rPr>
            </w:pPr>
            <w:r>
              <w:rPr>
                <w:rFonts w:ascii="Arial" w:cs="Arial" w:eastAsia="Arial" w:hAnsi="Arial"/>
                <w:sz w:val="11"/>
                <w:szCs w:val="11"/>
                <w:b w:val="1"/>
                <w:bCs w:val="1"/>
                <w:color w:val="auto"/>
              </w:rPr>
              <w:t>2006</w:t>
            </w:r>
          </w:p>
        </w:tc>
        <w:tc>
          <w:tcPr>
            <w:tcW w:w="280" w:type="dxa"/>
            <w:vAlign w:val="bottom"/>
            <w:gridSpan w:val="2"/>
            <w:vMerge w:val="restart"/>
          </w:tcPr>
          <w:p>
            <w:pPr>
              <w:spacing w:after="0"/>
              <w:rPr>
                <w:sz w:val="20"/>
                <w:szCs w:val="20"/>
                <w:color w:val="auto"/>
              </w:rPr>
            </w:pPr>
            <w:r>
              <w:rPr>
                <w:rFonts w:ascii="Arial" w:cs="Arial" w:eastAsia="Arial" w:hAnsi="Arial"/>
                <w:sz w:val="6"/>
                <w:szCs w:val="6"/>
                <w:b w:val="1"/>
                <w:bCs w:val="1"/>
                <w:color w:val="auto"/>
                <w:w w:val="88"/>
              </w:rPr>
              <w:t>(Restated)</w:t>
            </w:r>
          </w:p>
        </w:tc>
        <w:tc>
          <w:tcPr>
            <w:tcW w:w="100" w:type="dxa"/>
            <w:vAlign w:val="bottom"/>
          </w:tcPr>
          <w:p>
            <w:pPr>
              <w:spacing w:after="0"/>
              <w:rPr>
                <w:sz w:val="11"/>
                <w:szCs w:val="11"/>
                <w:color w:val="auto"/>
              </w:rPr>
            </w:pPr>
          </w:p>
        </w:tc>
        <w:tc>
          <w:tcPr>
            <w:tcW w:w="380" w:type="dxa"/>
            <w:vAlign w:val="bottom"/>
          </w:tcPr>
          <w:p>
            <w:pPr>
              <w:jc w:val="right"/>
              <w:ind w:right="77"/>
              <w:spacing w:after="0"/>
              <w:rPr>
                <w:sz w:val="20"/>
                <w:szCs w:val="20"/>
                <w:color w:val="auto"/>
              </w:rPr>
            </w:pPr>
            <w:r>
              <w:rPr>
                <w:rFonts w:ascii="Arial" w:cs="Arial" w:eastAsia="Arial" w:hAnsi="Arial"/>
                <w:sz w:val="11"/>
                <w:szCs w:val="11"/>
                <w:b w:val="1"/>
                <w:bCs w:val="1"/>
                <w:color w:val="auto"/>
                <w:w w:val="89"/>
              </w:rPr>
              <w:t>2007</w:t>
            </w:r>
          </w:p>
        </w:tc>
        <w:tc>
          <w:tcPr>
            <w:tcW w:w="3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2007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17"/>
              <w:spacing w:after="0"/>
              <w:rPr>
                <w:sz w:val="20"/>
                <w:szCs w:val="20"/>
                <w:color w:val="auto"/>
              </w:rPr>
            </w:pPr>
            <w:r>
              <w:rPr>
                <w:rFonts w:ascii="Arial" w:cs="Arial" w:eastAsia="Arial" w:hAnsi="Arial"/>
                <w:sz w:val="11"/>
                <w:szCs w:val="11"/>
                <w:b w:val="1"/>
                <w:bCs w:val="1"/>
                <w:color w:val="auto"/>
                <w:w w:val="89"/>
              </w:rPr>
              <w:t>2008</w:t>
            </w:r>
          </w:p>
        </w:tc>
        <w:tc>
          <w:tcPr>
            <w:tcW w:w="28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June 30, 2008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(Unaudited)</w:t>
            </w:r>
          </w:p>
        </w:tc>
        <w:tc>
          <w:tcPr>
            <w:tcW w:w="280" w:type="dxa"/>
            <w:vAlign w:val="bottom"/>
          </w:tcPr>
          <w:p>
            <w:pPr>
              <w:spacing w:after="0"/>
              <w:rPr>
                <w:sz w:val="11"/>
                <w:szCs w:val="11"/>
                <w:color w:val="auto"/>
              </w:rPr>
            </w:pPr>
          </w:p>
        </w:tc>
        <w:tc>
          <w:tcPr>
            <w:tcW w:w="58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(Unaudited)</w:t>
            </w:r>
          </w:p>
        </w:tc>
        <w:tc>
          <w:tcPr>
            <w:tcW w:w="28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14,361</w:t>
            </w: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23,210</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7,206</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80" w:type="dxa"/>
            <w:vAlign w:val="bottom"/>
          </w:tcPr>
          <w:p>
            <w:pPr>
              <w:ind w:left="220"/>
              <w:spacing w:after="0" w:line="121" w:lineRule="exact"/>
              <w:rPr>
                <w:sz w:val="20"/>
                <w:szCs w:val="20"/>
                <w:color w:val="auto"/>
              </w:rPr>
            </w:pPr>
            <w:r>
              <w:rPr>
                <w:rFonts w:ascii="Arial" w:cs="Arial" w:eastAsia="Arial" w:hAnsi="Arial"/>
                <w:sz w:val="13"/>
                <w:szCs w:val="13"/>
                <w:color w:val="auto"/>
                <w:w w:val="91"/>
              </w:rPr>
              <w:t>Accounts receivable, net of allowance for doubtful accounts of $7,380 and $12,158 at December 31, 2006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360"/>
              <w:spacing w:after="0"/>
              <w:rPr>
                <w:sz w:val="20"/>
                <w:szCs w:val="20"/>
                <w:color w:val="auto"/>
              </w:rPr>
            </w:pPr>
            <w:r>
              <w:rPr>
                <w:rFonts w:ascii="Arial" w:cs="Arial" w:eastAsia="Arial" w:hAnsi="Arial"/>
                <w:sz w:val="13"/>
                <w:szCs w:val="13"/>
                <w:color w:val="auto"/>
              </w:rPr>
              <w:t>and 2007, and $15,442 at June 30, 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4,798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7,114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6,930</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Due from related parties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6,001</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2,984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4,640</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4,640</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1,349</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2,317</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line="143" w:lineRule="exact"/>
              <w:rPr>
                <w:sz w:val="20"/>
                <w:szCs w:val="20"/>
                <w:color w:val="auto"/>
              </w:rPr>
            </w:pPr>
            <w:r>
              <w:rPr>
                <w:rFonts w:ascii="Arial" w:cs="Arial" w:eastAsia="Arial" w:hAnsi="Arial"/>
                <w:sz w:val="13"/>
                <w:szCs w:val="13"/>
                <w:color w:val="auto"/>
              </w:rPr>
              <w:t>Total current assets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23,036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w w:val="90"/>
              </w:rPr>
              <w:t>42,314</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21,548</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29,017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33,849</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36,460</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Restricted cash and investments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3,074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3,298</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3,370</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royalties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8,409</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2,941</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income taxes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2,806</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5,308</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Deposit with former owner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2,512</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line="143" w:lineRule="exact"/>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61,232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88,568</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80,548</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PREFERRED STOCK AND STOCKHOLDERS’ DEFICIT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3,181</w:t>
            </w: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3,434</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4,532</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Accrued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3,044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6,893</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6,582</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Income taxes payable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1,646</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Deferred revenue and student deposits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6,133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0"/>
              </w:rPr>
              <w:t>10,369</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10,973</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Royalty payable to former owner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7,428</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Due to related parties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1,005</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1,472</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Line of credit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6,000</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Current portion of capital lease obligations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949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1,150</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1,132</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Current portion of notes payable</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646</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412</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0" w:type="dxa"/>
            <w:vAlign w:val="bottom"/>
            <w:gridSpan w:val="2"/>
          </w:tcPr>
          <w:p>
            <w:pPr>
              <w:spacing w:after="0" w:line="143" w:lineRule="exact"/>
              <w:rPr>
                <w:sz w:val="20"/>
                <w:szCs w:val="20"/>
                <w:color w:val="auto"/>
              </w:rPr>
            </w:pPr>
            <w:r>
              <w:rPr>
                <w:rFonts w:ascii="Arial" w:cs="Arial" w:eastAsia="Arial" w:hAnsi="Arial"/>
                <w:sz w:val="13"/>
                <w:szCs w:val="13"/>
                <w:color w:val="auto"/>
              </w:rPr>
              <w:t>Total current liabilities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20,698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w w:val="90"/>
              </w:rPr>
              <w:t>37,166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26,749</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lease obligations, less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28,779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28,078</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28,288</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line="135" w:lineRule="exact"/>
              <w:rPr>
                <w:sz w:val="20"/>
                <w:szCs w:val="20"/>
                <w:color w:val="auto"/>
              </w:rPr>
            </w:pPr>
            <w:r>
              <w:rPr>
                <w:rFonts w:ascii="Arial" w:cs="Arial" w:eastAsia="Arial" w:hAnsi="Arial"/>
                <w:sz w:val="13"/>
                <w:szCs w:val="13"/>
                <w:color w:val="auto"/>
              </w:rPr>
              <w:t>Notes payable, less current portion</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2,088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1,762</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1,482</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51,565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67,006</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56,519</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0" w:type="dxa"/>
            <w:vAlign w:val="bottom"/>
            <w:gridSpan w:val="2"/>
          </w:tcPr>
          <w:p>
            <w:pPr>
              <w:spacing w:after="0"/>
              <w:rPr>
                <w:sz w:val="20"/>
                <w:szCs w:val="20"/>
                <w:color w:val="auto"/>
              </w:rPr>
            </w:pPr>
            <w:r>
              <w:rPr>
                <w:rFonts w:ascii="Arial" w:cs="Arial" w:eastAsia="Arial" w:hAnsi="Arial"/>
                <w:sz w:val="13"/>
                <w:szCs w:val="13"/>
                <w:color w:val="auto"/>
              </w:rPr>
              <w:t>Commitments and contingencies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A convertible preferred stock, $0.01 par value: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100"/>
              <w:spacing w:after="0" w:line="135" w:lineRule="exact"/>
              <w:rPr>
                <w:sz w:val="20"/>
                <w:szCs w:val="20"/>
                <w:color w:val="auto"/>
              </w:rPr>
            </w:pPr>
            <w:r>
              <w:rPr>
                <w:rFonts w:ascii="Arial" w:cs="Arial" w:eastAsia="Arial" w:hAnsi="Arial"/>
                <w:sz w:val="13"/>
                <w:szCs w:val="13"/>
                <w:color w:val="auto"/>
                <w:w w:val="88"/>
              </w:rPr>
              <w:t>Authorized — 7,500 shares at December 31, 2006, and 9,700 shares at December 31, 2007 and June 30, 2008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Issued and outstanding — 5,953 shares at December 31, 2006, 2007 and June 30, 2008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100"/>
              <w:spacing w:after="0" w:line="135" w:lineRule="exact"/>
              <w:rPr>
                <w:sz w:val="20"/>
                <w:szCs w:val="20"/>
                <w:color w:val="auto"/>
              </w:rPr>
            </w:pPr>
            <w:r>
              <w:rPr>
                <w:rFonts w:ascii="Arial" w:cs="Arial" w:eastAsia="Arial" w:hAnsi="Arial"/>
                <w:sz w:val="13"/>
                <w:szCs w:val="13"/>
                <w:color w:val="auto"/>
              </w:rPr>
              <w:t>Liquidation value — $57,750 at December 31, 2007 and June 30, 2008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18,610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0"/>
              </w:rPr>
              <w:t>18,610</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18,610</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B 12% preferred stock, $0.01 par value: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100"/>
              <w:spacing w:after="0" w:line="135" w:lineRule="exact"/>
              <w:rPr>
                <w:sz w:val="20"/>
                <w:szCs w:val="20"/>
                <w:color w:val="auto"/>
              </w:rPr>
            </w:pPr>
            <w:r>
              <w:rPr>
                <w:rFonts w:ascii="Arial" w:cs="Arial" w:eastAsia="Arial" w:hAnsi="Arial"/>
                <w:sz w:val="13"/>
                <w:szCs w:val="13"/>
                <w:color w:val="auto"/>
              </w:rPr>
              <w:t>Authorized — 2,200 shares at December 31, 2006, 2007 and June 30, 2008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7"/>
              </w:rPr>
              <w:t>Issued and outstanding — 865 shares at December 31, 2006, and 0 shares at December 31, 2007 and June 30,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100"/>
              <w:spacing w:after="0" w:line="135" w:lineRule="exact"/>
              <w:rPr>
                <w:sz w:val="20"/>
                <w:szCs w:val="20"/>
                <w:color w:val="auto"/>
              </w:rPr>
            </w:pPr>
            <w:r>
              <w:rPr>
                <w:rFonts w:ascii="Arial" w:cs="Arial" w:eastAsia="Arial" w:hAnsi="Arial"/>
                <w:sz w:val="13"/>
                <w:szCs w:val="13"/>
                <w:color w:val="auto"/>
              </w:rPr>
              <w:t>Liquidation value — $0 at December 31, 2007 and June 30, 2008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2,780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Series C 8% preferred stock, $0.01 par value:</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100"/>
              <w:spacing w:after="0" w:line="135" w:lineRule="exact"/>
              <w:rPr>
                <w:sz w:val="20"/>
                <w:szCs w:val="20"/>
                <w:color w:val="auto"/>
              </w:rPr>
            </w:pPr>
            <w:r>
              <w:rPr>
                <w:rFonts w:ascii="Arial" w:cs="Arial" w:eastAsia="Arial" w:hAnsi="Arial"/>
                <w:sz w:val="13"/>
                <w:szCs w:val="13"/>
                <w:color w:val="auto"/>
                <w:w w:val="91"/>
              </w:rPr>
              <w:t>Authorized — 0 shares at December 31, 2006, and 3,900 shares at December 31, 2007 and June 30, 2008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6"/>
              </w:rPr>
              <w:t>Issued and outstanding — 0 shares at December 31, 2006, and 3,829 shares at December 31, 2007 and June 30,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80" w:type="dxa"/>
            <w:vAlign w:val="bottom"/>
          </w:tcPr>
          <w:p>
            <w:pPr>
              <w:ind w:left="100"/>
              <w:spacing w:after="0"/>
              <w:rPr>
                <w:sz w:val="20"/>
                <w:szCs w:val="20"/>
                <w:color w:val="auto"/>
              </w:rPr>
            </w:pPr>
            <w:r>
              <w:rPr>
                <w:rFonts w:ascii="Arial" w:cs="Arial" w:eastAsia="Arial" w:hAnsi="Arial"/>
                <w:sz w:val="13"/>
                <w:szCs w:val="13"/>
                <w:color w:val="auto"/>
              </w:rPr>
              <w:t>Liquidation value — $26,829 at December 31, 2007 and June 30, 2008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13,338</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13,859</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deficit: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Common stock, $0.01 par value: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Authorized — 30,000 shares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80" w:type="dxa"/>
            <w:vAlign w:val="bottom"/>
          </w:tcPr>
          <w:p>
            <w:pPr>
              <w:ind w:left="360"/>
              <w:spacing w:after="0" w:line="121" w:lineRule="exact"/>
              <w:rPr>
                <w:sz w:val="20"/>
                <w:szCs w:val="20"/>
                <w:color w:val="auto"/>
              </w:rPr>
            </w:pPr>
            <w:r>
              <w:rPr>
                <w:rFonts w:ascii="Arial" w:cs="Arial" w:eastAsia="Arial" w:hAnsi="Arial"/>
                <w:sz w:val="13"/>
                <w:szCs w:val="13"/>
                <w:color w:val="auto"/>
                <w:w w:val="87"/>
              </w:rPr>
              <w:t>Issued and outstanding — 10,325 shares at December 31, 2006, 10,425 shares at December 31, 2007,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480"/>
              <w:spacing w:after="0"/>
              <w:rPr>
                <w:sz w:val="20"/>
                <w:szCs w:val="20"/>
                <w:color w:val="auto"/>
              </w:rPr>
            </w:pPr>
            <w:r>
              <w:rPr>
                <w:rFonts w:ascii="Arial" w:cs="Arial" w:eastAsia="Arial" w:hAnsi="Arial"/>
                <w:sz w:val="13"/>
                <w:szCs w:val="13"/>
                <w:color w:val="auto"/>
              </w:rPr>
              <w:t>10,525 shares at June 30, 2008.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8,142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7,909</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6,700</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tcPr>
          <w:p>
            <w:pPr>
              <w:ind w:left="220"/>
              <w:spacing w:after="0" w:line="135" w:lineRule="exact"/>
              <w:rPr>
                <w:sz w:val="20"/>
                <w:szCs w:val="20"/>
                <w:color w:val="auto"/>
              </w:rPr>
            </w:pPr>
            <w:r>
              <w:rPr>
                <w:rFonts w:ascii="Arial" w:cs="Arial" w:eastAsia="Arial" w:hAnsi="Arial"/>
                <w:sz w:val="13"/>
                <w:szCs w:val="13"/>
                <w:color w:val="auto"/>
              </w:rPr>
              <w:t>Accumulated other comprehensive income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Accumulated deficit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90"/>
              </w:rPr>
              <w:t>(19,900)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2"/>
              </w:rPr>
              <w:t>(18,374)</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(15,150)</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gridSpan w:val="2"/>
          </w:tcPr>
          <w:p>
            <w:pPr>
              <w:spacing w:after="0" w:line="143" w:lineRule="exact"/>
              <w:rPr>
                <w:sz w:val="20"/>
                <w:szCs w:val="20"/>
                <w:color w:val="auto"/>
              </w:rPr>
            </w:pPr>
            <w:r>
              <w:rPr>
                <w:rFonts w:ascii="Arial" w:cs="Arial" w:eastAsia="Arial" w:hAnsi="Arial"/>
                <w:sz w:val="13"/>
                <w:szCs w:val="13"/>
                <w:color w:val="auto"/>
              </w:rPr>
              <w:t>Total stockholders’ deficit</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(11,723)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74"/>
              </w:rPr>
              <w:t>(10,386)</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(8,440)</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preferred stock and stockholders’ deficit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61,232</w:t>
            </w: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88,568</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80,548</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(Restated)</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right"/>
              <w:ind w:right="111"/>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51,793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72,111</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99,326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44,071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70,275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39,050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Selling and promotional, including $2,839 in 2005; $3,742 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2006, and $4,293 in 2007, $2,064 and $2,925 for the six</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w w:val="97"/>
              </w:rPr>
              <w:t>months ended June 30, 2007 and 2008, to related parties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14,047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35,148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27,473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160"/>
              <w:spacing w:after="0"/>
              <w:rPr>
                <w:sz w:val="20"/>
                <w:szCs w:val="20"/>
                <w:color w:val="auto"/>
              </w:rPr>
            </w:pPr>
            <w:r>
              <w:rPr>
                <w:rFonts w:ascii="Arial" w:cs="Arial" w:eastAsia="Arial" w:hAnsi="Arial"/>
                <w:sz w:val="18"/>
                <w:szCs w:val="18"/>
                <w:color w:val="auto"/>
              </w:rPr>
              <w:t>Royalty to former owner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56,697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69,069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94,981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41,747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63,949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(4,904)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4,345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(2,975)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4"/>
              </w:rPr>
              <w:t>(1,515)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(7,726)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income available (loss attributable) to common stockholders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(4,286)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Earnings (loss), per common share:</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Shares used in computing earnings (loss) per common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10,363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19,246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17,866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Pro forma earnings per common share (Unaudited)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Shares used in computing pro forma earnings per common share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Grand Canyon Education, Inc.</w:t>
      </w:r>
    </w:p>
    <w:p>
      <w:pPr>
        <w:spacing w:after="0" w:line="10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Statements of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7"/>
            <w:vMerge w:val="restart"/>
          </w:tcPr>
          <w:p>
            <w:pPr>
              <w:jc w:val="right"/>
              <w:ind w:right="280"/>
              <w:spacing w:after="0"/>
              <w:rPr>
                <w:sz w:val="20"/>
                <w:szCs w:val="20"/>
                <w:color w:val="auto"/>
              </w:rPr>
            </w:pPr>
            <w:r>
              <w:rPr>
                <w:rFonts w:ascii="Arial" w:cs="Arial" w:eastAsia="Arial" w:hAnsi="Arial"/>
                <w:sz w:val="13"/>
                <w:szCs w:val="13"/>
                <w:b w:val="1"/>
                <w:bCs w:val="1"/>
                <w:color w:val="auto"/>
                <w:w w:val="92"/>
              </w:rPr>
              <w:t>Preferred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7"/>
          </w:tcPr>
          <w:p>
            <w:pPr>
              <w:jc w:val="right"/>
              <w:ind w:right="460"/>
              <w:spacing w:after="0"/>
              <w:rPr>
                <w:sz w:val="20"/>
                <w:szCs w:val="20"/>
                <w:color w:val="auto"/>
              </w:rPr>
            </w:pPr>
            <w:r>
              <w:rPr>
                <w:rFonts w:ascii="Arial" w:cs="Arial" w:eastAsia="Arial" w:hAnsi="Arial"/>
                <w:sz w:val="13"/>
                <w:szCs w:val="13"/>
                <w:b w:val="1"/>
                <w:bCs w:val="1"/>
                <w:color w:val="auto"/>
              </w:rPr>
              <w:t>Members’/Stockholders’ Deficit</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0" w:type="dxa"/>
            <w:vAlign w:val="bottom"/>
            <w:gridSpan w:val="2"/>
          </w:tcPr>
          <w:p>
            <w:pPr>
              <w:spacing w:after="0"/>
              <w:rPr>
                <w:sz w:val="11"/>
                <w:szCs w:val="11"/>
                <w:color w:val="auto"/>
              </w:rPr>
            </w:pPr>
          </w:p>
        </w:tc>
        <w:tc>
          <w:tcPr>
            <w:tcW w:w="1540" w:type="dxa"/>
            <w:vAlign w:val="bottom"/>
            <w:tcBorders>
              <w:bottom w:val="single" w:sz="8" w:color="auto"/>
            </w:tcBorders>
            <w:gridSpan w:val="11"/>
          </w:tcPr>
          <w:p>
            <w:pPr>
              <w:spacing w:after="0"/>
              <w:rPr>
                <w:sz w:val="11"/>
                <w:szCs w:val="11"/>
                <w:color w:val="auto"/>
              </w:rPr>
            </w:pPr>
          </w:p>
        </w:tc>
        <w:tc>
          <w:tcPr>
            <w:tcW w:w="1200" w:type="dxa"/>
            <w:vAlign w:val="bottom"/>
            <w:tcBorders>
              <w:bottom w:val="single" w:sz="8" w:color="auto"/>
            </w:tcBorders>
            <w:gridSpan w:val="7"/>
            <w:vMerge w:val="continue"/>
          </w:tcPr>
          <w:p>
            <w:pPr>
              <w:spacing w:after="0"/>
              <w:rPr>
                <w:sz w:val="11"/>
                <w:szCs w:val="11"/>
                <w:color w:val="auto"/>
              </w:rPr>
            </w:pPr>
          </w:p>
        </w:tc>
        <w:tc>
          <w:tcPr>
            <w:tcW w:w="1300" w:type="dxa"/>
            <w:vAlign w:val="bottom"/>
            <w:tcBorders>
              <w:bottom w:val="single" w:sz="8" w:color="auto"/>
            </w:tcBorders>
            <w:gridSpan w:val="9"/>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280" w:type="dxa"/>
            <w:vAlign w:val="bottom"/>
            <w:gridSpan w:val="35"/>
          </w:tcPr>
          <w:p>
            <w:pPr>
              <w:spacing w:after="0"/>
              <w:rPr>
                <w:sz w:val="20"/>
                <w:szCs w:val="20"/>
                <w:color w:val="auto"/>
              </w:rPr>
            </w:pPr>
            <w:r>
              <w:rPr>
                <w:rFonts w:ascii="Arial" w:cs="Arial" w:eastAsia="Arial" w:hAnsi="Arial"/>
                <w:sz w:val="13"/>
                <w:szCs w:val="13"/>
                <w:b w:val="1"/>
                <w:bCs w:val="1"/>
                <w:color w:val="auto"/>
              </w:rPr>
              <w:t>Accumulated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380" w:type="dxa"/>
            <w:vAlign w:val="bottom"/>
            <w:gridSpan w:val="9"/>
          </w:tcPr>
          <w:p>
            <w:pPr>
              <w:ind w:left="140"/>
              <w:spacing w:after="0" w:line="110" w:lineRule="exact"/>
              <w:rPr>
                <w:sz w:val="20"/>
                <w:szCs w:val="20"/>
                <w:color w:val="auto"/>
              </w:rPr>
            </w:pPr>
            <w:r>
              <w:rPr>
                <w:rFonts w:ascii="Arial" w:cs="Arial" w:eastAsia="Arial" w:hAnsi="Arial"/>
                <w:sz w:val="12"/>
                <w:szCs w:val="12"/>
                <w:b w:val="1"/>
                <w:bCs w:val="1"/>
                <w:color w:val="auto"/>
              </w:rPr>
              <w:t>Series A Convertible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5"/>
          </w:tcPr>
          <w:p>
            <w:pPr>
              <w:ind w:left="340"/>
              <w:spacing w:after="0" w:line="110" w:lineRule="exact"/>
              <w:rPr>
                <w:sz w:val="20"/>
                <w:szCs w:val="20"/>
                <w:color w:val="auto"/>
              </w:rPr>
            </w:pPr>
            <w:r>
              <w:rPr>
                <w:rFonts w:ascii="Arial" w:cs="Arial" w:eastAsia="Arial" w:hAnsi="Arial"/>
                <w:sz w:val="12"/>
                <w:szCs w:val="12"/>
                <w:b w:val="1"/>
                <w:bCs w:val="1"/>
                <w:color w:val="auto"/>
                <w:w w:val="87"/>
              </w:rPr>
              <w:t>Series B</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7"/>
          </w:tcPr>
          <w:p>
            <w:pPr>
              <w:jc w:val="center"/>
              <w:ind w:right="120"/>
              <w:spacing w:after="0" w:line="110" w:lineRule="exact"/>
              <w:rPr>
                <w:sz w:val="20"/>
                <w:szCs w:val="20"/>
                <w:color w:val="auto"/>
              </w:rPr>
            </w:pPr>
            <w:r>
              <w:rPr>
                <w:rFonts w:ascii="Arial" w:cs="Arial" w:eastAsia="Arial" w:hAnsi="Arial"/>
                <w:sz w:val="12"/>
                <w:szCs w:val="12"/>
                <w:b w:val="1"/>
                <w:bCs w:val="1"/>
                <w:color w:val="auto"/>
                <w:w w:val="91"/>
              </w:rPr>
              <w:t>Series C</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5"/>
          </w:tcPr>
          <w:p>
            <w:pPr>
              <w:jc w:val="center"/>
              <w:ind w:right="20"/>
              <w:spacing w:after="0" w:line="110" w:lineRule="exact"/>
              <w:rPr>
                <w:sz w:val="20"/>
                <w:szCs w:val="20"/>
                <w:color w:val="auto"/>
              </w:rPr>
            </w:pPr>
            <w:r>
              <w:rPr>
                <w:rFonts w:ascii="Arial" w:cs="Arial" w:eastAsia="Arial" w:hAnsi="Arial"/>
                <w:sz w:val="12"/>
                <w:szCs w:val="12"/>
                <w:b w:val="1"/>
                <w:bCs w:val="1"/>
                <w:color w:val="auto"/>
                <w:w w:val="95"/>
              </w:rPr>
              <w:t>Additional</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Other</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8"/>
          </w:tcPr>
          <w:p>
            <w:pPr>
              <w:jc w:val="right"/>
              <w:ind w:right="260"/>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w w:val="99"/>
              </w:rPr>
              <w:t>Preferred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right w:val="single" w:sz="8" w:color="auto"/>
            </w:tcBorders>
            <w:gridSpan w:val="8"/>
          </w:tcPr>
          <w:p>
            <w:pPr>
              <w:jc w:val="center"/>
              <w:ind w:right="220"/>
              <w:spacing w:after="0"/>
              <w:rPr>
                <w:sz w:val="20"/>
                <w:szCs w:val="20"/>
                <w:color w:val="auto"/>
              </w:rPr>
            </w:pPr>
            <w:r>
              <w:rPr>
                <w:rFonts w:ascii="Arial" w:cs="Arial" w:eastAsia="Arial" w:hAnsi="Arial"/>
                <w:sz w:val="13"/>
                <w:szCs w:val="13"/>
                <w:b w:val="1"/>
                <w:bCs w:val="1"/>
                <w:color w:val="auto"/>
                <w:w w:val="86"/>
              </w:rPr>
              <w:t>Preferred Stock</w:t>
            </w:r>
          </w:p>
        </w:tc>
        <w:tc>
          <w:tcPr>
            <w:tcW w:w="60" w:type="dxa"/>
            <w:vAlign w:val="bottom"/>
          </w:tcPr>
          <w:p>
            <w:pPr>
              <w:spacing w:after="0"/>
              <w:rPr>
                <w:sz w:val="13"/>
                <w:szCs w:val="13"/>
                <w:color w:val="auto"/>
              </w:rPr>
            </w:pPr>
          </w:p>
        </w:tc>
        <w:tc>
          <w:tcPr>
            <w:tcW w:w="140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w w:val="95"/>
              </w:rPr>
              <w:t>Membership Interests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85"/>
              </w:rPr>
              <w:t>Common Stock</w:t>
            </w:r>
          </w:p>
        </w:tc>
        <w:tc>
          <w:tcPr>
            <w:tcW w:w="40" w:type="dxa"/>
            <w:vAlign w:val="bottom"/>
          </w:tcPr>
          <w:p>
            <w:pPr>
              <w:spacing w:after="0"/>
              <w:rPr>
                <w:sz w:val="13"/>
                <w:szCs w:val="13"/>
                <w:color w:val="auto"/>
              </w:rPr>
            </w:pPr>
          </w:p>
        </w:tc>
        <w:tc>
          <w:tcPr>
            <w:tcW w:w="58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87"/>
              </w:rPr>
              <w:t>Paid-in</w:t>
            </w:r>
          </w:p>
        </w:tc>
        <w:tc>
          <w:tcPr>
            <w:tcW w:w="1620" w:type="dxa"/>
            <w:vAlign w:val="bottom"/>
            <w:gridSpan w:val="9"/>
          </w:tcPr>
          <w:p>
            <w:pPr>
              <w:ind w:left="20"/>
              <w:spacing w:after="0"/>
              <w:rPr>
                <w:sz w:val="20"/>
                <w:szCs w:val="20"/>
                <w:color w:val="auto"/>
              </w:rPr>
            </w:pPr>
            <w:r>
              <w:rPr>
                <w:rFonts w:ascii="Arial" w:cs="Arial" w:eastAsia="Arial" w:hAnsi="Arial"/>
                <w:sz w:val="13"/>
                <w:szCs w:val="13"/>
                <w:b w:val="1"/>
                <w:bCs w:val="1"/>
                <w:color w:val="auto"/>
                <w:w w:val="86"/>
              </w:rPr>
              <w:t>Comprehensive Accumulated</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40" w:type="dxa"/>
            <w:vAlign w:val="bottom"/>
            <w:tcBorders>
              <w:top w:val="single" w:sz="8" w:color="auto"/>
            </w:tcBorders>
            <w:gridSpan w:val="4"/>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w w:val="82"/>
              </w:rPr>
              <w:t>Shares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right"/>
              <w:ind w:right="100"/>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Units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1"/>
                <w:szCs w:val="11"/>
                <w:color w:val="auto"/>
              </w:rPr>
            </w:pPr>
          </w:p>
        </w:tc>
        <w:tc>
          <w:tcPr>
            <w:tcW w:w="1020" w:type="dxa"/>
            <w:vAlign w:val="bottom"/>
            <w:tcBorders>
              <w:top w:val="single" w:sz="8" w:color="auto"/>
            </w:tcBorders>
            <w:gridSpan w:val="8"/>
          </w:tcPr>
          <w:p>
            <w:pPr>
              <w:jc w:val="center"/>
              <w:spacing w:after="0" w:line="129" w:lineRule="exact"/>
              <w:rPr>
                <w:sz w:val="20"/>
                <w:szCs w:val="20"/>
                <w:color w:val="auto"/>
              </w:rPr>
            </w:pPr>
            <w:r>
              <w:rPr>
                <w:rFonts w:ascii="Arial" w:cs="Arial" w:eastAsia="Arial" w:hAnsi="Arial"/>
                <w:sz w:val="13"/>
                <w:szCs w:val="13"/>
                <w:b w:val="1"/>
                <w:bCs w:val="1"/>
                <w:color w:val="auto"/>
                <w:w w:val="90"/>
              </w:rPr>
              <w:t>Shares Par Value</w:t>
            </w:r>
          </w:p>
        </w:tc>
        <w:tc>
          <w:tcPr>
            <w:tcW w:w="40" w:type="dxa"/>
            <w:vAlign w:val="bottom"/>
          </w:tcPr>
          <w:p>
            <w:pPr>
              <w:spacing w:after="0"/>
              <w:rPr>
                <w:sz w:val="11"/>
                <w:szCs w:val="11"/>
                <w:color w:val="auto"/>
              </w:rPr>
            </w:pPr>
          </w:p>
        </w:tc>
        <w:tc>
          <w:tcPr>
            <w:tcW w:w="580" w:type="dxa"/>
            <w:vAlign w:val="bottom"/>
            <w:gridSpan w:val="5"/>
          </w:tcPr>
          <w:p>
            <w:pPr>
              <w:jc w:val="center"/>
              <w:ind w:right="60"/>
              <w:spacing w:after="0" w:line="129"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44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2004</w:t>
            </w: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w w:val="98"/>
              </w:rPr>
              <w:t>8,567</w:t>
            </w: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tcBorders>
              <w:top w:val="single" w:sz="8" w:color="auto"/>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gridSpan w:val="2"/>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gridSpan w:val="3"/>
            <w:shd w:val="clear" w:color="auto" w:fill="CCEEFF"/>
          </w:tcPr>
          <w:p>
            <w:pPr>
              <w:jc w:val="right"/>
              <w:ind w:right="58"/>
              <w:spacing w:after="0" w:line="129" w:lineRule="exact"/>
              <w:rPr>
                <w:sz w:val="20"/>
                <w:szCs w:val="20"/>
                <w:color w:val="auto"/>
              </w:rPr>
            </w:pPr>
            <w:r>
              <w:rPr>
                <w:rFonts w:ascii="Arial" w:cs="Arial" w:eastAsia="Arial" w:hAnsi="Arial"/>
                <w:sz w:val="13"/>
                <w:szCs w:val="13"/>
                <w:color w:val="auto"/>
              </w:rPr>
              <w:t>$(16,212)</w:t>
            </w: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97"/>
              </w:rPr>
              <w:t>(7,645)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Distribution to members</w:t>
            </w:r>
          </w:p>
        </w:tc>
        <w:tc>
          <w:tcPr>
            <w:tcW w:w="16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Exchange of membership interests for</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shares</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(8,327)</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8,327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Conversion of Promissory Notes into</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Series A Convertible Preferred</w:t>
            </w:r>
          </w:p>
        </w:tc>
        <w:tc>
          <w:tcPr>
            <w:tcW w:w="528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Stock</w:t>
            </w: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4,329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14,000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Issuance of common stock for</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services</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Issuance of Series A Convertible</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Preferred Stock for cash, net of</w:t>
            </w:r>
          </w:p>
        </w:tc>
        <w:tc>
          <w:tcPr>
            <w:tcW w:w="5280" w:type="dxa"/>
            <w:vAlign w:val="bottom"/>
            <w:gridSpan w:val="3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issuance costs of $639</w:t>
            </w: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1,624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4,610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Issuance of Series B Preferred Stock</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for cash, net of issuance costs of</w:t>
            </w:r>
          </w:p>
        </w:tc>
        <w:tc>
          <w:tcPr>
            <w:tcW w:w="528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6,980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Net loss (Restated)</w:t>
            </w:r>
          </w:p>
        </w:tc>
        <w:tc>
          <w:tcPr>
            <w:tcW w:w="160" w:type="dxa"/>
            <w:vAlign w:val="bottom"/>
          </w:tcPr>
          <w:p>
            <w:pPr>
              <w:spacing w:after="0"/>
              <w:rPr>
                <w:sz w:val="12"/>
                <w:szCs w:val="12"/>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58"/>
              <w:spacing w:after="0" w:line="135" w:lineRule="exact"/>
              <w:rPr>
                <w:sz w:val="20"/>
                <w:szCs w:val="20"/>
                <w:color w:val="auto"/>
              </w:rPr>
            </w:pPr>
            <w:r>
              <w:rPr>
                <w:rFonts w:ascii="Arial" w:cs="Arial" w:eastAsia="Arial" w:hAnsi="Arial"/>
                <w:sz w:val="13"/>
                <w:szCs w:val="13"/>
                <w:color w:val="auto"/>
              </w:rPr>
              <w:t>(4,286)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7"/>
              </w:rPr>
              <w:t>(4,286)</w:t>
            </w:r>
          </w:p>
        </w:tc>
        <w:tc>
          <w:tcPr>
            <w:tcW w:w="0" w:type="dxa"/>
            <w:vAlign w:val="bottom"/>
          </w:tcPr>
          <w:p>
            <w:pPr>
              <w:spacing w:after="0"/>
              <w:rPr>
                <w:sz w:val="1"/>
                <w:szCs w:val="1"/>
                <w:color w:val="auto"/>
              </w:rPr>
            </w:pPr>
          </w:p>
        </w:tc>
      </w:tr>
      <w:tr>
        <w:trPr>
          <w:trHeight w:val="121"/>
        </w:trPr>
        <w:tc>
          <w:tcPr>
            <w:tcW w:w="2160" w:type="dxa"/>
            <w:vAlign w:val="bottom"/>
            <w:gridSpan w:val="3"/>
          </w:tcPr>
          <w:p>
            <w:pPr>
              <w:spacing w:after="0"/>
              <w:rPr>
                <w:sz w:val="20"/>
                <w:szCs w:val="20"/>
                <w:color w:val="auto"/>
              </w:rPr>
            </w:pPr>
            <w:r>
              <w:rPr>
                <w:rFonts w:ascii="Arial" w:cs="Arial" w:eastAsia="Arial" w:hAnsi="Arial"/>
                <w:sz w:val="13"/>
                <w:szCs w:val="13"/>
                <w:color w:val="auto"/>
              </w:rPr>
              <w:t>Balance at December 31, 2005</w:t>
            </w:r>
          </w:p>
        </w:tc>
        <w:tc>
          <w:tcPr>
            <w:tcW w:w="400" w:type="dxa"/>
            <w:vAlign w:val="bottom"/>
            <w:tcBorders>
              <w:top w:val="single" w:sz="8" w:color="auto"/>
            </w:tcBorders>
            <w:shd w:val="clear" w:color="auto" w:fill="CCEEFF"/>
          </w:tcPr>
          <w:p>
            <w:pPr>
              <w:spacing w:after="0"/>
              <w:rPr>
                <w:sz w:val="10"/>
                <w:szCs w:val="10"/>
                <w:color w:val="auto"/>
              </w:rPr>
            </w:pPr>
          </w:p>
        </w:tc>
        <w:tc>
          <w:tcPr>
            <w:tcW w:w="320" w:type="dxa"/>
            <w:vAlign w:val="bottom"/>
            <w:gridSpan w:val="4"/>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tcBorders>
              <w:right w:val="single" w:sz="8" w:color="auto"/>
            </w:tcBorders>
            <w:gridSpan w:val="2"/>
            <w:shd w:val="clear" w:color="auto" w:fill="CCEEFF"/>
          </w:tcPr>
          <w:p>
            <w:pPr>
              <w:spacing w:after="0"/>
              <w:rPr>
                <w:sz w:val="10"/>
                <w:szCs w:val="10"/>
                <w:color w:val="auto"/>
              </w:rPr>
            </w:pPr>
          </w:p>
        </w:tc>
        <w:tc>
          <w:tcPr>
            <w:tcW w:w="220" w:type="dxa"/>
            <w:vAlign w:val="bottom"/>
            <w:gridSpan w:val="2"/>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60" w:type="dxa"/>
            <w:vAlign w:val="bottom"/>
            <w:tcBorders>
              <w:top w:val="single" w:sz="8" w:color="auto"/>
            </w:tcBorders>
            <w:gridSpan w:val="2"/>
            <w:shd w:val="clear" w:color="auto" w:fill="CCEEFF"/>
          </w:tcPr>
          <w:p>
            <w:pPr>
              <w:spacing w:after="0"/>
              <w:rPr>
                <w:sz w:val="10"/>
                <w:szCs w:val="10"/>
                <w:color w:val="auto"/>
              </w:rPr>
            </w:pPr>
          </w:p>
        </w:tc>
        <w:tc>
          <w:tcPr>
            <w:tcW w:w="38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(Restated)</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5,953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18,610</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6,980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10,325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8,387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58"/>
              <w:spacing w:after="0"/>
              <w:rPr>
                <w:sz w:val="20"/>
                <w:szCs w:val="20"/>
                <w:color w:val="auto"/>
              </w:rPr>
            </w:pPr>
            <w:r>
              <w:rPr>
                <w:rFonts w:ascii="Arial" w:cs="Arial" w:eastAsia="Arial" w:hAnsi="Arial"/>
                <w:sz w:val="13"/>
                <w:szCs w:val="13"/>
                <w:color w:val="auto"/>
              </w:rPr>
              <w:t>(20,498)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(12,111)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Net income (Restated)</w:t>
            </w:r>
          </w:p>
        </w:tc>
        <w:tc>
          <w:tcPr>
            <w:tcW w:w="16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98"/>
              <w:spacing w:after="0" w:line="135" w:lineRule="exact"/>
              <w:rPr>
                <w:sz w:val="20"/>
                <w:szCs w:val="20"/>
                <w:color w:val="auto"/>
              </w:rPr>
            </w:pPr>
            <w:r>
              <w:rPr>
                <w:rFonts w:ascii="Arial" w:cs="Arial" w:eastAsia="Arial" w:hAnsi="Arial"/>
                <w:sz w:val="13"/>
                <w:szCs w:val="13"/>
                <w:color w:val="auto"/>
              </w:rPr>
              <w:t>598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Unrealized gains on available-for-sale</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 net of taxes of $23</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2"/>
        </w:trPr>
        <w:tc>
          <w:tcPr>
            <w:tcW w:w="6140" w:type="dxa"/>
            <w:vAlign w:val="bottom"/>
            <w:tcBorders>
              <w:right w:val="single" w:sz="8" w:color="auto"/>
            </w:tcBorders>
            <w:gridSpan w:val="30"/>
          </w:tcPr>
          <w:p>
            <w:pPr>
              <w:spacing w:after="0" w:line="143" w:lineRule="exact"/>
              <w:rPr>
                <w:sz w:val="20"/>
                <w:szCs w:val="20"/>
                <w:color w:val="auto"/>
              </w:rPr>
            </w:pPr>
            <w:r>
              <w:rPr>
                <w:rFonts w:ascii="Arial" w:cs="Arial" w:eastAsia="Arial" w:hAnsi="Arial"/>
                <w:sz w:val="13"/>
                <w:szCs w:val="13"/>
                <w:color w:val="auto"/>
              </w:rPr>
              <w:t>Comprehensive income</w:t>
            </w:r>
          </w:p>
        </w:tc>
        <w:tc>
          <w:tcPr>
            <w:tcW w:w="4840" w:type="dxa"/>
            <w:vAlign w:val="bottom"/>
            <w:gridSpan w:val="33"/>
          </w:tcPr>
          <w:p>
            <w:pPr>
              <w:spacing w:after="0"/>
              <w:rPr>
                <w:sz w:val="12"/>
                <w:szCs w:val="12"/>
                <w:color w:val="auto"/>
              </w:rPr>
            </w:pPr>
          </w:p>
        </w:tc>
        <w:tc>
          <w:tcPr>
            <w:tcW w:w="3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Redemption of Series B Preferred</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(1,298)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7"/>
              </w:rPr>
              <w:t>(4,200)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w w:val="94"/>
              </w:rPr>
              <w:t>Value assigned to Blanchard shares</w:t>
            </w:r>
          </w:p>
        </w:tc>
        <w:tc>
          <w:tcPr>
            <w:tcW w:w="16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282</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Dividend on Series B Preferred Stock</w:t>
            </w:r>
          </w:p>
        </w:tc>
        <w:tc>
          <w:tcPr>
            <w:tcW w:w="1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(527)</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28"/>
        </w:trPr>
        <w:tc>
          <w:tcPr>
            <w:tcW w:w="2160" w:type="dxa"/>
            <w:vAlign w:val="bottom"/>
            <w:gridSpan w:val="3"/>
          </w:tcPr>
          <w:p>
            <w:pPr>
              <w:spacing w:after="0" w:line="128" w:lineRule="exact"/>
              <w:rPr>
                <w:sz w:val="20"/>
                <w:szCs w:val="20"/>
                <w:color w:val="auto"/>
              </w:rPr>
            </w:pPr>
            <w:r>
              <w:rPr>
                <w:rFonts w:ascii="Arial" w:cs="Arial" w:eastAsia="Arial" w:hAnsi="Arial"/>
                <w:sz w:val="13"/>
                <w:szCs w:val="13"/>
                <w:color w:val="auto"/>
              </w:rPr>
              <w:t>Balance at December 31, 2006</w:t>
            </w:r>
          </w:p>
        </w:tc>
        <w:tc>
          <w:tcPr>
            <w:tcW w:w="400" w:type="dxa"/>
            <w:vAlign w:val="bottom"/>
            <w:tcBorders>
              <w:top w:val="single" w:sz="8" w:color="auto"/>
            </w:tcBorders>
          </w:tcPr>
          <w:p>
            <w:pPr>
              <w:spacing w:after="0"/>
              <w:rPr>
                <w:sz w:val="11"/>
                <w:szCs w:val="11"/>
                <w:color w:val="auto"/>
              </w:rPr>
            </w:pPr>
          </w:p>
        </w:tc>
        <w:tc>
          <w:tcPr>
            <w:tcW w:w="320" w:type="dxa"/>
            <w:vAlign w:val="bottom"/>
            <w:gridSpan w:val="4"/>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420" w:type="dxa"/>
            <w:vAlign w:val="bottom"/>
            <w:tcBorders>
              <w:top w:val="single" w:sz="8" w:color="auto"/>
            </w:tcBorders>
            <w:gridSpan w:val="2"/>
          </w:tcPr>
          <w:p>
            <w:pPr>
              <w:spacing w:after="0"/>
              <w:rPr>
                <w:sz w:val="11"/>
                <w:szCs w:val="11"/>
                <w:color w:val="auto"/>
              </w:rPr>
            </w:pPr>
          </w:p>
        </w:tc>
        <w:tc>
          <w:tcPr>
            <w:tcW w:w="260" w:type="dxa"/>
            <w:vAlign w:val="bottom"/>
            <w:gridSpan w:val="3"/>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gridSpan w:val="3"/>
          </w:tcPr>
          <w:p>
            <w:pPr>
              <w:spacing w:after="0"/>
              <w:rPr>
                <w:sz w:val="11"/>
                <w:szCs w:val="11"/>
                <w:color w:val="auto"/>
              </w:rPr>
            </w:pPr>
          </w:p>
        </w:tc>
        <w:tc>
          <w:tcPr>
            <w:tcW w:w="440" w:type="dxa"/>
            <w:vAlign w:val="bottom"/>
            <w:tcBorders>
              <w:top w:val="single" w:sz="8" w:color="auto"/>
            </w:tcBorders>
            <w:gridSpan w:val="2"/>
          </w:tcPr>
          <w:p>
            <w:pPr>
              <w:spacing w:after="0"/>
              <w:rPr>
                <w:sz w:val="11"/>
                <w:szCs w:val="11"/>
                <w:color w:val="auto"/>
              </w:rPr>
            </w:pPr>
          </w:p>
        </w:tc>
        <w:tc>
          <w:tcPr>
            <w:tcW w:w="160" w:type="dxa"/>
            <w:vAlign w:val="bottom"/>
            <w:tcBorders>
              <w:right w:val="single" w:sz="8" w:color="auto"/>
            </w:tcBorders>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gridSpan w:val="3"/>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gridSpan w:val="3"/>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gridSpan w:val="3"/>
          </w:tcPr>
          <w:p>
            <w:pPr>
              <w:spacing w:after="0"/>
              <w:rPr>
                <w:sz w:val="11"/>
                <w:szCs w:val="11"/>
                <w:color w:val="auto"/>
              </w:rPr>
            </w:pPr>
          </w:p>
        </w:tc>
        <w:tc>
          <w:tcPr>
            <w:tcW w:w="340" w:type="dxa"/>
            <w:vAlign w:val="bottom"/>
            <w:tcBorders>
              <w:top w:val="single" w:sz="8" w:color="auto"/>
            </w:tcBorders>
            <w:gridSpan w:val="2"/>
          </w:tcPr>
          <w:p>
            <w:pPr>
              <w:spacing w:after="0"/>
              <w:rPr>
                <w:sz w:val="11"/>
                <w:szCs w:val="11"/>
                <w:color w:val="auto"/>
              </w:rPr>
            </w:pPr>
          </w:p>
        </w:tc>
        <w:tc>
          <w:tcPr>
            <w:tcW w:w="240" w:type="dxa"/>
            <w:vAlign w:val="bottom"/>
            <w:gridSpan w:val="3"/>
          </w:tcPr>
          <w:p>
            <w:pPr>
              <w:spacing w:after="0"/>
              <w:rPr>
                <w:sz w:val="11"/>
                <w:szCs w:val="11"/>
                <w:color w:val="auto"/>
              </w:rPr>
            </w:pPr>
          </w:p>
        </w:tc>
        <w:tc>
          <w:tcPr>
            <w:tcW w:w="36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460" w:type="dxa"/>
            <w:vAlign w:val="bottom"/>
            <w:tcBorders>
              <w:top w:val="single" w:sz="8" w:color="auto"/>
            </w:tcBorders>
            <w:gridSpan w:val="2"/>
          </w:tcPr>
          <w:p>
            <w:pPr>
              <w:spacing w:after="0"/>
              <w:rPr>
                <w:sz w:val="11"/>
                <w:szCs w:val="11"/>
                <w:color w:val="auto"/>
              </w:rPr>
            </w:pPr>
          </w:p>
        </w:tc>
        <w:tc>
          <w:tcPr>
            <w:tcW w:w="380" w:type="dxa"/>
            <w:vAlign w:val="bottom"/>
            <w:gridSpan w:val="3"/>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gridSpan w:val="3"/>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(Restated)</w:t>
            </w: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5,953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18,610</w:t>
            </w:r>
          </w:p>
        </w:tc>
        <w:tc>
          <w:tcPr>
            <w:tcW w:w="660" w:type="dxa"/>
            <w:vAlign w:val="bottom"/>
            <w:gridSpan w:val="4"/>
          </w:tcPr>
          <w:p>
            <w:pPr>
              <w:jc w:val="right"/>
              <w:ind w:right="80"/>
              <w:spacing w:after="0"/>
              <w:rPr>
                <w:sz w:val="20"/>
                <w:szCs w:val="20"/>
                <w:color w:val="auto"/>
              </w:rPr>
            </w:pPr>
            <w:r>
              <w:rPr>
                <w:rFonts w:ascii="Arial" w:cs="Arial" w:eastAsia="Arial" w:hAnsi="Arial"/>
                <w:sz w:val="13"/>
                <w:szCs w:val="13"/>
                <w:color w:val="auto"/>
              </w:rPr>
              <w:t>865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2,780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4"/>
          </w:tcPr>
          <w:p>
            <w:pPr>
              <w:jc w:val="right"/>
              <w:ind w:right="40"/>
              <w:spacing w:after="0"/>
              <w:rPr>
                <w:sz w:val="20"/>
                <w:szCs w:val="20"/>
                <w:color w:val="auto"/>
              </w:rPr>
            </w:pPr>
            <w:r>
              <w:rPr>
                <w:rFonts w:ascii="Arial" w:cs="Arial" w:eastAsia="Arial" w:hAnsi="Arial"/>
                <w:sz w:val="13"/>
                <w:szCs w:val="13"/>
                <w:color w:val="auto"/>
              </w:rPr>
              <w:t>10,325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8,142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35</w:t>
            </w:r>
          </w:p>
        </w:tc>
        <w:tc>
          <w:tcPr>
            <w:tcW w:w="720" w:type="dxa"/>
            <w:vAlign w:val="bottom"/>
            <w:gridSpan w:val="4"/>
          </w:tcPr>
          <w:p>
            <w:pPr>
              <w:jc w:val="right"/>
              <w:ind w:right="58"/>
              <w:spacing w:after="0"/>
              <w:rPr>
                <w:sz w:val="20"/>
                <w:szCs w:val="20"/>
                <w:color w:val="auto"/>
              </w:rPr>
            </w:pPr>
            <w:r>
              <w:rPr>
                <w:rFonts w:ascii="Arial" w:cs="Arial" w:eastAsia="Arial" w:hAnsi="Arial"/>
                <w:sz w:val="13"/>
                <w:szCs w:val="13"/>
                <w:color w:val="auto"/>
              </w:rPr>
              <w:t>(19,900)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(11,723)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(Restated)</w:t>
            </w:r>
          </w:p>
        </w:tc>
        <w:tc>
          <w:tcPr>
            <w:tcW w:w="1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1,526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1,526</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Unrealized gains on available-for-sale</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securities, net of taxes of $30</w:t>
            </w:r>
          </w:p>
        </w:tc>
        <w:tc>
          <w:tcPr>
            <w:tcW w:w="16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Borders>
              <w:right w:val="single" w:sz="8" w:color="auto"/>
            </w:tcBorders>
            <w:gridSpan w:val="29"/>
          </w:tcPr>
          <w:p>
            <w:pPr>
              <w:spacing w:after="0"/>
              <w:rPr>
                <w:sz w:val="2"/>
                <w:szCs w:val="2"/>
                <w:color w:val="auto"/>
              </w:rPr>
            </w:pPr>
          </w:p>
        </w:tc>
        <w:tc>
          <w:tcPr>
            <w:tcW w:w="5280" w:type="dxa"/>
            <w:vAlign w:val="bottom"/>
            <w:gridSpan w:val="3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20" w:type="dxa"/>
            <w:vAlign w:val="bottom"/>
            <w:tcBorders>
              <w:right w:val="single" w:sz="8" w:color="auto"/>
            </w:tcBorders>
            <w:gridSpan w:val="29"/>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5280" w:type="dxa"/>
            <w:vAlign w:val="bottom"/>
            <w:gridSpan w:val="35"/>
            <w:shd w:val="clear" w:color="auto" w:fill="CCEEFF"/>
          </w:tcPr>
          <w:p>
            <w:pPr>
              <w:jc w:val="right"/>
              <w:ind w:right="5280"/>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Conversion of Series B Preferred</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Stock to</w:t>
            </w:r>
          </w:p>
        </w:tc>
        <w:tc>
          <w:tcPr>
            <w:tcW w:w="5280" w:type="dxa"/>
            <w:vAlign w:val="bottom"/>
            <w:gridSpan w:val="35"/>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Series C Preferred Stock</w:t>
            </w:r>
          </w:p>
        </w:tc>
        <w:tc>
          <w:tcPr>
            <w:tcW w:w="1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(865)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7"/>
              </w:rPr>
              <w:t>(2,780)</w:t>
            </w:r>
          </w:p>
        </w:tc>
        <w:tc>
          <w:tcPr>
            <w:tcW w:w="6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2,780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Payment of amounts due to related</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w w:val="90"/>
              </w:rPr>
              <w:t>party with Series C Preferred Stock</w:t>
            </w:r>
          </w:p>
        </w:tc>
        <w:tc>
          <w:tcPr>
            <w:tcW w:w="16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ind w:right="80"/>
              <w:spacing w:after="0"/>
              <w:rPr>
                <w:sz w:val="20"/>
                <w:szCs w:val="20"/>
                <w:color w:val="auto"/>
              </w:rPr>
            </w:pPr>
            <w:r>
              <w:rPr>
                <w:rFonts w:ascii="Arial" w:cs="Arial" w:eastAsia="Arial" w:hAnsi="Arial"/>
                <w:sz w:val="13"/>
                <w:szCs w:val="13"/>
                <w:color w:val="auto"/>
              </w:rPr>
              <w:t>34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120</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Issuance of Series C Preferred Stock</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for cash, net of issuance costs of</w:t>
            </w:r>
          </w:p>
        </w:tc>
        <w:tc>
          <w:tcPr>
            <w:tcW w:w="528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$36</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2,995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10,409</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 of Blanchard shares</w:t>
            </w:r>
          </w:p>
        </w:tc>
        <w:tc>
          <w:tcPr>
            <w:tcW w:w="16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Dividend on Series B Preferred Stock</w:t>
            </w:r>
          </w:p>
        </w:tc>
        <w:tc>
          <w:tcPr>
            <w:tcW w:w="1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Accretion of Series C Preferred Stock</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Dividend</w:t>
            </w:r>
          </w:p>
        </w:tc>
        <w:tc>
          <w:tcPr>
            <w:tcW w:w="16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1"/>
        </w:trPr>
        <w:tc>
          <w:tcPr>
            <w:tcW w:w="2160" w:type="dxa"/>
            <w:vAlign w:val="bottom"/>
            <w:gridSpan w:val="3"/>
          </w:tcPr>
          <w:p>
            <w:pPr>
              <w:spacing w:after="0"/>
              <w:rPr>
                <w:sz w:val="20"/>
                <w:szCs w:val="20"/>
                <w:color w:val="auto"/>
              </w:rPr>
            </w:pPr>
            <w:r>
              <w:rPr>
                <w:rFonts w:ascii="Arial" w:cs="Arial" w:eastAsia="Arial" w:hAnsi="Arial"/>
                <w:sz w:val="13"/>
                <w:szCs w:val="13"/>
                <w:color w:val="auto"/>
              </w:rPr>
              <w:t>Balance at December 31, 2007</w:t>
            </w:r>
          </w:p>
        </w:tc>
        <w:tc>
          <w:tcPr>
            <w:tcW w:w="400" w:type="dxa"/>
            <w:vAlign w:val="bottom"/>
            <w:tcBorders>
              <w:top w:val="single" w:sz="8" w:color="auto"/>
            </w:tcBorders>
            <w:shd w:val="clear" w:color="auto" w:fill="CCEEFF"/>
          </w:tcPr>
          <w:p>
            <w:pPr>
              <w:spacing w:after="0"/>
              <w:rPr>
                <w:sz w:val="10"/>
                <w:szCs w:val="10"/>
                <w:color w:val="auto"/>
              </w:rPr>
            </w:pPr>
          </w:p>
        </w:tc>
        <w:tc>
          <w:tcPr>
            <w:tcW w:w="320" w:type="dxa"/>
            <w:vAlign w:val="bottom"/>
            <w:gridSpan w:val="4"/>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spacing w:after="0"/>
              <w:rPr>
                <w:sz w:val="10"/>
                <w:szCs w:val="10"/>
                <w:color w:val="auto"/>
              </w:rPr>
            </w:pPr>
          </w:p>
        </w:tc>
        <w:tc>
          <w:tcPr>
            <w:tcW w:w="160" w:type="dxa"/>
            <w:vAlign w:val="bottom"/>
            <w:tcBorders>
              <w:right w:val="single" w:sz="8" w:color="auto"/>
            </w:tcBorders>
            <w:gridSpan w:val="2"/>
            <w:shd w:val="clear" w:color="auto" w:fill="CCEEFF"/>
          </w:tcPr>
          <w:p>
            <w:pPr>
              <w:spacing w:after="0"/>
              <w:rPr>
                <w:sz w:val="10"/>
                <w:szCs w:val="10"/>
                <w:color w:val="auto"/>
              </w:rPr>
            </w:pPr>
          </w:p>
        </w:tc>
        <w:tc>
          <w:tcPr>
            <w:tcW w:w="220" w:type="dxa"/>
            <w:vAlign w:val="bottom"/>
            <w:gridSpan w:val="2"/>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8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gridSpan w:val="3"/>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rPr>
                <w:sz w:val="10"/>
                <w:szCs w:val="10"/>
                <w:color w:val="auto"/>
              </w:rPr>
            </w:pPr>
          </w:p>
        </w:tc>
        <w:tc>
          <w:tcPr>
            <w:tcW w:w="240" w:type="dxa"/>
            <w:vAlign w:val="bottom"/>
            <w:gridSpan w:val="3"/>
            <w:shd w:val="clear" w:color="auto" w:fill="CCEEFF"/>
          </w:tcPr>
          <w:p>
            <w:pPr>
              <w:spacing w:after="0"/>
              <w:rPr>
                <w:sz w:val="10"/>
                <w:szCs w:val="10"/>
                <w:color w:val="auto"/>
              </w:rPr>
            </w:pPr>
          </w:p>
        </w:tc>
        <w:tc>
          <w:tcPr>
            <w:tcW w:w="360" w:type="dxa"/>
            <w:vAlign w:val="bottom"/>
            <w:tcBorders>
              <w:top w:val="single" w:sz="8" w:color="auto"/>
            </w:tcBorders>
            <w:gridSpan w:val="2"/>
            <w:shd w:val="clear" w:color="auto" w:fill="CCEEFF"/>
          </w:tcPr>
          <w:p>
            <w:pPr>
              <w:spacing w:after="0"/>
              <w:rPr>
                <w:sz w:val="10"/>
                <w:szCs w:val="10"/>
                <w:color w:val="auto"/>
              </w:rPr>
            </w:pPr>
          </w:p>
        </w:tc>
        <w:tc>
          <w:tcPr>
            <w:tcW w:w="300" w:type="dxa"/>
            <w:vAlign w:val="bottom"/>
            <w:gridSpan w:val="3"/>
            <w:shd w:val="clear" w:color="auto" w:fill="CCEEFF"/>
          </w:tcPr>
          <w:p>
            <w:pPr>
              <w:spacing w:after="0"/>
              <w:rPr>
                <w:sz w:val="10"/>
                <w:szCs w:val="10"/>
                <w:color w:val="auto"/>
              </w:rPr>
            </w:pPr>
          </w:p>
        </w:tc>
        <w:tc>
          <w:tcPr>
            <w:tcW w:w="460" w:type="dxa"/>
            <w:vAlign w:val="bottom"/>
            <w:tcBorders>
              <w:top w:val="single" w:sz="8" w:color="auto"/>
            </w:tcBorders>
            <w:gridSpan w:val="2"/>
            <w:shd w:val="clear" w:color="auto" w:fill="CCEEFF"/>
          </w:tcPr>
          <w:p>
            <w:pPr>
              <w:spacing w:after="0"/>
              <w:rPr>
                <w:sz w:val="10"/>
                <w:szCs w:val="10"/>
                <w:color w:val="auto"/>
              </w:rPr>
            </w:pPr>
          </w:p>
        </w:tc>
        <w:tc>
          <w:tcPr>
            <w:tcW w:w="380" w:type="dxa"/>
            <w:vAlign w:val="bottom"/>
            <w:gridSpan w:val="3"/>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gridSpan w:val="3"/>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(Restated)</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5,953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18,610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3,829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5"/>
              </w:rPr>
              <w:t>13,338</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10,425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7,909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w:t>
            </w:r>
          </w:p>
        </w:tc>
        <w:tc>
          <w:tcPr>
            <w:tcW w:w="720" w:type="dxa"/>
            <w:vAlign w:val="bottom"/>
            <w:gridSpan w:val="4"/>
            <w:shd w:val="clear" w:color="auto" w:fill="CCEEFF"/>
          </w:tcPr>
          <w:p>
            <w:pPr>
              <w:jc w:val="right"/>
              <w:ind w:right="58"/>
              <w:spacing w:after="0"/>
              <w:rPr>
                <w:sz w:val="20"/>
                <w:szCs w:val="20"/>
                <w:color w:val="auto"/>
              </w:rPr>
            </w:pPr>
            <w:r>
              <w:rPr>
                <w:rFonts w:ascii="Arial" w:cs="Arial" w:eastAsia="Arial" w:hAnsi="Arial"/>
                <w:sz w:val="13"/>
                <w:szCs w:val="13"/>
                <w:color w:val="auto"/>
              </w:rPr>
              <w:t>(18,374)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(10,386)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Pr>
          <w:p>
            <w:pPr>
              <w:spacing w:after="0" w:line="135" w:lineRule="exact"/>
              <w:rPr>
                <w:sz w:val="20"/>
                <w:szCs w:val="20"/>
                <w:color w:val="auto"/>
              </w:rPr>
            </w:pPr>
            <w:r>
              <w:rPr>
                <w:rFonts w:ascii="Arial" w:cs="Arial" w:eastAsia="Arial" w:hAnsi="Arial"/>
                <w:sz w:val="13"/>
                <w:szCs w:val="13"/>
                <w:color w:val="auto"/>
              </w:rPr>
              <w:t>Net income (unaudited)</w:t>
            </w:r>
          </w:p>
        </w:tc>
        <w:tc>
          <w:tcPr>
            <w:tcW w:w="16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tcPr>
          <w:p>
            <w:pPr>
              <w:jc w:val="right"/>
              <w:ind w:right="98"/>
              <w:spacing w:after="0" w:line="135" w:lineRule="exact"/>
              <w:rPr>
                <w:sz w:val="20"/>
                <w:szCs w:val="20"/>
                <w:color w:val="auto"/>
              </w:rPr>
            </w:pPr>
            <w:r>
              <w:rPr>
                <w:rFonts w:ascii="Arial" w:cs="Arial" w:eastAsia="Arial" w:hAnsi="Arial"/>
                <w:sz w:val="13"/>
                <w:szCs w:val="13"/>
                <w:color w:val="auto"/>
              </w:rPr>
              <w:t>3,224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3,224</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Unrealized losses on available for-</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sale securities, net of taxes of $49</w:t>
            </w:r>
          </w:p>
        </w:tc>
        <w:tc>
          <w:tcPr>
            <w:tcW w:w="5280" w:type="dxa"/>
            <w:vAlign w:val="bottom"/>
            <w:gridSpan w:val="35"/>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(unaudited)</w:t>
            </w:r>
          </w:p>
        </w:tc>
        <w:tc>
          <w:tcPr>
            <w:tcW w:w="4840" w:type="dxa"/>
            <w:vAlign w:val="bottom"/>
            <w:gridSpan w:val="33"/>
            <w:shd w:val="clear" w:color="auto" w:fill="CCEEFF"/>
          </w:tcPr>
          <w:p>
            <w:pPr>
              <w:jc w:val="right"/>
              <w:ind w:right="4777"/>
              <w:spacing w:after="0"/>
              <w:rPr>
                <w:sz w:val="20"/>
                <w:szCs w:val="20"/>
                <w:color w:val="auto"/>
              </w:rPr>
            </w:pPr>
            <w:r>
              <w:rPr>
                <w:rFonts w:ascii="Arial" w:cs="Arial" w:eastAsia="Arial" w:hAnsi="Arial"/>
                <w:sz w:val="13"/>
                <w:szCs w:val="13"/>
                <w:color w:val="auto"/>
              </w:rPr>
              <w:t>(69)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2"/>
        </w:trPr>
        <w:tc>
          <w:tcPr>
            <w:tcW w:w="2000" w:type="dxa"/>
            <w:vAlign w:val="bottom"/>
            <w:gridSpan w:val="2"/>
          </w:tcPr>
          <w:p>
            <w:pPr>
              <w:spacing w:after="0" w:line="143" w:lineRule="exact"/>
              <w:rPr>
                <w:sz w:val="20"/>
                <w:szCs w:val="20"/>
                <w:color w:val="auto"/>
              </w:rPr>
            </w:pPr>
            <w:r>
              <w:rPr>
                <w:rFonts w:ascii="Arial" w:cs="Arial" w:eastAsia="Arial" w:hAnsi="Arial"/>
                <w:sz w:val="13"/>
                <w:szCs w:val="13"/>
                <w:color w:val="auto"/>
                <w:w w:val="96"/>
              </w:rPr>
              <w:t>Comprehensive income (unaudited)</w:t>
            </w:r>
          </w:p>
        </w:tc>
        <w:tc>
          <w:tcPr>
            <w:tcW w:w="160" w:type="dxa"/>
            <w:vAlign w:val="bottom"/>
          </w:tcPr>
          <w:p>
            <w:pPr>
              <w:spacing w:after="0"/>
              <w:rPr>
                <w:sz w:val="12"/>
                <w:szCs w:val="12"/>
                <w:color w:val="auto"/>
              </w:rPr>
            </w:pPr>
          </w:p>
        </w:tc>
        <w:tc>
          <w:tcPr>
            <w:tcW w:w="48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Undeclared dividends on Series C</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(unaudited)</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Issuance of Blanchard shares</w:t>
            </w:r>
          </w:p>
        </w:tc>
        <w:tc>
          <w:tcPr>
            <w:tcW w:w="528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2,996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2,996</w:t>
            </w:r>
          </w:p>
        </w:tc>
        <w:tc>
          <w:tcPr>
            <w:tcW w:w="0" w:type="dxa"/>
            <w:vAlign w:val="bottom"/>
          </w:tcPr>
          <w:p>
            <w:pPr>
              <w:spacing w:after="0"/>
              <w:rPr>
                <w:sz w:val="1"/>
                <w:szCs w:val="1"/>
                <w:color w:val="auto"/>
              </w:rPr>
            </w:pPr>
          </w:p>
        </w:tc>
      </w:tr>
      <w:tr>
        <w:trPr>
          <w:trHeight w:val="121"/>
        </w:trPr>
        <w:tc>
          <w:tcPr>
            <w:tcW w:w="6140" w:type="dxa"/>
            <w:vAlign w:val="bottom"/>
            <w:tcBorders>
              <w:right w:val="single" w:sz="8" w:color="auto"/>
            </w:tcBorders>
            <w:gridSpan w:val="30"/>
          </w:tcPr>
          <w:p>
            <w:pPr>
              <w:spacing w:after="0"/>
              <w:rPr>
                <w:sz w:val="20"/>
                <w:szCs w:val="20"/>
                <w:color w:val="auto"/>
              </w:rPr>
            </w:pPr>
            <w:r>
              <w:rPr>
                <w:rFonts w:ascii="Arial" w:cs="Arial" w:eastAsia="Arial" w:hAnsi="Arial"/>
                <w:sz w:val="13"/>
                <w:szCs w:val="13"/>
                <w:color w:val="auto"/>
              </w:rPr>
              <w:t>Cancellation of IAS warrant, net of</w:t>
            </w:r>
          </w:p>
        </w:tc>
        <w:tc>
          <w:tcPr>
            <w:tcW w:w="528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3"/>
              </w:rPr>
              <w:t>$2,316 deferred taxes (unaudited)</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(3,684)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(3,684)</w:t>
            </w:r>
          </w:p>
        </w:tc>
        <w:tc>
          <w:tcPr>
            <w:tcW w:w="0" w:type="dxa"/>
            <w:vAlign w:val="bottom"/>
          </w:tcPr>
          <w:p>
            <w:pPr>
              <w:spacing w:after="0"/>
              <w:rPr>
                <w:sz w:val="1"/>
                <w:szCs w:val="1"/>
                <w:color w:val="auto"/>
              </w:rPr>
            </w:pPr>
          </w:p>
        </w:tc>
      </w:tr>
      <w:tr>
        <w:trPr>
          <w:trHeight w:val="142"/>
        </w:trPr>
        <w:tc>
          <w:tcPr>
            <w:tcW w:w="2000" w:type="dxa"/>
            <w:vAlign w:val="bottom"/>
            <w:gridSpan w:val="2"/>
          </w:tcPr>
          <w:p>
            <w:pPr>
              <w:spacing w:after="0" w:line="143" w:lineRule="exact"/>
              <w:rPr>
                <w:sz w:val="20"/>
                <w:szCs w:val="20"/>
                <w:color w:val="auto"/>
              </w:rPr>
            </w:pPr>
            <w:r>
              <w:rPr>
                <w:rFonts w:ascii="Arial" w:cs="Arial" w:eastAsia="Arial" w:hAnsi="Arial"/>
                <w:sz w:val="13"/>
                <w:szCs w:val="13"/>
                <w:color w:val="auto"/>
                <w:w w:val="91"/>
              </w:rPr>
              <w:t>Balance at June 30, 2008 (unaudited)</w:t>
            </w:r>
          </w:p>
        </w:tc>
        <w:tc>
          <w:tcPr>
            <w:tcW w:w="1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5,953</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ind w:left="180"/>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18,610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3,829</w:t>
            </w:r>
          </w:p>
        </w:tc>
        <w:tc>
          <w:tcPr>
            <w:tcW w:w="8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13,859</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10,525</w:t>
            </w:r>
          </w:p>
        </w:tc>
        <w:tc>
          <w:tcPr>
            <w:tcW w:w="40" w:type="dxa"/>
            <w:vAlign w:val="bottom"/>
          </w:tcPr>
          <w:p>
            <w:pPr>
              <w:spacing w:after="0"/>
              <w:rPr>
                <w:sz w:val="12"/>
                <w:szCs w:val="12"/>
                <w:color w:val="auto"/>
              </w:rPr>
            </w:pPr>
          </w:p>
        </w:tc>
        <w:tc>
          <w:tcPr>
            <w:tcW w:w="1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100"/>
              <w:spacing w:after="0" w:line="143" w:lineRule="exact"/>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2"/>
                <w:szCs w:val="12"/>
                <w:color w:val="auto"/>
              </w:rPr>
            </w:pP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6,700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w:t>
            </w:r>
          </w:p>
        </w:tc>
        <w:tc>
          <w:tcPr>
            <w:tcW w:w="20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(15,150</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7"/>
              </w:rPr>
              <w:t>(8,440)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Grand Canyon Education, Inc.</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thousands)</w:t>
      </w:r>
    </w:p>
    <w:p>
      <w:pPr>
        <w:spacing w:after="0" w:line="5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10"/>
            <w:vMerge w:val="restart"/>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70"/>
              </w:rPr>
              <w:t>(Restated)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(4,286)</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10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Provision for bad debts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3,185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(3,693)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(2,148)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(1,656)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Accounts receivable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(5,356)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(5,974)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(8,573)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(4,139)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60"/>
              <w:spacing w:after="0" w:line="149" w:lineRule="exact"/>
              <w:rPr>
                <w:sz w:val="20"/>
                <w:szCs w:val="20"/>
                <w:color w:val="auto"/>
              </w:rPr>
            </w:pPr>
            <w:r>
              <w:rPr>
                <w:rFonts w:ascii="Arial" w:cs="Arial" w:eastAsia="Arial" w:hAnsi="Arial"/>
                <w:sz w:val="14"/>
                <w:szCs w:val="14"/>
                <w:color w:val="auto"/>
              </w:rPr>
              <w:t>Prepaid expenses and other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Due to/from related parties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Accrued liabilities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(1,351)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60"/>
              <w:spacing w:after="0" w:line="149" w:lineRule="exact"/>
              <w:rPr>
                <w:sz w:val="20"/>
                <w:szCs w:val="20"/>
                <w:color w:val="auto"/>
              </w:rPr>
            </w:pPr>
            <w:r>
              <w:rPr>
                <w:rFonts w:ascii="Arial" w:cs="Arial" w:eastAsia="Arial" w:hAnsi="Arial"/>
                <w:sz w:val="14"/>
                <w:szCs w:val="14"/>
                <w:color w:val="auto"/>
              </w:rPr>
              <w:t>Income taxes payable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(2,294)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(2,353)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Deferred revenue and student deposits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60"/>
              <w:spacing w:after="0" w:line="149" w:lineRule="exact"/>
              <w:rPr>
                <w:sz w:val="20"/>
                <w:szCs w:val="20"/>
                <w:color w:val="auto"/>
              </w:rPr>
            </w:pPr>
            <w:r>
              <w:rPr>
                <w:rFonts w:ascii="Arial" w:cs="Arial" w:eastAsia="Arial" w:hAnsi="Arial"/>
                <w:sz w:val="14"/>
                <w:szCs w:val="14"/>
                <w:color w:val="auto"/>
              </w:rPr>
              <w:t>Prepaid royalties to former owner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Royalty payable to former owner</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60"/>
              <w:spacing w:after="0" w:line="149" w:lineRule="exact"/>
              <w:rPr>
                <w:sz w:val="20"/>
                <w:szCs w:val="20"/>
                <w:color w:val="auto"/>
              </w:rPr>
            </w:pPr>
            <w:r>
              <w:rPr>
                <w:rFonts w:ascii="Arial" w:cs="Arial" w:eastAsia="Arial" w:hAnsi="Arial"/>
                <w:sz w:val="14"/>
                <w:szCs w:val="14"/>
                <w:color w:val="auto"/>
              </w:rPr>
              <w:t>Deposit with former owner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(3,000)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(6,972)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(7,406)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(3,234)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(9,152)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(9,969)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(7,555)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(3,296)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Principal payments on notes payable and capital lease obligations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(2,306)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(1,230)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on line of credit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Proceeds from line of credit and other debt obligations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14,000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Institute Warrant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Repayment of Institute Note Payable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issuances of preferred stock</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Proceeds from related party payable on preferred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preferred stock</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(4,200)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Distributions to members and dividends on preferred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paid related to initial public offering</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63"/>
        </w:trPr>
        <w:tc>
          <w:tcPr>
            <w:tcW w:w="58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6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16,044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(10,728)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11,782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(16,004)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14,361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14,361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14,361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23,210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14,109</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2,994</w:t>
            </w:r>
          </w:p>
        </w:tc>
        <w:tc>
          <w:tcPr>
            <w:tcW w:w="8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2,523</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2,645</w:t>
            </w:r>
          </w:p>
        </w:tc>
        <w:tc>
          <w:tcPr>
            <w:tcW w:w="10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1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Income taxes paid</w:t>
            </w:r>
          </w:p>
        </w:tc>
        <w:tc>
          <w:tcPr>
            <w:tcW w:w="7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equipment through capital lease obligations</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Issuance of Series B and Series C preferred stock for notes receivable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5,725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senior secured notes to Series A convertible preferred stock</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Exchange of membership interest into common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Receipt of marketable securities for Series B preferred stock</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Issuance of Series C preferred stock for settlement of balances owed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dividends on Series C preferred stock</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Value assigned to Blanchard shares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Assumption of future obligations under gift annuities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40" w:type="dxa"/>
            <w:vAlign w:val="bottom"/>
          </w:tcPr>
          <w:p>
            <w:pPr>
              <w:ind w:left="120"/>
              <w:spacing w:after="0"/>
              <w:rPr>
                <w:sz w:val="20"/>
                <w:szCs w:val="20"/>
                <w:color w:val="auto"/>
              </w:rPr>
            </w:pPr>
            <w:r>
              <w:rPr>
                <w:rFonts w:ascii="Arial" w:cs="Arial" w:eastAsia="Arial" w:hAnsi="Arial"/>
                <w:sz w:val="14"/>
                <w:szCs w:val="14"/>
                <w:color w:val="auto"/>
              </w:rPr>
              <w:t>Deferred tax on repurchase of Institute Warrant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7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11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w:t>
      </w:r>
    </w:p>
    <w:p>
      <w:pPr>
        <w:spacing w:after="0" w:line="19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84"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29"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 xml:space="preserve">The accompanying unaudited interim financial statements as of June 30, 2008 and for the six month periods ended June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New Accounting Standards</w:t>
      </w:r>
      <w:r>
        <w:rPr>
          <w:rFonts w:ascii="Arial" w:cs="Arial" w:eastAsia="Arial" w:hAnsi="Arial"/>
          <w:sz w:val="17"/>
          <w:szCs w:val="17"/>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8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Formation and Transactions with Former Owner</w:t>
      </w:r>
    </w:p>
    <w:p>
      <w:pPr>
        <w:spacing w:after="0" w:line="131"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2"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87" w:lineRule="exact"/>
        <w:rPr>
          <w:sz w:val="20"/>
          <w:szCs w:val="20"/>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$26,750 in cash;</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assumption of a $1,500 note payable to a third party (the “Kirksville Note”);</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80" w:right="114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1300" w:right="20" w:hanging="202"/>
        <w:spacing w:after="0" w:line="264"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8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value of the warrant was estimated at $420 which approximates 10% of the estimated fair value of the Company at the date of grant and was included as a component of the cost of the campus and related buildings.</w:t>
      </w:r>
    </w:p>
    <w:p>
      <w:pPr>
        <w:spacing w:after="0" w:line="76"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7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83"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w:t>
      </w:r>
    </w:p>
    <w:p>
      <w:pPr>
        <w:ind w:left="700"/>
        <w:spacing w:after="0"/>
        <w:rPr>
          <w:sz w:val="20"/>
          <w:szCs w:val="20"/>
          <w:color w:val="auto"/>
        </w:rPr>
      </w:pPr>
      <w:r>
        <w:rPr>
          <w:rFonts w:ascii="Arial" w:cs="Arial" w:eastAsia="Arial" w:hAnsi="Arial"/>
          <w:sz w:val="18"/>
          <w:szCs w:val="18"/>
          <w:color w:val="auto"/>
        </w:rPr>
        <w:t>April 15, 2008, which would serve, in its entirety, as consideration for:</w:t>
      </w:r>
    </w:p>
    <w:p>
      <w:pPr>
        <w:spacing w:after="0" w:line="116" w:lineRule="exact"/>
        <w:rPr>
          <w:sz w:val="20"/>
          <w:szCs w:val="20"/>
          <w:color w:val="auto"/>
        </w:rPr>
      </w:pPr>
    </w:p>
    <w:p>
      <w:pPr>
        <w:ind w:left="1300" w:right="220" w:hanging="202"/>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satisfaction in full of all past royalties due to the Institute under the Royalty Agreement and the elimination of the existing obligation to pay royalties for online student revenues in perpetuity;</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repurchase of the Institute Warrant;</w:t>
      </w:r>
    </w:p>
    <w:p>
      <w:pPr>
        <w:spacing w:after="0" w:line="130"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acquisition by the Company of the real property and related building located on the Campus that was owned by the Institute and not transferred in connection with the Ancillary Agreement;</w:t>
      </w:r>
    </w:p>
    <w:p>
      <w:pPr>
        <w:spacing w:after="0" w:line="75" w:lineRule="exact"/>
        <w:rPr>
          <w:rFonts w:ascii="Arial" w:cs="Arial" w:eastAsia="Arial" w:hAnsi="Arial"/>
          <w:sz w:val="18"/>
          <w:szCs w:val="18"/>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termination of a sublease agreement pursuant to which the Institute leased office space on the Campus;</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assumption by the Company of all future payment obligations in respect to certain gift annuities made to the school by donors prior to the acquisition;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satisfaction in full of the $1,250 Institute Loan (including all accrued and unpaid interest thereon).</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Accounting for the April 15, 2008 Settlement of the Standstill Agreement</w:t>
      </w:r>
    </w:p>
    <w:p>
      <w:pPr>
        <w:spacing w:after="0" w:line="131"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7"/>
          <w:szCs w:val="17"/>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Optional Payment</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Payment to be allocated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87"/>
              </w:rPr>
              <w:t>1)</w:t>
            </w:r>
          </w:p>
        </w:tc>
        <w:tc>
          <w:tcPr>
            <w:tcW w:w="6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Obligations settled</w:t>
            </w: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gridSpan w:val="2"/>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due under Royalty Agreement (as of April 15, 2008)</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—Repurchase of Institute Warrant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Institute Loan, including accrued interest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—Other amounts due to the Institute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4"/>
              </w:rPr>
              <w:t>2)</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—Assumption of gift annuities obligation, at fair value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74"/>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to be allocated to assets acquired</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—Real property and prepaid royalty asset</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fair value estimates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6"/>
          <w:szCs w:val="16"/>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52"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87"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8"/>
          <w:szCs w:val="18"/>
          <w:i w:val="1"/>
          <w:iCs w:val="1"/>
          <w:color w:val="auto"/>
        </w:rPr>
        <w:t>i.e.</w:t>
      </w:r>
      <w:r>
        <w:rPr>
          <w:rFonts w:ascii="Arial" w:cs="Arial" w:eastAsia="Arial" w:hAnsi="Arial"/>
          <w:sz w:val="18"/>
          <w:szCs w:val="18"/>
          <w:color w:val="auto"/>
        </w:rPr>
        <w:t>, land) and related building acquired from the Institute in the transaction as an asset at the option exercise date and these assets totalling $129 and $24, respectively, have been classified within “Property and Equipment” on our balance sheet at June 30, 2008.</w:t>
      </w:r>
    </w:p>
    <w:p>
      <w:pPr>
        <w:spacing w:after="0" w:line="9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$5,920 value of the settlement of future royalty payment obligations to the Institute was determined based on its relative fair value at the option exercise date and is included in the accompanying balance sheet at June 30, 2008 as a “Prepaid Royalty,” and will be amortized over a period of 20 years.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Certain reclassifications of prior year amounts have been made to the prior year balances to conform to the current period.</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Available-for-sale investments are carried at fair value as determined by quoted market prices, with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net of tax, 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1"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 xml:space="preserve">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7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At June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99"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84"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See also Note 3, “Restatement of Financial Statements,” for the discussion of the restatement to the allowance for doubtful accounts.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1"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8"/>
          <w:szCs w:val="18"/>
          <w:i w:val="1"/>
          <w:iCs w:val="1"/>
          <w:color w:val="auto"/>
        </w:rPr>
        <w:t>Capitalization of Interest Costs</w:t>
      </w:r>
      <w:r>
        <w:rPr>
          <w:rFonts w:ascii="Arial" w:cs="Arial" w:eastAsia="Arial" w:hAnsi="Arial"/>
          <w:sz w:val="18"/>
          <w:szCs w:val="18"/>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six months ended June 30, 2007 and 2008 are as follows:</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8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2180" w:type="dxa"/>
            <w:vAlign w:val="bottom"/>
            <w:gridSpan w:val="5"/>
          </w:tcPr>
          <w:p>
            <w:pPr>
              <w:ind w:left="40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2006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2007</w:t>
            </w:r>
          </w:p>
        </w:tc>
        <w:tc>
          <w:tcPr>
            <w:tcW w:w="11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capitalized</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1020" w:right="1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impairment, by comparing its fair value to its carrying amount as defined by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w:t>
      </w:r>
    </w:p>
    <w:p>
      <w:pPr>
        <w:spacing w:after="0" w:line="142"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94"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 xml:space="preserve">Effective January 1, 2008, the Company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52" w:lineRule="exact"/>
        <w:rPr>
          <w:sz w:val="20"/>
          <w:szCs w:val="20"/>
          <w:color w:val="auto"/>
        </w:rPr>
      </w:pPr>
    </w:p>
    <w:p>
      <w:pPr>
        <w:ind w:left="700" w:right="340" w:firstLine="397"/>
        <w:spacing w:after="0" w:line="312" w:lineRule="auto"/>
        <w:rPr>
          <w:sz w:val="20"/>
          <w:szCs w:val="20"/>
          <w:color w:val="auto"/>
        </w:rPr>
      </w:pPr>
      <w:r>
        <w:rPr>
          <w:rFonts w:ascii="Arial" w:cs="Arial" w:eastAsia="Arial" w:hAnsi="Arial"/>
          <w:sz w:val="16"/>
          <w:szCs w:val="16"/>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Textbook sales and other revenues are recognized as sales occur or services are performed and represent less than 10% of total revenues.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31"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31"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6"/>
          <w:szCs w:val="16"/>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w:t>
      </w:r>
    </w:p>
    <w:p>
      <w:pPr>
        <w:spacing w:after="0" w:line="2" w:lineRule="exact"/>
        <w:rPr>
          <w:sz w:val="20"/>
          <w:szCs w:val="20"/>
          <w:color w:val="auto"/>
        </w:rPr>
      </w:pPr>
    </w:p>
    <w:p>
      <w:pPr>
        <w:ind w:left="700" w:right="180"/>
        <w:spacing w:after="0" w:line="255" w:lineRule="auto"/>
        <w:rPr>
          <w:sz w:val="20"/>
          <w:szCs w:val="20"/>
          <w:color w:val="auto"/>
        </w:rPr>
      </w:pPr>
      <w:r>
        <w:rPr>
          <w:rFonts w:ascii="Arial" w:cs="Arial" w:eastAsia="Arial" w:hAnsi="Arial"/>
          <w:sz w:val="18"/>
          <w:szCs w:val="18"/>
          <w:color w:val="auto"/>
        </w:rPr>
        <w:t>Advertising costs, which include marketing leads, events, and promotional materials for the years ended December 31, 2005, 2006, and 2007 were $3,423, $4,674, and $10,213 respectively, and for the six months ended June 30, 2007 and 2008 were $3,575 and $7,070,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Company is party to revenue share arrangements with related parties pursuant to which it pays a percentage of the net revenue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that it actually receives from applicants recruited by those entities that matriculate at Grand Canyon University. The related party bears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costs associated with the recruitment of these applicants. For the years ended December 31, 2005, 2006, and 2007, the Company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expensed approximately $2,839, $3,742, and $4,293, respectively, and for the six months ended June 30, 2007 and 2008, $2,064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$2,925, respectively, pursuant to these arrangements. As of December 31, 2006 and 2007, and as of the six months ended June 30, 2008,</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$475, $416, and $740, respectively, were due to these related parties.</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Royalty to Former Owner</w:t>
      </w:r>
    </w:p>
    <w:p>
      <w:pPr>
        <w:spacing w:after="0" w:line="131"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8"/>
          <w:szCs w:val="18"/>
          <w:i w:val="1"/>
          <w:iCs w:val="1"/>
          <w:color w:val="auto"/>
        </w:rPr>
        <w:t>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with Former Owner. </w:t>
      </w:r>
      <w:r>
        <w:rPr>
          <w:rFonts w:ascii="Arial" w:cs="Arial" w:eastAsia="Arial" w:hAnsi="Arial"/>
          <w:sz w:val="18"/>
          <w:szCs w:val="18"/>
          <w:color w:val="auto"/>
        </w:rPr>
        <w:t>The royalties accrued through April 2008 were applied against the payments made to the former</w:t>
      </w:r>
      <w:r>
        <w:rPr>
          <w:rFonts w:ascii="Arial" w:cs="Arial" w:eastAsia="Arial" w:hAnsi="Arial"/>
          <w:sz w:val="18"/>
          <w:szCs w:val="18"/>
          <w:i w:val="1"/>
          <w:iCs w:val="1"/>
          <w:color w:val="auto"/>
        </w:rPr>
        <w:t xml:space="preserve"> </w:t>
      </w:r>
      <w:r>
        <w:rPr>
          <w:rFonts w:ascii="Arial" w:cs="Arial" w:eastAsia="Arial" w:hAnsi="Arial"/>
          <w:sz w:val="18"/>
          <w:szCs w:val="18"/>
          <w:color w:val="auto"/>
        </w:rPr>
        <w:t>owner.</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80" w:right="114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$10 (net of taxes of $4) at June 30, 2008.</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31"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In September 2006, the FASB issued SFAS No. 157, which provides enhanced guidance for using fair value to measure assets and liabilities. SFAS No. 157 establishes a common definition of fair value, provides a framework for measuring fair value under</w:t>
      </w:r>
    </w:p>
    <w:p>
      <w:pPr>
        <w:ind w:left="700" w:right="40"/>
        <w:spacing w:after="0" w:line="277" w:lineRule="auto"/>
        <w:rPr>
          <w:sz w:val="20"/>
          <w:szCs w:val="20"/>
          <w:color w:val="auto"/>
        </w:rPr>
      </w:pPr>
      <w:r>
        <w:rPr>
          <w:rFonts w:ascii="Arial" w:cs="Arial" w:eastAsia="Arial" w:hAnsi="Arial"/>
          <w:sz w:val="17"/>
          <w:szCs w:val="17"/>
          <w:color w:val="auto"/>
        </w:rPr>
        <w:t>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Amendment of FASB Statement No. 115 </w:t>
      </w:r>
      <w:r>
        <w:rPr>
          <w:rFonts w:ascii="Arial" w:cs="Arial" w:eastAsia="Arial" w:hAnsi="Arial"/>
          <w:sz w:val="18"/>
          <w:szCs w:val="18"/>
          <w:color w:val="auto"/>
        </w:rPr>
        <w:t>(“SFAS No. 159”). This standard permits entities to choose to measure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Restatement of Financial Statements</w:t>
      </w:r>
    </w:p>
    <w:p>
      <w:pPr>
        <w:spacing w:after="0" w:line="135" w:lineRule="exact"/>
        <w:rPr>
          <w:sz w:val="20"/>
          <w:szCs w:val="20"/>
          <w:color w:val="auto"/>
        </w:rPr>
      </w:pPr>
    </w:p>
    <w:p>
      <w:pPr>
        <w:ind w:left="700" w:right="820" w:firstLine="397"/>
        <w:spacing w:after="0" w:line="287" w:lineRule="auto"/>
        <w:rPr>
          <w:sz w:val="20"/>
          <w:szCs w:val="20"/>
          <w:color w:val="auto"/>
        </w:rPr>
      </w:pPr>
      <w:r>
        <w:rPr>
          <w:rFonts w:ascii="Arial" w:cs="Arial" w:eastAsia="Arial" w:hAnsi="Arial"/>
          <w:sz w:val="16"/>
          <w:szCs w:val="16"/>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a summary of the impact of the restatement: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 2006</w:t>
            </w:r>
          </w:p>
        </w:tc>
        <w:tc>
          <w:tcPr>
            <w:tcW w:w="18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8"/>
              </w:rPr>
              <w:t>As Reported</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Accounts receivable, net of allowance for doubtful accounts</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13,193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23,036</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220" w:type="dxa"/>
            <w:vAlign w:val="bottom"/>
            <w:gridSpan w:val="6"/>
          </w:tcPr>
          <w:p>
            <w:pPr>
              <w:ind w:left="700"/>
              <w:spacing w:after="0"/>
              <w:rPr>
                <w:sz w:val="20"/>
                <w:szCs w:val="20"/>
                <w:color w:val="auto"/>
              </w:rPr>
            </w:pPr>
            <w:r>
              <w:rPr>
                <w:rFonts w:ascii="Arial" w:cs="Arial" w:eastAsia="Arial" w:hAnsi="Arial"/>
                <w:sz w:val="18"/>
                <w:szCs w:val="18"/>
                <w:b w:val="1"/>
                <w:bCs w:val="1"/>
                <w:color w:val="auto"/>
              </w:rPr>
              <w:t>LIABILITIES, PREFERRED STOCK AND STOCKHOLDER’S DEFICIT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(18,374)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(19,900)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(15,383)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(18,374)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(11,723)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liabilities, preferred stock and stockholders’ deficit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61,232</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91,163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88,568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 2005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 2006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Earnings (loss), per common share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Restricted Cash and Investments</w:t>
      </w:r>
    </w:p>
    <w:p>
      <w:pPr>
        <w:spacing w:after="0" w:line="135" w:lineRule="exact"/>
        <w:rPr>
          <w:sz w:val="20"/>
          <w:szCs w:val="20"/>
          <w:color w:val="auto"/>
        </w:rPr>
      </w:pPr>
    </w:p>
    <w:p>
      <w:pPr>
        <w:ind w:left="700" w:right="1080" w:firstLine="397"/>
        <w:spacing w:after="0" w:line="277" w:lineRule="auto"/>
        <w:rPr>
          <w:sz w:val="20"/>
          <w:szCs w:val="20"/>
          <w:color w:val="auto"/>
        </w:rPr>
      </w:pPr>
      <w:r>
        <w:rPr>
          <w:rFonts w:ascii="Arial" w:cs="Arial" w:eastAsia="Arial" w:hAnsi="Arial"/>
          <w:sz w:val="18"/>
          <w:szCs w:val="18"/>
          <w:color w:val="auto"/>
        </w:rPr>
        <w:t>The following is a summary of amounts included in Restricted cash and investments. The Company considers all investments as available for sale;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2006</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U.S. Agency</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2007</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U.S. Agency</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27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3,166</w:t>
            </w:r>
          </w:p>
        </w:tc>
        <w:tc>
          <w:tcPr>
            <w:tcW w:w="4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As of June 30, 2008</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Adjusted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1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Municipal Securities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00" w:type="dxa"/>
            <w:vAlign w:val="bottom"/>
            <w:gridSpan w:val="2"/>
          </w:tcPr>
          <w:p>
            <w:pPr>
              <w:jc w:val="right"/>
              <w:ind w:right="879"/>
              <w:spacing w:after="0"/>
              <w:rPr>
                <w:sz w:val="20"/>
                <w:szCs w:val="20"/>
                <w:color w:val="auto"/>
              </w:rPr>
            </w:pPr>
            <w:r>
              <w:rPr>
                <w:rFonts w:ascii="Arial" w:cs="Arial" w:eastAsia="Arial" w:hAnsi="Arial"/>
                <w:sz w:val="18"/>
                <w:szCs w:val="18"/>
                <w:color w:val="auto"/>
              </w:rPr>
              <w:t>F-16</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0"/>
              </w:rPr>
              <w:t>As of December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2"/>
                <w:szCs w:val="12"/>
                <w:color w:val="auto"/>
              </w:rPr>
            </w:pP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Due in five to ten years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Due after ten years</w:t>
            </w:r>
          </w:p>
        </w:tc>
        <w:tc>
          <w:tcPr>
            <w:tcW w:w="2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1,567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1,572</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3,298</w:t>
            </w: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Gross realized gains and losses resulting from the sale of available-for-sale securities were $0 for the years ended December 31, 2005, 2006, and 2007, and $112 for the six months ended June 30, 2008. For the years ended December 31, 2005, 2006, and 2007, respectively the net unrealized gain (loss) on available-for-sale securities were $0, $35, and $44, net of tax effect, respectively, and $(69), net of tax effect, for the six months ended June 30, 2008.</w:t>
      </w:r>
    </w:p>
    <w:p>
      <w:pPr>
        <w:spacing w:after="0" w:line="196"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Property and equipment consist of the following:</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June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5,225</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(5,215)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33,849</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$1,849, $2,298, and $3,270 for the years ended December 31, 2005, 2006, and 2007, respectively, and $1,454 and $2,132 for the six months ended June 30, 2007 and 2008.</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18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2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Liabilities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Accrued liabilities consist of the following:</w:t>
      </w:r>
    </w:p>
    <w:p>
      <w:pPr>
        <w:spacing w:after="0" w:line="136"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6350</wp:posOffset>
            </wp:positionV>
            <wp:extent cx="8832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ind w:left="7860"/>
        <w:spacing w:after="0"/>
        <w:tabs>
          <w:tab w:leader="none" w:pos="8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-3175</wp:posOffset>
            </wp:positionV>
            <wp:extent cx="317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-3175</wp:posOffset>
            </wp:positionV>
            <wp:extent cx="317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960"/>
        <w:spacing w:after="0"/>
        <w:rPr>
          <w:sz w:val="20"/>
          <w:szCs w:val="20"/>
          <w:color w:val="auto"/>
        </w:rPr>
      </w:pPr>
      <w:r>
        <w:rPr>
          <w:rFonts w:ascii="Arial" w:cs="Arial" w:eastAsia="Arial" w:hAnsi="Arial"/>
          <w:sz w:val="12"/>
          <w:szCs w:val="12"/>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10795</wp:posOffset>
            </wp:positionV>
            <wp:extent cx="6261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440" w:space="180"/>
            <w:col w:w="1800"/>
          </w:cols>
          <w:pgMar w:left="240" w:top="419" w:right="239" w:bottom="1440" w:gutter="0" w:footer="0" w:header="0"/>
        </w:sectPr>
      </w:pPr>
    </w:p>
    <w:tbl>
      <w:tblPr>
        <w:tblLayout w:type="fixed"/>
        <w:tblInd w:w="70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interest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3,044</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6,893</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Financing Arrangements</w:t>
      </w:r>
    </w:p>
    <w:p>
      <w:pPr>
        <w:spacing w:after="0" w:line="135" w:lineRule="exact"/>
        <w:rPr>
          <w:sz w:val="20"/>
          <w:szCs w:val="20"/>
          <w:color w:val="auto"/>
        </w:rPr>
      </w:pPr>
    </w:p>
    <w:p>
      <w:pPr>
        <w:ind w:left="700" w:right="1080" w:firstLine="397"/>
        <w:spacing w:after="0" w:line="302" w:lineRule="auto"/>
        <w:rPr>
          <w:sz w:val="20"/>
          <w:szCs w:val="20"/>
          <w:color w:val="auto"/>
        </w:rPr>
      </w:pPr>
      <w:r>
        <w:rPr>
          <w:rFonts w:ascii="Arial" w:cs="Arial" w:eastAsia="Arial" w:hAnsi="Arial"/>
          <w:sz w:val="16"/>
          <w:szCs w:val="16"/>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60" w:lineRule="exact"/>
        <w:rPr>
          <w:sz w:val="20"/>
          <w:szCs w:val="20"/>
          <w:color w:val="auto"/>
        </w:rPr>
      </w:pPr>
    </w:p>
    <w:p>
      <w:pPr>
        <w:ind w:left="700" w:right="820" w:firstLine="397"/>
        <w:spacing w:after="0" w:line="276" w:lineRule="auto"/>
        <w:rPr>
          <w:sz w:val="20"/>
          <w:szCs w:val="20"/>
          <w:color w:val="auto"/>
        </w:rPr>
      </w:pPr>
      <w:r>
        <w:rPr>
          <w:rFonts w:ascii="Arial" w:cs="Arial" w:eastAsia="Arial" w:hAnsi="Arial"/>
          <w:sz w:val="17"/>
          <w:szCs w:val="17"/>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June 30, 2008, the Company was obligated to spend $2,287 and $1,258, respectively, by July 2010 on such improvements.</w:t>
      </w:r>
    </w:p>
    <w:p>
      <w:pPr>
        <w:spacing w:after="0" w:line="18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Notes Payable and Capital Lease Obligations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payable and capital lease obligations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10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June 30, 2008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w w:val="96"/>
              </w:rPr>
              <w:t>Capital lease for buildings (monthly payments of $277 at an implicit interest rate of 8.7%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through 2024)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$ 29,161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$28,451</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Capital leases for equipment (various leases extending into 2012, with implicit interest rates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ranging from 7.4% to 9.3%, monthly payments totaling $35)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29,728</w:t>
            </w:r>
          </w:p>
        </w:tc>
        <w:tc>
          <w:tcPr>
            <w:tcW w:w="4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$ 28,779</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28,078</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40" w:type="dxa"/>
            <w:vAlign w:val="bottom"/>
            <w:vMerge w:val="restart"/>
          </w:tcPr>
          <w:p>
            <w:pPr>
              <w:ind w:left="478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5"/>
              </w:rPr>
              <w:t>As of December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2"/>
                <w:szCs w:val="12"/>
                <w:color w:val="auto"/>
              </w:rPr>
            </w:pPr>
          </w:p>
        </w:tc>
        <w:tc>
          <w:tcPr>
            <w:tcW w:w="10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June 30, 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spacing w:after="0" w:line="201" w:lineRule="exact"/>
              <w:rPr>
                <w:sz w:val="20"/>
                <w:szCs w:val="20"/>
                <w:color w:val="auto"/>
              </w:rPr>
            </w:pPr>
            <w:r>
              <w:rPr>
                <w:rFonts w:ascii="Arial" w:cs="Arial" w:eastAsia="Arial" w:hAnsi="Arial"/>
                <w:sz w:val="18"/>
                <w:szCs w:val="18"/>
                <w:color w:val="auto"/>
                <w:w w:val="97"/>
              </w:rPr>
              <w:t>Institute Loan; 8 quarterly payments of $60 through June 2006 and $120 for 20 quarters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through June 2011; implicit interest at 23.6%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Kirksville Note; monthly payments of $20; interest at 3.9% through September 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5"/>
              </w:rPr>
              <w:t>Various Gift Annuities; quarterly payments of $34 extending through 2018; interest at 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Notes payable for vehicles requiring monthly payments with interest rates ranging from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9.5% to 11.0% extending into January 2013</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2,408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1,762</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lease of the campus land was treated as an operating lease and the lease of the buildings was treated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June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June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Payments due under the notes payable and future minimum lease payments under the capital lease obligations are as follows:</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 2007</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gridSpan w:val="2"/>
          </w:tcPr>
          <w:p>
            <w:pPr>
              <w:jc w:val="right"/>
              <w:ind w:right="13"/>
              <w:spacing w:after="0" w:line="119" w:lineRule="exact"/>
              <w:rPr>
                <w:sz w:val="20"/>
                <w:szCs w:val="20"/>
                <w:color w:val="auto"/>
              </w:rPr>
            </w:pPr>
            <w:r>
              <w:rPr>
                <w:rFonts w:ascii="Arial" w:cs="Arial" w:eastAsia="Arial" w:hAnsi="Arial"/>
                <w:sz w:val="13"/>
                <w:szCs w:val="13"/>
                <w:b w:val="1"/>
                <w:bCs w:val="1"/>
                <w:color w:val="auto"/>
              </w:rPr>
              <w:t>Capital Lease</w:t>
            </w:r>
          </w:p>
        </w:tc>
        <w:tc>
          <w:tcPr>
            <w:tcW w:w="380" w:type="dxa"/>
            <w:vAlign w:val="bottom"/>
          </w:tcPr>
          <w:p>
            <w:pPr>
              <w:spacing w:after="0"/>
              <w:rPr>
                <w:sz w:val="10"/>
                <w:szCs w:val="10"/>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Notes Payable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Obligations</w:t>
            </w:r>
          </w:p>
        </w:tc>
        <w:tc>
          <w:tcPr>
            <w:tcW w:w="3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2009</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3,544</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2011</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3,397</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34,951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52,462</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23,234</w:t>
            </w: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The Company leases certain land, buildings and equipment under non-cancelable operating leases expiring at various dates through</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2023. Future minimum lease payments under operating leases due each year are as follows at December 31, 2007:</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2009</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2011</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Total rent expense and related taxes and operating expenses under operating leases for the years ended December 2005, 2006 and 2007 and for the six months ended June 30, 2007 and 2008 was $2,052, $2,136, $2,260, $1,041 and $1,097, respectively.</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Legal Matters</w:t>
      </w:r>
    </w:p>
    <w:p>
      <w:pPr>
        <w:spacing w:after="0" w:line="131"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11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counterclaimed alleging breach of contract relating to the parties’ technology services agreement. Following discovery, the arbitration occurred in late May 2008 and final arguments were heard in July 2008.</w:t>
      </w:r>
    </w:p>
    <w:p>
      <w:pPr>
        <w:spacing w:after="0" w:line="76"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December 31, 2007 and June 30, 2008 balance sheet. 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78" w:lineRule="exact"/>
        <w:rPr>
          <w:sz w:val="20"/>
          <w:szCs w:val="20"/>
          <w:color w:val="auto"/>
        </w:rPr>
      </w:pPr>
    </w:p>
    <w:p>
      <w:pPr>
        <w:ind w:left="1200" w:hanging="507"/>
        <w:spacing w:after="0"/>
        <w:tabs>
          <w:tab w:leader="none" w:pos="12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98"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820"/>
        <w:spacing w:after="0" w:line="277" w:lineRule="auto"/>
        <w:rPr>
          <w:sz w:val="20"/>
          <w:szCs w:val="20"/>
          <w:color w:val="auto"/>
        </w:rPr>
      </w:pPr>
      <w:r>
        <w:rPr>
          <w:rFonts w:ascii="Arial" w:cs="Arial" w:eastAsia="Arial" w:hAnsi="Arial"/>
          <w:sz w:val="18"/>
          <w:szCs w:val="18"/>
          <w:color w:val="auto"/>
        </w:rPr>
        <w:t>corporation occurred on January 1, 2005 combined with the weighted number of shares of common stock outstanding after the conversion to a corporation.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40" w:type="dxa"/>
            <w:vAlign w:val="bottom"/>
            <w:gridSpan w:val="5"/>
            <w:vMerge w:val="restart"/>
          </w:tcPr>
          <w:p>
            <w:pPr>
              <w:jc w:val="right"/>
              <w:ind w:right="39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2006</w:t>
            </w:r>
          </w:p>
        </w:tc>
        <w:tc>
          <w:tcPr>
            <w:tcW w:w="9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9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Basic common shares outstanding</w:t>
            </w:r>
          </w:p>
        </w:tc>
        <w:tc>
          <w:tcPr>
            <w:tcW w:w="600" w:type="dxa"/>
            <w:vAlign w:val="bottom"/>
          </w:tcPr>
          <w:p>
            <w:pPr>
              <w:jc w:val="right"/>
              <w:spacing w:after="0"/>
              <w:rPr>
                <w:sz w:val="20"/>
                <w:szCs w:val="20"/>
                <w:color w:val="auto"/>
              </w:rPr>
            </w:pPr>
            <w:r>
              <w:rPr>
                <w:rFonts w:ascii="Arial" w:cs="Arial" w:eastAsia="Arial" w:hAnsi="Arial"/>
                <w:sz w:val="18"/>
                <w:szCs w:val="18"/>
                <w:color w:val="auto"/>
              </w:rPr>
              <w:t>10,115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Effect of dilutive 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contingently issuable 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Diluted common shares outstanding</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20,185</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19,246</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19,196</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 average securities that could potentially dilute earnings per</w:t>
            </w: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in the future that are not included above as they are anti-</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w:t>
            </w: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Series A contingently redeemable convertible preferred stock</w:t>
            </w:r>
          </w:p>
        </w:tc>
        <w:tc>
          <w:tcPr>
            <w:tcW w:w="600" w:type="dxa"/>
            <w:vAlign w:val="bottom"/>
          </w:tcPr>
          <w:p>
            <w:pPr>
              <w:jc w:val="right"/>
              <w:spacing w:after="0"/>
              <w:rPr>
                <w:sz w:val="20"/>
                <w:szCs w:val="20"/>
                <w:color w:val="auto"/>
              </w:rPr>
            </w:pPr>
            <w:r>
              <w:rPr>
                <w:rFonts w:ascii="Arial" w:cs="Arial" w:eastAsia="Arial" w:hAnsi="Arial"/>
                <w:sz w:val="18"/>
                <w:szCs w:val="18"/>
                <w:color w:val="auto"/>
              </w:rPr>
              <w:t>2,120</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B contingently redeemable convertible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2,337</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0" w:hanging="507"/>
        <w:spacing w:after="0"/>
        <w:tabs>
          <w:tab w:leader="none" w:pos="12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Equity Transactions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2007 and June 30, 2008, the following series of preferred stock have been authorized:</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 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88"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color w:val="auto"/>
        </w:rPr>
        <w:t>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64"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During 2005, the Company issued 1,624 shares of Series A and received net proceeds of $4,610. Additionally, the Company converted $14,000 of principal on senior secured promissory notes into 4,329 shares of Series A.</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31"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is non-voting.</w:t>
      </w:r>
    </w:p>
    <w:p>
      <w:pPr>
        <w:spacing w:after="0" w:line="60" w:lineRule="exact"/>
        <w:rPr>
          <w:sz w:val="20"/>
          <w:szCs w:val="20"/>
          <w:color w:val="auto"/>
        </w:rPr>
      </w:pPr>
    </w:p>
    <w:p>
      <w:pPr>
        <w:ind w:left="700" w:right="520" w:firstLine="397"/>
        <w:spacing w:after="0" w:line="291" w:lineRule="auto"/>
        <w:rPr>
          <w:sz w:val="20"/>
          <w:szCs w:val="20"/>
          <w:color w:val="auto"/>
        </w:rPr>
      </w:pPr>
      <w:r>
        <w:rPr>
          <w:rFonts w:ascii="Arial" w:cs="Arial" w:eastAsia="Arial" w:hAnsi="Arial"/>
          <w:sz w:val="16"/>
          <w:szCs w:val="16"/>
          <w:color w:val="auto"/>
        </w:rPr>
        <w:t>On December 31, 2005 the Company issued 2,163 shares Series B and received net proceeds of $6,980 in the form of a stock subscription receivable. The receivable was subsequently paid in April 2006. On November 6, 2006, the Company redeemed</w:t>
      </w:r>
    </w:p>
    <w:p>
      <w:pPr>
        <w:ind w:left="700" w:right="140"/>
        <w:spacing w:after="0" w:line="271" w:lineRule="auto"/>
        <w:rPr>
          <w:sz w:val="20"/>
          <w:szCs w:val="20"/>
          <w:color w:val="auto"/>
        </w:rPr>
      </w:pPr>
      <w:r>
        <w:rPr>
          <w:rFonts w:ascii="Arial" w:cs="Arial" w:eastAsia="Arial" w:hAnsi="Arial"/>
          <w:sz w:val="17"/>
          <w:szCs w:val="17"/>
          <w:color w:val="auto"/>
        </w:rPr>
        <w:t>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As of December 31, 2007 and June 30, 2008, no shares of Series B remain outstanding.</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31" w:lineRule="exact"/>
        <w:rPr>
          <w:sz w:val="20"/>
          <w:szCs w:val="20"/>
          <w:color w:val="auto"/>
        </w:rPr>
      </w:pPr>
    </w:p>
    <w:p>
      <w:pPr>
        <w:jc w:val="both"/>
        <w:ind w:left="700" w:right="60" w:firstLine="397"/>
        <w:spacing w:after="0" w:line="288" w:lineRule="auto"/>
        <w:rPr>
          <w:sz w:val="20"/>
          <w:szCs w:val="20"/>
          <w:color w:val="auto"/>
        </w:rPr>
      </w:pPr>
      <w:r>
        <w:rPr>
          <w:rFonts w:ascii="Arial" w:cs="Arial" w:eastAsia="Arial" w:hAnsi="Arial"/>
          <w:sz w:val="16"/>
          <w:szCs w:val="16"/>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w:t>
      </w:r>
    </w:p>
    <w:p>
      <w:pPr>
        <w:ind w:left="700"/>
        <w:spacing w:after="0" w:line="253" w:lineRule="auto"/>
        <w:rPr>
          <w:sz w:val="20"/>
          <w:szCs w:val="20"/>
          <w:color w:val="auto"/>
        </w:rPr>
      </w:pPr>
      <w:r>
        <w:rPr>
          <w:rFonts w:ascii="Arial" w:cs="Arial" w:eastAsia="Arial" w:hAnsi="Arial"/>
          <w:sz w:val="18"/>
          <w:szCs w:val="18"/>
          <w:color w:val="auto"/>
        </w:rPr>
        <w:t>Such dividends accrue whether or not declared by the board of directors, whether or not there are funds legally available to pay dividends, and compound on an annual basis. In the event of liquidation, or a change in control, as defined, 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9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6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Common Stock</w:t>
      </w:r>
    </w:p>
    <w:p>
      <w:pPr>
        <w:spacing w:after="0" w:line="131"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On August 24, 2005, in connection with its conversion from a limited liability company to a corporation, the Company issued and exchanged one share of common stock to its membership holders in exchange for each 100 of their previously outstanding membership units in the limited liability company. Concurrently, the Company also issued 325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84"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In June 2004, the Company entered into a license agreement with Blanchard relating to the Company’s use of the Ken Blanchard name for its College of Business. Under the terms of that agreement the Company agreed to issue to Blanchard up to 498 shares of common stock with the actual number issued to be contingent upon the Company’s achievement of stated enrollment levels in its College of Business during the term of the agreement. As of December 31, 2006, the Company deemed it probable that 100 shares would be earned and, as of August 15, 2007, those 100 shares were earned and due to Blanchard under this agreement, On May 9, 2008, the Company and Blanchard amended the terms of the agreement pursuant to which Blanchard was issued 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31"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 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78" w:lineRule="exact"/>
        <w:rPr>
          <w:sz w:val="20"/>
          <w:szCs w:val="20"/>
          <w:color w:val="auto"/>
        </w:rPr>
      </w:pPr>
    </w:p>
    <w:p>
      <w:pPr>
        <w:ind w:left="700" w:right="260" w:firstLine="397"/>
        <w:spacing w:after="0" w:line="272" w:lineRule="auto"/>
        <w:rPr>
          <w:sz w:val="20"/>
          <w:szCs w:val="20"/>
          <w:color w:val="auto"/>
        </w:rPr>
      </w:pPr>
      <w:r>
        <w:rPr>
          <w:rFonts w:ascii="Arial" w:cs="Arial" w:eastAsia="Arial" w:hAnsi="Arial"/>
          <w:sz w:val="17"/>
          <w:szCs w:val="17"/>
          <w:color w:val="auto"/>
        </w:rPr>
        <w:t>On June 28, 2004, the Company issued to Spirit a warrant to purchase a 5.0% membership interest in common stock of the Company (the “Spirit Warrant”) for $526, as adjusted to be 498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w:t>
      </w: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jc w:val="both"/>
        <w:ind w:left="700" w:right="800"/>
        <w:spacing w:after="0" w:line="264" w:lineRule="auto"/>
        <w:rPr>
          <w:sz w:val="20"/>
          <w:szCs w:val="20"/>
          <w:color w:val="auto"/>
        </w:rPr>
      </w:pPr>
      <w:r>
        <w:rPr>
          <w:rFonts w:ascii="Arial" w:cs="Arial" w:eastAsia="Arial" w:hAnsi="Arial"/>
          <w:sz w:val="18"/>
          <w:szCs w:val="18"/>
          <w:color w:val="auto"/>
        </w:rPr>
        <w:t>the occurrence of certain liquidity transactions, including an underwritten public offering that results in net cash proceeds of not less than $30,000, by the Company. As of December 31, 2007 and June 30, 2008, the warrant had not been exercised nor had any of the repurchase rights been executed.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31" w:lineRule="exact"/>
        <w:rPr>
          <w:sz w:val="20"/>
          <w:szCs w:val="20"/>
          <w:color w:val="auto"/>
        </w:rPr>
      </w:pPr>
    </w:p>
    <w:p>
      <w:pPr>
        <w:ind w:left="700" w:right="840" w:firstLine="397"/>
        <w:spacing w:after="0" w:line="287" w:lineRule="auto"/>
        <w:rPr>
          <w:sz w:val="20"/>
          <w:szCs w:val="20"/>
          <w:color w:val="auto"/>
        </w:rPr>
      </w:pPr>
      <w:r>
        <w:rPr>
          <w:rFonts w:ascii="Arial" w:cs="Arial" w:eastAsia="Arial" w:hAnsi="Arial"/>
          <w:sz w:val="16"/>
          <w:szCs w:val="16"/>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78" w:lineRule="exact"/>
        <w:rPr>
          <w:sz w:val="20"/>
          <w:szCs w:val="20"/>
          <w:color w:val="auto"/>
        </w:rPr>
      </w:pPr>
    </w:p>
    <w:p>
      <w:pPr>
        <w:ind w:left="1200" w:hanging="507"/>
        <w:spacing w:after="0"/>
        <w:tabs>
          <w:tab w:leader="none" w:pos="12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700" w:right="1020" w:firstLine="397"/>
        <w:spacing w:after="0" w:line="257" w:lineRule="auto"/>
        <w:rPr>
          <w:sz w:val="20"/>
          <w:szCs w:val="20"/>
          <w:color w:val="auto"/>
        </w:rPr>
      </w:pPr>
      <w:r>
        <w:rPr>
          <w:rFonts w:ascii="Arial" w:cs="Arial" w:eastAsia="Arial" w:hAnsi="Arial"/>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June 30, 2008.</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For the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8"/>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Ended June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2,221</w:t>
            </w:r>
          </w:p>
        </w:tc>
        <w:tc>
          <w:tcPr>
            <w:tcW w:w="2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2,194</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Federal</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(1,358)</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(3,693)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(2,148)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(1,656)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0" w:type="dxa"/>
            <w:vAlign w:val="bottom"/>
            <w:gridSpan w:val="2"/>
          </w:tcPr>
          <w:p>
            <w:pPr>
              <w:jc w:val="right"/>
              <w:ind w:right="640"/>
              <w:spacing w:after="0"/>
              <w:rPr>
                <w:sz w:val="20"/>
                <w:szCs w:val="20"/>
                <w:color w:val="auto"/>
              </w:rPr>
            </w:pPr>
            <w:r>
              <w:rPr>
                <w:rFonts w:ascii="Arial" w:cs="Arial" w:eastAsia="Arial" w:hAnsi="Arial"/>
                <w:sz w:val="18"/>
                <w:szCs w:val="18"/>
                <w:color w:val="auto"/>
              </w:rPr>
              <w:t>F-25</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w w:val="95"/>
              </w:rPr>
              <w:t>Year Ended December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 (benefit)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taxes upon charter conversion</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w:t>
            </w:r>
          </w:p>
        </w:tc>
        <w:tc>
          <w:tcPr>
            <w:tcW w:w="11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prior to charter conversion not subject to tax</w:t>
            </w: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 deductible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(benefit)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Significant components of the Company’s deferred income tax assets and liabilities as of December 31, 2006 and 2007, and at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30, 2008 are as follows: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As of December 31,</w:t>
            </w:r>
          </w:p>
        </w:tc>
        <w:tc>
          <w:tcPr>
            <w:tcW w:w="1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0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 (liability):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Accounts receivable allowance for doubtful accounts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$3,023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18"/>
                <w:szCs w:val="18"/>
                <w:color w:val="auto"/>
              </w:rPr>
            </w:pP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taxes</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asset</w:t>
            </w: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Non-current deferred tax asset (liability):</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Unrealized gains on available for sale securities</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Institute warrant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deferred tax asset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5,819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7,446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 xml:space="preserve">As of January 1, 2008, the Company adopted FASB interpretation No. 48 (“FIN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an interpretation of FASB Statement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clarifies the accounting for uncertainty in tax positions. FIN 48 requires that the Company recognize the impact of a tax position in our financial statements if that position is more-likely-than-not of being sustained on audit, based on the technical merits of the position.</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adoption of FIN 48 did not result in an adjustment to opening retained earnings. The Company recognizes interest and penalties related to uncertain tax positions in income tax expense. As of June 30, 2008, the unrecognized tax benefit recorded was approximately $52, which, if reversed, would impact the effective tax rate. The Company’s uncertain tax positions are related to tax years that remain subject to</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jc w:val="both"/>
        <w:ind w:left="700" w:right="360"/>
        <w:spacing w:after="0" w:line="264" w:lineRule="auto"/>
        <w:rPr>
          <w:sz w:val="20"/>
          <w:szCs w:val="20"/>
          <w:color w:val="auto"/>
        </w:rPr>
      </w:pPr>
      <w:r>
        <w:rPr>
          <w:rFonts w:ascii="Arial" w:cs="Arial" w:eastAsia="Arial" w:hAnsi="Arial"/>
          <w:sz w:val="18"/>
          <w:szCs w:val="18"/>
          <w:color w:val="auto"/>
        </w:rPr>
        <w:t>examination by tax authorities. As of June 30, 2008, the earliest tax year still subject to examination for federal and state purposes is 2005. During the second quarter ended June 30, 2008, the Internal Revenue Service (“IRS”) commenced an examination of our 2005 income tax return.</w:t>
      </w:r>
    </w:p>
    <w:p>
      <w:pPr>
        <w:spacing w:after="0" w:line="191" w:lineRule="exact"/>
        <w:rPr>
          <w:sz w:val="20"/>
          <w:szCs w:val="20"/>
          <w:color w:val="auto"/>
        </w:rPr>
      </w:pPr>
    </w:p>
    <w:p>
      <w:pPr>
        <w:ind w:left="1200" w:hanging="507"/>
        <w:spacing w:after="0"/>
        <w:tabs>
          <w:tab w:leader="none" w:pos="12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and June 30, 2008, management believes the Company is in compliance with the applicable regulations in all material respects.</w:t>
      </w:r>
    </w:p>
    <w:p>
      <w:pPr>
        <w:spacing w:after="0" w:line="95" w:lineRule="exact"/>
        <w:rPr>
          <w:sz w:val="20"/>
          <w:szCs w:val="20"/>
          <w:color w:val="auto"/>
        </w:rPr>
      </w:pPr>
    </w:p>
    <w:p>
      <w:pPr>
        <w:jc w:val="both"/>
        <w:ind w:left="700" w:right="40" w:firstLine="397"/>
        <w:spacing w:after="0" w:line="302" w:lineRule="auto"/>
        <w:rPr>
          <w:sz w:val="20"/>
          <w:szCs w:val="20"/>
          <w:color w:val="auto"/>
        </w:rPr>
      </w:pPr>
      <w:r>
        <w:rPr>
          <w:rFonts w:ascii="Arial" w:cs="Arial" w:eastAsia="Arial" w:hAnsi="Arial"/>
          <w:sz w:val="16"/>
          <w:szCs w:val="16"/>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92"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7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8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9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203" w:lineRule="exact"/>
        <w:rPr>
          <w:sz w:val="20"/>
          <w:szCs w:val="20"/>
          <w:color w:val="auto"/>
        </w:rPr>
      </w:pPr>
    </w:p>
    <w:p>
      <w:pPr>
        <w:ind w:left="1200" w:hanging="507"/>
        <w:spacing w:after="0"/>
        <w:tabs>
          <w:tab w:leader="none" w:pos="12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35"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Effective February 1, 2004 the Company adopted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six months of 2007 or 2008.</w:t>
      </w:r>
    </w:p>
    <w:p>
      <w:pPr>
        <w:spacing w:after="0" w:line="199" w:lineRule="exact"/>
        <w:rPr>
          <w:sz w:val="20"/>
          <w:szCs w:val="20"/>
          <w:color w:val="auto"/>
        </w:rPr>
      </w:pPr>
    </w:p>
    <w:p>
      <w:pPr>
        <w:ind w:left="1200" w:hanging="507"/>
        <w:spacing w:after="0"/>
        <w:tabs>
          <w:tab w:leader="none" w:pos="12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jc w:val="both"/>
        <w:ind w:left="700" w:right="220" w:firstLine="397"/>
        <w:spacing w:after="0" w:line="264" w:lineRule="auto"/>
        <w:rPr>
          <w:sz w:val="20"/>
          <w:szCs w:val="20"/>
          <w:color w:val="auto"/>
        </w:rPr>
      </w:pPr>
      <w:r>
        <w:rPr>
          <w:rFonts w:ascii="Arial" w:cs="Arial" w:eastAsia="Arial" w:hAnsi="Arial"/>
          <w:sz w:val="18"/>
          <w:szCs w:val="18"/>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8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As of and for the years ended December 31, 2005, 2006, and 2007, and as of and for the six months ended June 30, 2008, related party transactions consisted of the following: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Shareholders</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i w:val="1"/>
          <w:iCs w:val="1"/>
          <w:color w:val="auto"/>
        </w:rPr>
        <w:t xml:space="preserve">Significant Education Holding, LLC (Sig Ed) </w:t>
      </w:r>
      <w:r>
        <w:rPr>
          <w:rFonts w:ascii="Arial" w:cs="Arial" w:eastAsia="Arial" w:hAnsi="Arial"/>
          <w:sz w:val="18"/>
          <w:szCs w:val="18"/>
          <w:color w:val="auto"/>
        </w:rPr>
        <w:t>— At December 31, 2007 and June 30, 2008, Sig Ed holds 10,000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 The Company has not engaged in any transactions with Sig Ed, but has engaged in certain transactions with members of Sig Ed, as discussed below.</w:t>
      </w:r>
    </w:p>
    <w:p>
      <w:pPr>
        <w:spacing w:after="0" w:line="87"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i w:val="1"/>
          <w:iCs w:val="1"/>
          <w:color w:val="auto"/>
        </w:rPr>
        <w:t xml:space="preserve">220 Partners, LLC (220 Partners) </w:t>
      </w:r>
      <w:r>
        <w:rPr>
          <w:rFonts w:ascii="Arial" w:cs="Arial" w:eastAsia="Arial" w:hAnsi="Arial"/>
          <w:sz w:val="17"/>
          <w:szCs w:val="17"/>
          <w:color w:val="auto"/>
        </w:rPr>
        <w:t>— 220 Partners, which is affiliated with several entities that hold membership interests in Sig Ed</w:t>
      </w:r>
      <w:r>
        <w:rPr>
          <w:rFonts w:ascii="Arial" w:cs="Arial" w:eastAsia="Arial" w:hAnsi="Arial"/>
          <w:sz w:val="17"/>
          <w:szCs w:val="17"/>
          <w:i w:val="1"/>
          <w:iCs w:val="1"/>
          <w:color w:val="auto"/>
        </w:rPr>
        <w:t xml:space="preserve"> </w:t>
      </w:r>
      <w:r>
        <w:rPr>
          <w:rFonts w:ascii="Arial" w:cs="Arial" w:eastAsia="Arial" w:hAnsi="Arial"/>
          <w:sz w:val="17"/>
          <w:szCs w:val="17"/>
          <w:color w:val="auto"/>
        </w:rPr>
        <w:t>and a former director of the Company, received management, consulting fees, and reimbursed expenses of $299, $299, $0 and $0 in the years ended December 31, 2005, 2006, and 2007, and in the six months ended June 30, 2008, respectively. There were no amounts due from or payable to 220 Partners at December 31, 2006, and 2007 or at June 30, 2008.</w:t>
      </w:r>
    </w:p>
    <w:p>
      <w:pPr>
        <w:spacing w:after="0" w:line="7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Affiliates of 220 Partners purchased 632 shares of Series C for $2,212 in 2007, of which $1,409 was due as of December 31, 2007 and was included in the due from related parties on the accompanying balance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60" w:right="116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660"/>
        <w:spacing w:after="0" w:line="277" w:lineRule="auto"/>
        <w:rPr>
          <w:sz w:val="20"/>
          <w:szCs w:val="20"/>
          <w:color w:val="auto"/>
        </w:rPr>
      </w:pPr>
      <w:r>
        <w:rPr>
          <w:rFonts w:ascii="Arial" w:cs="Arial" w:eastAsia="Arial" w:hAnsi="Arial"/>
          <w:sz w:val="18"/>
          <w:szCs w:val="18"/>
          <w:color w:val="auto"/>
        </w:rPr>
        <w:t>sheet. This amount was paid January 6, 2008. There were no other amounts due from or payable to an affiliate of 220 Partners at December 31, 2006 and 2007 or at June 30, 2008.</w:t>
      </w:r>
    </w:p>
    <w:p>
      <w:pPr>
        <w:spacing w:after="0" w:line="7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i w:val="1"/>
          <w:iCs w:val="1"/>
          <w:color w:val="auto"/>
        </w:rPr>
        <w:t xml:space="preserve">Rich Crow Enterprises, LLC (Rich Crow) </w:t>
      </w:r>
      <w:r>
        <w:rPr>
          <w:rFonts w:ascii="Arial" w:cs="Arial" w:eastAsia="Arial" w:hAnsi="Arial"/>
          <w:sz w:val="16"/>
          <w:szCs w:val="16"/>
          <w:color w:val="auto"/>
        </w:rPr>
        <w:t>— Members of Rich Crow include the Executive Chairman and General Counsel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who are also both Directors. Rich Crow also is a member of Sig Ed. A member of Rich Crow is also related to the owner of a company that provided marketing services totaling $454, $115 and $218 in the year ended December 31, 2007, and the six months ended June 30, 2007 and 2008, respectively, of which $72 and $20 were owed at December 31, 2007, and June 30, 2008, respectively.</w:t>
      </w:r>
    </w:p>
    <w:p>
      <w:pPr>
        <w:spacing w:after="0" w:line="60"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six months ended June 30, 2008, respectively.</w:t>
      </w:r>
    </w:p>
    <w:p>
      <w:pPr>
        <w:spacing w:after="0" w:line="7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8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Significant Ventures, LLC (Significant Ventures) </w:t>
      </w:r>
      <w:r>
        <w:rPr>
          <w:rFonts w:ascii="Arial" w:cs="Arial" w:eastAsia="Arial" w:hAnsi="Arial"/>
          <w:sz w:val="18"/>
          <w:szCs w:val="18"/>
          <w:color w:val="auto"/>
        </w:rPr>
        <w:t>— Significant Ventures is a member of Sig Ed. In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2006, and 2007, and the six months ended June 30, 2008, the Company made payments of $124, $390, $0, and $0, respectively, to Significant Ventures for services and reimbursement of expenses. There were no amounts due from or payable to Significant Ventures as of December 31, 2006, and 2007 or June 30, 2008.</w:t>
      </w:r>
    </w:p>
    <w:p>
      <w:pPr>
        <w:spacing w:after="0" w:line="9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Endeavour Capital Fund IV, LP, Endeavour Associated Fund IV, LP, and Endeavour Capital Parallel Fund IV, LP (Endeavour)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Company’s Board of Directors are 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$211 for the years ended December 31, 2005, 2006 and 2007, and the six months ended June 30, 2008, respectively. As of December 31, 2006 and 2007 and June 30, 2008 there were no amounts due from or payable to Endeavour.</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Affiliates</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Mind Streams, LLC (Mind Streams) and 21st Century, LLC (21st Century) </w:t>
      </w:r>
      <w:r>
        <w:rPr>
          <w:rFonts w:ascii="Arial" w:cs="Arial" w:eastAsia="Arial" w:hAnsi="Arial"/>
          <w:sz w:val="18"/>
          <w:szCs w:val="18"/>
          <w:color w:val="auto"/>
        </w:rPr>
        <w:t>— Mind Streams and 21st Century are owned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in part, by the father of the Company’s Executive Chairman and General Counsel. See further discussion in Note 2, Summary of Significant Accounting Policies — Selling and Promotional.</w:t>
      </w:r>
    </w:p>
    <w:p>
      <w:pPr>
        <w:spacing w:after="0" w:line="87"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i w:val="1"/>
          <w:iCs w:val="1"/>
          <w:color w:val="auto"/>
        </w:rPr>
        <w:t xml:space="preserve">Youth In Motion </w:t>
      </w:r>
      <w:r>
        <w:rPr>
          <w:rFonts w:ascii="Arial" w:cs="Arial" w:eastAsia="Arial" w:hAnsi="Arial"/>
          <w:sz w:val="18"/>
          <w:szCs w:val="18"/>
          <w:color w:val="auto"/>
        </w:rPr>
        <w:t>— Youth In Motion is owned by the Chief Operating Officer (COO) of the Company. The Company paid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fees and expense reimbursements to Youth In Motion of $188, $113, $0 and $0 in the years ended December 31, 2005, 2006, and 2007, and the six months ended June 30, 2008, respectively. There were no amounts due from or payable to Youth In Motion at December 31, 2006 and 2007 or June 30, 2008.</w:t>
      </w:r>
    </w:p>
    <w:p>
      <w:pPr>
        <w:spacing w:after="0" w:line="92"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i w:val="1"/>
          <w:iCs w:val="1"/>
          <w:color w:val="auto"/>
        </w:rPr>
        <w:t xml:space="preserve">The Center for Educational Excellence, LLC (CEE) </w:t>
      </w:r>
      <w:r>
        <w:rPr>
          <w:rFonts w:ascii="Arial" w:cs="Arial" w:eastAsia="Arial" w:hAnsi="Arial"/>
          <w:sz w:val="18"/>
          <w:szCs w:val="18"/>
          <w:color w:val="auto"/>
        </w:rPr>
        <w:t>— Members of CEE include the COO of the Company. The Company paid</w:t>
      </w:r>
      <w:r>
        <w:rPr>
          <w:rFonts w:ascii="Arial" w:cs="Arial" w:eastAsia="Arial" w:hAnsi="Arial"/>
          <w:sz w:val="18"/>
          <w:szCs w:val="18"/>
          <w:i w:val="1"/>
          <w:iCs w:val="1"/>
          <w:color w:val="auto"/>
        </w:rPr>
        <w:t xml:space="preserve"> </w:t>
      </w:r>
      <w:r>
        <w:rPr>
          <w:rFonts w:ascii="Arial" w:cs="Arial" w:eastAsia="Arial" w:hAnsi="Arial"/>
          <w:sz w:val="18"/>
          <w:szCs w:val="18"/>
          <w:color w:val="auto"/>
        </w:rPr>
        <w:t>$607 and $183 of expenses on CEE’s behalf during the year ended December 31, 2007 and the six months ended June 30, 2008, respectively, and was reimbursed $331, and $4,</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left="940" w:right="118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respectively, and was owed $276 and $455, respectively, included in due from related parties at December 31, 2007 and June 30, 2008.</w:t>
      </w:r>
    </w:p>
    <w:p>
      <w:pPr>
        <w:spacing w:after="0" w:line="25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16.</w:t>
            </w:r>
          </w:p>
        </w:tc>
        <w:tc>
          <w:tcPr>
            <w:tcW w:w="4740" w:type="dxa"/>
            <w:vAlign w:val="bottom"/>
            <w:gridSpan w:val="2"/>
          </w:tcPr>
          <w:p>
            <w:pPr>
              <w:ind w:left="240"/>
              <w:spacing w:after="0"/>
              <w:rPr>
                <w:sz w:val="20"/>
                <w:szCs w:val="20"/>
                <w:color w:val="auto"/>
              </w:rPr>
            </w:pPr>
            <w:r>
              <w:rPr>
                <w:rFonts w:ascii="Arial" w:cs="Arial" w:eastAsia="Arial" w:hAnsi="Arial"/>
                <w:sz w:val="18"/>
                <w:szCs w:val="18"/>
                <w:b w:val="1"/>
                <w:bCs w:val="1"/>
                <w:color w:val="auto"/>
              </w:rPr>
              <w:t>Valuation and Qualifying Accounts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Charged to</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Year</w:t>
            </w:r>
          </w:p>
        </w:tc>
        <w:tc>
          <w:tcPr>
            <w:tcW w:w="4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Expense</w:t>
            </w:r>
          </w:p>
        </w:tc>
        <w:tc>
          <w:tcPr>
            <w:tcW w:w="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Year ended December 31, 2005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(1,132)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Year ended December 31, 2007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6,257</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Six months ended June 30, 2008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w w:val="97"/>
              </w:rPr>
              <w:t>Deductions represent accounts written off, net of recoveries.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0" w:hanging="507"/>
        <w:spacing w:after="0"/>
        <w:tabs>
          <w:tab w:leader="none" w:pos="12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700" w:right="180" w:firstLine="390"/>
        <w:spacing w:after="0" w:line="312" w:lineRule="auto"/>
        <w:tabs>
          <w:tab w:leader="none" w:pos="1352" w:val="left"/>
        </w:tabs>
        <w:numPr>
          <w:ilvl w:val="1"/>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Initial Public Offering and Distribution of Dividends: </w:t>
      </w:r>
      <w:r>
        <w:rPr>
          <w:rFonts w:ascii="Arial" w:cs="Arial" w:eastAsia="Arial" w:hAnsi="Arial"/>
          <w:sz w:val="16"/>
          <w:szCs w:val="16"/>
          <w:color w:val="auto"/>
        </w:rPr>
        <w:t>In 2008, the Company commenced preparation for an initial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under the Securities Act. On [ • ], 2008 the Company’s Board of Directors approved the payment of a special distribution to its stockholders of record as of [ • ] to be paid from the proceeds of the initial public offering, if and when it is completed.</w:t>
      </w:r>
    </w:p>
    <w:p>
      <w:pPr>
        <w:spacing w:after="0" w:line="52" w:lineRule="exact"/>
        <w:rPr>
          <w:rFonts w:ascii="Arial" w:cs="Arial" w:eastAsia="Arial" w:hAnsi="Arial"/>
          <w:sz w:val="16"/>
          <w:szCs w:val="16"/>
          <w:b w:val="1"/>
          <w:bCs w:val="1"/>
          <w:i w:val="1"/>
          <w:iCs w:val="1"/>
          <w:color w:val="auto"/>
        </w:rPr>
      </w:pPr>
    </w:p>
    <w:p>
      <w:pPr>
        <w:ind w:left="700" w:right="20" w:firstLine="390"/>
        <w:spacing w:after="0" w:line="255" w:lineRule="auto"/>
        <w:tabs>
          <w:tab w:leader="none" w:pos="1352" w:val="left"/>
        </w:tabs>
        <w:numPr>
          <w:ilvl w:val="1"/>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 Forma Information (Unaudited): </w:t>
      </w:r>
      <w:r>
        <w:rPr>
          <w:rFonts w:ascii="Arial" w:cs="Arial" w:eastAsia="Arial" w:hAnsi="Arial"/>
          <w:sz w:val="18"/>
          <w:szCs w:val="18"/>
          <w:color w:val="auto"/>
        </w:rPr>
        <w:t>As the special distribution referred to in Note 17(a) represents distributions to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be made from the proceeds of an initial public offering the accompanying pro forma balance sheets as of December 31, 2007 and June 30, 2008 reflecting the distribution, but not giving effect to the offering proceeds, are presented. In addition, as the amount of distribution exceeds net income for the twelve-month period ended June 30, 2008, pro forma earnings per common share, basic and diluted, are presented in the accompanying statements of operations for the year ended December 31, 2007 and for the six-month period ended June 30, 2008, giving effect to the number of shares that would be required to be issued at an assumed initial public offering price of $[ ] per share to pay</w:t>
      </w:r>
    </w:p>
    <w:p>
      <w:pPr>
        <w:spacing w:after="0" w:line="3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jc w:val="center"/>
        <w:ind w:right="100"/>
        <w:spacing w:after="0" w:line="266" w:lineRule="auto"/>
        <w:rPr>
          <w:sz w:val="20"/>
          <w:szCs w:val="20"/>
          <w:color w:val="auto"/>
        </w:rPr>
      </w:pPr>
      <w:r>
        <w:rPr>
          <w:rFonts w:ascii="Arial" w:cs="Arial" w:eastAsia="Arial" w:hAnsi="Arial"/>
          <w:sz w:val="18"/>
          <w:szCs w:val="18"/>
          <w:b w:val="1"/>
          <w:bCs w:val="1"/>
          <w:color w:val="auto"/>
        </w:rPr>
        <w:t>Notes to 2005, 2006, and 2007 Financial Statements (Restated) Notes to Unaudited Financial Statements for the Six Month Periods Ended June 30, 2007 and 2008 (In thousands of dollars, except share and per share data) — (Continued)</w:t>
      </w:r>
    </w:p>
    <w:p>
      <w:pPr>
        <w:spacing w:after="0" w:line="302" w:lineRule="exact"/>
        <w:rPr>
          <w:sz w:val="20"/>
          <w:szCs w:val="20"/>
          <w:color w:val="auto"/>
        </w:rPr>
      </w:pPr>
    </w:p>
    <w:p>
      <w:pPr>
        <w:ind w:left="700" w:right="1120"/>
        <w:spacing w:after="0" w:line="277" w:lineRule="auto"/>
        <w:rPr>
          <w:sz w:val="20"/>
          <w:szCs w:val="20"/>
          <w:color w:val="auto"/>
        </w:rPr>
      </w:pPr>
      <w:r>
        <w:rPr>
          <w:rFonts w:ascii="Arial" w:cs="Arial" w:eastAsia="Arial" w:hAnsi="Arial"/>
          <w:sz w:val="18"/>
          <w:szCs w:val="18"/>
          <w:color w:val="auto"/>
        </w:rPr>
        <w:t>the amount of dividends that exceeds net income for the twelve-month period ended June 30, 2008. The calculations of the pro forma earnings per common share, basic and diluted, discussed above are as follows: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Calculation of number of additional shares to be issued: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for the year ended December 31, 2007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w w:val="90"/>
              </w:rPr>
              <w:t>Less net income available to common stockholders for the six-month period ended June 30, 2007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ind w:right="540"/>
              <w:spacing w:after="0"/>
              <w:rPr>
                <w:sz w:val="20"/>
                <w:szCs w:val="20"/>
                <w:color w:val="auto"/>
              </w:rPr>
            </w:pPr>
            <w:r>
              <w:rPr>
                <w:rFonts w:ascii="Arial" w:cs="Arial" w:eastAsia="Arial" w:hAnsi="Arial"/>
                <w:sz w:val="18"/>
                <w:szCs w:val="18"/>
                <w:color w:val="auto"/>
              </w:rPr>
              <w:t>(734)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Plus net income available to common stockholders for the six-month period ended June 30, 2008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4"/>
          </w:tcPr>
          <w:p>
            <w:pPr>
              <w:ind w:left="700"/>
              <w:spacing w:after="0"/>
              <w:rPr>
                <w:sz w:val="20"/>
                <w:szCs w:val="20"/>
                <w:color w:val="auto"/>
              </w:rPr>
            </w:pPr>
            <w:r>
              <w:rPr>
                <w:rFonts w:ascii="Arial" w:cs="Arial" w:eastAsia="Arial" w:hAnsi="Arial"/>
                <w:sz w:val="18"/>
                <w:szCs w:val="18"/>
                <w:color w:val="auto"/>
                <w:w w:val="91"/>
              </w:rPr>
              <w:t>Net income available to common stockholders for the twelve-month period ended June 30, 2008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3,146</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of dividends to be paid</w:t>
            </w:r>
          </w:p>
        </w:tc>
        <w:tc>
          <w:tcPr>
            <w:tcW w:w="2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700"/>
              <w:spacing w:after="0"/>
              <w:rPr>
                <w:sz w:val="20"/>
                <w:szCs w:val="20"/>
                <w:color w:val="auto"/>
              </w:rPr>
            </w:pPr>
            <w:r>
              <w:rPr>
                <w:rFonts w:ascii="Arial" w:cs="Arial" w:eastAsia="Arial" w:hAnsi="Arial"/>
                <w:sz w:val="18"/>
                <w:szCs w:val="18"/>
                <w:color w:val="auto"/>
              </w:rPr>
              <w:t>Excess of dividends over earnings</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1"/>
              </w:rPr>
              <w:t>Number of shares required to be issued at $[ l</w:t>
            </w:r>
          </w:p>
        </w:tc>
        <w:tc>
          <w:tcPr>
            <w:tcW w:w="3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8"/>
              </w:rPr>
              <w:t>] per share to pay excess of dividends over earnings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w w:val="95"/>
              </w:rPr>
              <w:t>Calculation of pro forma earnings per common share, basic and diluted:</w:t>
            </w: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Six-Month Period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35"/>
              <w:spacing w:after="0"/>
              <w:rPr>
                <w:sz w:val="20"/>
                <w:szCs w:val="20"/>
                <w:color w:val="auto"/>
              </w:rPr>
            </w:pPr>
            <w:r>
              <w:rPr>
                <w:rFonts w:ascii="Arial" w:cs="Arial" w:eastAsia="Arial" w:hAnsi="Arial"/>
                <w:sz w:val="14"/>
                <w:szCs w:val="14"/>
                <w:b w:val="1"/>
                <w:bCs w:val="1"/>
                <w:color w:val="auto"/>
                <w:w w:val="90"/>
              </w:rPr>
              <w:t>June 30, 2008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available to common stockholders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1,177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Shares used in computing earnings per common share — historical: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10,363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rPr>
                <w:sz w:val="18"/>
                <w:szCs w:val="18"/>
                <w:color w:val="auto"/>
              </w:rPr>
            </w:pPr>
          </w:p>
        </w:tc>
        <w:tc>
          <w:tcPr>
            <w:tcW w:w="1480" w:type="dxa"/>
            <w:vAlign w:val="bottom"/>
            <w:gridSpan w:val="3"/>
          </w:tcPr>
          <w:p>
            <w:pPr>
              <w:jc w:val="right"/>
              <w:ind w:right="110"/>
              <w:spacing w:after="0"/>
              <w:rPr>
                <w:sz w:val="20"/>
                <w:szCs w:val="20"/>
                <w:color w:val="auto"/>
              </w:rPr>
            </w:pPr>
            <w:r>
              <w:rPr>
                <w:rFonts w:ascii="Arial" w:cs="Arial" w:eastAsia="Arial" w:hAnsi="Arial"/>
                <w:sz w:val="18"/>
                <w:szCs w:val="18"/>
                <w:color w:val="auto"/>
              </w:rPr>
              <w:t>19,246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17,866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earnings per common share — pro forma:</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Basic</w:t>
            </w:r>
          </w:p>
        </w:tc>
        <w:tc>
          <w:tcPr>
            <w:tcW w:w="2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rPr>
              <w:t>l</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rPr>
              <w:t>l</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 forma earnings per common share:</w:t>
            </w: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rPr>
              <w:t>l</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rPr>
              <w:t>l</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F-31</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21120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120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4"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20"/>
          </w:cols>
          <w:pgMar w:left="240" w:top="419" w:right="1039" w:bottom="1440" w:gutter="0" w:footer="0" w:header="0"/>
        </w:sectPr>
      </w:pP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0301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0301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126365</wp:posOffset>
            </wp:positionV>
            <wp:extent cx="8147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Estimate</w:t>
      </w:r>
    </w:p>
    <w:p>
      <w:pPr>
        <w:spacing w:after="0" w:line="23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89" w:hanging="189"/>
        <w:spacing w:after="0"/>
        <w:tabs>
          <w:tab w:leader="none" w:pos="189" w:val="left"/>
        </w:tabs>
        <w:numPr>
          <w:ilvl w:val="0"/>
          <w:numId w:val="94"/>
        </w:numPr>
        <w:rPr>
          <w:rFonts w:ascii="Arial" w:cs="Arial" w:eastAsia="Arial" w:hAnsi="Arial"/>
          <w:sz w:val="15"/>
          <w:szCs w:val="15"/>
          <w:color w:val="auto"/>
        </w:rPr>
      </w:pPr>
      <w:r>
        <w:rPr>
          <w:rFonts w:ascii="Arial" w:cs="Arial" w:eastAsia="Arial" w:hAnsi="Arial"/>
          <w:sz w:val="15"/>
          <w:szCs w:val="15"/>
          <w:color w:val="auto"/>
        </w:rPr>
        <w:t>9,039</w:t>
      </w:r>
    </w:p>
    <w:p>
      <w:pPr>
        <w:spacing w:after="0" w:line="57" w:lineRule="exact"/>
        <w:rPr>
          <w:rFonts w:ascii="Arial" w:cs="Arial" w:eastAsia="Arial" w:hAnsi="Arial"/>
          <w:sz w:val="15"/>
          <w:szCs w:val="15"/>
          <w:color w:val="auto"/>
        </w:rPr>
      </w:pPr>
    </w:p>
    <w:p>
      <w:pPr>
        <w:ind w:left="109"/>
        <w:spacing w:after="0"/>
        <w:rPr>
          <w:rFonts w:ascii="Arial" w:cs="Arial" w:eastAsia="Arial" w:hAnsi="Arial"/>
          <w:sz w:val="15"/>
          <w:szCs w:val="15"/>
          <w:color w:val="auto"/>
        </w:rPr>
      </w:pPr>
      <w:r>
        <w:rPr>
          <w:rFonts w:ascii="Arial" w:cs="Arial" w:eastAsia="Arial" w:hAnsi="Arial"/>
          <w:sz w:val="15"/>
          <w:szCs w:val="15"/>
          <w:color w:val="auto"/>
        </w:rPr>
        <w:t>23,500</w:t>
      </w:r>
    </w:p>
    <w:p>
      <w:pPr>
        <w:spacing w:after="0" w:line="43"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3771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771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3771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049" w:lineRule="exact"/>
        <w:rPr>
          <w:sz w:val="20"/>
          <w:szCs w:val="20"/>
          <w:color w:val="auto"/>
        </w:rPr>
      </w:pPr>
    </w:p>
    <w:p>
      <w:pPr>
        <w:sectPr>
          <w:pgSz w:w="11900" w:h="16838" w:orient="portrait"/>
          <w:cols w:equalWidth="0" w:num="2">
            <w:col w:w="9211" w:space="720"/>
            <w:col w:w="689"/>
          </w:cols>
          <w:pgMar w:left="240" w:top="419" w:right="1039" w:bottom="1440" w:gutter="0" w:footer="0" w:header="0"/>
          <w:type w:val="continuous"/>
        </w:sectPr>
      </w:pPr>
    </w:p>
    <w:p>
      <w:pPr>
        <w:ind w:left="700" w:firstLine="397"/>
        <w:spacing w:after="0" w:line="290"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2"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w:t>
      </w:r>
    </w:p>
    <w:p>
      <w:pPr>
        <w:spacing w:after="0" w:line="3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the corporation would have the power to indemnify the person against such liability under Section 145 of the DGCL.</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84"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3"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71"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9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In the three years preceding the filing of this registration statement, we have issued the following securities that were not registered under the Securities Act: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On March 31, 2005, we sold $14.0 million aggregate principal amount of notes to the Endeavour Entities. On August 24, 2005, we sold 5,953 shares of our newly designated Series A convertible preferred stock at a purchase price of $3,233.67 per share, or</w:t>
      </w:r>
    </w:p>
    <w:p>
      <w:pPr>
        <w:ind w:left="700" w:right="20"/>
        <w:spacing w:after="0" w:line="277" w:lineRule="auto"/>
        <w:rPr>
          <w:sz w:val="20"/>
          <w:szCs w:val="20"/>
          <w:color w:val="auto"/>
        </w:rPr>
      </w:pPr>
      <w:r>
        <w:rPr>
          <w:rFonts w:ascii="Arial" w:cs="Arial" w:eastAsia="Arial" w:hAnsi="Arial"/>
          <w:sz w:val="17"/>
          <w:szCs w:val="17"/>
          <w:color w:val="auto"/>
        </w:rPr>
        <w:t>$19.3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9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On December 18, 2007, we sold an aggregate of 3,829 shares of our newly designed Series C preferred stock at a purchase price of $3,500 per share, or approximately $13.4 million total, of which 1,675 shares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196"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Exhibits.</w:t>
      </w:r>
    </w:p>
    <w:p>
      <w:pPr>
        <w:spacing w:after="0" w:line="136" w:lineRule="exact"/>
        <w:rPr>
          <w:sz w:val="20"/>
          <w:szCs w:val="20"/>
          <w:color w:val="auto"/>
        </w:rPr>
      </w:pPr>
    </w:p>
    <w:p>
      <w:pPr>
        <w:ind w:left="108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7"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3"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9" w:lineRule="exact"/>
        <w:rPr>
          <w:sz w:val="20"/>
          <w:szCs w:val="20"/>
          <w:color w:val="auto"/>
        </w:rPr>
      </w:pPr>
    </w:p>
    <w:p>
      <w:pPr>
        <w:ind w:left="1660" w:right="140" w:hanging="575"/>
        <w:spacing w:after="0" w:line="250" w:lineRule="auto"/>
        <w:tabs>
          <w:tab w:leader="none" w:pos="1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Investor Rights Agreement, dated August 24, 2005, by and among Significant Education, Inc. and the other parties named therein*</w:t>
      </w:r>
    </w:p>
    <w:p>
      <w:pPr>
        <w:spacing w:after="0" w:line="1"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DLA Piper US LLP*</w:t>
      </w:r>
    </w:p>
    <w:p>
      <w:pPr>
        <w:spacing w:after="0" w:line="9" w:lineRule="exact"/>
        <w:rPr>
          <w:sz w:val="20"/>
          <w:szCs w:val="20"/>
          <w:color w:val="auto"/>
        </w:rPr>
      </w:pPr>
    </w:p>
    <w:p>
      <w:pPr>
        <w:ind w:left="1660" w:right="960" w:hanging="665"/>
        <w:spacing w:after="0" w:line="250" w:lineRule="auto"/>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Senior Management Agreement, dated August 24, 2005, by and between Significant Education, Inc. and Brent Richardson†#</w:t>
      </w:r>
    </w:p>
    <w:p>
      <w:pPr>
        <w:spacing w:after="0" w:line="1" w:lineRule="exact"/>
        <w:rPr>
          <w:sz w:val="20"/>
          <w:szCs w:val="20"/>
          <w:color w:val="auto"/>
        </w:rPr>
      </w:pPr>
    </w:p>
    <w:p>
      <w:pPr>
        <w:ind w:left="1660" w:right="520" w:hanging="665"/>
        <w:spacing w:after="0" w:line="250" w:lineRule="auto"/>
        <w:tabs>
          <w:tab w:leader="none" w:pos="1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Senior Management Agreement, dated August 24, 2005, by and between Significant Education, Inc. and Christopher Richardson†#</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Senior Management Agreement, dated August 24, 2005, by and between Significant Education, Inc. and John Crowley†#</w:t>
      </w:r>
    </w:p>
    <w:p>
      <w:pPr>
        <w:spacing w:after="0" w:line="9" w:lineRule="exact"/>
        <w:rPr>
          <w:sz w:val="20"/>
          <w:szCs w:val="20"/>
          <w:color w:val="auto"/>
        </w:rPr>
      </w:pPr>
    </w:p>
    <w:p>
      <w:pPr>
        <w:ind w:left="1660" w:right="100" w:hanging="665"/>
        <w:spacing w:after="0" w:line="250" w:lineRule="auto"/>
        <w:tabs>
          <w:tab w:leader="none" w:pos="1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to Senior Management Agreement, dated June 28, 2006, by and between Significant Education, Inc. and John Crowley†#</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2008 Equity Incentive Plan*</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2008 Employee Stock Purchase Plan*</w:t>
      </w:r>
    </w:p>
    <w:p>
      <w:pPr>
        <w:spacing w:after="0" w:line="9" w:lineRule="exact"/>
        <w:rPr>
          <w:sz w:val="20"/>
          <w:szCs w:val="20"/>
          <w:color w:val="auto"/>
        </w:rPr>
      </w:pPr>
    </w:p>
    <w:p>
      <w:pPr>
        <w:ind w:left="1660" w:right="280" w:hanging="665"/>
        <w:spacing w:after="0" w:line="250" w:lineRule="auto"/>
        <w:tabs>
          <w:tab w:leader="none" w:pos="1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Lease Agreement, effective June 28, 2004, by and between Spirit Finance Acquisitions, LLC and Significant Education, LLC#</w:t>
      </w:r>
    </w:p>
    <w:p>
      <w:pPr>
        <w:spacing w:after="0" w:line="1" w:lineRule="exact"/>
        <w:rPr>
          <w:sz w:val="20"/>
          <w:szCs w:val="20"/>
          <w:color w:val="auto"/>
        </w:rPr>
      </w:pPr>
    </w:p>
    <w:p>
      <w:pPr>
        <w:ind w:left="1660" w:hanging="665"/>
        <w:spacing w:after="0" w:line="250" w:lineRule="auto"/>
        <w:tabs>
          <w:tab w:leader="none" w:pos="1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First Amendment to Lease Agreement, effective September 24, 2004, by and between Spirit Finance Acquisitions, LLC and Significant Education, LLC#</w:t>
      </w:r>
    </w:p>
    <w:p>
      <w:pPr>
        <w:spacing w:after="0" w:line="1" w:lineRule="exact"/>
        <w:rPr>
          <w:sz w:val="20"/>
          <w:szCs w:val="20"/>
          <w:color w:val="auto"/>
        </w:rPr>
      </w:pPr>
    </w:p>
    <w:p>
      <w:pPr>
        <w:ind w:left="1660" w:right="420" w:hanging="665"/>
        <w:spacing w:after="0" w:line="250" w:lineRule="auto"/>
        <w:tabs>
          <w:tab w:leader="none" w:pos="1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Second Amendment to Lease Agreement, effective August 23, 2005, by and between Spirit Master Funding, LLC and Significant Education, LLC#</w:t>
      </w:r>
    </w:p>
    <w:p>
      <w:pPr>
        <w:spacing w:after="0" w:line="1" w:lineRule="exact"/>
        <w:rPr>
          <w:sz w:val="20"/>
          <w:szCs w:val="20"/>
          <w:color w:val="auto"/>
        </w:rPr>
      </w:pPr>
    </w:p>
    <w:p>
      <w:pPr>
        <w:ind w:left="1660" w:right="180" w:hanging="665"/>
        <w:spacing w:after="0" w:line="250" w:lineRule="auto"/>
        <w:tabs>
          <w:tab w:leader="none" w:pos="1640" w:val="left"/>
        </w:tabs>
        <w:rPr>
          <w:sz w:val="20"/>
          <w:szCs w:val="20"/>
          <w:color w:val="auto"/>
        </w:rPr>
      </w:pPr>
      <w:r>
        <w:rPr>
          <w:rFonts w:ascii="Arial" w:cs="Arial" w:eastAsia="Arial" w:hAnsi="Arial"/>
          <w:sz w:val="18"/>
          <w:szCs w:val="18"/>
          <w:color w:val="auto"/>
        </w:rPr>
        <w:t>10.10</w:t>
        <w:tab/>
        <w:t>Third Amendment to Lease Agreement, effective June 2006, by and between Spirit Master Funding, LLC and Significant Education, Inc.#</w:t>
      </w:r>
    </w:p>
    <w:p>
      <w:pPr>
        <w:spacing w:after="0" w:line="1" w:lineRule="exact"/>
        <w:rPr>
          <w:sz w:val="20"/>
          <w:szCs w:val="20"/>
          <w:color w:val="auto"/>
        </w:rPr>
      </w:pPr>
    </w:p>
    <w:p>
      <w:pPr>
        <w:ind w:left="1660" w:right="560" w:hanging="665"/>
        <w:spacing w:after="0" w:line="250" w:lineRule="auto"/>
        <w:tabs>
          <w:tab w:leader="none" w:pos="1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Fourth Amendment to Lease Agreement, effective August 9, 2006, by and between Spirit Master Funding, LLC and Significant Education, Inc.#</w:t>
      </w:r>
    </w:p>
    <w:p>
      <w:pPr>
        <w:spacing w:after="0" w:line="1" w:lineRule="exact"/>
        <w:rPr>
          <w:sz w:val="20"/>
          <w:szCs w:val="20"/>
          <w:color w:val="auto"/>
        </w:rPr>
      </w:pPr>
    </w:p>
    <w:p>
      <w:pPr>
        <w:ind w:left="1660" w:right="380" w:hanging="665"/>
        <w:spacing w:after="0" w:line="250" w:lineRule="auto"/>
        <w:tabs>
          <w:tab w:leader="none" w:pos="1640" w:val="left"/>
        </w:tabs>
        <w:rPr>
          <w:sz w:val="20"/>
          <w:szCs w:val="20"/>
          <w:color w:val="auto"/>
        </w:rPr>
      </w:pPr>
      <w:r>
        <w:rPr>
          <w:rFonts w:ascii="Arial" w:cs="Arial" w:eastAsia="Arial" w:hAnsi="Arial"/>
          <w:sz w:val="18"/>
          <w:szCs w:val="18"/>
          <w:color w:val="auto"/>
        </w:rPr>
        <w:t>10.12</w:t>
        <w:tab/>
        <w:t>Fifth Amendment to Lease Agreement, effective December 31, 2006, by and between Spirit Master Funding, LLC and Significant Education, Inc.#</w:t>
      </w:r>
    </w:p>
    <w:p>
      <w:pPr>
        <w:spacing w:after="0" w:line="1" w:lineRule="exact"/>
        <w:rPr>
          <w:sz w:val="20"/>
          <w:szCs w:val="20"/>
          <w:color w:val="auto"/>
        </w:rPr>
      </w:pPr>
    </w:p>
    <w:p>
      <w:pPr>
        <w:ind w:left="1660" w:right="320" w:hanging="665"/>
        <w:spacing w:after="0" w:line="250" w:lineRule="auto"/>
        <w:tabs>
          <w:tab w:leader="none" w:pos="1640" w:val="left"/>
        </w:tabs>
        <w:rPr>
          <w:sz w:val="20"/>
          <w:szCs w:val="20"/>
          <w:color w:val="auto"/>
        </w:rPr>
      </w:pPr>
      <w:r>
        <w:rPr>
          <w:rFonts w:ascii="Arial" w:cs="Arial" w:eastAsia="Arial" w:hAnsi="Arial"/>
          <w:sz w:val="18"/>
          <w:szCs w:val="18"/>
          <w:color w:val="auto"/>
        </w:rPr>
        <w:t>10.13</w:t>
        <w:tab/>
        <w:t>Sixth Amendment to Lease Agreement, effective September 30, 2007, by and between Spirit Master Funding, LLC and Significant Education, Inc.#</w:t>
      </w:r>
    </w:p>
    <w:p>
      <w:pPr>
        <w:spacing w:after="0" w:line="1" w:lineRule="exact"/>
        <w:rPr>
          <w:sz w:val="20"/>
          <w:szCs w:val="20"/>
          <w:color w:val="auto"/>
        </w:rPr>
      </w:pPr>
    </w:p>
    <w:p>
      <w:pPr>
        <w:ind w:left="1660" w:right="420" w:hanging="665"/>
        <w:spacing w:after="0" w:line="250" w:lineRule="auto"/>
        <w:tabs>
          <w:tab w:leader="none" w:pos="1640" w:val="left"/>
        </w:tabs>
        <w:rPr>
          <w:sz w:val="20"/>
          <w:szCs w:val="20"/>
          <w:color w:val="auto"/>
        </w:rPr>
      </w:pPr>
      <w:r>
        <w:rPr>
          <w:rFonts w:ascii="Arial" w:cs="Arial" w:eastAsia="Arial" w:hAnsi="Arial"/>
          <w:sz w:val="18"/>
          <w:szCs w:val="18"/>
          <w:color w:val="auto"/>
        </w:rPr>
        <w:t>10.14</w:t>
        <w:tab/>
        <w:t>Seventh Amendment to Lease Agreement, effective March 28, 2008, by and between Spirit Master Funding, LLC and Significant Education, Inc.#</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License Agreement, dated June 30, 2004, by and between Blanchard Education, LLC and Significant Education, LLC#</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Letter Agreement, dated February 6, 2006, by and between The Ken Blanchard Companies and Grand Canyon University#</w:t>
      </w:r>
    </w:p>
    <w:p>
      <w:pPr>
        <w:spacing w:after="0" w:line="9" w:lineRule="exact"/>
        <w:rPr>
          <w:sz w:val="20"/>
          <w:szCs w:val="20"/>
          <w:color w:val="auto"/>
        </w:rPr>
      </w:pPr>
    </w:p>
    <w:p>
      <w:pPr>
        <w:ind w:left="1660" w:right="360" w:hanging="665"/>
        <w:spacing w:after="0" w:line="250" w:lineRule="auto"/>
        <w:tabs>
          <w:tab w:leader="none" w:pos="1640" w:val="left"/>
        </w:tabs>
        <w:rPr>
          <w:sz w:val="20"/>
          <w:szCs w:val="20"/>
          <w:color w:val="auto"/>
        </w:rPr>
      </w:pPr>
      <w:r>
        <w:rPr>
          <w:rFonts w:ascii="Arial" w:cs="Arial" w:eastAsia="Arial" w:hAnsi="Arial"/>
          <w:sz w:val="18"/>
          <w:szCs w:val="18"/>
          <w:color w:val="auto"/>
        </w:rPr>
        <w:t>10.17</w:t>
        <w:tab/>
        <w:t>Amendment to License Agreement, dated May 8, 2008, by and between Blanchard Education, LLC and Grand Canyon Education, Inc.#</w:t>
      </w:r>
    </w:p>
    <w:p>
      <w:pPr>
        <w:spacing w:after="0" w:line="1" w:lineRule="exact"/>
        <w:rPr>
          <w:sz w:val="20"/>
          <w:szCs w:val="20"/>
          <w:color w:val="auto"/>
        </w:rPr>
      </w:pPr>
    </w:p>
    <w:p>
      <w:pPr>
        <w:ind w:left="1660" w:right="300" w:hanging="665"/>
        <w:spacing w:after="0" w:line="261" w:lineRule="auto"/>
        <w:tabs>
          <w:tab w:leader="none" w:pos="1640" w:val="left"/>
        </w:tabs>
        <w:rPr>
          <w:sz w:val="20"/>
          <w:szCs w:val="20"/>
          <w:color w:val="auto"/>
        </w:rPr>
      </w:pPr>
      <w:r>
        <w:rPr>
          <w:rFonts w:ascii="Arial" w:cs="Arial" w:eastAsia="Arial" w:hAnsi="Arial"/>
          <w:sz w:val="18"/>
          <w:szCs w:val="18"/>
          <w:color w:val="auto"/>
        </w:rPr>
        <w:t>10.18</w:t>
        <w:tab/>
        <w:t>Collaboration Agreement, dated July 11, 2005, by and between Mind Streams, LLC and Significant Education, LLC (as supplemented by Project One and Project Two)</w:t>
      </w:r>
    </w:p>
    <w:p>
      <w:pPr>
        <w:spacing w:after="0" w:line="37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7" w:lineRule="exact"/>
        <w:rPr>
          <w:sz w:val="20"/>
          <w:szCs w:val="20"/>
          <w:color w:val="auto"/>
        </w:rPr>
      </w:pPr>
    </w:p>
    <w:p>
      <w:pPr>
        <w:ind w:left="1660" w:right="420" w:hanging="665"/>
        <w:spacing w:after="0" w:line="258" w:lineRule="auto"/>
        <w:tabs>
          <w:tab w:leader="none" w:pos="1640" w:val="left"/>
        </w:tabs>
        <w:rPr>
          <w:sz w:val="20"/>
          <w:szCs w:val="20"/>
          <w:color w:val="auto"/>
        </w:rPr>
      </w:pPr>
      <w:r>
        <w:rPr>
          <w:rFonts w:ascii="Arial" w:cs="Arial" w:eastAsia="Arial" w:hAnsi="Arial"/>
          <w:sz w:val="18"/>
          <w:szCs w:val="18"/>
          <w:color w:val="auto"/>
        </w:rPr>
        <w:t>10.19</w:t>
        <w:tab/>
        <w:t>Executive Employment Agreement, dated June 25, 2008, by and between Grand Canyon Education, Inc. and Daniel E. Bachus†</w:t>
      </w:r>
    </w:p>
    <w:p>
      <w:pPr>
        <w:spacing w:after="0" w:line="1" w:lineRule="exact"/>
        <w:rPr>
          <w:sz w:val="20"/>
          <w:szCs w:val="20"/>
          <w:color w:val="auto"/>
        </w:rPr>
      </w:pPr>
    </w:p>
    <w:p>
      <w:pPr>
        <w:ind w:left="1660" w:right="500" w:hanging="665"/>
        <w:spacing w:after="0" w:line="250" w:lineRule="auto"/>
        <w:tabs>
          <w:tab w:leader="none" w:pos="1640" w:val="left"/>
        </w:tabs>
        <w:rPr>
          <w:sz w:val="20"/>
          <w:szCs w:val="20"/>
          <w:color w:val="auto"/>
        </w:rPr>
      </w:pPr>
      <w:r>
        <w:rPr>
          <w:rFonts w:ascii="Arial" w:cs="Arial" w:eastAsia="Arial" w:hAnsi="Arial"/>
          <w:sz w:val="18"/>
          <w:szCs w:val="18"/>
          <w:color w:val="auto"/>
        </w:rPr>
        <w:t>10.20</w:t>
        <w:tab/>
        <w:t>Executive Employment Agreement, dated June 25, 2008, by and between Grand Canyon Education, Inc. and Brian E. Mueller†</w:t>
      </w:r>
    </w:p>
    <w:p>
      <w:pPr>
        <w:spacing w:after="0" w:line="1" w:lineRule="exact"/>
        <w:rPr>
          <w:sz w:val="20"/>
          <w:szCs w:val="20"/>
          <w:color w:val="auto"/>
        </w:rPr>
      </w:pPr>
    </w:p>
    <w:p>
      <w:pPr>
        <w:ind w:left="1660" w:right="520" w:hanging="665"/>
        <w:spacing w:after="0" w:line="250" w:lineRule="auto"/>
        <w:tabs>
          <w:tab w:leader="none" w:pos="1640" w:val="left"/>
        </w:tabs>
        <w:rPr>
          <w:sz w:val="20"/>
          <w:szCs w:val="20"/>
          <w:color w:val="auto"/>
        </w:rPr>
      </w:pPr>
      <w:r>
        <w:rPr>
          <w:rFonts w:ascii="Arial" w:cs="Arial" w:eastAsia="Arial" w:hAnsi="Arial"/>
          <w:sz w:val="18"/>
          <w:szCs w:val="18"/>
          <w:color w:val="auto"/>
        </w:rPr>
        <w:t>10.21</w:t>
        <w:tab/>
        <w:t>Executive Employment Agreement, dated June 25, 2008, by and between Grand Canyon Education, Inc. and W. Stan Meyer†</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DLA Piper US LLP (included in Exhibit 5.1)*</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Consent of David J. Johnson#</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Education, LLC is the predecessor to Significant Education, Inc., which is the former name of Grand Canyon Education, Inc.</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Previously filed.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To be filed by amendment.</w:t>
      </w:r>
    </w:p>
    <w:p>
      <w:pPr>
        <w:spacing w:after="0" w:line="63" w:lineRule="exact"/>
        <w:rPr>
          <w:sz w:val="20"/>
          <w:szCs w:val="20"/>
          <w:color w:val="auto"/>
        </w:rPr>
      </w:pPr>
    </w:p>
    <w:p>
      <w:pPr>
        <w:ind w:left="900" w:hanging="207"/>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30" w:lineRule="exact"/>
        <w:rPr>
          <w:rFonts w:ascii="Arial" w:cs="Arial" w:eastAsia="Arial" w:hAnsi="Arial"/>
          <w:sz w:val="18"/>
          <w:szCs w:val="18"/>
          <w:color w:val="auto"/>
        </w:rPr>
      </w:pPr>
    </w:p>
    <w:p>
      <w:pPr>
        <w:ind w:left="1340" w:hanging="250"/>
        <w:spacing w:after="0"/>
        <w:tabs>
          <w:tab w:leader="none" w:pos="13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All schedules are omitted because they are not required, are not applicable or, the information is included in the financial statements or the notes thereto.</w:t>
      </w:r>
    </w:p>
    <w:p>
      <w:pPr>
        <w:spacing w:after="0" w:line="180"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8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hereby undertake that:</w:t>
      </w:r>
    </w:p>
    <w:p>
      <w:pPr>
        <w:spacing w:after="0" w:line="131" w:lineRule="exact"/>
        <w:rPr>
          <w:sz w:val="20"/>
          <w:szCs w:val="20"/>
          <w:color w:val="auto"/>
        </w:rPr>
      </w:pPr>
    </w:p>
    <w:p>
      <w:pPr>
        <w:ind w:left="700" w:firstLine="787"/>
        <w:spacing w:after="0" w:line="259" w:lineRule="auto"/>
        <w:tabs>
          <w:tab w:leader="none" w:pos="17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700" w:right="80" w:firstLine="787"/>
        <w:spacing w:after="0" w:line="264" w:lineRule="auto"/>
        <w:tabs>
          <w:tab w:leader="none" w:pos="1759"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880" w:firstLine="397"/>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Phoenix, State of Arizona on August 12, 2008.</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GRAND CANYON EDUCATION, INC.</w:t>
      </w:r>
    </w:p>
    <w:p>
      <w:pPr>
        <w:spacing w:after="0" w:line="200" w:lineRule="exact"/>
        <w:rPr>
          <w:sz w:val="20"/>
          <w:szCs w:val="20"/>
          <w:color w:val="auto"/>
        </w:rPr>
      </w:pP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Brian E. Mueller</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29673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116" w:lineRule="exact"/>
        <w:rPr>
          <w:sz w:val="20"/>
          <w:szCs w:val="20"/>
          <w:color w:val="auto"/>
        </w:rPr>
      </w:pPr>
    </w:p>
    <w:p>
      <w:pPr>
        <w:ind w:left="700" w:right="1160" w:firstLine="397"/>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and the Power of Attorney has been signed by the following persons in the capacities and on the dates indicated.</w:t>
      </w:r>
    </w:p>
    <w:p>
      <w:pPr>
        <w:spacing w:after="0" w:line="81" w:lineRule="exact"/>
        <w:rPr>
          <w:sz w:val="20"/>
          <w:szCs w:val="20"/>
          <w:color w:val="auto"/>
        </w:rPr>
      </w:pPr>
    </w:p>
    <w:p>
      <w:pPr>
        <w:ind w:left="2760"/>
        <w:spacing w:after="0"/>
        <w:tabs>
          <w:tab w:leader="none" w:pos="7020" w:val="left"/>
          <w:tab w:leader="none" w:pos="9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15240</wp:posOffset>
            </wp:positionV>
            <wp:extent cx="26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15240</wp:posOffset>
            </wp:positionV>
            <wp:extent cx="26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15240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1"/>
              </w:rPr>
              <w:t>Executive Chairman</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224"/>
        </w:trPr>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Brent D. Richardson</w:t>
            </w:r>
          </w:p>
        </w:tc>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3"/>
              </w:rPr>
              <w:t>Chief Executive Officer</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224"/>
        </w:trPr>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Brian E. Mueller</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3"/>
              </w:rPr>
              <w:t>(Principal Executive Officer)</w:t>
            </w:r>
          </w:p>
        </w:tc>
        <w:tc>
          <w:tcPr>
            <w:tcW w:w="2620" w:type="dxa"/>
            <w:vAlign w:val="bottom"/>
          </w:tcPr>
          <w:p>
            <w:pPr>
              <w:spacing w:after="0"/>
              <w:rPr>
                <w:sz w:val="19"/>
                <w:szCs w:val="19"/>
                <w:color w:val="auto"/>
              </w:rPr>
            </w:pPr>
          </w:p>
        </w:tc>
      </w:tr>
      <w:tr>
        <w:trPr>
          <w:trHeight w:val="418"/>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4"/>
              </w:rPr>
              <w:t>Chief Financial Officer</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182"/>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line="182" w:lineRule="exact"/>
              <w:rPr>
                <w:sz w:val="20"/>
                <w:szCs w:val="20"/>
                <w:color w:val="auto"/>
              </w:rPr>
            </w:pPr>
            <w:r>
              <w:rPr>
                <w:rFonts w:ascii="Arial" w:cs="Arial" w:eastAsia="Arial" w:hAnsi="Arial"/>
                <w:sz w:val="18"/>
                <w:szCs w:val="18"/>
                <w:color w:val="auto"/>
              </w:rPr>
              <w:t>Daniel E. Bachus</w:t>
            </w:r>
          </w:p>
        </w:tc>
        <w:tc>
          <w:tcPr>
            <w:tcW w:w="3920" w:type="dxa"/>
            <w:vAlign w:val="bottom"/>
          </w:tcPr>
          <w:p>
            <w:pPr>
              <w:jc w:val="center"/>
              <w:ind w:left="350"/>
              <w:spacing w:after="0" w:line="182" w:lineRule="exact"/>
              <w:rPr>
                <w:sz w:val="20"/>
                <w:szCs w:val="20"/>
                <w:color w:val="auto"/>
              </w:rPr>
            </w:pPr>
            <w:r>
              <w:rPr>
                <w:rFonts w:ascii="Arial" w:cs="Arial" w:eastAsia="Arial" w:hAnsi="Arial"/>
                <w:sz w:val="18"/>
                <w:szCs w:val="18"/>
                <w:color w:val="auto"/>
                <w:w w:val="93"/>
              </w:rPr>
              <w:t>(Principal Financial and Principal</w:t>
            </w:r>
          </w:p>
        </w:tc>
        <w:tc>
          <w:tcPr>
            <w:tcW w:w="2620" w:type="dxa"/>
            <w:vAlign w:val="bottom"/>
          </w:tcPr>
          <w:p>
            <w:pPr>
              <w:spacing w:after="0"/>
              <w:rPr>
                <w:sz w:val="15"/>
                <w:szCs w:val="15"/>
                <w:color w:val="auto"/>
              </w:rPr>
            </w:pPr>
          </w:p>
        </w:tc>
      </w:tr>
      <w:tr>
        <w:trPr>
          <w:trHeight w:val="230"/>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jc w:val="center"/>
              <w:ind w:left="370"/>
              <w:spacing w:after="0"/>
              <w:rPr>
                <w:sz w:val="20"/>
                <w:szCs w:val="20"/>
                <w:color w:val="auto"/>
              </w:rPr>
            </w:pPr>
            <w:r>
              <w:rPr>
                <w:rFonts w:ascii="Arial" w:cs="Arial" w:eastAsia="Arial" w:hAnsi="Arial"/>
                <w:sz w:val="18"/>
                <w:szCs w:val="18"/>
                <w:color w:val="auto"/>
                <w:w w:val="95"/>
              </w:rPr>
              <w:t>Accounting Officer)</w:t>
            </w:r>
          </w:p>
        </w:tc>
        <w:tc>
          <w:tcPr>
            <w:tcW w:w="26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0"/>
              </w:rPr>
              <w:t>General Counsel and Director</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224"/>
        </w:trPr>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4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5"/>
              </w:rPr>
              <w:t>Director</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224"/>
        </w:trPr>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 Mark Dorman</w:t>
            </w:r>
          </w:p>
        </w:tc>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4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3920" w:type="dxa"/>
            <w:vAlign w:val="bottom"/>
          </w:tcPr>
          <w:p>
            <w:pPr>
              <w:jc w:val="center"/>
              <w:ind w:left="350"/>
              <w:spacing w:after="0"/>
              <w:rPr>
                <w:sz w:val="20"/>
                <w:szCs w:val="20"/>
                <w:color w:val="auto"/>
              </w:rPr>
            </w:pPr>
            <w:r>
              <w:rPr>
                <w:rFonts w:ascii="Arial" w:cs="Arial" w:eastAsia="Arial" w:hAnsi="Arial"/>
                <w:sz w:val="18"/>
                <w:szCs w:val="18"/>
                <w:color w:val="auto"/>
                <w:w w:val="95"/>
              </w:rPr>
              <w:t>Director</w:t>
            </w:r>
          </w:p>
        </w:tc>
        <w:tc>
          <w:tcPr>
            <w:tcW w:w="2620" w:type="dxa"/>
            <w:vAlign w:val="bottom"/>
          </w:tcPr>
          <w:p>
            <w:pPr>
              <w:ind w:left="540"/>
              <w:spacing w:after="0"/>
              <w:rPr>
                <w:sz w:val="20"/>
                <w:szCs w:val="20"/>
                <w:color w:val="auto"/>
              </w:rPr>
            </w:pPr>
            <w:r>
              <w:rPr>
                <w:rFonts w:ascii="Arial" w:cs="Arial" w:eastAsia="Arial" w:hAnsi="Arial"/>
                <w:sz w:val="18"/>
                <w:szCs w:val="18"/>
                <w:color w:val="auto"/>
              </w:rPr>
              <w:t>August 12, 2008</w:t>
            </w:r>
          </w:p>
        </w:tc>
      </w:tr>
      <w:tr>
        <w:trPr>
          <w:trHeight w:val="224"/>
        </w:trPr>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Chad N. Heath</w:t>
            </w:r>
          </w:p>
        </w:tc>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18"/>
        </w:trPr>
        <w:tc>
          <w:tcPr>
            <w:tcW w:w="4880" w:type="dxa"/>
            <w:vAlign w:val="bottom"/>
            <w:gridSpan w:val="3"/>
          </w:tcPr>
          <w:p>
            <w:pPr>
              <w:ind w:left="700"/>
              <w:spacing w:after="0"/>
              <w:rPr>
                <w:sz w:val="20"/>
                <w:szCs w:val="20"/>
                <w:color w:val="auto"/>
              </w:rPr>
            </w:pPr>
            <w:r>
              <w:rPr>
                <w:rFonts w:ascii="Arial" w:cs="Arial" w:eastAsia="Arial" w:hAnsi="Arial"/>
                <w:sz w:val="18"/>
                <w:szCs w:val="18"/>
                <w:color w:val="auto"/>
              </w:rPr>
              <w:t>*By: /s/ Christopher C. Richardson</w:t>
            </w:r>
          </w:p>
        </w:tc>
        <w:tc>
          <w:tcPr>
            <w:tcW w:w="39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Christopher C. Richardson</w:t>
            </w:r>
          </w:p>
        </w:tc>
        <w:tc>
          <w:tcPr>
            <w:tcW w:w="392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0"/>
        </w:trPr>
        <w:tc>
          <w:tcPr>
            <w:tcW w:w="4880" w:type="dxa"/>
            <w:vAlign w:val="bottom"/>
            <w:gridSpan w:val="3"/>
          </w:tcPr>
          <w:p>
            <w:pPr>
              <w:ind w:left="1120"/>
              <w:spacing w:after="0"/>
              <w:rPr>
                <w:sz w:val="20"/>
                <w:szCs w:val="20"/>
                <w:color w:val="auto"/>
              </w:rPr>
            </w:pPr>
            <w:r>
              <w:rPr>
                <w:rFonts w:ascii="Arial" w:cs="Arial" w:eastAsia="Arial" w:hAnsi="Arial"/>
                <w:sz w:val="18"/>
                <w:szCs w:val="18"/>
                <w:color w:val="auto"/>
              </w:rPr>
              <w:t>Attorney-in-fact</w:t>
            </w:r>
          </w:p>
        </w:tc>
        <w:tc>
          <w:tcPr>
            <w:tcW w:w="39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608"/>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920" w:type="dxa"/>
            <w:vAlign w:val="bottom"/>
          </w:tcPr>
          <w:p>
            <w:pPr>
              <w:ind w:left="640"/>
              <w:spacing w:after="0"/>
              <w:rPr>
                <w:sz w:val="20"/>
                <w:szCs w:val="20"/>
                <w:color w:val="auto"/>
              </w:rPr>
            </w:pPr>
            <w:r>
              <w:rPr>
                <w:rFonts w:ascii="Arial" w:cs="Arial" w:eastAsia="Arial" w:hAnsi="Arial"/>
                <w:sz w:val="18"/>
                <w:szCs w:val="18"/>
                <w:color w:val="auto"/>
              </w:rPr>
              <w:t>II-5</w:t>
            </w:r>
          </w:p>
        </w:tc>
        <w:tc>
          <w:tcPr>
            <w:tcW w:w="2620" w:type="dxa"/>
            <w:vAlign w:val="bottom"/>
          </w:tcPr>
          <w:p>
            <w:pPr>
              <w:spacing w:after="0"/>
              <w:rPr>
                <w:sz w:val="24"/>
                <w:szCs w:val="24"/>
                <w:color w:val="auto"/>
              </w:rPr>
            </w:pPr>
          </w:p>
        </w:tc>
      </w:tr>
      <w:tr>
        <w:trPr>
          <w:trHeight w:val="226"/>
        </w:trPr>
        <w:tc>
          <w:tcPr>
            <w:tcW w:w="1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p>
      <w:pPr>
        <w:ind w:left="108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7"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3"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9"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Stock Certificate*</w:t>
      </w:r>
    </w:p>
    <w:p>
      <w:pPr>
        <w:spacing w:after="0" w:line="9" w:lineRule="exact"/>
        <w:rPr>
          <w:sz w:val="20"/>
          <w:szCs w:val="20"/>
          <w:color w:val="auto"/>
        </w:rPr>
      </w:pPr>
    </w:p>
    <w:p>
      <w:pPr>
        <w:ind w:left="1660" w:right="140" w:hanging="575"/>
        <w:spacing w:after="0" w:line="250" w:lineRule="auto"/>
        <w:tabs>
          <w:tab w:leader="none" w:pos="1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Investor Rights Agreement, dated August 24, 2005, by and among Significant Education, Inc. and the other parties named therein*</w:t>
      </w:r>
    </w:p>
    <w:p>
      <w:pPr>
        <w:spacing w:after="0" w:line="1"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DLA Piper US LLP*</w:t>
      </w:r>
    </w:p>
    <w:p>
      <w:pPr>
        <w:spacing w:after="0" w:line="9" w:lineRule="exact"/>
        <w:rPr>
          <w:sz w:val="20"/>
          <w:szCs w:val="20"/>
          <w:color w:val="auto"/>
        </w:rPr>
      </w:pPr>
    </w:p>
    <w:p>
      <w:pPr>
        <w:ind w:left="1660" w:right="960" w:hanging="665"/>
        <w:spacing w:after="0" w:line="250" w:lineRule="auto"/>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Senior Management Agreement, dated August 24, 2005, by and between Significant Education, Inc. and Brent Richardson†#</w:t>
      </w:r>
    </w:p>
    <w:p>
      <w:pPr>
        <w:spacing w:after="0" w:line="1" w:lineRule="exact"/>
        <w:rPr>
          <w:sz w:val="20"/>
          <w:szCs w:val="20"/>
          <w:color w:val="auto"/>
        </w:rPr>
      </w:pPr>
    </w:p>
    <w:p>
      <w:pPr>
        <w:ind w:left="1660" w:right="520" w:hanging="665"/>
        <w:spacing w:after="0" w:line="250" w:lineRule="auto"/>
        <w:tabs>
          <w:tab w:leader="none" w:pos="1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Senior Management Agreement, dated August 24, 2005, by and between Significant Education, Inc. and Christopher Richardson†#</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Senior Management Agreement, dated August 24, 2005, by and between Significant Education, Inc. and John Crowley†#</w:t>
      </w:r>
    </w:p>
    <w:p>
      <w:pPr>
        <w:spacing w:after="0" w:line="9" w:lineRule="exact"/>
        <w:rPr>
          <w:sz w:val="20"/>
          <w:szCs w:val="20"/>
          <w:color w:val="auto"/>
        </w:rPr>
      </w:pPr>
    </w:p>
    <w:p>
      <w:pPr>
        <w:ind w:left="1660" w:right="100" w:hanging="665"/>
        <w:spacing w:after="0" w:line="250" w:lineRule="auto"/>
        <w:tabs>
          <w:tab w:leader="none" w:pos="1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to Senior Management Agreement, dated June 28, 2006, by and between Significant Education, Inc. and John Crowley†#</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2008 Equity Incentive Plan*</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2008 Employee Stock Purchase Plan*</w:t>
      </w:r>
    </w:p>
    <w:p>
      <w:pPr>
        <w:spacing w:after="0" w:line="9" w:lineRule="exact"/>
        <w:rPr>
          <w:sz w:val="20"/>
          <w:szCs w:val="20"/>
          <w:color w:val="auto"/>
        </w:rPr>
      </w:pPr>
    </w:p>
    <w:p>
      <w:pPr>
        <w:ind w:left="1660" w:right="280" w:hanging="665"/>
        <w:spacing w:after="0" w:line="250" w:lineRule="auto"/>
        <w:tabs>
          <w:tab w:leader="none" w:pos="1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Lease Agreement, effective June 28, 2004, by and between Spirit Finance Acquisitions, LLC and Significant Education, LLC#</w:t>
      </w:r>
    </w:p>
    <w:p>
      <w:pPr>
        <w:spacing w:after="0" w:line="1" w:lineRule="exact"/>
        <w:rPr>
          <w:sz w:val="20"/>
          <w:szCs w:val="20"/>
          <w:color w:val="auto"/>
        </w:rPr>
      </w:pPr>
    </w:p>
    <w:p>
      <w:pPr>
        <w:ind w:left="1660" w:hanging="665"/>
        <w:spacing w:after="0" w:line="250" w:lineRule="auto"/>
        <w:tabs>
          <w:tab w:leader="none" w:pos="1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First Amendment to Lease Agreement, effective September 24, 2004, by and between Spirit Finance Acquisitions, LLC and Significant Education, LLC#</w:t>
      </w:r>
    </w:p>
    <w:p>
      <w:pPr>
        <w:spacing w:after="0" w:line="1" w:lineRule="exact"/>
        <w:rPr>
          <w:sz w:val="20"/>
          <w:szCs w:val="20"/>
          <w:color w:val="auto"/>
        </w:rPr>
      </w:pPr>
    </w:p>
    <w:p>
      <w:pPr>
        <w:ind w:left="1660" w:right="420" w:hanging="665"/>
        <w:spacing w:after="0" w:line="250" w:lineRule="auto"/>
        <w:tabs>
          <w:tab w:leader="none" w:pos="1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Second Amendment to Lease Agreement, effective August 23, 2005, by and between Spirit Master Funding, LLC and Significant Education, LLC#</w:t>
      </w:r>
    </w:p>
    <w:p>
      <w:pPr>
        <w:spacing w:after="0" w:line="1" w:lineRule="exact"/>
        <w:rPr>
          <w:sz w:val="20"/>
          <w:szCs w:val="20"/>
          <w:color w:val="auto"/>
        </w:rPr>
      </w:pPr>
    </w:p>
    <w:p>
      <w:pPr>
        <w:ind w:left="1660" w:right="180" w:hanging="665"/>
        <w:spacing w:after="0" w:line="250" w:lineRule="auto"/>
        <w:tabs>
          <w:tab w:leader="none" w:pos="1640" w:val="left"/>
        </w:tabs>
        <w:rPr>
          <w:sz w:val="20"/>
          <w:szCs w:val="20"/>
          <w:color w:val="auto"/>
        </w:rPr>
      </w:pPr>
      <w:r>
        <w:rPr>
          <w:rFonts w:ascii="Arial" w:cs="Arial" w:eastAsia="Arial" w:hAnsi="Arial"/>
          <w:sz w:val="18"/>
          <w:szCs w:val="18"/>
          <w:color w:val="auto"/>
        </w:rPr>
        <w:t>10.10</w:t>
        <w:tab/>
        <w:t>Third Amendment to Lease Agreement, effective June 2006, by and between Spirit Master Funding, LLC and Significant Education, Inc.#</w:t>
      </w:r>
    </w:p>
    <w:p>
      <w:pPr>
        <w:spacing w:after="0" w:line="1" w:lineRule="exact"/>
        <w:rPr>
          <w:sz w:val="20"/>
          <w:szCs w:val="20"/>
          <w:color w:val="auto"/>
        </w:rPr>
      </w:pPr>
    </w:p>
    <w:p>
      <w:pPr>
        <w:ind w:left="1660" w:right="560" w:hanging="665"/>
        <w:spacing w:after="0" w:line="250" w:lineRule="auto"/>
        <w:tabs>
          <w:tab w:leader="none" w:pos="1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Fourth Amendment to Lease Agreement, effective August 9, 2006, by and between Spirit Master Funding, LLC and Significant Education, Inc.#</w:t>
      </w:r>
    </w:p>
    <w:p>
      <w:pPr>
        <w:spacing w:after="0" w:line="1" w:lineRule="exact"/>
        <w:rPr>
          <w:sz w:val="20"/>
          <w:szCs w:val="20"/>
          <w:color w:val="auto"/>
        </w:rPr>
      </w:pPr>
    </w:p>
    <w:p>
      <w:pPr>
        <w:ind w:left="1660" w:right="380" w:hanging="665"/>
        <w:spacing w:after="0" w:line="250" w:lineRule="auto"/>
        <w:tabs>
          <w:tab w:leader="none" w:pos="1640" w:val="left"/>
        </w:tabs>
        <w:rPr>
          <w:sz w:val="20"/>
          <w:szCs w:val="20"/>
          <w:color w:val="auto"/>
        </w:rPr>
      </w:pPr>
      <w:r>
        <w:rPr>
          <w:rFonts w:ascii="Arial" w:cs="Arial" w:eastAsia="Arial" w:hAnsi="Arial"/>
          <w:sz w:val="18"/>
          <w:szCs w:val="18"/>
          <w:color w:val="auto"/>
        </w:rPr>
        <w:t>10.12</w:t>
        <w:tab/>
        <w:t>Fifth Amendment to Lease Agreement, effective December 31, 2006, by and between Spirit Master Funding, LLC and Significant Education, Inc.#</w:t>
      </w:r>
    </w:p>
    <w:p>
      <w:pPr>
        <w:spacing w:after="0" w:line="1" w:lineRule="exact"/>
        <w:rPr>
          <w:sz w:val="20"/>
          <w:szCs w:val="20"/>
          <w:color w:val="auto"/>
        </w:rPr>
      </w:pPr>
    </w:p>
    <w:p>
      <w:pPr>
        <w:ind w:left="1660" w:right="320" w:hanging="665"/>
        <w:spacing w:after="0" w:line="250" w:lineRule="auto"/>
        <w:tabs>
          <w:tab w:leader="none" w:pos="1640" w:val="left"/>
        </w:tabs>
        <w:rPr>
          <w:sz w:val="20"/>
          <w:szCs w:val="20"/>
          <w:color w:val="auto"/>
        </w:rPr>
      </w:pPr>
      <w:r>
        <w:rPr>
          <w:rFonts w:ascii="Arial" w:cs="Arial" w:eastAsia="Arial" w:hAnsi="Arial"/>
          <w:sz w:val="18"/>
          <w:szCs w:val="18"/>
          <w:color w:val="auto"/>
        </w:rPr>
        <w:t>10.13</w:t>
        <w:tab/>
        <w:t>Sixth Amendment to Lease Agreement, effective September 30, 2007, by and between Spirit Master Funding, LLC and Significant Education, Inc.#</w:t>
      </w:r>
    </w:p>
    <w:p>
      <w:pPr>
        <w:spacing w:after="0" w:line="1" w:lineRule="exact"/>
        <w:rPr>
          <w:sz w:val="20"/>
          <w:szCs w:val="20"/>
          <w:color w:val="auto"/>
        </w:rPr>
      </w:pPr>
    </w:p>
    <w:p>
      <w:pPr>
        <w:ind w:left="1660" w:right="420" w:hanging="665"/>
        <w:spacing w:after="0" w:line="250" w:lineRule="auto"/>
        <w:tabs>
          <w:tab w:leader="none" w:pos="1640" w:val="left"/>
        </w:tabs>
        <w:rPr>
          <w:sz w:val="20"/>
          <w:szCs w:val="20"/>
          <w:color w:val="auto"/>
        </w:rPr>
      </w:pPr>
      <w:r>
        <w:rPr>
          <w:rFonts w:ascii="Arial" w:cs="Arial" w:eastAsia="Arial" w:hAnsi="Arial"/>
          <w:sz w:val="18"/>
          <w:szCs w:val="18"/>
          <w:color w:val="auto"/>
        </w:rPr>
        <w:t>10.14</w:t>
        <w:tab/>
        <w:t>Seventh Amendment to Lease Agreement, effective March 28, 2008, by and between Spirit Master Funding, LLC and Significant Education, Inc.#</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License Agreement, dated June 30, 2004, by and between Blanchard Education, LLC and Significant Education, LLC#</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Letter Agreement, dated February 6, 2006, by and between The Ken Blanchard Companies and Grand Canyon University#</w:t>
      </w:r>
    </w:p>
    <w:p>
      <w:pPr>
        <w:spacing w:after="0" w:line="9" w:lineRule="exact"/>
        <w:rPr>
          <w:sz w:val="20"/>
          <w:szCs w:val="20"/>
          <w:color w:val="auto"/>
        </w:rPr>
      </w:pPr>
    </w:p>
    <w:p>
      <w:pPr>
        <w:ind w:left="1660" w:right="360" w:hanging="665"/>
        <w:spacing w:after="0" w:line="250" w:lineRule="auto"/>
        <w:tabs>
          <w:tab w:leader="none" w:pos="1640" w:val="left"/>
        </w:tabs>
        <w:rPr>
          <w:sz w:val="20"/>
          <w:szCs w:val="20"/>
          <w:color w:val="auto"/>
        </w:rPr>
      </w:pPr>
      <w:r>
        <w:rPr>
          <w:rFonts w:ascii="Arial" w:cs="Arial" w:eastAsia="Arial" w:hAnsi="Arial"/>
          <w:sz w:val="18"/>
          <w:szCs w:val="18"/>
          <w:color w:val="auto"/>
        </w:rPr>
        <w:t>10.17</w:t>
        <w:tab/>
        <w:t>Amendment to License Agreement, dated May 8, 2008, by and between Blanchard Education, LLC and Grand Canyon Education, Inc.#</w:t>
      </w:r>
    </w:p>
    <w:p>
      <w:pPr>
        <w:spacing w:after="0" w:line="1" w:lineRule="exact"/>
        <w:rPr>
          <w:sz w:val="20"/>
          <w:szCs w:val="20"/>
          <w:color w:val="auto"/>
        </w:rPr>
      </w:pPr>
    </w:p>
    <w:p>
      <w:pPr>
        <w:ind w:left="1660" w:right="300" w:hanging="665"/>
        <w:spacing w:after="0" w:line="250" w:lineRule="auto"/>
        <w:tabs>
          <w:tab w:leader="none" w:pos="1640" w:val="left"/>
        </w:tabs>
        <w:rPr>
          <w:sz w:val="20"/>
          <w:szCs w:val="20"/>
          <w:color w:val="auto"/>
        </w:rPr>
      </w:pPr>
      <w:r>
        <w:rPr>
          <w:rFonts w:ascii="Arial" w:cs="Arial" w:eastAsia="Arial" w:hAnsi="Arial"/>
          <w:sz w:val="18"/>
          <w:szCs w:val="18"/>
          <w:color w:val="auto"/>
        </w:rPr>
        <w:t>10.18</w:t>
        <w:tab/>
        <w:t>Collaboration Agreement, dated July 11, 2005, by and between Mind Streams, LLC and Significant Education, LLC (as supplemented by Project One and Project Two)</w:t>
      </w:r>
    </w:p>
    <w:p>
      <w:pPr>
        <w:spacing w:after="0" w:line="1" w:lineRule="exact"/>
        <w:rPr>
          <w:sz w:val="20"/>
          <w:szCs w:val="20"/>
          <w:color w:val="auto"/>
        </w:rPr>
      </w:pPr>
    </w:p>
    <w:p>
      <w:pPr>
        <w:ind w:left="1660" w:right="380" w:hanging="665"/>
        <w:spacing w:after="0" w:line="250" w:lineRule="auto"/>
        <w:tabs>
          <w:tab w:leader="none" w:pos="1640" w:val="left"/>
        </w:tabs>
        <w:rPr>
          <w:sz w:val="20"/>
          <w:szCs w:val="20"/>
          <w:color w:val="auto"/>
        </w:rPr>
      </w:pPr>
      <w:r>
        <w:rPr>
          <w:rFonts w:ascii="Arial" w:cs="Arial" w:eastAsia="Arial" w:hAnsi="Arial"/>
          <w:sz w:val="18"/>
          <w:szCs w:val="18"/>
          <w:color w:val="auto"/>
        </w:rPr>
        <w:t>10.19</w:t>
        <w:tab/>
        <w:t>Executive Employment Agreement, dated June 25, 2008, by and between Grand Canyon Education, Inc. and Daniel E. Bachus†</w:t>
      </w:r>
    </w:p>
    <w:p>
      <w:pPr>
        <w:spacing w:after="0" w:line="1" w:lineRule="exact"/>
        <w:rPr>
          <w:sz w:val="20"/>
          <w:szCs w:val="20"/>
          <w:color w:val="auto"/>
        </w:rPr>
      </w:pPr>
    </w:p>
    <w:p>
      <w:pPr>
        <w:ind w:left="1660" w:right="460" w:hanging="665"/>
        <w:spacing w:after="0" w:line="250" w:lineRule="auto"/>
        <w:tabs>
          <w:tab w:leader="none" w:pos="1640" w:val="left"/>
        </w:tabs>
        <w:rPr>
          <w:sz w:val="20"/>
          <w:szCs w:val="20"/>
          <w:color w:val="auto"/>
        </w:rPr>
      </w:pPr>
      <w:r>
        <w:rPr>
          <w:rFonts w:ascii="Arial" w:cs="Arial" w:eastAsia="Arial" w:hAnsi="Arial"/>
          <w:sz w:val="18"/>
          <w:szCs w:val="18"/>
          <w:color w:val="auto"/>
        </w:rPr>
        <w:t>10.20</w:t>
        <w:tab/>
        <w:t>Executive Employment Agreement, dated June 25, 2008, by and between Grand Canyon Education, Inc. and Brian E. Mueller†</w:t>
      </w:r>
    </w:p>
    <w:p>
      <w:pPr>
        <w:spacing w:after="0" w:line="1" w:lineRule="exact"/>
        <w:rPr>
          <w:sz w:val="20"/>
          <w:szCs w:val="20"/>
          <w:color w:val="auto"/>
        </w:rPr>
      </w:pPr>
    </w:p>
    <w:p>
      <w:pPr>
        <w:ind w:left="1660" w:right="480" w:hanging="665"/>
        <w:spacing w:after="0" w:line="250" w:lineRule="auto"/>
        <w:tabs>
          <w:tab w:leader="none" w:pos="1640" w:val="left"/>
        </w:tabs>
        <w:rPr>
          <w:sz w:val="20"/>
          <w:szCs w:val="20"/>
          <w:color w:val="auto"/>
        </w:rPr>
      </w:pPr>
      <w:r>
        <w:rPr>
          <w:rFonts w:ascii="Arial" w:cs="Arial" w:eastAsia="Arial" w:hAnsi="Arial"/>
          <w:sz w:val="18"/>
          <w:szCs w:val="18"/>
          <w:color w:val="auto"/>
        </w:rPr>
        <w:t>10.21</w:t>
        <w:tab/>
        <w:t>Executive Employment Agreement, dated June 25, 2008, by and between Grand Canyon Education, Inc. and W. Stan Meyer†</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DLA Piper US LLP (included in Exhibit 5.1)*</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spacing w:after="0"/>
        <w:tabs>
          <w:tab w:leader="none" w:pos="60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7"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3"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Consent of David J. Johnson#</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8147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Education, LLC is the predecessor to Significant Education, Inc., which is the former name of Grand Canyon Education, Inc.</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Previously filed.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To be filed by amendment.</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ectPr>
          <w:pgSz w:w="11900" w:h="16838" w:orient="portrait"/>
          <w:cols w:equalWidth="0" w:num="1">
            <w:col w:w="10540"/>
          </w:cols>
          <w:pgMar w:left="240" w:top="419" w:right="11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ERRILL</w:t>
      </w:r>
      <w:r>
        <w:rPr>
          <w:rFonts w:ascii="Arial" w:cs="Arial" w:eastAsia="Arial" w:hAnsi="Arial"/>
          <w:sz w:val="18"/>
          <w:szCs w:val="18"/>
          <w:color w:val="auto"/>
        </w:rPr>
        <w:t xml:space="preserve"> L</w:t>
      </w:r>
      <w:r>
        <w:rPr>
          <w:rFonts w:ascii="Arial" w:cs="Arial" w:eastAsia="Arial" w:hAnsi="Arial"/>
          <w:sz w:val="12"/>
          <w:szCs w:val="12"/>
          <w:color w:val="auto"/>
        </w:rPr>
        <w:t>YNCH</w:t>
      </w:r>
      <w:r>
        <w:rPr>
          <w:rFonts w:ascii="Arial" w:cs="Arial" w:eastAsia="Arial" w:hAnsi="Arial"/>
          <w:sz w:val="18"/>
          <w:szCs w:val="18"/>
          <w:color w:val="auto"/>
        </w:rPr>
        <w:t>, P</w:t>
      </w:r>
      <w:r>
        <w:rPr>
          <w:rFonts w:ascii="Arial" w:cs="Arial" w:eastAsia="Arial" w:hAnsi="Arial"/>
          <w:sz w:val="12"/>
          <w:szCs w:val="12"/>
          <w:color w:val="auto"/>
        </w:rPr>
        <w:t>IERCE</w:t>
      </w:r>
      <w:r>
        <w:rPr>
          <w:rFonts w:ascii="Arial" w:cs="Arial" w:eastAsia="Arial" w:hAnsi="Arial"/>
          <w:sz w:val="18"/>
          <w:szCs w:val="18"/>
          <w:color w:val="auto"/>
        </w:rPr>
        <w:t>, F</w:t>
      </w:r>
      <w:r>
        <w:rPr>
          <w:rFonts w:ascii="Arial" w:cs="Arial" w:eastAsia="Arial" w:hAnsi="Arial"/>
          <w:sz w:val="12"/>
          <w:szCs w:val="12"/>
          <w:color w:val="auto"/>
        </w:rPr>
        <w:t>ENNER</w:t>
      </w:r>
      <w:r>
        <w:rPr>
          <w:rFonts w:ascii="Arial" w:cs="Arial" w:eastAsia="Arial" w:hAnsi="Arial"/>
          <w:sz w:val="18"/>
          <w:szCs w:val="18"/>
          <w:color w:val="auto"/>
        </w:rPr>
        <w:t xml:space="preserve"> &amp; S</w:t>
      </w:r>
      <w:r>
        <w:rPr>
          <w:rFonts w:ascii="Arial" w:cs="Arial" w:eastAsia="Arial" w:hAnsi="Arial"/>
          <w:sz w:val="12"/>
          <w:szCs w:val="12"/>
          <w:color w:val="auto"/>
        </w:rPr>
        <w:t>MITH</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10080</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Representatives of the Several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Introductory</w:t>
      </w:r>
      <w:r>
        <w:rPr>
          <w:rFonts w:ascii="Arial" w:cs="Arial" w:eastAsia="Arial" w:hAnsi="Arial"/>
          <w:sz w:val="16"/>
          <w:szCs w:val="16"/>
          <w:color w:val="auto"/>
        </w:rPr>
        <w:t>. Grand Canyon Education, Inc., a Delaware corporation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agrees with the several 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w:t>
      </w:r>
    </w:p>
    <w:p>
      <w:pPr>
        <w:spacing w:after="0" w:line="5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to issue and sell to the several Underwriters</w:t>
      </w:r>
      <w:r>
        <w:rPr>
          <w:sz w:val="20"/>
          <w:szCs w:val="20"/>
          <w:color w:val="auto"/>
        </w:rPr>
        <w:tab/>
      </w:r>
      <w:r>
        <w:rPr>
          <w:rFonts w:ascii="Arial" w:cs="Arial" w:eastAsia="Arial" w:hAnsi="Arial"/>
          <w:sz w:val="16"/>
          <w:szCs w:val="16"/>
          <w:color w:val="auto"/>
        </w:rPr>
        <w:t>shares of its Common Stock, $0.01 par value per share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(such</w:t>
      </w:r>
      <w:r>
        <w:rPr>
          <w:sz w:val="20"/>
          <w:szCs w:val="20"/>
          <w:color w:val="auto"/>
        </w:rPr>
        <w:tab/>
      </w:r>
      <w:r>
        <w:rPr>
          <w:rFonts w:ascii="Arial" w:cs="Arial" w:eastAsia="Arial" w:hAnsi="Arial"/>
          <w:sz w:val="16"/>
          <w:szCs w:val="16"/>
          <w:color w:val="auto"/>
        </w:rPr>
        <w:t xml:space="preserve">shares of Securities being hereinafter referred to as the </w:t>
      </w:r>
      <w:r>
        <w:rPr>
          <w:rFonts w:ascii="Arial" w:cs="Arial" w:eastAsia="Arial" w:hAnsi="Arial"/>
          <w:sz w:val="16"/>
          <w:szCs w:val="16"/>
          <w:b w:val="1"/>
          <w:bCs w:val="1"/>
          <w:color w:val="auto"/>
        </w:rPr>
        <w:t>“Firm Securities”</w:t>
      </w:r>
      <w:r>
        <w:rPr>
          <w:rFonts w:ascii="Arial" w:cs="Arial" w:eastAsia="Arial" w:hAnsi="Arial"/>
          <w:sz w:val="16"/>
          <w:szCs w:val="16"/>
          <w:color w:val="auto"/>
        </w:rPr>
        <w:t>). The Company also agrees with the Underwriters to issue and sell to</w:t>
      </w:r>
    </w:p>
    <w:p>
      <w:pPr>
        <w:spacing w:after="0" w:line="3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Underwriters, at the option of the Underwriters, an aggregate of not more than additional outstanding shares (</w:t>
      </w:r>
      <w:r>
        <w:rPr>
          <w:rFonts w:ascii="Arial" w:cs="Arial" w:eastAsia="Arial" w:hAnsi="Arial"/>
          <w:sz w:val="16"/>
          <w:szCs w:val="16"/>
          <w:b w:val="1"/>
          <w:bCs w:val="1"/>
          <w:color w:val="auto"/>
        </w:rPr>
        <w:t>“Optional Securities”</w:t>
      </w:r>
      <w:r>
        <w:rPr>
          <w:rFonts w:ascii="Arial" w:cs="Arial" w:eastAsia="Arial" w:hAnsi="Arial"/>
          <w:sz w:val="16"/>
          <w:szCs w:val="16"/>
          <w:color w:val="auto"/>
        </w:rPr>
        <w:t xml:space="preserve">) of the Company’s Securities, as set forth below. The Firm Securities and the Optional Securities are herein collectively called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xml:space="preserve">. As part of the offering contemplated by this Agreement, (the </w:t>
      </w:r>
      <w:r>
        <w:rPr>
          <w:rFonts w:ascii="Arial" w:cs="Arial" w:eastAsia="Arial" w:hAnsi="Arial"/>
          <w:sz w:val="16"/>
          <w:szCs w:val="16"/>
          <w:b w:val="1"/>
          <w:bCs w:val="1"/>
          <w:color w:val="auto"/>
        </w:rPr>
        <w:t>“Designated Underwriter”</w:t>
      </w:r>
      <w:r>
        <w:rPr>
          <w:rFonts w:ascii="Arial" w:cs="Arial" w:eastAsia="Arial" w:hAnsi="Arial"/>
          <w:sz w:val="16"/>
          <w:szCs w:val="16"/>
          <w:color w:val="auto"/>
        </w:rPr>
        <w:t>) has agreed to reserve out of the Firm Securities purchased by it under this Agreement, up</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to shares, for sale to the Company’s directors, officers, employees and other parties associated with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xml:space="preserve">), as set forth in the Final Prospectus (as defined herein) under the heading “Underwriting”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xml:space="preserve">). The Firm Securities to be sold by the Designated Underwriter pursuant to the Directed Share Program (the </w:t>
      </w:r>
      <w:r>
        <w:rPr>
          <w:rFonts w:ascii="Arial" w:cs="Arial" w:eastAsia="Arial" w:hAnsi="Arial"/>
          <w:sz w:val="18"/>
          <w:szCs w:val="18"/>
          <w:b w:val="1"/>
          <w:bCs w:val="1"/>
          <w:color w:val="auto"/>
        </w:rPr>
        <w:t>“Directed Shares”</w:t>
      </w:r>
      <w:r>
        <w:rPr>
          <w:rFonts w:ascii="Arial" w:cs="Arial" w:eastAsia="Arial" w:hAnsi="Arial"/>
          <w:sz w:val="18"/>
          <w:szCs w:val="18"/>
          <w:color w:val="auto"/>
        </w:rPr>
        <w:t>) will be sold by the Designated Underwriter pursuant to this Agreement at the public offering price. Any Directed Shares not subscribed for by the end of the business day on which this Agreement is executed will be offered to the public by the Underwriters as set forth in the Final Prospectus.</w:t>
      </w:r>
    </w:p>
    <w:p>
      <w:pPr>
        <w:spacing w:after="0" w:line="83" w:lineRule="exact"/>
        <w:rPr>
          <w:sz w:val="20"/>
          <w:szCs w:val="20"/>
          <w:color w:val="auto"/>
        </w:rPr>
      </w:pPr>
    </w:p>
    <w:p>
      <w:pPr>
        <w:ind w:left="420" w:hanging="187"/>
        <w:spacing w:after="0"/>
        <w:tabs>
          <w:tab w:leader="none" w:pos="42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of the Company. </w:t>
      </w:r>
      <w:r>
        <w:rPr>
          <w:rFonts w:ascii="Arial" w:cs="Arial" w:eastAsia="Arial" w:hAnsi="Arial"/>
          <w:sz w:val="17"/>
          <w:szCs w:val="17"/>
          <w:color w:val="auto"/>
        </w:rPr>
        <w:t>The Company represents and warrants to, and agrees with, the several Underwriters that:</w:t>
      </w:r>
    </w:p>
    <w:p>
      <w:pPr>
        <w:spacing w:after="0" w:line="128" w:lineRule="exact"/>
        <w:rPr>
          <w:rFonts w:ascii="Arial" w:cs="Arial" w:eastAsia="Arial" w:hAnsi="Arial"/>
          <w:sz w:val="17"/>
          <w:szCs w:val="17"/>
          <w:color w:val="auto"/>
        </w:rPr>
      </w:pPr>
    </w:p>
    <w:p>
      <w:pPr>
        <w:ind w:right="40" w:firstLine="458"/>
        <w:spacing w:after="0" w:line="290" w:lineRule="auto"/>
        <w:tabs>
          <w:tab w:leader="none" w:pos="695"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Filing and Effectiveness of Registration Statement; Certain Defined Terms</w:t>
      </w:r>
      <w:r>
        <w:rPr>
          <w:rFonts w:ascii="Arial" w:cs="Arial" w:eastAsia="Arial" w:hAnsi="Arial"/>
          <w:sz w:val="16"/>
          <w:szCs w:val="16"/>
          <w:color w:val="auto"/>
        </w:rPr>
        <w:t>. The Company has filed with the Commission a registration statement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S-1 (No. 333-150876)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that in any case has not then been superseded or modified, shall be referred to as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xml:space="preserve">. The Company may also have filed, or may file with the Commission, a Rule 462(b) registration statement covering the registration of Offered Securities. At any particular time, this Rule 462(b) registration statement, in the form then on file with the Commission, including the contents of the Initial Registration Statement incorporated by reference therein and including all 430A Information, that in any case has not then been superseded or modified, shall be referred to as the </w:t>
      </w:r>
      <w:r>
        <w:rPr>
          <w:rFonts w:ascii="Arial" w:cs="Arial" w:eastAsia="Arial" w:hAnsi="Arial"/>
          <w:sz w:val="16"/>
          <w:szCs w:val="16"/>
          <w:b w:val="1"/>
          <w:bCs w:val="1"/>
          <w:color w:val="auto"/>
        </w:rPr>
        <w:t>“Additional Registration Statement”</w:t>
      </w:r>
      <w:r>
        <w:rPr>
          <w:rFonts w:ascii="Arial" w:cs="Arial" w:eastAsia="Arial" w:hAnsi="Arial"/>
          <w:sz w:val="16"/>
          <w:szCs w:val="16"/>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ind w:firstLine="215"/>
        <w:spacing w:after="0" w:line="259" w:lineRule="auto"/>
        <w:rPr>
          <w:sz w:val="20"/>
          <w:szCs w:val="20"/>
          <w:color w:val="auto"/>
        </w:rPr>
      </w:pPr>
      <w:r>
        <w:rPr>
          <w:rFonts w:ascii="Arial" w:cs="Arial" w:eastAsia="Arial" w:hAnsi="Arial"/>
          <w:sz w:val="18"/>
          <w:szCs w:val="18"/>
          <w:color w:val="auto"/>
        </w:rPr>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pursuant to Rule 430A(b).</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Securities Act of 1933,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“Applicable Time” </w:t>
      </w:r>
      <w:r>
        <w:rPr>
          <w:rFonts w:ascii="Arial" w:cs="Arial" w:eastAsia="Arial" w:hAnsi="Arial"/>
          <w:sz w:val="18"/>
          <w:szCs w:val="18"/>
          <w:color w:val="auto"/>
        </w:rPr>
        <w:t>means  :00 pm (Eastern time) on the date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has the meaning defined in Section 3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with respect to the Initial Registration Statement or the Additional Registration Statement (if any) means the date of the Effective Time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54" w:lineRule="exact"/>
        <w:rPr>
          <w:sz w:val="20"/>
          <w:szCs w:val="20"/>
          <w:color w:val="auto"/>
        </w:rPr>
      </w:pPr>
    </w:p>
    <w:p>
      <w:pPr>
        <w:ind w:right="200" w:firstLine="225"/>
        <w:spacing w:after="0" w:line="277" w:lineRule="auto"/>
        <w:rPr>
          <w:sz w:val="20"/>
          <w:szCs w:val="20"/>
          <w:color w:val="auto"/>
        </w:rPr>
      </w:pPr>
      <w:r>
        <w:rPr>
          <w:rFonts w:ascii="Arial" w:cs="Arial" w:eastAsia="Arial" w:hAnsi="Arial"/>
          <w:sz w:val="17"/>
          <w:szCs w:val="17"/>
          <w:b w:val="1"/>
          <w:bCs w:val="1"/>
          <w:color w:val="auto"/>
        </w:rPr>
        <w:t xml:space="preserve">“Effective Time” </w:t>
      </w:r>
      <w:r>
        <w:rPr>
          <w:rFonts w:ascii="Arial" w:cs="Arial" w:eastAsia="Arial" w:hAnsi="Arial"/>
          <w:sz w:val="17"/>
          <w:szCs w:val="17"/>
          <w:color w:val="auto"/>
        </w:rPr>
        <w:t>with respect to the Initial Registration Statement or, if filed prior to the execution and delivery of this Agreement, the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7"/>
          <w:szCs w:val="17"/>
          <w:b w:val="1"/>
          <w:bCs w:val="1"/>
          <w:color w:val="auto"/>
        </w:rPr>
        <w:t>“Effective Time”</w:t>
      </w:r>
      <w:r>
        <w:rPr>
          <w:rFonts w:ascii="Arial" w:cs="Arial" w:eastAsia="Arial" w:hAnsi="Arial"/>
          <w:sz w:val="17"/>
          <w:szCs w:val="17"/>
          <w:color w:val="auto"/>
        </w:rPr>
        <w:t xml:space="preserve"> with respect to such Additional Registration Statement means the date and time as of which such Registration Statement is filed and becomes effective pursuant to Rule 462(b).</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117"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 xml:space="preserve">“Final Prospectus” </w:t>
      </w:r>
      <w:r>
        <w:rPr>
          <w:rFonts w:ascii="Arial" w:cs="Arial" w:eastAsia="Arial" w:hAnsi="Arial"/>
          <w:sz w:val="18"/>
          <w:szCs w:val="18"/>
          <w:color w:val="auto"/>
        </w:rPr>
        <w:t>means the Statutory Prospectus that discloses the public offering price, other 430A Information with respect to the Offered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otherwise satisfies Section 10(a) of the Act.</w:t>
      </w:r>
    </w:p>
    <w:p>
      <w:pPr>
        <w:spacing w:after="0" w:line="54" w:lineRule="exact"/>
        <w:rPr>
          <w:sz w:val="20"/>
          <w:szCs w:val="20"/>
          <w:color w:val="auto"/>
        </w:rPr>
      </w:pPr>
    </w:p>
    <w:p>
      <w:pPr>
        <w:ind w:right="640" w:firstLine="225"/>
        <w:spacing w:after="0" w:line="282" w:lineRule="auto"/>
        <w:rPr>
          <w:sz w:val="20"/>
          <w:szCs w:val="20"/>
          <w:color w:val="auto"/>
        </w:rPr>
      </w:pPr>
      <w:r>
        <w:rPr>
          <w:rFonts w:ascii="Arial" w:cs="Arial" w:eastAsia="Arial" w:hAnsi="Arial"/>
          <w:sz w:val="18"/>
          <w:szCs w:val="18"/>
          <w:b w:val="1"/>
          <w:bCs w:val="1"/>
          <w:color w:val="auto"/>
        </w:rPr>
        <w:t xml:space="preserve">“General Use Issuer Free Writing Prospectus” </w:t>
      </w:r>
      <w:r>
        <w:rPr>
          <w:rFonts w:ascii="Arial" w:cs="Arial" w:eastAsia="Arial" w:hAnsi="Arial"/>
          <w:sz w:val="18"/>
          <w:szCs w:val="18"/>
          <w:color w:val="auto"/>
        </w:rPr>
        <w:t>means any Issuer Free Writing Prospectus that is intended for general distribution to prospective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investors, as evidenced by its being so specified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Agreement.</w:t>
      </w:r>
    </w:p>
    <w:p>
      <w:pPr>
        <w:spacing w:after="0" w:line="54" w:lineRule="exact"/>
        <w:rPr>
          <w:sz w:val="20"/>
          <w:szCs w:val="20"/>
          <w:color w:val="auto"/>
        </w:rPr>
      </w:pPr>
    </w:p>
    <w:p>
      <w:pPr>
        <w:ind w:right="100" w:firstLine="225"/>
        <w:spacing w:after="0" w:line="347" w:lineRule="auto"/>
        <w:rPr>
          <w:sz w:val="20"/>
          <w:szCs w:val="20"/>
          <w:color w:val="auto"/>
        </w:rPr>
      </w:pPr>
      <w:r>
        <w:rPr>
          <w:rFonts w:ascii="Arial" w:cs="Arial" w:eastAsia="Arial" w:hAnsi="Arial"/>
          <w:sz w:val="16"/>
          <w:szCs w:val="16"/>
          <w:b w:val="1"/>
          <w:bCs w:val="1"/>
          <w:color w:val="auto"/>
        </w:rPr>
        <w:t xml:space="preserve">“Issuer Free Writing Prospectus” </w:t>
      </w:r>
      <w:r>
        <w:rPr>
          <w:rFonts w:ascii="Arial" w:cs="Arial" w:eastAsia="Arial" w:hAnsi="Arial"/>
          <w:sz w:val="16"/>
          <w:szCs w:val="16"/>
          <w:color w:val="auto"/>
        </w:rPr>
        <w:t>means any “issuer free writing prospectus,” as defined in Rule 433, relating to the Offered Securities in the form filed</w:t>
      </w:r>
      <w:r>
        <w:rPr>
          <w:rFonts w:ascii="Arial" w:cs="Arial" w:eastAsia="Arial" w:hAnsi="Arial"/>
          <w:sz w:val="16"/>
          <w:szCs w:val="16"/>
          <w:b w:val="1"/>
          <w:bCs w:val="1"/>
          <w:color w:val="auto"/>
        </w:rPr>
        <w:t xml:space="preserve"> </w:t>
      </w:r>
      <w:r>
        <w:rPr>
          <w:rFonts w:ascii="Arial" w:cs="Arial" w:eastAsia="Arial" w:hAnsi="Arial"/>
          <w:sz w:val="16"/>
          <w:szCs w:val="16"/>
          <w:color w:val="auto"/>
        </w:rPr>
        <w:t>or required to be filed with the Commission or, if not required to be filed, in the form retained in the Company’s records pursuant to Rule 433(g).</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“Limited Use Issuer Free Writing Prospectus” </w:t>
      </w:r>
      <w:r>
        <w:rPr>
          <w:rFonts w:ascii="Arial" w:cs="Arial" w:eastAsia="Arial" w:hAnsi="Arial"/>
          <w:sz w:val="16"/>
          <w:szCs w:val="16"/>
          <w:color w:val="auto"/>
        </w:rPr>
        <w:t>means any Issuer Free Writing Prospectus that is not a General Use Issuer Free Writing Prospectus.</w:t>
      </w:r>
    </w:p>
    <w:p>
      <w:pPr>
        <w:spacing w:after="0" w:line="140" w:lineRule="exact"/>
        <w:rPr>
          <w:sz w:val="20"/>
          <w:szCs w:val="20"/>
          <w:color w:val="auto"/>
        </w:rPr>
      </w:pPr>
    </w:p>
    <w:p>
      <w:pPr>
        <w:ind w:right="140" w:firstLine="222"/>
        <w:spacing w:after="0" w:line="258" w:lineRule="auto"/>
        <w:rPr>
          <w:sz w:val="20"/>
          <w:szCs w:val="20"/>
          <w:color w:val="auto"/>
        </w:rPr>
      </w:pPr>
      <w:r>
        <w:rPr>
          <w:rFonts w:ascii="Arial" w:cs="Arial" w:eastAsia="Arial" w:hAnsi="Arial"/>
          <w:sz w:val="18"/>
          <w:szCs w:val="18"/>
          <w:color w:val="auto"/>
        </w:rPr>
        <w:t xml:space="preserve">The Initial Registration Statement and the Additional Registration Statement are referred to collectively as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 xml:space="preserve"> and individually as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with reference to a particular time means the Initial Registration Statement and any Additional Registration Statement as of such time.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“Rules and Regulations” </w:t>
      </w:r>
      <w:r>
        <w:rPr>
          <w:rFonts w:ascii="Arial" w:cs="Arial" w:eastAsia="Arial" w:hAnsi="Arial"/>
          <w:sz w:val="18"/>
          <w:szCs w:val="18"/>
          <w:color w:val="auto"/>
        </w:rPr>
        <w:t>means the rules and regulations of the Commission.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ind w:right="100" w:firstLine="225"/>
        <w:spacing w:after="0" w:line="314" w:lineRule="auto"/>
        <w:rPr>
          <w:sz w:val="20"/>
          <w:szCs w:val="20"/>
          <w:color w:val="auto"/>
        </w:rPr>
      </w:pPr>
      <w:r>
        <w:rPr>
          <w:rFonts w:ascii="Arial" w:cs="Arial" w:eastAsia="Arial" w:hAnsi="Arial"/>
          <w:sz w:val="16"/>
          <w:szCs w:val="16"/>
          <w:b w:val="1"/>
          <w:bCs w:val="1"/>
          <w:color w:val="auto"/>
        </w:rPr>
        <w:t xml:space="preserve">“Securities Laws” </w:t>
      </w:r>
      <w:r>
        <w:rPr>
          <w:rFonts w:ascii="Arial" w:cs="Arial" w:eastAsia="Arial" w:hAnsi="Arial"/>
          <w:sz w:val="16"/>
          <w:szCs w:val="16"/>
          <w:color w:val="auto"/>
        </w:rPr>
        <w:t>means, collectively, the Sarbanes-Oxley Act of 2002 (</w:t>
      </w:r>
      <w:r>
        <w:rPr>
          <w:rFonts w:ascii="Arial" w:cs="Arial" w:eastAsia="Arial" w:hAnsi="Arial"/>
          <w:sz w:val="16"/>
          <w:szCs w:val="16"/>
          <w:b w:val="1"/>
          <w:bCs w:val="1"/>
          <w:color w:val="auto"/>
        </w:rPr>
        <w:t>“Sarbanes-Oxley”</w:t>
      </w:r>
      <w:r>
        <w:rPr>
          <w:rFonts w:ascii="Arial" w:cs="Arial" w:eastAsia="Arial" w:hAnsi="Arial"/>
          <w:sz w:val="16"/>
          <w:szCs w:val="16"/>
          <w:color w:val="auto"/>
        </w:rPr>
        <w:t>), the Act, the Exchange Act, the Rules and Regulations,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auditing principles, rules, standards and practices applicable to auditors of “issuers” (as defined in Sarbanes-Oxley) promulgated or approved by the Public Company Accounting Oversight Board and, as applicable, the rules of the New York Stock Exchange and the NASDAQ Stock Market (</w:t>
      </w:r>
      <w:r>
        <w:rPr>
          <w:rFonts w:ascii="Arial" w:cs="Arial" w:eastAsia="Arial" w:hAnsi="Arial"/>
          <w:sz w:val="16"/>
          <w:szCs w:val="16"/>
          <w:b w:val="1"/>
          <w:bCs w:val="1"/>
          <w:color w:val="auto"/>
        </w:rPr>
        <w:t>“Exchange Rules”</w:t>
      </w:r>
      <w:r>
        <w:rPr>
          <w:rFonts w:ascii="Arial" w:cs="Arial" w:eastAsia="Arial" w:hAnsi="Arial"/>
          <w:sz w:val="16"/>
          <w:szCs w:val="16"/>
          <w:color w:val="auto"/>
        </w:rPr>
        <w:t>).</w:t>
      </w:r>
    </w:p>
    <w:p>
      <w:pPr>
        <w:spacing w:after="0" w:line="34"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 xml:space="preserve">“Statutory Prospectus” </w:t>
      </w:r>
      <w:r>
        <w:rPr>
          <w:rFonts w:ascii="Arial" w:cs="Arial" w:eastAsia="Arial" w:hAnsi="Arial"/>
          <w:sz w:val="18"/>
          <w:szCs w:val="18"/>
          <w:color w:val="auto"/>
        </w:rPr>
        <w:t>with reference to a particular time means the prospectus included in a Registration Statement immediately prior to that time,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if applicable any 430A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firstLine="458"/>
        <w:spacing w:after="0" w:line="287"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At their respective Effective Times, on the date of this Agreement and on each Closing Date, each of the Initial Registration Statement and the Additional Registration Statement (if any) conformed and will conform in all respects to the requirements of the Act,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respects to the requirements of the Act and the Rules and Regulations and will not include any untrue statement of a material fact or omit to state any material fact required to be stated therein or necessary to make the statements therein not misleading, and (iii) on the date of this Agreement, at their respective Effective Times or issue dates and on each Closing Date, each Registration Statement, the Final Prospectus, any Statutory Prospectus, any prospectus wrapper and any Issuer Free Writing Prospectus complied or comply, and such documents and any further amendments or supplements thereto will comply, with any applicable laws or regulations of foreign jurisdictions in which the Final Prospectus, any Statutory Prospectus, any prospectus wrapper or any Issuer Free Writing Prospectus, as amended or supplemented, if applicable, are distributed in connection with the Directed Share Program.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8(c) hereof.</w:t>
      </w:r>
    </w:p>
    <w:p>
      <w:pPr>
        <w:spacing w:after="0" w:line="60" w:lineRule="exact"/>
        <w:rPr>
          <w:rFonts w:ascii="Arial" w:cs="Arial" w:eastAsia="Arial" w:hAnsi="Arial"/>
          <w:sz w:val="16"/>
          <w:szCs w:val="16"/>
          <w:color w:val="auto"/>
        </w:rPr>
      </w:pPr>
    </w:p>
    <w:p>
      <w:pPr>
        <w:ind w:right="120" w:firstLine="458"/>
        <w:spacing w:after="0" w:line="255"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At the time of the initial filing of the Initial Registration Statement and (ii) at the date of this Agreement, the Company was not and is not an “ineligible issuer,” as defined in Rule 405, including (x) the Company or any other subsidiary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85" w:lineRule="exact"/>
        <w:rPr>
          <w:rFonts w:ascii="Arial" w:cs="Arial" w:eastAsia="Arial" w:hAnsi="Arial"/>
          <w:sz w:val="18"/>
          <w:szCs w:val="18"/>
          <w:color w:val="auto"/>
        </w:rPr>
      </w:pPr>
    </w:p>
    <w:p>
      <w:pPr>
        <w:ind w:left="700" w:hanging="242"/>
        <w:spacing w:after="0"/>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of the Applicable Time, neither (i) the General Use Issuer Free Writing Prospectus(es) issued at or prior to the Applicable Time, the preliminary</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prospectus, dated , 2008 (which is the most recent Statutory Prospectus distributed to investors generally) and the other information, if any, stated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Agreement to be included in the General Disclosure Package, all considered together (collectively, the </w:t>
      </w:r>
      <w:r>
        <w:rPr>
          <w:rFonts w:ascii="Arial" w:cs="Arial" w:eastAsia="Arial" w:hAnsi="Arial"/>
          <w:sz w:val="18"/>
          <w:szCs w:val="18"/>
          <w:b w:val="1"/>
          <w:bCs w:val="1"/>
          <w:color w:val="auto"/>
        </w:rPr>
        <w:t>“General Disclosure Package”</w:t>
      </w:r>
      <w:r>
        <w:rPr>
          <w:rFonts w:ascii="Arial" w:cs="Arial" w:eastAsia="Arial" w:hAnsi="Arial"/>
          <w:sz w:val="18"/>
          <w:szCs w:val="18"/>
          <w:color w:val="auto"/>
        </w:rPr>
        <w:t>),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8(c) hereof.</w:t>
      </w:r>
    </w:p>
    <w:p>
      <w:pPr>
        <w:spacing w:after="0" w:line="84" w:lineRule="exact"/>
        <w:rPr>
          <w:sz w:val="20"/>
          <w:szCs w:val="20"/>
          <w:color w:val="auto"/>
        </w:rPr>
      </w:pPr>
    </w:p>
    <w:p>
      <w:pPr>
        <w:ind w:right="560" w:firstLine="458"/>
        <w:spacing w:after="0" w:line="277"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Issuer Free Writing Prospectus, as of its issue date and at all subsequent times through the completion of the public offer and sale of the Offered Securities or, if earlier, the date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1" w:name="page182"/>
    <w:bookmarkEnd w:id="181"/>
    <w:p>
      <w:pPr>
        <w:ind w:right="80"/>
        <w:spacing w:after="0" w:line="254" w:lineRule="auto"/>
        <w:rPr>
          <w:sz w:val="20"/>
          <w:szCs w:val="20"/>
          <w:color w:val="auto"/>
        </w:rPr>
      </w:pPr>
      <w:r>
        <w:rPr>
          <w:rFonts w:ascii="Arial" w:cs="Arial" w:eastAsia="Arial" w:hAnsi="Arial"/>
          <w:sz w:val="18"/>
          <w:szCs w:val="18"/>
          <w:color w:val="auto"/>
        </w:rPr>
        <w:t>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84" w:lineRule="exact"/>
        <w:rPr>
          <w:sz w:val="20"/>
          <w:szCs w:val="20"/>
          <w:color w:val="auto"/>
        </w:rPr>
      </w:pPr>
    </w:p>
    <w:p>
      <w:pPr>
        <w:ind w:right="100" w:firstLine="458"/>
        <w:spacing w:after="0" w:line="255" w:lineRule="auto"/>
        <w:tabs>
          <w:tab w:leader="none" w:pos="6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has been duly incorporated and is existing and in good standing under the laws of the State of Delaware, with power and authority (corporate and other)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in each case, where the failure to be in good standing or to be so qualified would not, individually or in the aggregate, result in a material adverse effect on the condition (financial or otherwise), results of operations, business, properties or prospects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right="20" w:firstLine="458"/>
        <w:spacing w:after="0" w:line="272" w:lineRule="auto"/>
        <w:tabs>
          <w:tab w:leader="none" w:pos="70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and is existing and in good standing under the laws of the jurisdiction of its incorporation, with power and authority (corporate and other) to own its properties and conduct its business as described in the General Disclosure Package; and each subsidiary of the Company is duly qualified to do business as a foreign corporation in good standing in all other jurisdictions in which its ownership or lease of property or the conduct of its business requires such qualification, except where the failure to be in good standing or to be so qualified would not, individually or in the aggregate, result in a Material Adverse Effect; all of the issued and outstanding capital stock of each subsidiary of the Company has been duly authorized and validly issued and is fully paid and nonassessable; and the capital stock of each subsidiary owned by the Company, directly or through subsidiaries, is owned free from liens, encumbrances and defects.</w:t>
      </w:r>
    </w:p>
    <w:p>
      <w:pPr>
        <w:spacing w:after="0" w:line="69" w:lineRule="exact"/>
        <w:rPr>
          <w:rFonts w:ascii="Arial" w:cs="Arial" w:eastAsia="Arial" w:hAnsi="Arial"/>
          <w:sz w:val="17"/>
          <w:szCs w:val="17"/>
          <w:color w:val="auto"/>
        </w:rPr>
      </w:pPr>
    </w:p>
    <w:p>
      <w:pPr>
        <w:ind w:right="60" w:firstLine="458"/>
        <w:spacing w:after="0" w:line="293" w:lineRule="auto"/>
        <w:tabs>
          <w:tab w:leader="none" w:pos="70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Offered Securities and all other outstanding shares of capital stock of the Company have been duly authorized; the authorized equity capitalization of the Company is as set forth in the General Disclosure Package; all outstanding shares of capital stock of the Company are, and, when the Offered Securities have been delivered and paid for in accordance with this Agreement on each Closing Date, such Offered Securities will have been, validly issued, fully paid and nonassessable, will conform to the information in the General Disclosure Package and to the description of such Offered Securities contained in the Final Prospectus; the stockholders of the Company have no preemptive rights with respect to the Offered Securities; and none of the outstanding shares of capital stock of the Company have been issued in violation of any preemptive or similar rights of any security holder.</w:t>
      </w:r>
    </w:p>
    <w:p>
      <w:pPr>
        <w:spacing w:after="0" w:line="56" w:lineRule="exact"/>
        <w:rPr>
          <w:rFonts w:ascii="Arial" w:cs="Arial" w:eastAsia="Arial" w:hAnsi="Arial"/>
          <w:sz w:val="16"/>
          <w:szCs w:val="16"/>
          <w:color w:val="auto"/>
        </w:rPr>
      </w:pPr>
    </w:p>
    <w:p>
      <w:pPr>
        <w:ind w:right="120" w:firstLine="458"/>
        <w:spacing w:after="0" w:line="264" w:lineRule="auto"/>
        <w:tabs>
          <w:tab w:leader="none" w:pos="6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73" w:lineRule="exact"/>
        <w:rPr>
          <w:rFonts w:ascii="Arial" w:cs="Arial" w:eastAsia="Arial" w:hAnsi="Arial"/>
          <w:sz w:val="18"/>
          <w:szCs w:val="18"/>
          <w:color w:val="auto"/>
        </w:rPr>
      </w:pPr>
    </w:p>
    <w:p>
      <w:pPr>
        <w:ind w:firstLine="458"/>
        <w:spacing w:after="0" w:line="255" w:lineRule="auto"/>
        <w:tabs>
          <w:tab w:leader="none" w:pos="6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Except as disclosed in the General Disclosure Package,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offering registered pursuant to a Registration Statement or in any securities being registered pursuant to any other registration statement filed by the Company under the Act (collectively, </w:t>
      </w:r>
      <w:r>
        <w:rPr>
          <w:rFonts w:ascii="Arial" w:cs="Arial" w:eastAsia="Arial" w:hAnsi="Arial"/>
          <w:sz w:val="18"/>
          <w:szCs w:val="18"/>
          <w:b w:val="1"/>
          <w:bCs w:val="1"/>
          <w:color w:val="auto"/>
        </w:rPr>
        <w:t>“registration rights”</w:t>
      </w:r>
      <w:r>
        <w:rPr>
          <w:rFonts w:ascii="Arial" w:cs="Arial" w:eastAsia="Arial" w:hAnsi="Arial"/>
          <w:sz w:val="18"/>
          <w:szCs w:val="18"/>
          <w:color w:val="auto"/>
        </w:rPr>
        <w:t>), and any person to whom the Company has granted registration rights has agreed not to exercise such rights until after the expiration of the Lock-Up Period referred to in Section 5(k) hereof.</w:t>
      </w:r>
    </w:p>
    <w:p>
      <w:pPr>
        <w:spacing w:after="0" w:line="85" w:lineRule="exact"/>
        <w:rPr>
          <w:rFonts w:ascii="Arial" w:cs="Arial" w:eastAsia="Arial" w:hAnsi="Arial"/>
          <w:sz w:val="18"/>
          <w:szCs w:val="18"/>
          <w:color w:val="auto"/>
        </w:rPr>
      </w:pPr>
    </w:p>
    <w:p>
      <w:pPr>
        <w:ind w:left="700" w:hanging="242"/>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Offered Securities have been approved for listing on the Nasdaq Stock Market, subject to notice of issuance.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2" w:name="page183"/>
    <w:bookmarkEnd w:id="182"/>
    <w:p>
      <w:pPr>
        <w:ind w:left="-20" w:right="60" w:firstLine="458"/>
        <w:spacing w:after="0" w:line="273" w:lineRule="auto"/>
        <w:tabs>
          <w:tab w:leader="none" w:pos="64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or registration with, any person (including any governmental agency or body or any court) is required to be obtained or made by the Company for the consummation of the transactions contemplated by this Agreement in connection with the sale of the Offered Securities, except such as have been obtained, or made and such as may be required under state securities laws. No authorization, consent, approval, license, qualification or order of, or filing or registration with any person (including any governmental agency or body or any court) in any foreign jurisdiction is required for the consummation of the transactions contemplated by this Agreement in connection with the offering, issuance and sale of the Directed Shares under the laws and regulations of such jurisdiction except such as have been obtained or made.</w:t>
      </w:r>
    </w:p>
    <w:p>
      <w:pPr>
        <w:spacing w:after="0" w:line="70" w:lineRule="exact"/>
        <w:rPr>
          <w:rFonts w:ascii="Arial" w:cs="Arial" w:eastAsia="Arial" w:hAnsi="Arial"/>
          <w:sz w:val="17"/>
          <w:szCs w:val="17"/>
          <w:color w:val="auto"/>
        </w:rPr>
      </w:pPr>
    </w:p>
    <w:p>
      <w:pPr>
        <w:ind w:left="-20" w:right="20" w:firstLine="458"/>
        <w:spacing w:after="0" w:line="257" w:lineRule="auto"/>
        <w:tabs>
          <w:tab w:leader="none" w:pos="7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the Company and its subsidiaries have good and marketable title to all real properties and all other properties and assets owned by them, in each case free from liens, charge,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w:t>
      </w:r>
    </w:p>
    <w:p>
      <w:pPr>
        <w:spacing w:after="0" w:line="80" w:lineRule="exact"/>
        <w:rPr>
          <w:rFonts w:ascii="Arial" w:cs="Arial" w:eastAsia="Arial" w:hAnsi="Arial"/>
          <w:sz w:val="18"/>
          <w:szCs w:val="18"/>
          <w:color w:val="auto"/>
        </w:rPr>
      </w:pPr>
    </w:p>
    <w:p>
      <w:pPr>
        <w:ind w:left="-20" w:firstLine="458"/>
        <w:spacing w:after="0" w:line="269" w:lineRule="auto"/>
        <w:tabs>
          <w:tab w:leader="none" w:pos="68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of this Agreement, and the issuance 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of the Company or any of its subsidiaries, (ii) any statute, rule, regulation or order of any governmental agency or body or any court, domestic or foreign, having jurisdiction over the Company or any of its subsidiaries or any of their properties, including, without limitation, the Higher Education Act of 1965 (the </w:t>
      </w:r>
      <w:r>
        <w:rPr>
          <w:rFonts w:ascii="Arial" w:cs="Arial" w:eastAsia="Arial" w:hAnsi="Arial"/>
          <w:sz w:val="17"/>
          <w:szCs w:val="17"/>
          <w:b w:val="1"/>
          <w:bCs w:val="1"/>
          <w:color w:val="auto"/>
        </w:rPr>
        <w:t>“HEA”</w:t>
      </w:r>
      <w:r>
        <w:rPr>
          <w:rFonts w:ascii="Arial" w:cs="Arial" w:eastAsia="Arial" w:hAnsi="Arial"/>
          <w:sz w:val="17"/>
          <w:szCs w:val="17"/>
          <w:color w:val="auto"/>
        </w:rPr>
        <w:t>), or (iii) any agreement or instrument to which the Company or any of its subsidiaries is a party or by which the Company or any of its subsidiaries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bound or to which any of the properties of the Company or any of its subsidiaries is subject except, in the cases of clauses (ii) and (iii) such breaches, defaults or impositions that would not, individually or in the aggregate, result in a Material Adverse Effect.; a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4" w:lineRule="exact"/>
        <w:rPr>
          <w:rFonts w:ascii="Arial" w:cs="Arial" w:eastAsia="Arial" w:hAnsi="Arial"/>
          <w:sz w:val="17"/>
          <w:szCs w:val="17"/>
          <w:color w:val="auto"/>
        </w:rPr>
      </w:pPr>
    </w:p>
    <w:p>
      <w:pPr>
        <w:jc w:val="both"/>
        <w:ind w:left="-20" w:right="140" w:firstLine="458"/>
        <w:spacing w:after="0" w:line="279" w:lineRule="auto"/>
        <w:tabs>
          <w:tab w:leader="none" w:pos="68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respective charter or by-laws, or (ii)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w:t>
      </w:r>
    </w:p>
    <w:p>
      <w:pPr>
        <w:spacing w:after="0" w:line="63" w:lineRule="exact"/>
        <w:rPr>
          <w:rFonts w:ascii="Arial" w:cs="Arial" w:eastAsia="Arial" w:hAnsi="Arial"/>
          <w:sz w:val="17"/>
          <w:szCs w:val="17"/>
          <w:color w:val="auto"/>
        </w:rPr>
      </w:pPr>
    </w:p>
    <w:p>
      <w:pPr>
        <w:ind w:left="680" w:hanging="242"/>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firstLine="458"/>
        <w:spacing w:after="0" w:line="257" w:lineRule="auto"/>
        <w:tabs>
          <w:tab w:leader="none" w:pos="68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and its subsidiaries possess, and are in compliance, in all material respects, with the terms of all certificates, authorizations, franchises, licenses and permits (</w:t>
      </w:r>
      <w:r>
        <w:rPr>
          <w:rFonts w:ascii="Arial" w:cs="Arial" w:eastAsia="Arial" w:hAnsi="Arial"/>
          <w:sz w:val="18"/>
          <w:szCs w:val="18"/>
          <w:b w:val="1"/>
          <w:bCs w:val="1"/>
          <w:color w:val="auto"/>
        </w:rPr>
        <w:t>“Licenses”</w:t>
      </w:r>
      <w:r>
        <w:rPr>
          <w:rFonts w:ascii="Arial" w:cs="Arial" w:eastAsia="Arial" w:hAnsi="Arial"/>
          <w:sz w:val="18"/>
          <w:szCs w:val="18"/>
          <w:color w:val="auto"/>
        </w:rPr>
        <w:t>) necessary to the conduct of the business now conducted by them, including, without limitation, all authorizations required to participate in federal financial aid programs under Title IV of the HEA, and have not received any notice of proceedings relating to the revocation or modification of any Licenses that, if determined adversely to the Company or any of its subsidiaries, would, individually or in the aggregate, result in a Material Adverse Effect.</w:t>
      </w:r>
    </w:p>
    <w:p>
      <w:pPr>
        <w:spacing w:after="0" w:line="80" w:lineRule="exact"/>
        <w:rPr>
          <w:rFonts w:ascii="Arial" w:cs="Arial" w:eastAsia="Arial" w:hAnsi="Arial"/>
          <w:sz w:val="18"/>
          <w:szCs w:val="18"/>
          <w:color w:val="auto"/>
        </w:rPr>
      </w:pPr>
    </w:p>
    <w:p>
      <w:pPr>
        <w:ind w:left="-20" w:right="140" w:firstLine="45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knowledge of the Company, is imminent that would reasonably be expected to have a Material Adverse Effect.</w:t>
      </w:r>
    </w:p>
    <w:p>
      <w:pPr>
        <w:spacing w:after="0" w:line="62" w:lineRule="exact"/>
        <w:rPr>
          <w:rFonts w:ascii="Arial" w:cs="Arial" w:eastAsia="Arial" w:hAnsi="Arial"/>
          <w:sz w:val="18"/>
          <w:szCs w:val="18"/>
          <w:color w:val="auto"/>
        </w:rPr>
      </w:pPr>
    </w:p>
    <w:p>
      <w:pPr>
        <w:ind w:left="-20" w:right="140" w:firstLine="458"/>
        <w:spacing w:after="0" w:line="264" w:lineRule="auto"/>
        <w:tabs>
          <w:tab w:leader="none" w:pos="6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None of the following events has occurred or exists: (i) a failure by the Company or any of its subsidiaries to fulfill the material obligations, if any, under the minimum funding standards of Section 302 of the United States Employee Retirement Income Security Act of 1974, as amended, and the regulations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83" w:name="page184"/>
    <w:bookmarkEnd w:id="183"/>
    <w:p>
      <w:pPr>
        <w:spacing w:after="0" w:line="286" w:lineRule="auto"/>
        <w:rPr>
          <w:sz w:val="20"/>
          <w:szCs w:val="20"/>
          <w:color w:val="auto"/>
        </w:rPr>
      </w:pPr>
      <w:r>
        <w:rPr>
          <w:rFonts w:ascii="Arial" w:cs="Arial" w:eastAsia="Arial" w:hAnsi="Arial"/>
          <w:sz w:val="16"/>
          <w:szCs w:val="16"/>
          <w:color w:val="auto"/>
        </w:rPr>
        <w:t>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xml:space="preserve">)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that individually or in the aggregate would reasonably be expected to have a Material Adverse Effect; or (iii) any breach of any contractual obligation, or any violation of law or applicable qualification standards, with respect to the employment or compensation of employees by the Company or any of its subsidiaries that, to the knowledge of the Company would individually or in the aggregate would reasonably be expected to have a Material Adverse Effect. None of the following events has occurred or, to the knowledge of the Company, is expected to occur: (A)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(B)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(C) any event or condition giving rise to a liability for the Company or any of its subsidiaries under Title IV of ERISA that would individually or in the aggregate have a Material Adverse Effect; or (D) the filing of a claim by one or more employees or former employees of the Company or any of its subsidiaries related to their employment that individually or in the aggregate have a Material Adverse Effect. For purposes of this paragraph, the term </w:t>
      </w:r>
      <w:r>
        <w:rPr>
          <w:rFonts w:ascii="Arial" w:cs="Arial" w:eastAsia="Arial" w:hAnsi="Arial"/>
          <w:sz w:val="16"/>
          <w:szCs w:val="16"/>
          <w:b w:val="1"/>
          <w:bCs w:val="1"/>
          <w:color w:val="auto"/>
        </w:rPr>
        <w:t>“Plan”</w:t>
      </w:r>
      <w:r>
        <w:rPr>
          <w:rFonts w:ascii="Arial" w:cs="Arial" w:eastAsia="Arial" w:hAnsi="Arial"/>
          <w:sz w:val="16"/>
          <w:szCs w:val="16"/>
          <w:color w:val="auto"/>
        </w:rPr>
        <w:t xml:space="preserve"> means a plan (within the meaning of Section 3(3) of ERISA) subject to Title IV of ERISA with respect to which the Company or any of its subsidiaries may have any liability.</w:t>
      </w:r>
    </w:p>
    <w:p>
      <w:pPr>
        <w:spacing w:after="0" w:line="65" w:lineRule="exact"/>
        <w:rPr>
          <w:sz w:val="20"/>
          <w:szCs w:val="20"/>
          <w:color w:val="auto"/>
        </w:rPr>
      </w:pPr>
    </w:p>
    <w:p>
      <w:pPr>
        <w:jc w:val="both"/>
        <w:ind w:firstLine="458"/>
        <w:spacing w:after="0" w:line="257" w:lineRule="auto"/>
        <w:tabs>
          <w:tab w:leader="none" w:pos="6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own, possess or can acquire on reasonable terms, adequate trademarks, trade names and other rights to inventions, know-how, patents, copyrights, confidential information and other intellectual property (collectively,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have a Material Adverse Effect.</w:t>
      </w:r>
    </w:p>
    <w:p>
      <w:pPr>
        <w:spacing w:after="0" w:line="80" w:lineRule="exact"/>
        <w:rPr>
          <w:rFonts w:ascii="Arial" w:cs="Arial" w:eastAsia="Arial" w:hAnsi="Arial"/>
          <w:sz w:val="18"/>
          <w:szCs w:val="18"/>
          <w:color w:val="auto"/>
        </w:rPr>
      </w:pPr>
    </w:p>
    <w:p>
      <w:pPr>
        <w:ind w:right="100" w:firstLine="458"/>
        <w:spacing w:after="0" w:line="255"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Except as disclosed in the General Disclosure Package, neither the Company nor any of its subsidiaries (A)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(B) owns or operates any real property that is contaminated with any substance that is subject to any environmental laws, (C) is</w:t>
      </w:r>
      <w:r>
        <w:rPr>
          <w:rFonts w:ascii="Arial" w:cs="Arial" w:eastAsia="Arial" w:hAnsi="Arial"/>
          <w:sz w:val="18"/>
          <w:szCs w:val="18"/>
          <w:b w:val="1"/>
          <w:bCs w:val="1"/>
          <w:color w:val="auto"/>
        </w:rPr>
        <w:t xml:space="preserve"> </w:t>
      </w:r>
      <w:r>
        <w:rPr>
          <w:rFonts w:ascii="Arial" w:cs="Arial" w:eastAsia="Arial" w:hAnsi="Arial"/>
          <w:sz w:val="18"/>
          <w:szCs w:val="18"/>
          <w:color w:val="auto"/>
        </w:rPr>
        <w:t>liable for any off-site disposal or contamination pursuant to any environmental laws, or (D)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81" w:lineRule="exact"/>
        <w:rPr>
          <w:rFonts w:ascii="Arial" w:cs="Arial" w:eastAsia="Arial" w:hAnsi="Arial"/>
          <w:sz w:val="18"/>
          <w:szCs w:val="18"/>
          <w:color w:val="auto"/>
        </w:rPr>
      </w:pPr>
    </w:p>
    <w:p>
      <w:pPr>
        <w:jc w:val="both"/>
        <w:ind w:right="140" w:firstLine="458"/>
        <w:spacing w:after="0" w:line="312" w:lineRule="auto"/>
        <w:tabs>
          <w:tab w:leader="none" w:pos="7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statements in the General Disclosure Package and the Final Prospectus under the headings “U.S. Federal Tax Considerations”, “Description of Capital Stock” and “Regulation,”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38" w:lineRule="exact"/>
        <w:rPr>
          <w:rFonts w:ascii="Arial" w:cs="Arial" w:eastAsia="Arial" w:hAnsi="Arial"/>
          <w:sz w:val="16"/>
          <w:szCs w:val="16"/>
          <w:color w:val="auto"/>
        </w:rPr>
      </w:pPr>
    </w:p>
    <w:p>
      <w:pPr>
        <w:ind w:right="360" w:firstLine="458"/>
        <w:spacing w:after="0" w:line="342" w:lineRule="auto"/>
        <w:tabs>
          <w:tab w:leader="none" w:pos="74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Offered Securities.</w:t>
      </w:r>
    </w:p>
    <w:p>
      <w:pPr>
        <w:spacing w:after="0" w:line="15" w:lineRule="exact"/>
        <w:rPr>
          <w:rFonts w:ascii="Arial" w:cs="Arial" w:eastAsia="Arial" w:hAnsi="Arial"/>
          <w:sz w:val="16"/>
          <w:szCs w:val="16"/>
          <w:color w:val="auto"/>
        </w:rPr>
      </w:pPr>
    </w:p>
    <w:p>
      <w:pPr>
        <w:ind w:right="220" w:firstLine="458"/>
        <w:spacing w:after="0" w:line="277"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third-party statistical and market-related data included in a Registration Statement, a Statutory Prospectus or the General Disclosure Package are based on or derived from sources that the Company believes to be reliable and accurate.</w:t>
      </w:r>
    </w:p>
    <w:p>
      <w:pPr>
        <w:spacing w:after="0" w:line="62" w:lineRule="exact"/>
        <w:rPr>
          <w:rFonts w:ascii="Arial" w:cs="Arial" w:eastAsia="Arial" w:hAnsi="Arial"/>
          <w:sz w:val="18"/>
          <w:szCs w:val="18"/>
          <w:color w:val="auto"/>
        </w:rPr>
      </w:pPr>
    </w:p>
    <w:p>
      <w:pPr>
        <w:ind w:right="200" w:firstLine="458"/>
        <w:spacing w:after="0" w:line="264" w:lineRule="auto"/>
        <w:tabs>
          <w:tab w:leader="none" w:pos="70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4" w:name="page185"/>
    <w:bookmarkEnd w:id="184"/>
    <w:p>
      <w:pPr>
        <w:ind w:right="20"/>
        <w:spacing w:after="0" w:line="290" w:lineRule="auto"/>
        <w:rPr>
          <w:sz w:val="20"/>
          <w:szCs w:val="20"/>
          <w:color w:val="auto"/>
        </w:rPr>
      </w:pPr>
      <w:r>
        <w:rPr>
          <w:rFonts w:ascii="Arial" w:cs="Arial" w:eastAsia="Arial" w:hAnsi="Arial"/>
          <w:sz w:val="16"/>
          <w:szCs w:val="16"/>
          <w:color w:val="auto"/>
        </w:rPr>
        <w:t>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To the extent required by the applicable Rules and Regulations, the Company will maintain disclosure controls and procedures (as such term is defined in Rule 13a-14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Commission,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or officers and its principal financial officer or officers, as appropriate to allow timely decisions regarding required disclosure.</w:t>
      </w:r>
    </w:p>
    <w:p>
      <w:pPr>
        <w:spacing w:after="0" w:line="54" w:lineRule="exact"/>
        <w:rPr>
          <w:sz w:val="20"/>
          <w:szCs w:val="20"/>
          <w:color w:val="auto"/>
        </w:rPr>
      </w:pPr>
    </w:p>
    <w:p>
      <w:pPr>
        <w:ind w:right="20" w:firstLine="458"/>
        <w:spacing w:after="0" w:line="289" w:lineRule="auto"/>
        <w:tabs>
          <w:tab w:leader="none" w:pos="685"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 member of the Company’s audit committee (the </w:t>
      </w:r>
      <w:r>
        <w:rPr>
          <w:rFonts w:ascii="Arial" w:cs="Arial" w:eastAsia="Arial" w:hAnsi="Arial"/>
          <w:sz w:val="16"/>
          <w:szCs w:val="16"/>
          <w:b w:val="1"/>
          <w:bCs w:val="1"/>
          <w:color w:val="auto"/>
        </w:rPr>
        <w:t>“Audit Committee”</w:t>
      </w:r>
      <w:r>
        <w:rPr>
          <w:rFonts w:ascii="Arial" w:cs="Arial" w:eastAsia="Arial" w:hAnsi="Arial"/>
          <w:sz w:val="16"/>
          <w:szCs w:val="16"/>
          <w:color w:val="auto"/>
        </w:rPr>
        <w:t>) of the Company’s Board of Directors has confirmed to the Chief Executive Officer, Chief Financial Officer or General Counsel that, except as set forth in the General Disclosure Package, the Audit Committee is not reviewing or investigating, and neither the Company’s independent auditors nor its internal auditors have recommended that the Audit Committee review or investigate,</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adding to, deleting, changing the application of, or changing the Company’s disclosure with respect to, any of the Company’s material accounting policies;</w:t>
      </w:r>
    </w:p>
    <w:p>
      <w:pPr>
        <w:spacing w:after="0" w:line="32" w:lineRule="exact"/>
        <w:rPr>
          <w:rFonts w:ascii="Arial" w:cs="Arial" w:eastAsia="Arial" w:hAnsi="Arial"/>
          <w:sz w:val="16"/>
          <w:szCs w:val="16"/>
          <w:color w:val="auto"/>
        </w:rPr>
      </w:pPr>
    </w:p>
    <w:p>
      <w:pPr>
        <w:ind w:right="160" w:firstLine="8"/>
        <w:spacing w:after="0" w:line="254" w:lineRule="auto"/>
        <w:tabs>
          <w:tab w:leader="none" w:pos="2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matter which could result in a restatement of the Company’s financial statements for any annual or interim period during the current or prior three fiscal years; or (iii) a significant deficiency, material weakness, change in internal controls, including, but not limited to, disclosure controls and procedures, internal controls over accounting matters and financial reporting, an internal audit function and legal and regulatory compliance controls, or fraud involving management or other employees who have a significant role in internal controls.</w:t>
      </w:r>
    </w:p>
    <w:p>
      <w:pPr>
        <w:spacing w:after="0" w:line="81" w:lineRule="exact"/>
        <w:rPr>
          <w:rFonts w:ascii="Arial" w:cs="Arial" w:eastAsia="Arial" w:hAnsi="Arial"/>
          <w:sz w:val="18"/>
          <w:szCs w:val="18"/>
          <w:color w:val="auto"/>
        </w:rPr>
      </w:pPr>
    </w:p>
    <w:p>
      <w:pPr>
        <w:ind w:left="780" w:hanging="322"/>
        <w:spacing w:after="0"/>
        <w:tabs>
          <w:tab w:leader="none" w:pos="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is in compliance with all applicable provisions of Sarbanes-Oxley and the applicable rules and regulations thereunder.</w:t>
      </w:r>
    </w:p>
    <w:p>
      <w:pPr>
        <w:spacing w:after="0" w:line="117" w:lineRule="exact"/>
        <w:rPr>
          <w:rFonts w:ascii="Arial" w:cs="Arial" w:eastAsia="Arial" w:hAnsi="Arial"/>
          <w:sz w:val="18"/>
          <w:szCs w:val="18"/>
          <w:color w:val="auto"/>
        </w:rPr>
      </w:pPr>
    </w:p>
    <w:p>
      <w:pPr>
        <w:ind w:firstLine="458"/>
        <w:spacing w:after="0" w:line="293" w:lineRule="auto"/>
        <w:tabs>
          <w:tab w:leader="none" w:pos="79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Except as disclosed in the General Disclosure Package, there are no pending actions, suits or proceedings (including any inquiries or investigations by any court or governmental agency or body, domestic or foreign) against or affecting the Company, any of its subsidiaries or any of their respective properties that, (i) if determined adversely to the Company or any of its subsidiaries, would individually or in the aggregate have a Material Adverse Effect, or would materially and adversely affect the ability of the Company to perform its obligations under this Agreement, or (ii) are required to be disclosed in the Registration Statement and the General Disclosure Package; and no such actions, suits or proceedings (including any inquiries or investigations by any court or governmental agency or body, domestic or foreign) are, to the Company’s knowledge, threatened or contemplated.</w:t>
      </w:r>
    </w:p>
    <w:p>
      <w:pPr>
        <w:spacing w:after="0" w:line="56" w:lineRule="exact"/>
        <w:rPr>
          <w:rFonts w:ascii="Arial" w:cs="Arial" w:eastAsia="Arial" w:hAnsi="Arial"/>
          <w:sz w:val="16"/>
          <w:szCs w:val="16"/>
          <w:color w:val="auto"/>
        </w:rPr>
      </w:pPr>
    </w:p>
    <w:p>
      <w:pPr>
        <w:ind w:right="100" w:firstLine="458"/>
        <w:spacing w:after="0" w:line="290" w:lineRule="auto"/>
        <w:tabs>
          <w:tab w:leader="none" w:pos="77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financial statements included in each Registration Statement and the General Disclosure Package present fairly the financial position of the Company and its consolidated subsidiaries as of the dates shown and their results of operations and cash flows for the periods shown, and such financial statements have been prepared in conformity with the generally accepted accounting principles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all non-GAAP financial information included in the Registration Statement and the General Disclosure Package complies with the requirements of Regulation G and Item 10 of Regulation S-K under the Act; the schedules included in each Registration Statement present fairly the information required to be stated therein; and, except as disclosed in the General Disclosure Package, there are no material off-balance sheet arrangements (as defined in Regulation S-K under the Act, Item 303(a)(4)(ii)) that would reasonably be expected to have a material current or future effect on the Company’s financial condition, results of operation, liquidity, capital expenditures or capital resources of the Company and its subsidiaries, taken as a whole.</w:t>
      </w:r>
    </w:p>
    <w:p>
      <w:pPr>
        <w:spacing w:after="0" w:line="58" w:lineRule="exact"/>
        <w:rPr>
          <w:rFonts w:ascii="Arial" w:cs="Arial" w:eastAsia="Arial" w:hAnsi="Arial"/>
          <w:sz w:val="16"/>
          <w:szCs w:val="16"/>
          <w:color w:val="auto"/>
        </w:rPr>
      </w:pPr>
    </w:p>
    <w:p>
      <w:pPr>
        <w:ind w:right="160" w:firstLine="458"/>
        <w:spacing w:after="0" w:line="257" w:lineRule="auto"/>
        <w:tabs>
          <w:tab w:leader="none" w:pos="7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non-U.S. tax returns that are required to be filed or have requested extensions thereof (except in any case in which the failure so to file would not have a Material Adverse Effect); and, except as set forth in the General Disclosure Package, the Company and its subsidiaries have paid all taxes (including any assessments, fines or penalties) required to be paid by them, except for any such taxes, assessments, fines or penalties currently being contested in good faith or as would not, individually or in the aggregate, have a Material Adverse Effect.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5" w:name="page186"/>
    <w:bookmarkEnd w:id="185"/>
    <w:p>
      <w:pPr>
        <w:ind w:left="-8" w:firstLine="458"/>
        <w:spacing w:after="0" w:line="289" w:lineRule="auto"/>
        <w:tabs>
          <w:tab w:leader="none" w:pos="76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and its subsidiaries are insured by insurers with appropriately rated claims paying abilities against such losses and risks and in such amounts as are prudent and customary for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neither the Company nor any such subsidiary has any reason to believe that it will not be able to renew its existing insurance coverage as and when such coverage expires or to obtain similar coverage from similar insurers as may be necessary at a cost that would not have a Material Adverse Effect, except as set forth in or contemplated in the General Disclosure Package; and the Company currently has or will obtain directors’ and officer’s insurance in such amounts as is appropriate for a public company in its industry of comparable size.</w:t>
      </w:r>
    </w:p>
    <w:p>
      <w:pPr>
        <w:spacing w:after="0" w:line="58" w:lineRule="exact"/>
        <w:rPr>
          <w:rFonts w:ascii="Arial" w:cs="Arial" w:eastAsia="Arial" w:hAnsi="Arial"/>
          <w:sz w:val="16"/>
          <w:szCs w:val="16"/>
          <w:color w:val="auto"/>
        </w:rPr>
      </w:pPr>
    </w:p>
    <w:p>
      <w:pPr>
        <w:ind w:left="-8" w:right="40" w:firstLine="458"/>
        <w:spacing w:after="0" w:line="288" w:lineRule="auto"/>
        <w:tabs>
          <w:tab w:leader="none" w:pos="72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Except as disclosed in the General Disclosure Package, since the end of the period covered by the latest audited financial statements included in the General Disclosure Package (A) there has been no change, nor any development or event involving a prospective change, in the condition (financial or otherwise), results of operations, business, properties or prospects of the Company and its subsidiaries, taken as a whole, that is material and adverse,</w:t>
      </w:r>
    </w:p>
    <w:p>
      <w:pPr>
        <w:ind w:left="-8" w:right="40" w:firstLine="8"/>
        <w:spacing w:after="0" w:line="273" w:lineRule="auto"/>
        <w:tabs>
          <w:tab w:leader="none" w:pos="27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except as disclosed in or contemplated by the General Disclosure Package, there has been no dividend or distribution of any kind declared, paid or made by the Company on any class of its capital stock and (C) except as disclosed in or contemplated by the General Disclosure Package, there has been no change in the capital stock, short-term indebtedness, long-term indebtedness, net current assets or net assets of the Company and its subsidiaries that has had, or that would reasonably be expected to have, individually or in the aggregate, a Material Adverse Effect.</w:t>
      </w:r>
    </w:p>
    <w:p>
      <w:pPr>
        <w:spacing w:after="0" w:line="68" w:lineRule="exact"/>
        <w:rPr>
          <w:rFonts w:ascii="Arial" w:cs="Arial" w:eastAsia="Arial" w:hAnsi="Arial"/>
          <w:sz w:val="17"/>
          <w:szCs w:val="17"/>
          <w:color w:val="auto"/>
        </w:rPr>
      </w:pPr>
    </w:p>
    <w:p>
      <w:pPr>
        <w:ind w:left="-8" w:firstLine="458"/>
        <w:spacing w:after="0" w:line="273" w:lineRule="auto"/>
        <w:tabs>
          <w:tab w:leader="none" w:pos="784"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section entitled “Management’s Discussion and Analysis of Financial Condition and Results of Operation—Critical Accounting Policies and Estimates” in the Registration Statement and the General Disclosure Package accurately and fully describes (A) accounting policies which the Company believes are the most important in the portrayal of the financial condition and results of operations of the Company and its consolidated subsidiaries and which require management’s most difficult, subjective or complex judgments (</w:t>
      </w:r>
      <w:r>
        <w:rPr>
          <w:rFonts w:ascii="Arial" w:cs="Arial" w:eastAsia="Arial" w:hAnsi="Arial"/>
          <w:sz w:val="17"/>
          <w:szCs w:val="17"/>
          <w:b w:val="1"/>
          <w:bCs w:val="1"/>
          <w:color w:val="auto"/>
        </w:rPr>
        <w:t>“Critical Accounting Policies”</w:t>
      </w:r>
      <w:r>
        <w:rPr>
          <w:rFonts w:ascii="Arial" w:cs="Arial" w:eastAsia="Arial" w:hAnsi="Arial"/>
          <w:sz w:val="17"/>
          <w:szCs w:val="17"/>
          <w:color w:val="auto"/>
        </w:rPr>
        <w:t>), (B) judgments and uncertainties affecting the application of Critical Accounting Policies, and (C) to the extent required by the Rules and Regulations, explanations of the likelihood that materially different amounts would be reported under different conditions or using different assumptions.</w:t>
      </w:r>
    </w:p>
    <w:p>
      <w:pPr>
        <w:spacing w:after="0" w:line="70" w:lineRule="exact"/>
        <w:rPr>
          <w:rFonts w:ascii="Arial" w:cs="Arial" w:eastAsia="Arial" w:hAnsi="Arial"/>
          <w:sz w:val="17"/>
          <w:szCs w:val="17"/>
          <w:color w:val="auto"/>
        </w:rPr>
      </w:pPr>
    </w:p>
    <w:p>
      <w:pPr>
        <w:ind w:left="-8" w:right="180" w:firstLine="458"/>
        <w:spacing w:after="0" w:line="259" w:lineRule="auto"/>
        <w:tabs>
          <w:tab w:leader="none" w:pos="78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the extent required by the Rules and Regulations, the section entitled “Management’s Discussion and Analysis of Financial Condition and Results of Operations—Liquidity and Capital Resources” in the Registration Statement and the General Disclosure Package accurately and fairly describes material trends, demands, commitments, events, uncertainties and risks, and the potential effects thereof, that the Company believes would materially affect its liquidity and are reasonably likely to occur.</w:t>
      </w:r>
    </w:p>
    <w:p>
      <w:pPr>
        <w:spacing w:after="0" w:line="78" w:lineRule="exact"/>
        <w:rPr>
          <w:rFonts w:ascii="Arial" w:cs="Arial" w:eastAsia="Arial" w:hAnsi="Arial"/>
          <w:sz w:val="18"/>
          <w:szCs w:val="18"/>
          <w:color w:val="auto"/>
        </w:rPr>
      </w:pPr>
    </w:p>
    <w:p>
      <w:pPr>
        <w:ind w:left="-8" w:right="360" w:firstLine="458"/>
        <w:spacing w:after="0" w:line="264" w:lineRule="auto"/>
        <w:tabs>
          <w:tab w:leader="none" w:pos="7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Company is not and, after giving effect to the offering and sale of the Offered Securities and the application of the proceeds thereof as described in the General Disclosure Package,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 w:right="160" w:firstLine="458"/>
        <w:spacing w:after="0" w:line="264" w:lineRule="auto"/>
        <w:tabs>
          <w:tab w:leader="none" w:pos="7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issuance and sale of the Offered Securities will not constitute a change in ownership resulting in a “change of control” of the Company pursuant to the applicable regulations promulgated under the HEA or any applicable statute or regulation.</w:t>
      </w:r>
    </w:p>
    <w:p>
      <w:pPr>
        <w:spacing w:after="0" w:line="73" w:lineRule="exact"/>
        <w:rPr>
          <w:rFonts w:ascii="Arial" w:cs="Arial" w:eastAsia="Arial" w:hAnsi="Arial"/>
          <w:sz w:val="18"/>
          <w:szCs w:val="18"/>
          <w:color w:val="auto"/>
        </w:rPr>
      </w:pPr>
    </w:p>
    <w:p>
      <w:pPr>
        <w:ind w:left="-8" w:right="100" w:firstLine="458"/>
        <w:spacing w:after="0" w:line="312" w:lineRule="auto"/>
        <w:tabs>
          <w:tab w:leader="none" w:pos="78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Company has not offered or sold, or caused the Underwriters to offer or sell, any Offered Securities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86" w:name="page187"/>
    <w:bookmarkEnd w:id="186"/>
    <w:p>
      <w:pPr>
        <w:ind w:right="460" w:firstLine="233"/>
        <w:spacing w:after="0" w:line="291" w:lineRule="auto"/>
        <w:tabs>
          <w:tab w:leader="none" w:pos="405"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Purchase, Sale and Delivery of Offered Securities</w:t>
      </w:r>
      <w:r>
        <w:rPr>
          <w:rFonts w:ascii="Arial" w:cs="Arial" w:eastAsia="Arial" w:hAnsi="Arial"/>
          <w:sz w:val="16"/>
          <w:szCs w:val="16"/>
          <w:color w:val="auto"/>
        </w:rPr>
        <w:t>. On the basis of the representations, warranties and agreements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sell to each Underwriter, and each Underwriter agrees, severally and not jointly, to purchase from the</w:t>
      </w:r>
    </w:p>
    <w:tbl>
      <w:tblPr>
        <w:tblLayout w:type="fixed"/>
        <w:tblInd w:w="0" w:type="dxa"/>
        <w:tblCellMar>
          <w:top w:w="0" w:type="dxa"/>
          <w:left w:w="0" w:type="dxa"/>
          <w:bottom w:w="0" w:type="dxa"/>
          <w:right w:w="0" w:type="dxa"/>
        </w:tblCellMar>
      </w:tblPr>
      <w:tr>
        <w:trPr>
          <w:trHeight w:val="176"/>
        </w:trPr>
        <w:tc>
          <w:tcPr>
            <w:tcW w:w="2740" w:type="dxa"/>
            <w:vAlign w:val="bottom"/>
          </w:tcPr>
          <w:p>
            <w:pPr>
              <w:spacing w:after="0" w:line="176" w:lineRule="exact"/>
              <w:rPr>
                <w:sz w:val="20"/>
                <w:szCs w:val="20"/>
                <w:color w:val="auto"/>
              </w:rPr>
            </w:pPr>
            <w:r>
              <w:rPr>
                <w:rFonts w:ascii="Arial" w:cs="Arial" w:eastAsia="Arial" w:hAnsi="Arial"/>
                <w:sz w:val="18"/>
                <w:szCs w:val="18"/>
                <w:color w:val="auto"/>
                <w:w w:val="98"/>
              </w:rPr>
              <w:t>Company, at a purchase price of $</w:t>
            </w:r>
          </w:p>
        </w:tc>
        <w:tc>
          <w:tcPr>
            <w:tcW w:w="848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0"/>
              </w:rPr>
              <w:t>per share, the respective number of Firm Securities set forth opposite the name of such Underwriter in Schedule A</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hereto.</w:t>
            </w:r>
          </w:p>
        </w:tc>
        <w:tc>
          <w:tcPr>
            <w:tcW w:w="76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bl>
    <w:p>
      <w:pPr>
        <w:spacing w:after="0" w:line="94"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 will deliver the Firm Securities to or as instructed by the Representatives for the accounts of the several Underwriters in a form reasonably acceptable to the Representatives against payment of the purchase price in Federal (same day) funds by wire transfer to an account at a bank acceptable to the</w:t>
      </w:r>
    </w:p>
    <w:p>
      <w:pPr>
        <w:ind w:right="200"/>
        <w:spacing w:after="0" w:line="250" w:lineRule="auto"/>
        <w:rPr>
          <w:sz w:val="20"/>
          <w:szCs w:val="20"/>
          <w:color w:val="auto"/>
        </w:rPr>
      </w:pPr>
      <w:r>
        <w:rPr>
          <w:rFonts w:ascii="Arial" w:cs="Arial" w:eastAsia="Arial" w:hAnsi="Arial"/>
          <w:sz w:val="18"/>
          <w:szCs w:val="18"/>
          <w:color w:val="auto"/>
        </w:rPr>
        <w:t>Representatives drawn to the order of in the case of shares of Firm Securities and in the case of shares of Firm Securities, at the office of DLA Piper US LLP, in Phoenix, Arizona, at A.M., New York time, on , 2008 or at such other time not later than seven full business days</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 xml:space="preserve">thereafter as the Representatives and the Company determine, such time being herein referred to as the </w:t>
      </w:r>
      <w:r>
        <w:rPr>
          <w:rFonts w:ascii="Arial" w:cs="Arial" w:eastAsia="Arial" w:hAnsi="Arial"/>
          <w:sz w:val="16"/>
          <w:szCs w:val="16"/>
          <w:b w:val="1"/>
          <w:bCs w:val="1"/>
          <w:color w:val="auto"/>
        </w:rPr>
        <w:t>“First Closing Date”</w:t>
      </w:r>
      <w:r>
        <w:rPr>
          <w:rFonts w:ascii="Arial" w:cs="Arial" w:eastAsia="Arial" w:hAnsi="Arial"/>
          <w:sz w:val="16"/>
          <w:szCs w:val="16"/>
          <w:color w:val="auto"/>
        </w:rPr>
        <w:t>. For purposes of Rule 15c6-1 under the Securities Exchange Act of 1934,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DLA Piper US LLP at least 24 hours prior to the First Closing Date.</w:t>
      </w:r>
    </w:p>
    <w:p>
      <w:pPr>
        <w:spacing w:after="0" w:line="53"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In addition, upon written notice from the Representatives given to the Company from time to time not more than 30 days subsequent to the date of the Final Prospectus, the Underwriters may purchase all or less than all of the Optional Securities at the purchase price per Optional Security to be paid for the Firm Securities. The Company agrees to sell to the Underwriters the number of shares of Optional Securities specified in such notice and the Underwriters agree, severally and not jointly, to purchase such Optional Securities. Such Optional Securities shall be purchased from the Company for the account of each Underwriter in the same proportion as the number of Firm Securities set forth opposite such Underwriter’s name bears to the total number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w:t>
      </w:r>
    </w:p>
    <w:p>
      <w:pPr>
        <w:spacing w:after="0" w:line="55"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Each time for the delivery of and payment for the Optional Securities, being herein referred to as an </w:t>
      </w:r>
      <w:r>
        <w:rPr>
          <w:rFonts w:ascii="Arial" w:cs="Arial" w:eastAsia="Arial" w:hAnsi="Arial"/>
          <w:sz w:val="17"/>
          <w:szCs w:val="17"/>
          <w:b w:val="1"/>
          <w:bCs w:val="1"/>
          <w:color w:val="auto"/>
        </w:rPr>
        <w:t>“Optional Closing Date”</w:t>
      </w:r>
      <w:r>
        <w:rPr>
          <w:rFonts w:ascii="Arial" w:cs="Arial" w:eastAsia="Arial" w:hAnsi="Arial"/>
          <w:sz w:val="17"/>
          <w:szCs w:val="17"/>
          <w:color w:val="auto"/>
        </w:rPr>
        <w:t xml:space="preserve">, which may be the First Closing Date (the First Closing Date and each Optional Closing Date, if any, being sometimes referred to as a </w:t>
      </w:r>
      <w:r>
        <w:rPr>
          <w:rFonts w:ascii="Arial" w:cs="Arial" w:eastAsia="Arial" w:hAnsi="Arial"/>
          <w:sz w:val="17"/>
          <w:szCs w:val="17"/>
          <w:b w:val="1"/>
          <w:bCs w:val="1"/>
          <w:color w:val="auto"/>
        </w:rPr>
        <w:t>“Closing Date”</w:t>
      </w:r>
      <w:r>
        <w:rPr>
          <w:rFonts w:ascii="Arial" w:cs="Arial" w:eastAsia="Arial" w:hAnsi="Arial"/>
          <w:sz w:val="17"/>
          <w:szCs w:val="17"/>
          <w:color w:val="auto"/>
        </w:rPr>
        <w:t>), shall be determined by the Representatives but shall be not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therefore in Federal (same day) funds by wire transfer to an account at a bank acceptable to the Representatives drawn to the order of , at the above office of DLA Piper US LLP. The Optional Securities being purchased on each Optional Closing Date or evidence of their issuance will be made available for checking at the above office of DLA Piper US LLP at a reasonable time in advance of such Optional Closing Date.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compensation for the Underwriters’ commitments, the Company will pay to the Representatives for the Underwriters’ proportionate accounts the sum</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of $ per share times the total number of Offered Securities purchased by the Underwriters from the Company on each Closing Date. Such payment will be made on each Closing Date with respect to the Offered Securities purchased on such Closing Date.</w:t>
      </w:r>
    </w:p>
    <w:p>
      <w:pPr>
        <w:spacing w:after="0" w:line="76" w:lineRule="exact"/>
        <w:rPr>
          <w:sz w:val="20"/>
          <w:szCs w:val="20"/>
          <w:color w:val="auto"/>
        </w:rPr>
      </w:pPr>
    </w:p>
    <w:p>
      <w:pPr>
        <w:ind w:right="200" w:firstLine="233"/>
        <w:spacing w:after="0" w:line="277" w:lineRule="auto"/>
        <w:tabs>
          <w:tab w:leader="none" w:pos="405"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Certain Agreements of the Company </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firstLine="458"/>
        <w:spacing w:after="0" w:line="277" w:lineRule="auto"/>
        <w:tabs>
          <w:tab w:leader="none" w:pos="69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Unless filed pursuant to Rule 462(c) as part of the Additional Registration Statement in accordance with the next sentence, the Company will file the Final Prospectus, in a form approved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right="40"/>
        <w:spacing w:after="0" w:line="290" w:lineRule="auto"/>
        <w:rPr>
          <w:sz w:val="20"/>
          <w:szCs w:val="20"/>
          <w:color w:val="auto"/>
        </w:rPr>
      </w:pPr>
      <w:r>
        <w:rPr>
          <w:rFonts w:ascii="Arial" w:cs="Arial" w:eastAsia="Arial" w:hAnsi="Arial"/>
          <w:sz w:val="16"/>
          <w:szCs w:val="16"/>
          <w:color w:val="auto"/>
        </w:rPr>
        <w:t xml:space="preserve">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confirm such timely filing in writing to the Representatives.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w:t>
      </w:r>
      <w:r>
        <w:rPr>
          <w:rFonts w:ascii="Arial" w:cs="Arial" w:eastAsia="Arial" w:hAnsi="Arial"/>
          <w:sz w:val="16"/>
          <w:szCs w:val="16"/>
          <w:b w:val="1"/>
          <w:bCs w:val="1"/>
          <w:color w:val="auto"/>
        </w:rPr>
        <w:t>10:00 P.M., New York time</w:t>
      </w:r>
      <w:r>
        <w:rPr>
          <w:rFonts w:ascii="Arial" w:cs="Arial" w:eastAsia="Arial" w:hAnsi="Arial"/>
          <w:sz w:val="16"/>
          <w:szCs w:val="16"/>
          <w:color w:val="auto"/>
        </w:rPr>
        <w:t>, on the date of this Agreement or, if earlier, on or prior to the time the Final Prospectus is finalized and distributed to any Underwriter, or will make such filing at such later date as shall have been consented to by the Representatives.</w:t>
      </w:r>
    </w:p>
    <w:p>
      <w:pPr>
        <w:spacing w:after="0" w:line="58" w:lineRule="exact"/>
        <w:rPr>
          <w:sz w:val="20"/>
          <w:szCs w:val="20"/>
          <w:color w:val="auto"/>
        </w:rPr>
      </w:pPr>
    </w:p>
    <w:p>
      <w:pPr>
        <w:ind w:right="100" w:firstLine="458"/>
        <w:spacing w:after="0" w:line="270" w:lineRule="auto"/>
        <w:tabs>
          <w:tab w:leader="none" w:pos="70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will promptly advise the Representatives of any proposal to amend or supplement at any time the Initial Registration Statement, any Additional Registration Statement or any Statutory Prospectus and will not effect such amendment or supplementation without the Representatives’ consent, such consent not to be unreasonably refused or delayed;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69" w:lineRule="exact"/>
        <w:rPr>
          <w:rFonts w:ascii="Arial" w:cs="Arial" w:eastAsia="Arial" w:hAnsi="Arial"/>
          <w:sz w:val="17"/>
          <w:szCs w:val="17"/>
          <w:color w:val="auto"/>
        </w:rPr>
      </w:pPr>
    </w:p>
    <w:p>
      <w:pPr>
        <w:ind w:firstLine="458"/>
        <w:spacing w:after="0" w:line="290"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at any time when a prospectus relating to the Offered Securities is (or but for the exemption 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58" w:lineRule="exact"/>
        <w:rPr>
          <w:rFonts w:ascii="Arial" w:cs="Arial" w:eastAsia="Arial" w:hAnsi="Arial"/>
          <w:sz w:val="16"/>
          <w:szCs w:val="16"/>
          <w:color w:val="auto"/>
        </w:rPr>
      </w:pPr>
    </w:p>
    <w:p>
      <w:pPr>
        <w:ind w:right="40" w:firstLine="458"/>
        <w:spacing w:after="0" w:line="293"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As soon as practicable, but not later than the Availability Date (as defined below), the Company will make generally available to its security holders an earnings statement covering a period of at least 12 months beginning after the Effective Date of the Initial Registration Statement (or, if later, the Effective Time of the Additional Registration Statement) which will satisfy the provisions of Section 11(a) of the Act and Rule 158 under the Act. For the purpose of the preceding sentence, </w:t>
      </w:r>
      <w:r>
        <w:rPr>
          <w:rFonts w:ascii="Arial" w:cs="Arial" w:eastAsia="Arial" w:hAnsi="Arial"/>
          <w:sz w:val="16"/>
          <w:szCs w:val="16"/>
          <w:b w:val="1"/>
          <w:bCs w:val="1"/>
          <w:color w:val="auto"/>
        </w:rPr>
        <w:t>“Availability Date”</w:t>
      </w:r>
      <w:r>
        <w:rPr>
          <w:rFonts w:ascii="Arial" w:cs="Arial" w:eastAsia="Arial" w:hAnsi="Arial"/>
          <w:sz w:val="16"/>
          <w:szCs w:val="16"/>
          <w:color w:val="auto"/>
        </w:rPr>
        <w:t xml:space="preserve"> means the day after the end of the fourth fiscal quarter following the fiscal quarter that includes such Effective Time on which the Company is required to file its Form 10-Q for such fiscal quarter except that, if such fourth fiscal quarter is the last quarter of the Company’s fiscal year, </w:t>
      </w:r>
      <w:r>
        <w:rPr>
          <w:rFonts w:ascii="Arial" w:cs="Arial" w:eastAsia="Arial" w:hAnsi="Arial"/>
          <w:sz w:val="16"/>
          <w:szCs w:val="16"/>
          <w:b w:val="1"/>
          <w:bCs w:val="1"/>
          <w:color w:val="auto"/>
        </w:rPr>
        <w:t>“Availability Date”</w:t>
      </w:r>
      <w:r>
        <w:rPr>
          <w:rFonts w:ascii="Arial" w:cs="Arial" w:eastAsia="Arial" w:hAnsi="Arial"/>
          <w:sz w:val="16"/>
          <w:szCs w:val="16"/>
          <w:color w:val="auto"/>
        </w:rPr>
        <w:t xml:space="preserve"> means the day after the end of such fourth fiscal quarter on which the Company is required to file its Form 10-K.</w:t>
      </w:r>
    </w:p>
    <w:p>
      <w:pPr>
        <w:spacing w:after="0" w:line="56" w:lineRule="exact"/>
        <w:rPr>
          <w:rFonts w:ascii="Arial" w:cs="Arial" w:eastAsia="Arial" w:hAnsi="Arial"/>
          <w:sz w:val="16"/>
          <w:szCs w:val="16"/>
          <w:color w:val="auto"/>
        </w:rPr>
      </w:pPr>
    </w:p>
    <w:p>
      <w:pPr>
        <w:ind w:right="20" w:firstLine="458"/>
        <w:spacing w:after="0" w:line="255" w:lineRule="auto"/>
        <w:tabs>
          <w:tab w:leader="none" w:pos="6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will furnish to the Representatives copies of each Registration Statement (4 of which will 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request. The Final Prospectus shall be so furnished on or prior to 3:00 P.M., New York time, on the business day following the execution and delivery of this Agreement. All other such documents shall be so furnished promptly after they are available. The Company will pay the expenses of printing and distributing to the Underwriters all such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ind w:left="-20" w:right="680" w:firstLine="458"/>
        <w:spacing w:after="0" w:line="277" w:lineRule="auto"/>
        <w:tabs>
          <w:tab w:leader="none" w:pos="6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will arrange for the qualification of the Offered Securities for sale under the laws of such jurisdictions as the Representatives designate and will continue such qualifications in effect so long as required for distribution.</w:t>
      </w:r>
    </w:p>
    <w:p>
      <w:pPr>
        <w:spacing w:after="0" w:line="62" w:lineRule="exact"/>
        <w:rPr>
          <w:rFonts w:ascii="Arial" w:cs="Arial" w:eastAsia="Arial" w:hAnsi="Arial"/>
          <w:sz w:val="18"/>
          <w:szCs w:val="18"/>
          <w:color w:val="auto"/>
        </w:rPr>
      </w:pPr>
    </w:p>
    <w:p>
      <w:pPr>
        <w:ind w:left="-20" w:right="100" w:firstLine="458"/>
        <w:spacing w:after="0" w:line="255" w:lineRule="auto"/>
        <w:tabs>
          <w:tab w:leader="none" w:pos="6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the period of three years hereafter, the Company will furnish to the Representatives and, upon request, to 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it is not required to furnish such reports or statements to the Underwriters.</w:t>
      </w:r>
    </w:p>
    <w:p>
      <w:pPr>
        <w:spacing w:after="0" w:line="81" w:lineRule="exact"/>
        <w:rPr>
          <w:rFonts w:ascii="Arial" w:cs="Arial" w:eastAsia="Arial" w:hAnsi="Arial"/>
          <w:sz w:val="18"/>
          <w:szCs w:val="18"/>
          <w:color w:val="auto"/>
        </w:rPr>
      </w:pPr>
    </w:p>
    <w:p>
      <w:pPr>
        <w:ind w:left="-20" w:firstLine="458"/>
        <w:spacing w:after="0" w:line="269" w:lineRule="auto"/>
        <w:tabs>
          <w:tab w:leader="none" w:pos="68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agrees with the several Underwriters that the Company will pay all expenses incident to the performance of the obligations of the Company under this Agreement, including, but not limited to, any filing fees and other expenses (including reasonable fees and disbursements of counsel to the Underwriters) incurred in connection with qualification of the Offered Securities for sale under the laws of such jurisdictions as the Representatives designate and the preparation and printing of memoranda relating thereto, costs and expenses related to the review by the Financial Institutions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of the Offered Securities (including filing fees and the fees and expenses of counsel for the Underwriters relating to such review), costs and expenses of the Company relating to investor presentations or any “road show” in connection with the offering and sale of the Offered Securities including, without limitation, any travel expenses of the Company’s officers and employees and any other expenses of the Company including 50 percent of the costs of chartering of airplanes, fees and expenses incident to listing the Offered Securities on the New York Stock Exchange, American Stock Exchange, NASDAQ Stock Market and other national and foreign exchanges,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w:t>
      </w:r>
    </w:p>
    <w:p>
      <w:pPr>
        <w:spacing w:after="0" w:line="71" w:lineRule="exact"/>
        <w:rPr>
          <w:rFonts w:ascii="Arial" w:cs="Arial" w:eastAsia="Arial" w:hAnsi="Arial"/>
          <w:sz w:val="17"/>
          <w:szCs w:val="17"/>
          <w:color w:val="auto"/>
        </w:rPr>
      </w:pPr>
    </w:p>
    <w:p>
      <w:pPr>
        <w:ind w:left="-20" w:right="20" w:firstLine="458"/>
        <w:spacing w:after="0" w:line="264" w:lineRule="auto"/>
        <w:tabs>
          <w:tab w:leader="none" w:pos="6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in connection with this offering in the manner described in the “Use of Proceeds” section of the General Disclosure Package and, except as disclosed in the General Disclosure Package, the Company does not intend to use any of the proceeds from the sale of the Offered Securities hereunder to repay any outstanding debt owed to any affiliate of any Underwriter.</w:t>
      </w:r>
    </w:p>
    <w:p>
      <w:pPr>
        <w:spacing w:after="0" w:line="73" w:lineRule="exact"/>
        <w:rPr>
          <w:rFonts w:ascii="Arial" w:cs="Arial" w:eastAsia="Arial" w:hAnsi="Arial"/>
          <w:sz w:val="18"/>
          <w:szCs w:val="18"/>
          <w:color w:val="auto"/>
        </w:rPr>
      </w:pPr>
    </w:p>
    <w:p>
      <w:pPr>
        <w:ind w:left="-20" w:right="220" w:firstLine="458"/>
        <w:spacing w:after="0" w:line="308" w:lineRule="auto"/>
        <w:tabs>
          <w:tab w:leader="none" w:pos="64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will not take, directly or indirectly, any action designed to or that would constitute or that might reasonably be expected to cause or result in, stabilization or manipulation of the price of any securities of the Company to facilitate the sale or resale of the Offered Securities.</w:t>
      </w:r>
    </w:p>
    <w:p>
      <w:pPr>
        <w:spacing w:after="0" w:line="34" w:lineRule="exact"/>
        <w:rPr>
          <w:rFonts w:ascii="Arial" w:cs="Arial" w:eastAsia="Arial" w:hAnsi="Arial"/>
          <w:sz w:val="17"/>
          <w:szCs w:val="17"/>
          <w:color w:val="auto"/>
        </w:rPr>
      </w:pPr>
    </w:p>
    <w:p>
      <w:pPr>
        <w:ind w:left="-20" w:firstLine="458"/>
        <w:spacing w:after="0" w:line="269" w:lineRule="auto"/>
        <w:tabs>
          <w:tab w:leader="none" w:pos="68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For the period specified below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directly or indirectly, take any of the following actions with respect to its Securities or any securities convertible into or exchangeable or exercisable for any of its Securities (</w:t>
      </w:r>
      <w:r>
        <w:rPr>
          <w:rFonts w:ascii="Arial" w:cs="Arial" w:eastAsia="Arial" w:hAnsi="Arial"/>
          <w:sz w:val="17"/>
          <w:szCs w:val="17"/>
          <w:b w:val="1"/>
          <w:bCs w:val="1"/>
          <w:color w:val="auto"/>
        </w:rPr>
        <w:t>“Lock-Up Securities”</w:t>
      </w:r>
      <w:r>
        <w:rPr>
          <w:rFonts w:ascii="Arial" w:cs="Arial" w:eastAsia="Arial" w:hAnsi="Arial"/>
          <w:sz w:val="17"/>
          <w:szCs w:val="17"/>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the Representatives. The initial Lock-Up Period will commence on the date hereof and continue for 180 days after the date of the Final Prospectus or such earlier date that the Representatives consent to in writing; provided, however, that if (1) during the last 17 days of the initial Lock-Up Period, the Company releases earnings results or material news or a material event relating to the Company occurs or (2)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89" w:name="page190"/>
    <w:bookmarkEnd w:id="189"/>
    <w:p>
      <w:pPr>
        <w:ind w:right="40"/>
        <w:spacing w:after="0" w:line="297" w:lineRule="auto"/>
        <w:rPr>
          <w:sz w:val="20"/>
          <w:szCs w:val="20"/>
          <w:color w:val="auto"/>
        </w:rPr>
      </w:pPr>
      <w:r>
        <w:rPr>
          <w:rFonts w:ascii="Arial" w:cs="Arial" w:eastAsia="Arial" w:hAnsi="Arial"/>
          <w:sz w:val="16"/>
          <w:szCs w:val="16"/>
          <w:color w:val="auto"/>
        </w:rPr>
        <w:t>occurrence of the materials news or material event, as applicable, unless the Representatives waive, in writing, such extension. The Company will provide the Representatives with notice of any announcement described in clause (2) of the preceding sentence that gives rise to an extension of the Lock-Up Period. Anything herein to the contrary not withstanding, the foregoing obligations set forth in this paragraph will not apply to the offer, sale, issuance, or disposal by the Company of the Offered Securities pursuant to this Agreement, or any other Securities of the Company, or any securities convertible into or exchangeable or exercisable for any of its Securities, pursuant to any equity compensation plan described in the Registration Statement or the General Disclosure Package.</w:t>
      </w:r>
    </w:p>
    <w:p>
      <w:pPr>
        <w:spacing w:after="0" w:line="50" w:lineRule="exact"/>
        <w:rPr>
          <w:sz w:val="20"/>
          <w:szCs w:val="20"/>
          <w:color w:val="auto"/>
        </w:rPr>
      </w:pPr>
    </w:p>
    <w:p>
      <w:pPr>
        <w:ind w:right="40" w:firstLine="458"/>
        <w:spacing w:after="0" w:line="259" w:lineRule="auto"/>
        <w:tabs>
          <w:tab w:leader="none" w:pos="66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connection with the Directed Share Program, the Company will ensure that the Directed Shares will be restricted to the extent required by FINRA or the FINRA rules from sale, transfer, assignment, pledge or hypothecation for a period of three months following the date of the effectiveness of the Registration Statement. The Designated Underwriter will notify the Company as to which Participants will need to be so restricted. The Company will direct the transfer agent to place stop transfer restrictions upon such securities for such period of time.</w:t>
      </w:r>
    </w:p>
    <w:p>
      <w:pPr>
        <w:spacing w:after="0" w:line="78" w:lineRule="exact"/>
        <w:rPr>
          <w:rFonts w:ascii="Arial" w:cs="Arial" w:eastAsia="Arial" w:hAnsi="Arial"/>
          <w:sz w:val="18"/>
          <w:szCs w:val="18"/>
          <w:color w:val="auto"/>
        </w:rPr>
      </w:pPr>
    </w:p>
    <w:p>
      <w:pPr>
        <w:ind w:right="280" w:firstLine="458"/>
        <w:spacing w:after="0" w:line="264" w:lineRule="auto"/>
        <w:tabs>
          <w:tab w:leader="none" w:pos="7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will pay all fees and disbursements of counsel (including non-U.S. counsel) incurred by the Underwriters in connection with the Directed Share Program and stamp duties, similar taxes or duties or other taxes, if any, incurred by the Underwriters in connection with the Directed Share Program.</w:t>
      </w:r>
    </w:p>
    <w:p>
      <w:pPr>
        <w:spacing w:after="0" w:line="73" w:lineRule="exact"/>
        <w:rPr>
          <w:rFonts w:ascii="Arial" w:cs="Arial" w:eastAsia="Arial" w:hAnsi="Arial"/>
          <w:sz w:val="18"/>
          <w:szCs w:val="18"/>
          <w:color w:val="auto"/>
        </w:rPr>
      </w:pPr>
    </w:p>
    <w:p>
      <w:pPr>
        <w:ind w:right="400" w:firstLine="458"/>
        <w:spacing w:after="0" w:line="277" w:lineRule="auto"/>
        <w:tabs>
          <w:tab w:leader="none" w:pos="70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will comply with all applicable securities and other laws, rules and regulations in each foreign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ind w:right="60" w:firstLine="233"/>
        <w:spacing w:after="0" w:line="253" w:lineRule="auto"/>
        <w:tabs>
          <w:tab w:leader="none" w:pos="40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Company represents and agrees that, unless it obtains the prior consent of the Representatives,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xml:space="preserve">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is has satisfied and agrees that it will satisfy the conditions in Rule 433 to avoid a requirement to file with the Commission any electronic road show.</w:t>
      </w:r>
    </w:p>
    <w:p>
      <w:pPr>
        <w:spacing w:after="0" w:line="89" w:lineRule="exact"/>
        <w:rPr>
          <w:rFonts w:ascii="Arial" w:cs="Arial" w:eastAsia="Arial" w:hAnsi="Arial"/>
          <w:sz w:val="18"/>
          <w:szCs w:val="18"/>
          <w:color w:val="auto"/>
        </w:rPr>
      </w:pPr>
    </w:p>
    <w:p>
      <w:pPr>
        <w:ind w:firstLine="233"/>
        <w:spacing w:after="0" w:line="279" w:lineRule="auto"/>
        <w:tabs>
          <w:tab w:leader="none" w:pos="405"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Conditions of the Obligations of the Underwriters</w:t>
      </w:r>
      <w:r>
        <w:rPr>
          <w:rFonts w:ascii="Arial" w:cs="Arial" w:eastAsia="Arial" w:hAnsi="Arial"/>
          <w:sz w:val="17"/>
          <w:szCs w:val="17"/>
          <w:color w:val="auto"/>
        </w:rPr>
        <w:t>. The obligations of the several Underwriters to purchase and pay for the Firm Securities on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63" w:lineRule="exact"/>
        <w:rPr>
          <w:rFonts w:ascii="Arial" w:cs="Arial" w:eastAsia="Arial" w:hAnsi="Arial"/>
          <w:sz w:val="17"/>
          <w:szCs w:val="17"/>
          <w:color w:val="auto"/>
        </w:rPr>
      </w:pPr>
    </w:p>
    <w:p>
      <w:pPr>
        <w:ind w:right="160" w:firstLine="458"/>
        <w:spacing w:after="0" w:line="259" w:lineRule="auto"/>
        <w:tabs>
          <w:tab w:leader="none" w:pos="6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letters, dated, respectively, the date hereof and each Closing Date, of Ernst &amp; Young LLP confirming that they are a registered public accounting firm and independent public accountants within the meaning of the Securities Laws and substantially in the form of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(except that, in any letter dated a Closing Date, the specified date referred to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shall be a date no more than three days prior to such Closing Date).</w:t>
      </w:r>
    </w:p>
    <w:p>
      <w:pPr>
        <w:spacing w:after="0" w:line="78" w:lineRule="exact"/>
        <w:rPr>
          <w:rFonts w:ascii="Arial" w:cs="Arial" w:eastAsia="Arial" w:hAnsi="Arial"/>
          <w:sz w:val="18"/>
          <w:szCs w:val="18"/>
          <w:color w:val="auto"/>
        </w:rPr>
      </w:pPr>
    </w:p>
    <w:p>
      <w:pPr>
        <w:ind w:right="60" w:firstLine="458"/>
        <w:spacing w:after="0" w:line="257" w:lineRule="auto"/>
        <w:tabs>
          <w:tab w:leader="none" w:pos="7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If the Effective Time of the Additional Registration Statement (if any) is not prior to the execution and delivery of this Agreement, such Effective Time shall have occurred not later than </w:t>
      </w:r>
      <w:r>
        <w:rPr>
          <w:rFonts w:ascii="Arial" w:cs="Arial" w:eastAsia="Arial" w:hAnsi="Arial"/>
          <w:sz w:val="18"/>
          <w:szCs w:val="18"/>
          <w:b w:val="1"/>
          <w:bCs w:val="1"/>
          <w:color w:val="auto"/>
        </w:rPr>
        <w:t>10:00 P.M., New York time</w:t>
      </w:r>
      <w:r>
        <w:rPr>
          <w:rFonts w:ascii="Arial" w:cs="Arial" w:eastAsia="Arial" w:hAnsi="Arial"/>
          <w:sz w:val="18"/>
          <w:szCs w:val="18"/>
          <w:color w:val="auto"/>
        </w:rPr>
        <w:t>,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5(a) hereof. Prior to such Closing Date, no stop order suspending the effectiveness of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ind w:right="400"/>
        <w:spacing w:after="0" w:line="277" w:lineRule="auto"/>
        <w:rPr>
          <w:sz w:val="20"/>
          <w:szCs w:val="20"/>
          <w:color w:val="auto"/>
        </w:rPr>
      </w:pPr>
      <w:r>
        <w:rPr>
          <w:rFonts w:ascii="Arial" w:cs="Arial" w:eastAsia="Arial" w:hAnsi="Arial"/>
          <w:sz w:val="18"/>
          <w:szCs w:val="18"/>
          <w:color w:val="auto"/>
        </w:rPr>
        <w:t>Registration Statement shall have been issued and no proceedings for that purpose shall have been instituted or, to the knowledge of, the Company or the Representatives, shall be contemplated by the Commission.</w:t>
      </w:r>
    </w:p>
    <w:p>
      <w:pPr>
        <w:spacing w:after="0" w:line="62" w:lineRule="exact"/>
        <w:rPr>
          <w:sz w:val="20"/>
          <w:szCs w:val="20"/>
          <w:color w:val="auto"/>
        </w:rPr>
      </w:pPr>
    </w:p>
    <w:p>
      <w:pPr>
        <w:ind w:right="40" w:firstLine="458"/>
        <w:spacing w:after="0" w:line="288"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(i) any change, or any development or event involving a prospective change, in the condition (financial or otherwise), results of operations, business, properties or prospects of the Company and its subsidiaries taken as a whole which, in the judgment of the Representatives, is material and adverse and makes it impractical or inadvisable to market the Offered Securities;</w:t>
      </w:r>
    </w:p>
    <w:p>
      <w:pPr>
        <w:ind w:right="60" w:firstLine="8"/>
        <w:spacing w:after="0" w:line="287" w:lineRule="auto"/>
        <w:tabs>
          <w:tab w:leader="none" w:pos="26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change in U.S. or international financial, political or economic conditions or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Nasdaq Stock Market, or any setting of minimum or maximum prices for trading on such exchange; (iv) or any suspension of trading of any securities of the Company on any exchange or in the over-the-counter market; (v) any banking moratorium declared by any U.S. federal or New York authorities;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58" w:lineRule="exact"/>
        <w:rPr>
          <w:rFonts w:ascii="Arial" w:cs="Arial" w:eastAsia="Arial" w:hAnsi="Arial"/>
          <w:sz w:val="16"/>
          <w:szCs w:val="16"/>
          <w:color w:val="auto"/>
        </w:rPr>
      </w:pPr>
    </w:p>
    <w:p>
      <w:pPr>
        <w:ind w:right="380" w:firstLine="458"/>
        <w:spacing w:after="0" w:line="277" w:lineRule="auto"/>
        <w:tabs>
          <w:tab w:leader="none" w:pos="70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an opinion, dated such Closing Date, of DLA Piper US LLP, counsel for the Company, to the effect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right="20" w:firstLine="458"/>
        <w:spacing w:after="0" w:line="277" w:lineRule="auto"/>
        <w:tabs>
          <w:tab w:leader="none" w:pos="69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an opinion, dated such Closing Date, of Dow Lohnes PLLC, special regulatory counsel for the Company, to the effect set forth on </w:t>
      </w:r>
      <w:r>
        <w:rPr>
          <w:rFonts w:ascii="Arial" w:cs="Arial" w:eastAsia="Arial" w:hAnsi="Arial"/>
          <w:sz w:val="18"/>
          <w:szCs w:val="18"/>
          <w:u w:val="single" w:color="auto"/>
          <w:color w:val="auto"/>
        </w:rPr>
        <w:t>Schedule E</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right="100" w:firstLine="458"/>
        <w:spacing w:after="0" w:line="264" w:lineRule="auto"/>
        <w:tabs>
          <w:tab w:leader="none" w:pos="67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such opinion or opinions, dated such Closing Date, with respect to such matters as the Representatives may require, and the Company shall have furnished to such counsel such documents as they request for the purpose of enabling them to pass upon such matters.</w:t>
      </w:r>
    </w:p>
    <w:p>
      <w:pPr>
        <w:spacing w:after="0" w:line="73" w:lineRule="exact"/>
        <w:rPr>
          <w:rFonts w:ascii="Arial" w:cs="Arial" w:eastAsia="Arial" w:hAnsi="Arial"/>
          <w:sz w:val="18"/>
          <w:szCs w:val="18"/>
          <w:color w:val="auto"/>
        </w:rPr>
      </w:pPr>
    </w:p>
    <w:p>
      <w:pPr>
        <w:ind w:firstLine="458"/>
        <w:spacing w:after="0" w:line="288" w:lineRule="auto"/>
        <w:tabs>
          <w:tab w:leader="none" w:pos="70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Representatives shall have received a certificate, dated such Closing Date, of an executive officer of the 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dates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61" w:lineRule="exact"/>
        <w:rPr>
          <w:rFonts w:ascii="Arial" w:cs="Arial" w:eastAsia="Arial" w:hAnsi="Arial"/>
          <w:sz w:val="16"/>
          <w:szCs w:val="16"/>
          <w:color w:val="auto"/>
        </w:rPr>
      </w:pPr>
    </w:p>
    <w:p>
      <w:pPr>
        <w:ind w:right="600" w:firstLine="458"/>
        <w:spacing w:after="0" w:line="277" w:lineRule="auto"/>
        <w:tabs>
          <w:tab w:leader="none" w:pos="7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On or prior to the date hereof, the Representatives shall have received lock-up letters from each of the executive officers and directors of the Company and from each stockholder of the Company listed in </w:t>
      </w:r>
      <w:r>
        <w:rPr>
          <w:rFonts w:ascii="Arial" w:cs="Arial" w:eastAsia="Arial" w:hAnsi="Arial"/>
          <w:sz w:val="18"/>
          <w:szCs w:val="18"/>
          <w:u w:val="single" w:color="auto"/>
          <w:color w:val="auto"/>
        </w:rPr>
        <w:t>Schedule F</w:t>
      </w:r>
      <w:r>
        <w:rPr>
          <w:rFonts w:ascii="Arial" w:cs="Arial" w:eastAsia="Arial" w:hAnsi="Arial"/>
          <w:sz w:val="18"/>
          <w:szCs w:val="18"/>
          <w:color w:val="auto"/>
        </w:rPr>
        <w:t xml:space="preserve"> hereto.</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Representatives may in their sole discretion waive on behalf of the Underwriters compliance with any conditions to the obligations of the Underwriters hereunder, whether in respect of an Optional Closing Date or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ind w:left="-8" w:right="80" w:firstLine="233"/>
        <w:spacing w:after="0" w:line="268" w:lineRule="auto"/>
        <w:tabs>
          <w:tab w:leader="none" w:pos="397"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and Contribution. </w:t>
      </w:r>
      <w:r>
        <w:rPr>
          <w:rFonts w:ascii="Arial" w:cs="Arial" w:eastAsia="Arial" w:hAnsi="Arial"/>
          <w:sz w:val="17"/>
          <w:szCs w:val="17"/>
          <w:color w:val="auto"/>
        </w:rPr>
        <w:t>(a) The Company will indemnify and hold harmless each Underwriter, its partners, members,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employees, agents, affiliates and each person, if any, who controls such Underwriter within the meaning of Section 15 of the Act or Section 20 of the Exchange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(c) below.</w:t>
      </w:r>
    </w:p>
    <w:p>
      <w:pPr>
        <w:spacing w:after="0" w:line="75" w:lineRule="exact"/>
        <w:rPr>
          <w:rFonts w:ascii="Arial" w:cs="Arial" w:eastAsia="Arial" w:hAnsi="Arial"/>
          <w:sz w:val="17"/>
          <w:szCs w:val="17"/>
          <w:color w:val="auto"/>
        </w:rPr>
      </w:pPr>
    </w:p>
    <w:p>
      <w:pPr>
        <w:ind w:left="-8" w:firstLine="458"/>
        <w:spacing w:after="0" w:line="284" w:lineRule="auto"/>
        <w:tabs>
          <w:tab w:leader="none" w:pos="694" w:val="left"/>
        </w:tabs>
        <w:numPr>
          <w:ilvl w:val="2"/>
          <w:numId w:val="115"/>
        </w:numPr>
        <w:rPr>
          <w:rFonts w:ascii="Arial" w:cs="Arial" w:eastAsia="Arial" w:hAnsi="Arial"/>
          <w:sz w:val="16"/>
          <w:szCs w:val="16"/>
          <w:color w:val="auto"/>
        </w:rPr>
      </w:pPr>
      <w:r>
        <w:rPr>
          <w:rFonts w:ascii="Arial" w:cs="Arial" w:eastAsia="Arial" w:hAnsi="Arial"/>
          <w:sz w:val="16"/>
          <w:szCs w:val="16"/>
          <w:color w:val="auto"/>
        </w:rPr>
        <w:t xml:space="preserve">The Company agrees to indemnify and hold harmless the Designated Underwriter and its affiliates and each person, if any, who controls the Designated Underwriter within the meaning of either Section 15 of the Act or Section 20 of the Exchange Act (the </w:t>
      </w:r>
      <w:r>
        <w:rPr>
          <w:rFonts w:ascii="Arial" w:cs="Arial" w:eastAsia="Arial" w:hAnsi="Arial"/>
          <w:sz w:val="16"/>
          <w:szCs w:val="16"/>
          <w:b w:val="1"/>
          <w:bCs w:val="1"/>
          <w:color w:val="auto"/>
        </w:rPr>
        <w:t>“Designated Entities”</w:t>
      </w:r>
      <w:r>
        <w:rPr>
          <w:rFonts w:ascii="Arial" w:cs="Arial" w:eastAsia="Arial" w:hAnsi="Arial"/>
          <w:sz w:val="16"/>
          <w:szCs w:val="16"/>
          <w:color w:val="auto"/>
        </w:rPr>
        <w:t>), from and against any and all losses, claims, damages and liabilities (including, without limitation, any legal or other expenses reasonably incurred in connection with defending or investigating any such action or claim) (i) arising out of or based upon any untrue statement or alleged untrue statement of a material fact contained in any material prepared by or with the consent of the Company for distribution to Participants in connection with the Directed Share Program or arising out of or based upon any omission or alleged omission of a material fact required to be stated therein or necessary to make the statements therein not misleading;</w:t>
      </w:r>
    </w:p>
    <w:p>
      <w:pPr>
        <w:spacing w:after="0" w:line="4" w:lineRule="exact"/>
        <w:rPr>
          <w:rFonts w:ascii="Arial" w:cs="Arial" w:eastAsia="Arial" w:hAnsi="Arial"/>
          <w:sz w:val="16"/>
          <w:szCs w:val="16"/>
          <w:color w:val="auto"/>
        </w:rPr>
      </w:pPr>
    </w:p>
    <w:p>
      <w:pPr>
        <w:ind w:left="272" w:hanging="272"/>
        <w:spacing w:after="0"/>
        <w:tabs>
          <w:tab w:leader="none" w:pos="2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arising out of or based upon the failure of any Participant to pay for and accept delivery of Directed Shares that the Participant agreed to purchase; or</w:t>
      </w:r>
    </w:p>
    <w:p>
      <w:pPr>
        <w:spacing w:after="0" w:line="32" w:lineRule="exact"/>
        <w:rPr>
          <w:rFonts w:ascii="Arial" w:cs="Arial" w:eastAsia="Arial" w:hAnsi="Arial"/>
          <w:sz w:val="16"/>
          <w:szCs w:val="16"/>
          <w:color w:val="auto"/>
        </w:rPr>
      </w:pPr>
    </w:p>
    <w:p>
      <w:pPr>
        <w:ind w:left="-8" w:right="80" w:firstLine="8"/>
        <w:spacing w:after="0" w:line="290"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arising out of, related to, or in connection with the Directed Share Program, other than losses, claims, damages or liabilities (or expenses relating thereto) that are finally judicially determined to have resulted from the willful misconduct or gross negligence of the Designated Entities.</w:t>
      </w:r>
    </w:p>
    <w:p>
      <w:pPr>
        <w:spacing w:after="0" w:line="53" w:lineRule="exact"/>
        <w:rPr>
          <w:rFonts w:ascii="Arial" w:cs="Arial" w:eastAsia="Arial" w:hAnsi="Arial"/>
          <w:sz w:val="17"/>
          <w:szCs w:val="17"/>
          <w:color w:val="auto"/>
        </w:rPr>
      </w:pPr>
    </w:p>
    <w:p>
      <w:pPr>
        <w:ind w:left="-8" w:right="60" w:firstLine="458"/>
        <w:spacing w:after="0" w:line="286" w:lineRule="auto"/>
        <w:tabs>
          <w:tab w:leader="none" w:pos="687"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Each Underwriter will severally and not jointly indemnify and hold harmless the Company, each of its directors 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Registration Statement at any time, any Statutory Prospectus at any time,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figure appearing in the fourth paragraph under the caption “Underwriting”, and the information relating to stabilizing transactions, over-allotment</w:t>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color w:val="auto"/>
        </w:rPr>
        <w:t>transactions, syndicate covering transactions and penalty bids contained in the fifteenth and sixteenth paragraphs under the caption “Underwriting”.</w:t>
      </w:r>
    </w:p>
    <w:p>
      <w:pPr>
        <w:spacing w:after="0" w:line="129" w:lineRule="exact"/>
        <w:rPr>
          <w:sz w:val="20"/>
          <w:szCs w:val="20"/>
          <w:color w:val="auto"/>
        </w:rPr>
      </w:pPr>
    </w:p>
    <w:p>
      <w:pPr>
        <w:ind w:right="300" w:firstLine="458"/>
        <w:spacing w:after="0" w:line="288" w:lineRule="auto"/>
        <w:tabs>
          <w:tab w:leader="none" w:pos="70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of notice of the commencement of any action, such indemnified party will, if a claim in respect thereof is to be made against an indemnifying party under subsection (a), (b) or (c) above, notify the indemnifying party of the commencement thereof; but the failure to notify the indemnifying party shall not relieve it from any liability that it may have under subsection (a), (b) or</w:t>
      </w:r>
    </w:p>
    <w:p>
      <w:pPr>
        <w:ind w:right="20" w:firstLine="8"/>
        <w:spacing w:after="0" w:line="281" w:lineRule="auto"/>
        <w:tabs>
          <w:tab w:leader="none" w:pos="2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(b) or (c)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Notwithstanding anything contained herein to the contrary, if indemnity may be sought pursuant to Section 8(b) hereof in respect of such action or proceeding, then in addition to such separate firm for the indemnified parties, the indemnifying party shall be liable for the reasonable fees and expenses of not more than one separate firm (in addition to any local counsel) for the Designated Underwriter for the defense of any losses, claims, damages and liabilities arising out of the Directed Share Program, and all persons, if any, who control the Designated Underwriter within the meaning of either Section 15 of the Act of Section 20 of the Exchange Act.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w:t>
      </w:r>
    </w:p>
    <w:p>
      <w:pPr>
        <w:spacing w:after="0" w:line="9" w:lineRule="exact"/>
        <w:rPr>
          <w:rFonts w:ascii="Arial" w:cs="Arial" w:eastAsia="Arial" w:hAnsi="Arial"/>
          <w:sz w:val="16"/>
          <w:szCs w:val="16"/>
          <w:color w:val="auto"/>
        </w:rPr>
      </w:pPr>
    </w:p>
    <w:p>
      <w:pPr>
        <w:ind w:right="460" w:firstLine="8"/>
        <w:spacing w:after="0" w:line="261" w:lineRule="auto"/>
        <w:tabs>
          <w:tab w:leader="none" w:pos="2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is unavailable or insufficient to hold harmless an indemnified party under subsection (a), (b) or</w:t>
      </w:r>
    </w:p>
    <w:p>
      <w:pPr>
        <w:spacing w:after="0" w:line="34" w:lineRule="exact"/>
        <w:rPr>
          <w:rFonts w:ascii="Arial" w:cs="Arial" w:eastAsia="Arial" w:hAnsi="Arial"/>
          <w:sz w:val="17"/>
          <w:szCs w:val="17"/>
          <w:color w:val="auto"/>
        </w:rPr>
      </w:pPr>
    </w:p>
    <w:p>
      <w:pPr>
        <w:ind w:firstLine="8"/>
        <w:spacing w:after="0" w:line="266" w:lineRule="auto"/>
        <w:tabs>
          <w:tab w:leader="none" w:pos="24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any action or claim which is the subject of this subsection (e). Notwithstanding the provisions of this subsection (e),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Company and the Underwriters agree that it would not be just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ind w:right="80"/>
        <w:spacing w:after="0" w:line="308" w:lineRule="auto"/>
        <w:rPr>
          <w:sz w:val="20"/>
          <w:szCs w:val="20"/>
          <w:color w:val="auto"/>
        </w:rPr>
      </w:pPr>
      <w:r>
        <w:rPr>
          <w:rFonts w:ascii="Arial" w:cs="Arial" w:eastAsia="Arial" w:hAnsi="Arial"/>
          <w:sz w:val="17"/>
          <w:szCs w:val="17"/>
          <w:color w:val="auto"/>
        </w:rPr>
        <w:t>and equitable if contribution pursuant to this Section 8(e) were determined by pro rata allocation (even if the Underwriters were treated as one entity for such purpose) or by any other method of allocation which does not take account of the equitable considerations referred to in this Section 8(e).</w:t>
      </w:r>
    </w:p>
    <w:p>
      <w:pPr>
        <w:spacing w:after="0" w:line="38" w:lineRule="exact"/>
        <w:rPr>
          <w:sz w:val="20"/>
          <w:szCs w:val="20"/>
          <w:color w:val="auto"/>
        </w:rPr>
      </w:pPr>
    </w:p>
    <w:p>
      <w:pPr>
        <w:ind w:right="20" w:firstLine="233"/>
        <w:spacing w:after="0" w:line="286" w:lineRule="auto"/>
        <w:tabs>
          <w:tab w:leader="none" w:pos="40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Default of Underwriters</w:t>
      </w:r>
      <w:r>
        <w:rPr>
          <w:rFonts w:ascii="Arial" w:cs="Arial" w:eastAsia="Arial" w:hAnsi="Arial"/>
          <w:sz w:val="16"/>
          <w:szCs w:val="16"/>
          <w:color w:val="auto"/>
        </w:rPr>
        <w:t>. If any Underwriter or Underwriters default in their obligations to purchase Offered Securities hereunder on either the First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10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66" w:lineRule="exact"/>
        <w:rPr>
          <w:rFonts w:ascii="Arial" w:cs="Arial" w:eastAsia="Arial" w:hAnsi="Arial"/>
          <w:sz w:val="16"/>
          <w:szCs w:val="16"/>
          <w:color w:val="auto"/>
        </w:rPr>
      </w:pPr>
    </w:p>
    <w:p>
      <w:pPr>
        <w:ind w:right="20" w:firstLine="233"/>
        <w:spacing w:after="0" w:line="291" w:lineRule="auto"/>
        <w:tabs>
          <w:tab w:leader="none" w:pos="49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Survival of Certain Representations and Obligations</w:t>
      </w:r>
      <w:r>
        <w:rPr>
          <w:rFonts w:ascii="Arial" w:cs="Arial" w:eastAsia="Arial" w:hAnsi="Arial"/>
          <w:sz w:val="16"/>
          <w:szCs w:val="16"/>
          <w:color w:val="auto"/>
        </w:rPr>
        <w:t>. The respective indemnities, agreements, representations, warranties and other statements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9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8 hereof shall remain in effect.</w:t>
      </w:r>
    </w:p>
    <w:p>
      <w:pPr>
        <w:spacing w:after="0" w:line="59" w:lineRule="exact"/>
        <w:rPr>
          <w:rFonts w:ascii="Arial" w:cs="Arial" w:eastAsia="Arial" w:hAnsi="Arial"/>
          <w:sz w:val="16"/>
          <w:szCs w:val="16"/>
          <w:color w:val="auto"/>
        </w:rPr>
      </w:pPr>
    </w:p>
    <w:p>
      <w:pPr>
        <w:ind w:left="500" w:hanging="267"/>
        <w:spacing w:after="0"/>
        <w:tabs>
          <w:tab w:leader="none" w:pos="50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will be in writing and, if sent to the Underwriters, will be mailed, delivered or telegraphed and confirmed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Representatives, c/o Credit Suisse Securities (USA) LLC, Eleven Madison Avenue, New York, N.Y. 10010-3629, Attention: LCD-IBD and Merrill Lynch,</w:t>
      </w:r>
    </w:p>
    <w:p>
      <w:pPr>
        <w:spacing w:after="0" w:line="32"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Pierce, Fenner &amp; Smith Incorporated, 4 World Financial Center, New York, N.Y. 10080, Attention:</w:t>
      </w:r>
      <w:r>
        <w:rPr>
          <w:sz w:val="20"/>
          <w:szCs w:val="20"/>
          <w:color w:val="auto"/>
        </w:rPr>
        <w:tab/>
      </w:r>
      <w:r>
        <w:rPr>
          <w:rFonts w:ascii="Arial" w:cs="Arial" w:eastAsia="Arial" w:hAnsi="Arial"/>
          <w:sz w:val="16"/>
          <w:szCs w:val="16"/>
          <w:color w:val="auto"/>
        </w:rPr>
        <w:t>, or, if sent to the Company, will be mailed,</w:t>
      </w:r>
    </w:p>
    <w:p>
      <w:pPr>
        <w:spacing w:after="0" w:line="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delivered or telegraphed and confirmed to it at Grand Canyon Education, Inc., 3300 West Camelback Road, Phoenix, Arizona 85017, Attention: Christopher C. Richardson; provided, however, that any notice to an Underwriter pursuant to Section 8 will be mailed, delivered or faxed and confirmed to such Underwriter.</w:t>
      </w:r>
    </w:p>
    <w:p>
      <w:pPr>
        <w:spacing w:after="0" w:line="82" w:lineRule="exact"/>
        <w:rPr>
          <w:sz w:val="20"/>
          <w:szCs w:val="20"/>
          <w:color w:val="auto"/>
        </w:rPr>
      </w:pPr>
    </w:p>
    <w:p>
      <w:pPr>
        <w:ind w:right="360" w:firstLine="233"/>
        <w:spacing w:after="0" w:line="342" w:lineRule="auto"/>
        <w:tabs>
          <w:tab w:leader="none" w:pos="495"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This Agreement will inure to the benefit of and be binding upon the parties hereto and their respective personal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and the officers and directors and controlling persons referred to in Section 8, and no other person will have any right or obligation hereunder.</w:t>
      </w:r>
    </w:p>
    <w:p>
      <w:pPr>
        <w:spacing w:after="0" w:line="15" w:lineRule="exact"/>
        <w:rPr>
          <w:rFonts w:ascii="Arial" w:cs="Arial" w:eastAsia="Arial" w:hAnsi="Arial"/>
          <w:sz w:val="16"/>
          <w:szCs w:val="16"/>
          <w:color w:val="auto"/>
        </w:rPr>
      </w:pPr>
    </w:p>
    <w:p>
      <w:pPr>
        <w:ind w:right="20" w:firstLine="233"/>
        <w:spacing w:after="0" w:line="277" w:lineRule="auto"/>
        <w:tabs>
          <w:tab w:leader="none" w:pos="49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Representation</w:t>
      </w:r>
      <w:r>
        <w:rPr>
          <w:rFonts w:ascii="Arial" w:cs="Arial" w:eastAsia="Arial" w:hAnsi="Arial"/>
          <w:sz w:val="18"/>
          <w:szCs w:val="18"/>
          <w:color w:val="auto"/>
        </w:rPr>
        <w:t>. The Representatives will act for the several Underwriters in connection with the transactions contemplated by this Agreement,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Agreement taken by the Representatives jointly will be binding upon all the Underwriters.</w:t>
      </w:r>
    </w:p>
    <w:p>
      <w:pPr>
        <w:spacing w:after="0" w:line="62" w:lineRule="exact"/>
        <w:rPr>
          <w:rFonts w:ascii="Arial" w:cs="Arial" w:eastAsia="Arial" w:hAnsi="Arial"/>
          <w:sz w:val="18"/>
          <w:szCs w:val="18"/>
          <w:color w:val="auto"/>
        </w:rPr>
      </w:pPr>
    </w:p>
    <w:p>
      <w:pPr>
        <w:ind w:right="780" w:firstLine="233"/>
        <w:spacing w:after="0" w:line="277" w:lineRule="auto"/>
        <w:tabs>
          <w:tab w:leader="none" w:pos="49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Absence of Fiduciary Relationship. </w:t>
      </w:r>
      <w:r>
        <w:rPr>
          <w:rFonts w:ascii="Arial" w:cs="Arial" w:eastAsia="Arial" w:hAnsi="Arial"/>
          <w:sz w:val="18"/>
          <w:szCs w:val="18"/>
          <w:color w:val="auto"/>
        </w:rPr>
        <w:t>The Company acknowledges and agrees that: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4" w:name="page195"/>
    <w:bookmarkEnd w:id="194"/>
    <w:p>
      <w:pPr>
        <w:ind w:right="220" w:firstLine="458"/>
        <w:spacing w:after="0" w:line="259"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No Other Relationship. </w:t>
      </w:r>
      <w:r>
        <w:rPr>
          <w:rFonts w:ascii="Arial" w:cs="Arial" w:eastAsia="Arial" w:hAnsi="Arial"/>
          <w:sz w:val="18"/>
          <w:szCs w:val="18"/>
          <w:color w:val="auto"/>
        </w:rPr>
        <w:t>The Representatives have been retained solely to act as underwriters in connection with the sale of the Offered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that no fiduciary, advisory or agency relationship between the Company, on the one hand, and the Representatives, on the other, has been created in respect of any of the transactions contemplated by this Agreement or the Final Prospectus, irrespective of whether the Representatives have advised or is advising the Company on other matters;</w:t>
      </w:r>
    </w:p>
    <w:p>
      <w:pPr>
        <w:spacing w:after="0" w:line="78" w:lineRule="exact"/>
        <w:rPr>
          <w:rFonts w:ascii="Arial" w:cs="Arial" w:eastAsia="Arial" w:hAnsi="Arial"/>
          <w:sz w:val="18"/>
          <w:szCs w:val="18"/>
          <w:color w:val="auto"/>
        </w:rPr>
      </w:pPr>
    </w:p>
    <w:p>
      <w:pPr>
        <w:jc w:val="both"/>
        <w:ind w:right="80" w:firstLine="458"/>
        <w:spacing w:after="0" w:line="264"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Arms’ Length Negotiations. </w:t>
      </w:r>
      <w:r>
        <w:rPr>
          <w:rFonts w:ascii="Arial" w:cs="Arial" w:eastAsia="Arial" w:hAnsi="Arial"/>
          <w:sz w:val="18"/>
          <w:szCs w:val="18"/>
          <w:color w:val="auto"/>
        </w:rPr>
        <w:t>The price of the Offered Securities set forth in this Agreement was established by Company following discussions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arms-length negotiations with the Representatives and the Company is capable of evaluating and understanding and understands and accepts the terms, risks and conditions of the transactions contemplated by this Agreement;</w:t>
      </w:r>
    </w:p>
    <w:p>
      <w:pPr>
        <w:spacing w:after="0" w:line="73" w:lineRule="exact"/>
        <w:rPr>
          <w:rFonts w:ascii="Arial" w:cs="Arial" w:eastAsia="Arial" w:hAnsi="Arial"/>
          <w:sz w:val="18"/>
          <w:szCs w:val="18"/>
          <w:color w:val="auto"/>
        </w:rPr>
      </w:pPr>
    </w:p>
    <w:p>
      <w:pPr>
        <w:ind w:right="60" w:firstLine="458"/>
        <w:spacing w:after="0" w:line="264"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Absence of Obligation to Disclose. </w:t>
      </w:r>
      <w:r>
        <w:rPr>
          <w:rFonts w:ascii="Arial" w:cs="Arial" w:eastAsia="Arial" w:hAnsi="Arial"/>
          <w:sz w:val="18"/>
          <w:szCs w:val="18"/>
          <w:color w:val="auto"/>
        </w:rPr>
        <w:t>The Company has been advised that the Representatives and their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right="140" w:firstLine="458"/>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they may have against the Representatives for breach of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duty or alleged breach of fiduciary duty and agree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75" w:lineRule="exact"/>
        <w:rPr>
          <w:sz w:val="20"/>
          <w:szCs w:val="20"/>
          <w:color w:val="auto"/>
        </w:rPr>
      </w:pPr>
    </w:p>
    <w:p>
      <w:pPr>
        <w:ind w:left="500" w:hanging="267"/>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b w:val="1"/>
          <w:bCs w:val="1"/>
          <w:color w:val="auto"/>
        </w:rPr>
        <w:t>. This Agreement shall be governed by, and construed in accordance with, the laws of the State of New York.</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95" w:name="page196"/>
    <w:bookmarkEnd w:id="195"/>
    <w:p>
      <w:pPr>
        <w:ind w:firstLine="225"/>
        <w:spacing w:after="0" w:line="308" w:lineRule="auto"/>
        <w:rPr>
          <w:sz w:val="20"/>
          <w:szCs w:val="20"/>
          <w:color w:val="auto"/>
        </w:rPr>
      </w:pPr>
      <w:r>
        <w:rPr>
          <w:rFonts w:ascii="Arial" w:cs="Arial" w:eastAsia="Arial" w:hAnsi="Arial"/>
          <w:sz w:val="17"/>
          <w:szCs w:val="17"/>
          <w:color w:val="auto"/>
        </w:rPr>
        <w:t>If the foregoing is in accordance with the Representatives’ understanding of our agreement, kindly sign and return to the Company one of the counterparts hereof, whereupon it will become a binding agreement among the Company and the several Underwriters in accordance with its terms.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GRAND CANYON EDUCATION, INC.</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foregoing Underwriting Agreement is hereby confirmed and accepted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the date first above written.</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Acting on behalf of themselves and as the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Representatives of the several Underwriters.</w:t>
      </w:r>
    </w:p>
    <w:p>
      <w:pPr>
        <w:spacing w:after="0" w:line="21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4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ERRILL</w:t>
            </w:r>
            <w:r>
              <w:rPr>
                <w:rFonts w:ascii="Arial" w:cs="Arial" w:eastAsia="Arial" w:hAnsi="Arial"/>
                <w:sz w:val="18"/>
                <w:szCs w:val="18"/>
                <w:color w:val="auto"/>
              </w:rPr>
              <w:t xml:space="preserve"> L</w:t>
            </w:r>
            <w:r>
              <w:rPr>
                <w:rFonts w:ascii="Arial" w:cs="Arial" w:eastAsia="Arial" w:hAnsi="Arial"/>
                <w:sz w:val="12"/>
                <w:szCs w:val="12"/>
                <w:color w:val="auto"/>
              </w:rPr>
              <w:t>YNCH</w:t>
            </w:r>
            <w:r>
              <w:rPr>
                <w:rFonts w:ascii="Arial" w:cs="Arial" w:eastAsia="Arial" w:hAnsi="Arial"/>
                <w:sz w:val="18"/>
                <w:szCs w:val="18"/>
                <w:color w:val="auto"/>
              </w:rPr>
              <w:t>, P</w:t>
            </w:r>
            <w:r>
              <w:rPr>
                <w:rFonts w:ascii="Arial" w:cs="Arial" w:eastAsia="Arial" w:hAnsi="Arial"/>
                <w:sz w:val="12"/>
                <w:szCs w:val="12"/>
                <w:color w:val="auto"/>
              </w:rPr>
              <w:t>IERCE</w:t>
            </w:r>
            <w:r>
              <w:rPr>
                <w:rFonts w:ascii="Arial" w:cs="Arial" w:eastAsia="Arial" w:hAnsi="Arial"/>
                <w:sz w:val="18"/>
                <w:szCs w:val="18"/>
                <w:color w:val="auto"/>
              </w:rPr>
              <w:t>, F</w:t>
            </w:r>
            <w:r>
              <w:rPr>
                <w:rFonts w:ascii="Arial" w:cs="Arial" w:eastAsia="Arial" w:hAnsi="Arial"/>
                <w:sz w:val="12"/>
                <w:szCs w:val="12"/>
                <w:color w:val="auto"/>
              </w:rPr>
              <w:t>ENNER</w:t>
            </w:r>
            <w:r>
              <w:rPr>
                <w:rFonts w:ascii="Arial" w:cs="Arial" w:eastAsia="Arial" w:hAnsi="Arial"/>
                <w:sz w:val="18"/>
                <w:szCs w:val="18"/>
                <w:color w:val="auto"/>
              </w:rPr>
              <w:t xml:space="preserve"> &amp; S</w:t>
            </w:r>
            <w:r>
              <w:rPr>
                <w:rFonts w:ascii="Arial" w:cs="Arial" w:eastAsia="Arial" w:hAnsi="Arial"/>
                <w:sz w:val="12"/>
                <w:szCs w:val="12"/>
                <w:color w:val="auto"/>
              </w:rPr>
              <w:t>MITH</w:t>
            </w:r>
          </w:p>
        </w:tc>
      </w:tr>
      <w:tr>
        <w:trPr>
          <w:trHeight w:val="230"/>
        </w:trPr>
        <w:tc>
          <w:tcPr>
            <w:tcW w:w="460" w:type="dxa"/>
            <w:vAlign w:val="bottom"/>
          </w:tcPr>
          <w:p>
            <w:pPr>
              <w:spacing w:after="0"/>
              <w:rPr>
                <w:sz w:val="20"/>
                <w:szCs w:val="20"/>
                <w:color w:val="auto"/>
              </w:rPr>
            </w:pPr>
          </w:p>
        </w:tc>
        <w:tc>
          <w:tcPr>
            <w:tcW w:w="4900" w:type="dxa"/>
            <w:vAlign w:val="bottom"/>
          </w:tcPr>
          <w:p>
            <w:pPr>
              <w:ind w:left="10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NCORPORATED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4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936"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10.18</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10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This Collaboration Agreement (the “Agreement”) is effective as of July 11, 2005 between </w:t>
      </w:r>
      <w:r>
        <w:rPr>
          <w:rFonts w:ascii="Arial" w:cs="Arial" w:eastAsia="Arial" w:hAnsi="Arial"/>
          <w:sz w:val="18"/>
          <w:szCs w:val="18"/>
          <w:b w:val="1"/>
          <w:bCs w:val="1"/>
          <w:color w:val="auto"/>
        </w:rPr>
        <w:t>Mind Streams, LLC</w:t>
      </w:r>
      <w:r>
        <w:rPr>
          <w:rFonts w:ascii="Arial" w:cs="Arial" w:eastAsia="Arial" w:hAnsi="Arial"/>
          <w:sz w:val="18"/>
          <w:szCs w:val="18"/>
          <w:color w:val="auto"/>
        </w:rPr>
        <w:t xml:space="preserve">, a limited liability company (“Mind Streams”), and </w:t>
      </w:r>
      <w:r>
        <w:rPr>
          <w:rFonts w:ascii="Arial" w:cs="Arial" w:eastAsia="Arial" w:hAnsi="Arial"/>
          <w:sz w:val="18"/>
          <w:szCs w:val="18"/>
          <w:b w:val="1"/>
          <w:bCs w:val="1"/>
          <w:color w:val="auto"/>
        </w:rPr>
        <w:t>Significant Education, LLC, (d/b/a/ Grand Canyon University)</w:t>
      </w:r>
      <w:r>
        <w:rPr>
          <w:rFonts w:ascii="Arial" w:cs="Arial" w:eastAsia="Arial" w:hAnsi="Arial"/>
          <w:sz w:val="18"/>
          <w:szCs w:val="18"/>
          <w:color w:val="auto"/>
        </w:rPr>
        <w:t xml:space="preserve"> a for-profit company (the “University”). Mind Streams and the University are sometimes referred to individually as a “Party” and jointly as the “Parties”.</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Agreement to Collaborate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Mind Streams and the University agree to work together in a cooperative effort and in good faith to conduct certain projects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“Project”) on a non-exclusive basis, as may be agreed and the terms documented in an Exhibit to this Agreement (each, a “Project Description”). Each Project Description to this Agreement (whether or not attached hereto) will incorporate the terms of this Agreement and the terms thereof will be binding on the Parties. The first Project of the Parties is described in the Project Description attached as Exhibit 1 (the “First Project”). Each Party agrees to perform those duties of such Party as set forth in a Project Description. For each Project, Mind Streams will contribute proprietary relationships, business and technical developments, and know how, including, without limitation a management system developed by it and specialized personnel, training, marketing and promotion activities. The University will contribute specialized personnel for financial aid, enrollment, registration, advisement, instruction, training and degree conferring coursework.</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Consideration. </w:t>
      </w:r>
      <w:r>
        <w:rPr>
          <w:rFonts w:ascii="Arial" w:cs="Arial" w:eastAsia="Arial" w:hAnsi="Arial"/>
          <w:sz w:val="18"/>
          <w:szCs w:val="18"/>
          <w:color w:val="auto"/>
        </w:rPr>
        <w:t>The consideration to be received by each Party for each Project will be negotiated and adjusted as mutually agreed by the Parties and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in the Project Description. The consideration for the First Project is described in Exhibit 1.</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Survival. </w:t>
      </w:r>
      <w:r>
        <w:rPr>
          <w:rFonts w:ascii="Arial" w:cs="Arial" w:eastAsia="Arial" w:hAnsi="Arial"/>
          <w:sz w:val="17"/>
          <w:szCs w:val="17"/>
          <w:color w:val="auto"/>
        </w:rPr>
        <w:t>This Agreement will terminate on December 31, 2010 (the “Termination Date”), unless otherwise terminated for any reason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either Party, in its sole judgment, upon 45 days prior written notice to the other Party. The Parties may mutually agree, in writing, to extend the Termination Date. Each Project will terminate upon the earlier of (i) its completion or (ii) the termination of this Agreement, unless provided otherwise in the Project Description relating to a Project. Any consideration described in the Project Description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7" w:name="page198"/>
    <w:bookmarkEnd w:id="197"/>
    <w:p>
      <w:pPr>
        <w:ind w:right="40"/>
        <w:spacing w:after="0" w:line="259" w:lineRule="auto"/>
        <w:rPr>
          <w:sz w:val="20"/>
          <w:szCs w:val="20"/>
          <w:color w:val="auto"/>
        </w:rPr>
      </w:pPr>
      <w:r>
        <w:rPr>
          <w:rFonts w:ascii="Arial" w:cs="Arial" w:eastAsia="Arial" w:hAnsi="Arial"/>
          <w:sz w:val="18"/>
          <w:szCs w:val="18"/>
          <w:color w:val="auto"/>
        </w:rPr>
        <w:t>under a Project but unpaid at the Termination Date will be paid within 30 days following the Termination Date. The Parties agree that the students enrolled under a Project on the Termination Date are attributed to Mind Streams’ efforts under such Project and any consideration described in the Project Description related to those students, until their respective graduation or other termination of enrollment, will be paid pursuant to the Project Description. The foregoing payment obligations will survive the Termination Date.</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Academic Responsibility. </w:t>
      </w:r>
      <w:r>
        <w:rPr>
          <w:rFonts w:ascii="Arial" w:cs="Arial" w:eastAsia="Arial" w:hAnsi="Arial"/>
          <w:sz w:val="16"/>
          <w:szCs w:val="16"/>
          <w:color w:val="auto"/>
        </w:rPr>
        <w:t>The University will have exclusive control over its academic programs. The University is not delegating, and will not delegate,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its institutional rights or obligations. The University will make all academic and faculty employment judgments and decisions consistent with its published policies and procedures. Non-delegated duties include course content and the delivery of the instructional program; selection and approval of faculty; admission, registration, and retention of students, calculation of prior learning; evaluation of student progress and the awarding and recording of credit.</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Authorization. </w:t>
      </w:r>
      <w:r>
        <w:rPr>
          <w:rFonts w:ascii="Arial" w:cs="Arial" w:eastAsia="Arial" w:hAnsi="Arial"/>
          <w:sz w:val="18"/>
          <w:szCs w:val="18"/>
          <w:color w:val="auto"/>
        </w:rPr>
        <w:t>Each of the Parties represents and warrants to the other Party that this Agreement has been duly authorized by all necessary action and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constitutes a valid and binding obligation of each Party to the other Party.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Department of Education</w:t>
      </w:r>
      <w:r>
        <w:rPr>
          <w:rFonts w:ascii="Arial" w:cs="Arial" w:eastAsia="Arial" w:hAnsi="Arial"/>
          <w:sz w:val="18"/>
          <w:szCs w:val="18"/>
          <w:color w:val="auto"/>
        </w:rPr>
        <w:t>. The University has been approved for various programs sponsored by state and federal governments, including without limitation,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approval by the U.S. Department of Education to receive Title IV funds under Title IV of the Higher Education Act of 1965, as amended. Mind Streams has provided the University with an April 20, 2005 memorandum from Dow, Lohnes &amp; Albertson addressing its activities described in this Agreement under the Higher Education Act and regulations promulgated by the U.S. Department of Education. Mind Streams represents and warrants that its compensation of its employees or other persons who perform any student recruitment or admission activities for the University under this Agreement is and will continue to be in compliance with Section 487(a)(20) of the Higher Education Act of 1965, as amended (20 U.S.C. § 1094(a)(20)), or any successor provision, and the regulations promulgated thereunder by the U.S. Department of Education (currently located at 34 C.F.R. § 668.14(b)(22)). Mind Streams agrees to indemnify and hold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8" w:name="page199"/>
    <w:bookmarkEnd w:id="198"/>
    <w:p>
      <w:pPr>
        <w:spacing w:after="0" w:line="255" w:lineRule="auto"/>
        <w:rPr>
          <w:sz w:val="20"/>
          <w:szCs w:val="20"/>
          <w:color w:val="auto"/>
        </w:rPr>
      </w:pPr>
      <w:r>
        <w:rPr>
          <w:rFonts w:ascii="Arial" w:cs="Arial" w:eastAsia="Arial" w:hAnsi="Arial"/>
          <w:sz w:val="18"/>
          <w:szCs w:val="18"/>
          <w:color w:val="auto"/>
        </w:rPr>
        <w:t>harmless the University and its successors, assigns, agents, officers, directors and employees, from and against any and all liabilities, obligations, claims, losses, damages, expenses and costs (including, but not limited to, reasonable attorneys’ fees and litigation costs) which arise out of or result from (i) any breach or alleged breach of the representations and warranties made by Mind Streams in this paragraph, or (ii) any assertion by the U.S. Department of Education that Mind Streams’ compensation of its employees or other persons who perform any student recruitment or admission activities for the University under this Agreement does not comply with Section 487(a)(20) of the Higher Education Act of 1965, as amended (20 U.S.C. § 1094(a)(20)), or any successor provision, or the regulations promulgated thereunder by the U.S. Department of Education. The foregoing representation and warranties shall survive the Termination of this Agreement.</w:t>
      </w:r>
    </w:p>
    <w:p>
      <w:pPr>
        <w:spacing w:after="0" w:line="8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Records And Accounting. </w:t>
      </w:r>
      <w:r>
        <w:rPr>
          <w:rFonts w:ascii="Arial" w:cs="Arial" w:eastAsia="Arial" w:hAnsi="Arial"/>
          <w:sz w:val="16"/>
          <w:szCs w:val="16"/>
          <w:color w:val="auto"/>
        </w:rPr>
        <w:t>Each Party will maintain complete and accurate books and records for the Agreement, including records reflecting billing,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students, and payroll. The records must be maintained for at least three years after the termination of the Agreement. If the University provides Notice to Mind Streams that the University is subject to an audit or other review by a regulatory agency, or to any claim or litigation, relation to the University’s compliance with the statutory and regulatory provisions referenced in the paragraph of this Agreement titled “Department of Education,” then Mind Streams will continue to maintain and retain complete records relating to this Agreement and the compensation of its employees or other persons who perform any student recruitment or admission activities for the University under this Agreement until the University provides Notice to Mind Streams that such audit, review, claim or litigation has been concluded. After Notice by either Party, the other Party will allow the requesting Party to have access, during ordinary business hours, to the books and records as may be reasonably required to verify services provided under the terms of the Agreement. Either Party may periodically, at its expense, have the books and records of the other Party audited by a certified public accountant. If the accountant determines that the requesting Party was overcharged or underpaid, the other Party will refund the overage or underage and reimburse the requesting Party for the cost of the audit within 20 days after Notice. If either Party disputes the accountant’s determination, and good faith efforts to resolve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dispute are unsuccessful, the dispute will be resolved through binding arbitration as provided in this Agreement.</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 xml:space="preserve">Confidential Information. </w:t>
      </w:r>
      <w:r>
        <w:rPr>
          <w:rFonts w:ascii="Arial" w:cs="Arial" w:eastAsia="Arial" w:hAnsi="Arial"/>
          <w:sz w:val="16"/>
          <w:szCs w:val="16"/>
          <w:color w:val="auto"/>
        </w:rPr>
        <w:t>Each Party will have access to confidential and proprietary information owned by the other Party,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about the business affairs, finances, customer and supplier lists, marketing, sales, methods of operation, trade secrets, designs, inventions, formulas, software programs, processes, techniques, research, technical data, curriculum or other learning information. Each Party agrees not to disclose to any third-party, whether directly or indirectly, confidential or proprietary information without the written permission of the other Party, except as required by either Party’s responsibilities under this Agreement. After Notice by one Party or the termination of the Agreement, the other Party must immediately return the confidential or proprietary information and comply with the instructions regarding the return or disposition of the confidential or proprietary information, including any copies or reproductions. This paragraph does not apply to information that: (a) is or becomes available to the general public other than as a result of disclosure by the receiving Party; (b) is known to a Party prior to the disclosure under this Agreement; (c) becomes available to a Party on a nonconfidential basis from a source (other than the other Party) which is not known by the receiving Party to be in breach of any nondisclosure obligations; or</w:t>
      </w:r>
    </w:p>
    <w:p>
      <w:pPr>
        <w:spacing w:after="0" w:line="7" w:lineRule="exact"/>
        <w:rPr>
          <w:sz w:val="20"/>
          <w:szCs w:val="20"/>
          <w:color w:val="auto"/>
        </w:rPr>
      </w:pPr>
    </w:p>
    <w:p>
      <w:pPr>
        <w:jc w:val="both"/>
        <w:ind w:right="380" w:firstLine="8"/>
        <w:spacing w:after="0" w:line="277" w:lineRule="auto"/>
        <w:tabs>
          <w:tab w:leader="none" w:pos="2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is independently developed by a Party without reference to confidential information. If a receiving Party believes that it is required by law to disclose confidential information, it shall provide Notice to the disclosing Party, to the greatest extent possible, prior to making such disclosure so as to allow the disclosing Party to undertake action to prevent disclosure or otherwise obtain confidential treatment of such disclosure.</w:t>
      </w:r>
    </w:p>
    <w:p>
      <w:pPr>
        <w:spacing w:after="0" w:line="6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Liability Insurance</w:t>
      </w:r>
      <w:r>
        <w:rPr>
          <w:rFonts w:ascii="Arial" w:cs="Arial" w:eastAsia="Arial" w:hAnsi="Arial"/>
          <w:sz w:val="17"/>
          <w:szCs w:val="17"/>
          <w:color w:val="auto"/>
        </w:rPr>
        <w:t>. Each Party will maintain in force at all times during the term of this Agreement, with an insurance company acceptable to the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Party, worker’s compensation (the amount required by statute), employer’s liability, comprehensive general liability and auto liability, each in the amount of $3,000,000, and such additional insurance as may be necessary to cover the Party’s obligations under the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0" w:name="page201"/>
    <w:bookmarkEnd w:id="200"/>
    <w:p>
      <w:pPr>
        <w:ind w:right="40"/>
        <w:spacing w:after="0" w:line="254" w:lineRule="auto"/>
        <w:rPr>
          <w:sz w:val="20"/>
          <w:szCs w:val="20"/>
          <w:color w:val="auto"/>
        </w:rPr>
      </w:pPr>
      <w:r>
        <w:rPr>
          <w:rFonts w:ascii="Arial" w:cs="Arial" w:eastAsia="Arial" w:hAnsi="Arial"/>
          <w:sz w:val="18"/>
          <w:szCs w:val="18"/>
          <w:b w:val="1"/>
          <w:bCs w:val="1"/>
          <w:i w:val="1"/>
          <w:iCs w:val="1"/>
          <w:color w:val="auto"/>
        </w:rPr>
        <w:t>Indemnification by Mind Streams</w:t>
      </w:r>
      <w:r>
        <w:rPr>
          <w:rFonts w:ascii="Arial" w:cs="Arial" w:eastAsia="Arial" w:hAnsi="Arial"/>
          <w:sz w:val="18"/>
          <w:szCs w:val="18"/>
          <w:color w:val="auto"/>
        </w:rPr>
        <w:t>. Mind Streams shall, to the fullest extent permitted by law, defend, indemnify, and hold harmless the University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shareholders, directors, officers, employees, and agents for any and all liability, claims, litigation, judgments, causes of action, losses, expenses, damages, and liabilities arising out of, or incurred in connection with or arising directly or indirectly out of the obligations undertaken in connection with this Agreement (“Claims”), except claims arising through the sole active negligence or willful misconduct of the University. Claims include, without limitation, the following: (a) any willful or negligent act, or failure to act by Mind Streams, its officers, directors, agents, employees or representatives; (b) any inaccurate representation made by Mind Streams; (c) any default in performance of any of the covenants or obligations that Mind Streams is to perform under the Agreement, and (d) any investigations or actions taken by HLC or Department of Education against the University as a result of the actions of Mind Streams in connection with this Agreement.</w:t>
      </w:r>
    </w:p>
    <w:p>
      <w:pPr>
        <w:spacing w:after="0" w:line="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i w:val="1"/>
          <w:iCs w:val="1"/>
          <w:color w:val="auto"/>
        </w:rPr>
        <w:t>Indemnification by the University</w:t>
      </w:r>
      <w:r>
        <w:rPr>
          <w:rFonts w:ascii="Arial" w:cs="Arial" w:eastAsia="Arial" w:hAnsi="Arial"/>
          <w:sz w:val="18"/>
          <w:szCs w:val="18"/>
          <w:color w:val="auto"/>
        </w:rPr>
        <w:t>. The University shall, to the fullest extent permitted by law, defend, indemnify, and hold harmless Mind Streams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shareholders, directors, officers, employees, and agents for any and all liability, claims, litigation, judgments, causes of action, losses, expenses, damages, and liabilities arising out of the Claims, except claims arising through the sole active negligence or willful misconduct of Mind Streams. Claims may arise from, but are not limited to, the following: (a) any willful or negligent act, or failure to act by the University, its officers, directors, agents, employees or representatives; (b) any inaccurate representation made by the University; and (c) any default in performance of any of the covenants or obligations that the University is to perform under the Agreement.</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“Indemnify” means to hold harmless from and defend from loss or liability with respect to any and all Claims (including costs and attorney’s fees at both trial and appellate levels), arising out of, or incurred in connection with, an identified circumstance, incident, condition, relationship, time period, or other matter. These indemnity obligations shall apply for the entire time that any third party can make a Claim against one of the Parties for liabilities under this Agreement and shall survive the termination of this Agreement.</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During the performance of the obligations under the Agreement, neither Party will unlawfully discriminate against any person.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will conduct their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spacing w:after="0" w:line="259" w:lineRule="auto"/>
        <w:rPr>
          <w:sz w:val="20"/>
          <w:szCs w:val="20"/>
          <w:color w:val="auto"/>
        </w:rPr>
      </w:pPr>
      <w:r>
        <w:rPr>
          <w:rFonts w:ascii="Arial" w:cs="Arial" w:eastAsia="Arial" w:hAnsi="Arial"/>
          <w:sz w:val="18"/>
          <w:szCs w:val="18"/>
          <w:color w:val="auto"/>
        </w:rPr>
        <w:t>activities under the Agreement in strict compliance with Laws. For the purpose of this Agreement, “Laws” means all applicable laws, ordinances, regulations, and other requirements of any country, federal, state, county, or municipal agency. Both Parties will obtain all required permits, licenses, and bonds for the performance of their obligations under the Agreement. Both Parties will certify and provide proof that they are in compliance with Laws and have obtained required permits.</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Binding Agreement. </w:t>
      </w:r>
      <w:r>
        <w:rPr>
          <w:rFonts w:ascii="Arial" w:cs="Arial" w:eastAsia="Arial" w:hAnsi="Arial"/>
          <w:sz w:val="18"/>
          <w:szCs w:val="18"/>
          <w:color w:val="auto"/>
        </w:rPr>
        <w:t>Upon execution by the signatories provided below, this Agreement shall be binding on the Parties, and their respective successors,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assignees, agents, affiliates, representatives and attorneys.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Arbitration.</w:t>
      </w:r>
    </w:p>
    <w:p>
      <w:pPr>
        <w:spacing w:after="0" w:line="113"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 xml:space="preserve">Claims. </w:t>
      </w:r>
      <w:r>
        <w:rPr>
          <w:rFonts w:ascii="Arial" w:cs="Arial" w:eastAsia="Arial" w:hAnsi="Arial"/>
          <w:sz w:val="18"/>
          <w:szCs w:val="18"/>
          <w:color w:val="auto"/>
        </w:rPr>
        <w:t>Any controversy or claim between the Parties relating to or arising out of this Agreement must be submitted to final and binding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controversies or claims based on contract, tort, equity, and statute; provided, however, that if the controversy requires provisional remedies, such as injunctive relief or attachment, any Party may elect to have the matter determined by a court of competent jurisdiction; provided, however, thereafter the substance of the claim will be subject to binding arbitration.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Waiver of Jury Trial. </w:t>
      </w:r>
      <w:r>
        <w:rPr>
          <w:rFonts w:ascii="Arial" w:cs="Arial" w:eastAsia="Arial" w:hAnsi="Arial"/>
          <w:sz w:val="18"/>
          <w:szCs w:val="18"/>
          <w:color w:val="auto"/>
        </w:rPr>
        <w:t>The Parties understand that they are waiving their rights to a jury trial.</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Procedures. (</w:t>
      </w:r>
      <w:r>
        <w:rPr>
          <w:rFonts w:ascii="Arial" w:cs="Arial" w:eastAsia="Arial" w:hAnsi="Arial"/>
          <w:sz w:val="17"/>
          <w:szCs w:val="17"/>
          <w:color w:val="auto"/>
        </w:rPr>
        <w:t>a) The arbitration will be conducted before the American Arbitration Association at the location of the Party initiating the arbitration. Except</w:t>
      </w:r>
      <w:r>
        <w:rPr>
          <w:rFonts w:ascii="Arial" w:cs="Arial" w:eastAsia="Arial" w:hAnsi="Arial"/>
          <w:sz w:val="17"/>
          <w:szCs w:val="17"/>
          <w:b w:val="1"/>
          <w:bCs w:val="1"/>
          <w:color w:val="auto"/>
        </w:rPr>
        <w:t xml:space="preserve"> </w:t>
      </w:r>
      <w:r>
        <w:rPr>
          <w:rFonts w:ascii="Arial" w:cs="Arial" w:eastAsia="Arial" w:hAnsi="Arial"/>
          <w:sz w:val="17"/>
          <w:szCs w:val="17"/>
          <w:color w:val="auto"/>
        </w:rPr>
        <w:t>as provided in this Section, the arbitration will be governed by the Commercial Arbitration Rules. The demand for arbitration setting forth the facts and issues must be in writing and submitted to the American Arbitration Association within one year from the date the actions giving rise to the claims occur. The American Arbitration Association shall select a single arbitrator. The responding Party may serve a reply or cross demand within 20 days. The arbitrator will conduct a pre-arbitration hearing within 30 days after the arbitrator is appointed and the arbitration will be completed within 120 days after the filing of the arbitration demand. The arbitrator will establish additional deadlines reasonably required to facilitate the arbitration. (b) The arbitrator will provide for discovery, including a Party may serve a document request for any document that would be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2" w:name="page203"/>
    <w:bookmarkEnd w:id="202"/>
    <w:p>
      <w:pPr>
        <w:ind w:right="280"/>
        <w:spacing w:after="0" w:line="264" w:lineRule="auto"/>
        <w:rPr>
          <w:sz w:val="20"/>
          <w:szCs w:val="20"/>
          <w:color w:val="auto"/>
        </w:rPr>
      </w:pPr>
      <w:r>
        <w:rPr>
          <w:rFonts w:ascii="Arial" w:cs="Arial" w:eastAsia="Arial" w:hAnsi="Arial"/>
          <w:sz w:val="18"/>
          <w:szCs w:val="18"/>
          <w:color w:val="auto"/>
        </w:rPr>
        <w:t>discoverable in a civil lawsuit no less than 30 calendar days before the arbitration hearing; responses to such request must be delivered with the requested documents and any objections within 20 days; and each Party may take no more than two depositions unless additional depositions are allowed by the arbitrator.</w:t>
      </w:r>
    </w:p>
    <w:p>
      <w:pPr>
        <w:spacing w:after="0" w:line="69"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Powers of Arbitrator</w:t>
      </w:r>
      <w:r>
        <w:rPr>
          <w:rFonts w:ascii="Arial" w:cs="Arial" w:eastAsia="Arial" w:hAnsi="Arial"/>
          <w:sz w:val="18"/>
          <w:szCs w:val="18"/>
          <w:color w:val="auto"/>
        </w:rPr>
        <w:t>. The arbitrator will have the powers to: (a) issue subpoenas for the attendance of witnesses for the production of books,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other evidence; (b) order depositions to be used as evidence; (c) resolve discover disputes as if the arbitration were a civil action; (d) conduct a hearing on the arbitrable issues; and (e) rule on the question of whether specified issues are subject to arbitration and issue an award after the arbitration hearing is concluded.</w:t>
      </w:r>
    </w:p>
    <w:p>
      <w:pPr>
        <w:spacing w:after="0" w:line="72"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The Parties will bear equally the arbitrator’s expenses and fees, including meeting room charges, administrative fees, travel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out-of-pocket expenses. Unless otherwise ordered by the arbitrator, each Party will pay its own attorney fees, costs, witness fees, and other expenses. The arbitrator may award the prevailing Party any expenses and fees of arbitration, including reasonable attorney fees and costs, in such proportion as the arbitrator decides.</w:t>
      </w:r>
    </w:p>
    <w:p>
      <w:pPr>
        <w:spacing w:after="0" w:line="72"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Final Award</w:t>
      </w:r>
      <w:r>
        <w:rPr>
          <w:rFonts w:ascii="Arial" w:cs="Arial" w:eastAsia="Arial" w:hAnsi="Arial"/>
          <w:sz w:val="18"/>
          <w:szCs w:val="18"/>
          <w:color w:val="auto"/>
        </w:rPr>
        <w:t>. Within ten days after completion of the arbitration hearing, the arbitrator will issue a tentative written decision, specifying the reasoning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decision and any calculations necessary to explain the award. The Parties will have five days in which to submit comments to the tentative decision. The final award will be issued within ten days after the arbitrator’s receipt of comments. The final award may be entered as a judgment in any court having jurisdiction.</w:t>
      </w:r>
    </w:p>
    <w:p>
      <w:pPr>
        <w:spacing w:after="0" w:line="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Attorneys’ Fees. </w:t>
      </w:r>
      <w:r>
        <w:rPr>
          <w:rFonts w:ascii="Arial" w:cs="Arial" w:eastAsia="Arial" w:hAnsi="Arial"/>
          <w:sz w:val="18"/>
          <w:szCs w:val="18"/>
          <w:color w:val="auto"/>
        </w:rPr>
        <w:t>In the event either Party requests arbitration or files a lawsuit for the interpretation, specific performance, or damages for the breach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prevailing Party is entitled to a judgment or award against the other in an amount equal to actual and reasonable attorney’s fees and costs incurred, together with all other appropriate legal or equitable relief.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03" w:name="page204"/>
    <w:bookmarkEnd w:id="203"/>
    <w:p>
      <w:pPr>
        <w:ind w:right="860"/>
        <w:spacing w:after="0" w:line="277" w:lineRule="auto"/>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Except as expressly provided in this Agreement or any Project Description, each Party shall pay, or cause to be paid, all expenses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its obligations hereunder, including attorneys’ fees.</w:t>
      </w:r>
    </w:p>
    <w:p>
      <w:pPr>
        <w:spacing w:after="0" w:line="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Relationship. </w:t>
      </w:r>
      <w:r>
        <w:rPr>
          <w:rFonts w:ascii="Arial" w:cs="Arial" w:eastAsia="Arial" w:hAnsi="Arial"/>
          <w:sz w:val="18"/>
          <w:szCs w:val="18"/>
          <w:color w:val="auto"/>
        </w:rPr>
        <w:t>The Parties agree that the terms of the Agreement do not constitute the formation of a partnership, joint venture, or other relationship and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form of agency exists between the Parties. Neither Party will hold itself, or its agents or employees out to be an agent of the other Party, and neither Party will have authority to bind or obligate the other Party in any manner whatsoever.</w:t>
      </w:r>
    </w:p>
    <w:p>
      <w:pPr>
        <w:spacing w:after="0" w:line="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 xml:space="preserve">Name Seal and Logo. </w:t>
      </w:r>
      <w:r>
        <w:rPr>
          <w:rFonts w:ascii="Arial" w:cs="Arial" w:eastAsia="Arial" w:hAnsi="Arial"/>
          <w:sz w:val="16"/>
          <w:szCs w:val="16"/>
          <w:color w:val="auto"/>
        </w:rPr>
        <w:t>Neither Party may use the name, seal, or logo of the other Party without its prior written consent. Each Party shall identify in writing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other Party the person designated who is responsible for making decisions regarding requests to use the Party’s name, seal or logo and to whom such requests should be made. Each Party will make available its “brand” for the purposes related to the affiliation consistent with the terms of the Agreement.</w:t>
      </w:r>
    </w:p>
    <w:p>
      <w:pPr>
        <w:spacing w:after="0" w:line="39"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When the Agreement requires that a Party give Notice to the other Party, including specifically notices of default, termination, or a demand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arbitration, the Notice must comply with the requirements in this Section. Notice will be effective when:</w:t>
      </w:r>
    </w:p>
    <w:p>
      <w:pPr>
        <w:spacing w:after="0" w:line="1" w:lineRule="exact"/>
        <w:rPr>
          <w:sz w:val="20"/>
          <w:szCs w:val="20"/>
          <w:color w:val="auto"/>
        </w:rPr>
      </w:pPr>
    </w:p>
    <w:p>
      <w:pPr>
        <w:ind w:firstLine="8"/>
        <w:spacing w:after="0" w:line="252" w:lineRule="auto"/>
        <w:tabs>
          <w:tab w:leader="none" w:pos="2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personally delivered to the recipient, Notice is effective upon delivery; (b) mailed certified mail, return receipt requested, Notice is effective on receipt, if a return receipt confirms delivery; (c) delivered by overnight delivery (e.g., Federal Express/Airborne/United Parcel Service/DHL WorldWide Express), charges prepaid or charged to the sender’s account. Notice is effective on delivery, if delivery is confirmed by the delivery service; and, ((d) sent by facsimile, Notice is effective on receipt, except that any Notice given by facsimile is deemed received on the next business day if it is received after 5:00 p.m. or on a non-business day, provided that a duplicate copy of the Notice is promptly sent by first-class or certified mail or by overnight delivery or the receiving Party delivers a confirmation of receipt. Notice by facsimile is permissible only if all the Parties and others to receive notice have provided a facsimile number in accordance with this Section. Notices must be given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p>
      <w:pPr>
        <w:ind w:left="460"/>
        <w:spacing w:after="0"/>
        <w:rPr>
          <w:sz w:val="20"/>
          <w:szCs w:val="20"/>
          <w:color w:val="auto"/>
        </w:rPr>
      </w:pPr>
      <w:r>
        <w:rPr>
          <w:rFonts w:ascii="Arial" w:cs="Arial" w:eastAsia="Arial" w:hAnsi="Arial"/>
          <w:sz w:val="16"/>
          <w:szCs w:val="16"/>
          <w:color w:val="auto"/>
        </w:rPr>
        <w:t>If to Mind Streams,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Dennis L. Little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Mind Streams,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7227 N. 16</w:t>
      </w:r>
      <w:r>
        <w:rPr>
          <w:rFonts w:ascii="Arial" w:cs="Arial" w:eastAsia="Arial" w:hAnsi="Arial"/>
          <w:sz w:val="15"/>
          <w:szCs w:val="15"/>
          <w:color w:val="auto"/>
        </w:rPr>
        <w:t>th</w:t>
      </w:r>
      <w:r>
        <w:rPr>
          <w:rFonts w:ascii="Arial" w:cs="Arial" w:eastAsia="Arial" w:hAnsi="Arial"/>
          <w:sz w:val="18"/>
          <w:szCs w:val="18"/>
          <w:color w:val="auto"/>
        </w:rPr>
        <w:t xml:space="preserve"> Street, Suite 190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AZ 85020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 (602) 906-6000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Number: (602) 906-6098</w:t>
      </w:r>
    </w:p>
    <w:p>
      <w:pPr>
        <w:spacing w:after="0" w:line="200" w:lineRule="exact"/>
        <w:rPr>
          <w:sz w:val="20"/>
          <w:szCs w:val="20"/>
          <w:color w:val="auto"/>
        </w:rPr>
      </w:pPr>
    </w:p>
    <w:p>
      <w:pPr>
        <w:sectPr>
          <w:pgSz w:w="11900" w:h="16838" w:orient="portrait"/>
          <w:cols w:equalWidth="0" w:num="2">
            <w:col w:w="2720" w:space="720"/>
            <w:col w:w="7980"/>
          </w:cols>
          <w:pgMar w:left="240" w:top="1152" w:right="239" w:bottom="1440" w:gutter="0" w:footer="0" w:header="0"/>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University,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Linda Rawles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AZ 85017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 (602) 589-2300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Number: (602) 589-2457</w:t>
      </w:r>
    </w:p>
    <w:p>
      <w:pPr>
        <w:spacing w:after="0" w:line="126" w:lineRule="exact"/>
        <w:rPr>
          <w:sz w:val="20"/>
          <w:szCs w:val="20"/>
          <w:color w:val="auto"/>
        </w:rPr>
      </w:pPr>
    </w:p>
    <w:p>
      <w:pPr>
        <w:sectPr>
          <w:pgSz w:w="11900" w:h="16838" w:orient="portrait"/>
          <w:cols w:equalWidth="0" w:num="2">
            <w:col w:w="2720" w:space="720"/>
            <w:col w:w="7980"/>
          </w:cols>
          <w:pgMar w:left="240" w:top="1152" w:right="239" w:bottom="1440" w:gutter="0" w:footer="0" w:header="0"/>
          <w:type w:val="continuous"/>
        </w:sectPr>
      </w:pPr>
    </w:p>
    <w:p>
      <w:pPr>
        <w:ind w:right="20"/>
        <w:spacing w:after="0" w:line="264" w:lineRule="auto"/>
        <w:rPr>
          <w:sz w:val="20"/>
          <w:szCs w:val="20"/>
          <w:color w:val="auto"/>
        </w:rPr>
      </w:pPr>
      <w:r>
        <w:rPr>
          <w:rFonts w:ascii="Arial" w:cs="Arial" w:eastAsia="Arial" w:hAnsi="Arial"/>
          <w:sz w:val="18"/>
          <w:szCs w:val="18"/>
          <w:color w:val="auto"/>
        </w:rPr>
        <w:t>Either party may change either its address or facsimile number by giving the other party Notice. All communications for which Notice is not required, including those provisions permitting or requiring a party to “approve,” “advise,” or “consent” may be given by facsimile or other electronic communications. In these circumstances only the contact person for each Party need receive the communication.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The Agreement may be assigned by either Party without the express written consent of the other Party.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Entire Agreement/ Modification. </w:t>
      </w:r>
      <w:r>
        <w:rPr>
          <w:rFonts w:ascii="Arial" w:cs="Arial" w:eastAsia="Arial" w:hAnsi="Arial"/>
          <w:sz w:val="17"/>
          <w:szCs w:val="17"/>
          <w:color w:val="auto"/>
        </w:rPr>
        <w:t>This Agreement constitutes the entire agreement of the Parties and supersedes any prior understandings or agreements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Parties with respect to the subject matter hereof. Except for the addition of Project Descriptions to this Agreement, provided that such Project Descriptions are executed by both Parties, this Agreement cannot be modified except by written agreement signed by both Parties.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Agreement may be executed in any number of counterparts, all of which, when taken together, shall constitute a fully executed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this Agreement shall be of no force or effect until executed by both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205" w:name="page206"/>
    <w:bookmarkEnd w:id="205"/>
    <w:p>
      <w:pPr>
        <w:ind w:right="100"/>
        <w:spacing w:after="0" w:line="347" w:lineRule="auto"/>
        <w:rPr>
          <w:sz w:val="20"/>
          <w:szCs w:val="20"/>
          <w:color w:val="auto"/>
        </w:rPr>
      </w:pPr>
      <w:r>
        <w:rPr>
          <w:rFonts w:ascii="Arial" w:cs="Arial" w:eastAsia="Arial" w:hAnsi="Arial"/>
          <w:sz w:val="16"/>
          <w:szCs w:val="16"/>
          <w:b w:val="1"/>
          <w:bCs w:val="1"/>
          <w:i w:val="1"/>
          <w:iCs w:val="1"/>
          <w:color w:val="auto"/>
        </w:rPr>
        <w:t>Governing Law/Jurisdiction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laws of the State of Arizona govern this Agreement. All arbitration or legal action brought by either Party arising out of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this Agreement shall be filed in Maricopa County, Arizona, and all Parities consent to the jurisdiction and venue of the courts located therein.</w:t>
      </w:r>
    </w:p>
    <w:p>
      <w:pPr>
        <w:spacing w:after="0" w:line="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undersigned have agreed to the forgoing provisions as of the date hereof and have caused this Agreement to be executed by their duly authorized representatives as of the date at the beginning of this Agreement.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Mind Streams, LLC, </w:t>
            </w:r>
            <w:r>
              <w:rPr>
                <w:rFonts w:ascii="Arial" w:cs="Arial" w:eastAsia="Arial" w:hAnsi="Arial"/>
                <w:sz w:val="18"/>
                <w:szCs w:val="18"/>
                <w:color w:val="auto"/>
              </w:rPr>
              <w:t>an Arizona</w:t>
            </w:r>
          </w:p>
        </w:tc>
        <w:tc>
          <w:tcPr>
            <w:tcW w:w="5260" w:type="dxa"/>
            <w:vAlign w:val="bottom"/>
            <w:gridSpan w:val="2"/>
          </w:tcPr>
          <w:p>
            <w:pPr>
              <w:ind w:left="760"/>
              <w:spacing w:after="0"/>
              <w:rPr>
                <w:sz w:val="20"/>
                <w:szCs w:val="20"/>
                <w:color w:val="auto"/>
              </w:rPr>
            </w:pPr>
            <w:r>
              <w:rPr>
                <w:rFonts w:ascii="Arial" w:cs="Arial" w:eastAsia="Arial" w:hAnsi="Arial"/>
                <w:sz w:val="18"/>
                <w:szCs w:val="18"/>
                <w:b w:val="1"/>
                <w:bCs w:val="1"/>
                <w:color w:val="auto"/>
              </w:rPr>
              <w:t xml:space="preserve">Significant Education, LLC, </w:t>
            </w:r>
            <w:r>
              <w:rPr>
                <w:rFonts w:ascii="Arial" w:cs="Arial" w:eastAsia="Arial" w:hAnsi="Arial"/>
                <w:sz w:val="18"/>
                <w:szCs w:val="18"/>
                <w:color w:val="auto"/>
              </w:rPr>
              <w:t>a Delaware</w:t>
            </w:r>
          </w:p>
        </w:tc>
        <w:tc>
          <w:tcPr>
            <w:tcW w:w="1660" w:type="dxa"/>
            <w:vAlign w:val="bottom"/>
          </w:tcPr>
          <w:p>
            <w:pPr>
              <w:spacing w:after="0"/>
              <w:rPr>
                <w:sz w:val="19"/>
                <w:szCs w:val="19"/>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limited liability company,</w:t>
            </w:r>
          </w:p>
        </w:tc>
        <w:tc>
          <w:tcPr>
            <w:tcW w:w="166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Dennis L. Little</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By:  /s/ Brent Richardson</w:t>
            </w:r>
          </w:p>
        </w:tc>
        <w:tc>
          <w:tcPr>
            <w:tcW w:w="16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Dennis L. Little</w:t>
            </w:r>
          </w:p>
        </w:tc>
        <w:tc>
          <w:tcPr>
            <w:tcW w:w="114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Brent Richardson</w:t>
            </w:r>
          </w:p>
        </w:tc>
        <w:tc>
          <w:tcPr>
            <w:tcW w:w="16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Vice President</w:t>
            </w:r>
          </w:p>
        </w:tc>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66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60" w:type="dxa"/>
            <w:vAlign w:val="bottom"/>
            <w:gridSpan w:val="2"/>
          </w:tcPr>
          <w:p>
            <w:pPr>
              <w:ind w:left="1120"/>
              <w:spacing w:after="0"/>
              <w:rPr>
                <w:sz w:val="20"/>
                <w:szCs w:val="20"/>
                <w:color w:val="auto"/>
              </w:rPr>
            </w:pPr>
            <w:r>
              <w:rPr>
                <w:rFonts w:ascii="Arial" w:cs="Arial" w:eastAsia="Arial" w:hAnsi="Arial"/>
                <w:sz w:val="18"/>
                <w:szCs w:val="18"/>
                <w:color w:val="auto"/>
              </w:rPr>
              <w:t>10</w:t>
            </w:r>
          </w:p>
        </w:tc>
        <w:tc>
          <w:tcPr>
            <w:tcW w:w="166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Mind Streams, LLC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Education,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 2005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One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Project One, collaboration activity between Mind Streams and the University relating to the development, promotion and marketing of the University’s online master’s programs in education and leadership. The terms and conditions of the Collaboration Agreement referenced above are incorporated herein by this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Mind Streams Obligations:</w:t>
      </w:r>
    </w:p>
    <w:p>
      <w:pPr>
        <w:spacing w:after="0" w:line="117" w:lineRule="exact"/>
        <w:rPr>
          <w:sz w:val="20"/>
          <w:szCs w:val="20"/>
          <w:color w:val="auto"/>
        </w:rPr>
      </w:pPr>
    </w:p>
    <w:p>
      <w:pPr>
        <w:ind w:left="660" w:right="140" w:hanging="436"/>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Actively work with the University in identifying appropriate courses, programs and curriculum relating to online master’s degrees in education and leadership;</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Actively promote the University generally and its courses and degree conferring programs,</w:t>
      </w:r>
    </w:p>
    <w:p>
      <w:pPr>
        <w:spacing w:after="0" w:line="130" w:lineRule="exact"/>
        <w:rPr>
          <w:rFonts w:ascii="Arial" w:cs="Arial" w:eastAsia="Arial" w:hAnsi="Arial"/>
          <w:sz w:val="18"/>
          <w:szCs w:val="18"/>
          <w:color w:val="auto"/>
        </w:rPr>
      </w:pPr>
    </w:p>
    <w:p>
      <w:pPr>
        <w:ind w:left="660" w:right="460" w:hanging="436"/>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Develop and maintain key contracts and relationships with school corporations within the United States catering to teachers and administrators interested in pursuing additional education opportunities of a kind offered by the University,</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teams dedicated to the recruitment and retention of students for the University’s programs.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University Obligations: </w:t>
      </w:r>
      <w:r>
        <w:rPr>
          <w:rFonts w:ascii="Arial" w:cs="Arial" w:eastAsia="Arial" w:hAnsi="Arial"/>
          <w:sz w:val="17"/>
          <w:szCs w:val="17"/>
          <w:color w:val="auto"/>
        </w:rPr>
        <w:t>The University shall provide the following services to students of the University’s online masters programs in education:</w:t>
      </w:r>
    </w:p>
    <w:p>
      <w:pPr>
        <w:spacing w:after="0" w:line="129" w:lineRule="exact"/>
        <w:rPr>
          <w:sz w:val="20"/>
          <w:szCs w:val="20"/>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Determine the curriculum to be offered to students,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Enrollment,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Academic advisement,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Financial aid counseling,</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Instruction, including selecting, hiring and compensating instructors,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Student academic record-keeping,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Graduation and certification, if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i w:val="1"/>
          <w:iCs w:val="1"/>
          <w:color w:val="auto"/>
        </w:rPr>
        <w:t>Joint Obligations:</w:t>
      </w:r>
    </w:p>
    <w:p>
      <w:pPr>
        <w:spacing w:after="0" w:line="117" w:lineRule="exact"/>
        <w:rPr>
          <w:sz w:val="20"/>
          <w:szCs w:val="20"/>
          <w:color w:val="auto"/>
        </w:rPr>
      </w:pPr>
    </w:p>
    <w:p>
      <w:pPr>
        <w:ind w:left="660" w:hanging="436"/>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Parties will work in good faith to carry out their duties under this Project, including establishing lines of communication and monitoring systems necessary to effectuate such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w:t>
      </w:r>
    </w:p>
    <w:p>
      <w:pPr>
        <w:spacing w:after="0" w:line="117" w:lineRule="exact"/>
        <w:rPr>
          <w:sz w:val="20"/>
          <w:szCs w:val="20"/>
          <w:color w:val="auto"/>
        </w:rPr>
      </w:pPr>
    </w:p>
    <w:p>
      <w:pPr>
        <w:ind w:left="660" w:right="80" w:hanging="436"/>
        <w:spacing w:after="0" w:line="26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During the term of this Project One, the University will pay to Mind Streams 45% of Net Revenue, defined below. For the purpose of this Agreement “Net Revenue” means tuition actually received by the University from students recruited by Mind Streams minus any discounts, refunds and allowances.</w:t>
      </w:r>
    </w:p>
    <w:p>
      <w:pPr>
        <w:spacing w:after="0" w:line="86" w:lineRule="exact"/>
        <w:rPr>
          <w:rFonts w:ascii="Arial" w:cs="Arial" w:eastAsia="Arial" w:hAnsi="Arial"/>
          <w:sz w:val="18"/>
          <w:szCs w:val="18"/>
          <w:color w:val="auto"/>
        </w:rPr>
      </w:pPr>
    </w:p>
    <w:p>
      <w:pPr>
        <w:ind w:left="660" w:right="140" w:hanging="436"/>
        <w:spacing w:after="0" w:line="297"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Within 30 calendar days following the start of each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enrollment period during the term of this Project One, the University shall provide Mind Streams with a report containing information regarding the number of eligible students enrolled, the date a student dropped any course(s) and the tuition received. The parties will reconcile and agree on the information in the report within 15 calendar days after the report is issued and payment will be remitted to Mind Streams 15 calendard days after the reconciliation. The University will provide Mind Streams with a similar report for the applicable enrollment period at the end of each month thereafter until all tuition has been accounted for and payment made to Mind Streams.</w:t>
      </w:r>
    </w:p>
    <w:p>
      <w:pPr>
        <w:spacing w:after="0" w:line="63" w:lineRule="exact"/>
        <w:rPr>
          <w:rFonts w:ascii="Arial" w:cs="Arial" w:eastAsia="Arial" w:hAnsi="Arial"/>
          <w:sz w:val="16"/>
          <w:szCs w:val="16"/>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form of such report shall be established jointly by the University and Mind Streams.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Project One will terminate on July 31, 2007, unless terminated earlier by mutual agreement of the Parties. In the event of early termination, the provisions of the Termination and Survival paragraph in the Collaboration Agreement are applicable to any consideration owned to either Party by the other.</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Mind Streams, LLC, </w:t>
            </w:r>
            <w:r>
              <w:rPr>
                <w:rFonts w:ascii="Arial" w:cs="Arial" w:eastAsia="Arial" w:hAnsi="Arial"/>
                <w:sz w:val="18"/>
                <w:szCs w:val="18"/>
                <w:color w:val="auto"/>
              </w:rPr>
              <w:t>an Arizona</w:t>
            </w:r>
          </w:p>
        </w:tc>
        <w:tc>
          <w:tcPr>
            <w:tcW w:w="5260" w:type="dxa"/>
            <w:vAlign w:val="bottom"/>
            <w:gridSpan w:val="2"/>
          </w:tcPr>
          <w:p>
            <w:pPr>
              <w:ind w:left="760"/>
              <w:spacing w:after="0"/>
              <w:rPr>
                <w:sz w:val="20"/>
                <w:szCs w:val="20"/>
                <w:color w:val="auto"/>
              </w:rPr>
            </w:pPr>
            <w:r>
              <w:rPr>
                <w:rFonts w:ascii="Arial" w:cs="Arial" w:eastAsia="Arial" w:hAnsi="Arial"/>
                <w:sz w:val="18"/>
                <w:szCs w:val="18"/>
                <w:b w:val="1"/>
                <w:bCs w:val="1"/>
                <w:color w:val="auto"/>
              </w:rPr>
              <w:t xml:space="preserve">Significant Education, LLC, </w:t>
            </w:r>
            <w:r>
              <w:rPr>
                <w:rFonts w:ascii="Arial" w:cs="Arial" w:eastAsia="Arial" w:hAnsi="Arial"/>
                <w:sz w:val="18"/>
                <w:szCs w:val="18"/>
                <w:color w:val="auto"/>
              </w:rPr>
              <w:t>a Delaware</w:t>
            </w:r>
          </w:p>
        </w:tc>
        <w:tc>
          <w:tcPr>
            <w:tcW w:w="1660" w:type="dxa"/>
            <w:vAlign w:val="bottom"/>
          </w:tcPr>
          <w:p>
            <w:pPr>
              <w:spacing w:after="0"/>
              <w:rPr>
                <w:sz w:val="19"/>
                <w:szCs w:val="19"/>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limited liability company,</w:t>
            </w:r>
          </w:p>
        </w:tc>
        <w:tc>
          <w:tcPr>
            <w:tcW w:w="166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Dennis L. Little</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By:  /s/ Brent Richardson</w:t>
            </w:r>
          </w:p>
        </w:tc>
        <w:tc>
          <w:tcPr>
            <w:tcW w:w="16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Dennis L. Little</w:t>
            </w:r>
          </w:p>
        </w:tc>
        <w:tc>
          <w:tcPr>
            <w:tcW w:w="114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Brent Richardson</w:t>
            </w:r>
          </w:p>
        </w:tc>
        <w:tc>
          <w:tcPr>
            <w:tcW w:w="16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Vice President</w:t>
            </w:r>
          </w:p>
        </w:tc>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66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60" w:type="dxa"/>
            <w:vAlign w:val="bottom"/>
            <w:gridSpan w:val="2"/>
          </w:tcPr>
          <w:p>
            <w:pPr>
              <w:ind w:left="1120"/>
              <w:spacing w:after="0"/>
              <w:rPr>
                <w:sz w:val="20"/>
                <w:szCs w:val="20"/>
                <w:color w:val="auto"/>
              </w:rPr>
            </w:pPr>
            <w:r>
              <w:rPr>
                <w:rFonts w:ascii="Arial" w:cs="Arial" w:eastAsia="Arial" w:hAnsi="Arial"/>
                <w:sz w:val="18"/>
                <w:szCs w:val="18"/>
                <w:color w:val="auto"/>
              </w:rPr>
              <w:t>13</w:t>
            </w:r>
          </w:p>
        </w:tc>
        <w:tc>
          <w:tcPr>
            <w:tcW w:w="166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Mind Streams, LLC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Education,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 2005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Two</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Project Two, collaboration activity between Mind Streams and the University relating to the promotion and marketing of the University’s online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Collaboration Agreement referenced above are incorporated herein by this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Mind Streams Obligations:</w:t>
      </w:r>
    </w:p>
    <w:p>
      <w:pPr>
        <w:spacing w:after="0" w:line="117" w:lineRule="exact"/>
        <w:rPr>
          <w:sz w:val="20"/>
          <w:szCs w:val="20"/>
          <w:color w:val="auto"/>
        </w:rPr>
      </w:pPr>
    </w:p>
    <w:p>
      <w:pPr>
        <w:ind w:left="660" w:hanging="436"/>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Actively promote the University generally and its courses and degree conferring programs,</w:t>
      </w:r>
    </w:p>
    <w:p>
      <w:pPr>
        <w:spacing w:after="0" w:line="130" w:lineRule="exact"/>
        <w:rPr>
          <w:rFonts w:ascii="Arial" w:cs="Arial" w:eastAsia="Arial" w:hAnsi="Arial"/>
          <w:sz w:val="18"/>
          <w:szCs w:val="18"/>
          <w:color w:val="auto"/>
        </w:rPr>
      </w:pPr>
    </w:p>
    <w:p>
      <w:pPr>
        <w:ind w:left="660" w:right="460" w:hanging="436"/>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Develop and maintain key contracts and relationships with school corporations within the United States catering to teachers and administrators interested in pursuing additional education opportunities of a kind offered by the University,</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Provide teams dedicated to the recruitment and retention of students for the University’s programs.</w:t>
      </w:r>
    </w:p>
    <w:p>
      <w:pPr>
        <w:spacing w:after="0" w:line="130" w:lineRule="exact"/>
        <w:rPr>
          <w:rFonts w:ascii="Arial" w:cs="Arial" w:eastAsia="Arial" w:hAnsi="Arial"/>
          <w:sz w:val="18"/>
          <w:szCs w:val="18"/>
          <w:color w:val="auto"/>
        </w:rPr>
      </w:pPr>
    </w:p>
    <w:p>
      <w:pPr>
        <w:ind w:left="660" w:right="60" w:hanging="436"/>
        <w:spacing w:after="0" w:line="290"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Mind Streams represents and warrants that its compensation of its employees or other persons who perform any student recruitment or admission activities for SigEd and/or GCU under this Agreement is and will continue to be in compliance with Section 487(a)(20) of the Higher Education Act of 1965, as amended (20 U.S.C. § 1094(a)(20)), or any successor provision, and the regulations promulgated thereunder by the U.S. Department of Education (currently located at 34 C.F.R. § 668.14(b)(22)). Mind Streams agrees to indemnify and hold harmless SigEd and GCU and their successors, assigns, agents, officers, directors and employees, from and against any and all liabilities, obligations, claims, losses, damages, expenses and costs (including, but not limited to, reasonable attorneys’ fees and litigation costs) which arise out of or result from (i) any breach or alleged breach of the representations and warranties made by Mind Streams in this paragraph, or (ii) any assertion by the U.S. Department of Education that Mind Streams’ compensation of its employees or other persons who perform any student recruitment or admission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Mind Streams, LLC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Education,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 2005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Two</w:t>
      </w:r>
    </w:p>
    <w:p>
      <w:pPr>
        <w:spacing w:after="0" w:line="121"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activities for SigEd and/or GCU under this Agreement does not comply with Section 487(a)(20) of the Higher Education Act of 1965, as amended (20 U.S.C. § 1094(a)(20)), or any successor provision, or the regulations promulgated thereunder by the U.S. Department of Education.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University Obligations: </w:t>
      </w:r>
      <w:r>
        <w:rPr>
          <w:rFonts w:ascii="Arial" w:cs="Arial" w:eastAsia="Arial" w:hAnsi="Arial"/>
          <w:sz w:val="17"/>
          <w:szCs w:val="17"/>
          <w:color w:val="auto"/>
        </w:rPr>
        <w:t>The University shall provide the following services to students of the University’s online masters programs in education:</w:t>
      </w:r>
    </w:p>
    <w:p>
      <w:pPr>
        <w:spacing w:after="0" w:line="129" w:lineRule="exact"/>
        <w:rPr>
          <w:sz w:val="20"/>
          <w:szCs w:val="20"/>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 the curriculum to be offered to students,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Enrollment,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Academic advisement,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Financial aid counseling,</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Instruction, including selecting, hiring and compensating instructors,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Student academic record-keeping,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Graduation and certification,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Obligations:</w:t>
      </w:r>
    </w:p>
    <w:p>
      <w:pPr>
        <w:spacing w:after="0" w:line="117" w:lineRule="exact"/>
        <w:rPr>
          <w:sz w:val="20"/>
          <w:szCs w:val="20"/>
          <w:color w:val="auto"/>
        </w:rPr>
      </w:pPr>
    </w:p>
    <w:p>
      <w:pPr>
        <w:ind w:left="660" w:hanging="436"/>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Parties will work in good faith to carry out their duties under this Project, including establishing lines of communication and monitoring systems necessary to effectuate such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w:t>
      </w:r>
    </w:p>
    <w:p>
      <w:pPr>
        <w:spacing w:after="0" w:line="117" w:lineRule="exact"/>
        <w:rPr>
          <w:sz w:val="20"/>
          <w:szCs w:val="20"/>
          <w:color w:val="auto"/>
        </w:rPr>
      </w:pPr>
    </w:p>
    <w:p>
      <w:pPr>
        <w:ind w:left="660" w:right="80" w:hanging="436"/>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the term of this Project One, the University will pay to Mind Streams 45% of Net Revenue, defined below. For the purpose of this Agreement “Net Revenue” means tuition actually received by the University from students recruited by Mind Streams minus any discounts, refunds and allowances.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Mind Streams, LLC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Education,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 2005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Two</w:t>
      </w:r>
    </w:p>
    <w:p>
      <w:pPr>
        <w:spacing w:after="0" w:line="121" w:lineRule="exact"/>
        <w:rPr>
          <w:sz w:val="20"/>
          <w:szCs w:val="20"/>
          <w:color w:val="auto"/>
        </w:rPr>
      </w:pPr>
    </w:p>
    <w:p>
      <w:pPr>
        <w:ind w:left="660" w:right="160" w:hanging="436"/>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Within 30 days following the end of each month during the term of this Project One, the University shall provide Mind Streams with a report containing information regarding the number of eligible students enrolled in the programs, the dates of enrollment and the tuition received for the month. The form of such report shall be established jointly by the University and Mind Streams. Payment to Mind Streams is due at time of receipt of the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Mind Streams, LLC, </w:t>
            </w:r>
            <w:r>
              <w:rPr>
                <w:rFonts w:ascii="Arial" w:cs="Arial" w:eastAsia="Arial" w:hAnsi="Arial"/>
                <w:sz w:val="18"/>
                <w:szCs w:val="18"/>
                <w:color w:val="auto"/>
              </w:rPr>
              <w:t>an Arizona</w:t>
            </w:r>
          </w:p>
        </w:tc>
        <w:tc>
          <w:tcPr>
            <w:tcW w:w="5260" w:type="dxa"/>
            <w:vAlign w:val="bottom"/>
            <w:gridSpan w:val="2"/>
          </w:tcPr>
          <w:p>
            <w:pPr>
              <w:ind w:left="760"/>
              <w:spacing w:after="0"/>
              <w:rPr>
                <w:sz w:val="20"/>
                <w:szCs w:val="20"/>
                <w:color w:val="auto"/>
              </w:rPr>
            </w:pPr>
            <w:r>
              <w:rPr>
                <w:rFonts w:ascii="Arial" w:cs="Arial" w:eastAsia="Arial" w:hAnsi="Arial"/>
                <w:sz w:val="18"/>
                <w:szCs w:val="18"/>
                <w:b w:val="1"/>
                <w:bCs w:val="1"/>
                <w:color w:val="auto"/>
              </w:rPr>
              <w:t>Significant Education, LLC</w:t>
            </w:r>
            <w:r>
              <w:rPr>
                <w:rFonts w:ascii="Arial" w:cs="Arial" w:eastAsia="Arial" w:hAnsi="Arial"/>
                <w:sz w:val="18"/>
                <w:szCs w:val="18"/>
                <w:color w:val="auto"/>
              </w:rPr>
              <w:t>, a 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corporation</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Dennis L. Little</w:t>
            </w:r>
          </w:p>
        </w:tc>
        <w:tc>
          <w:tcPr>
            <w:tcW w:w="5260" w:type="dxa"/>
            <w:vAlign w:val="bottom"/>
            <w:gridSpan w:val="2"/>
          </w:tcPr>
          <w:p>
            <w:pPr>
              <w:ind w:left="760"/>
              <w:spacing w:after="0"/>
              <w:rPr>
                <w:sz w:val="20"/>
                <w:szCs w:val="20"/>
                <w:color w:val="auto"/>
              </w:rPr>
            </w:pPr>
            <w:r>
              <w:rPr>
                <w:rFonts w:ascii="Arial" w:cs="Arial" w:eastAsia="Arial" w:hAnsi="Arial"/>
                <w:sz w:val="18"/>
                <w:szCs w:val="18"/>
                <w:color w:val="auto"/>
              </w:rPr>
              <w:t>By:  /s/ Chris Richardson</w:t>
            </w:r>
          </w:p>
        </w:tc>
      </w:tr>
      <w:tr>
        <w:trPr>
          <w:trHeight w:val="209"/>
        </w:trPr>
        <w:tc>
          <w:tcPr>
            <w:tcW w:w="38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Dennis L. Little</w:t>
            </w:r>
          </w:p>
        </w:tc>
        <w:tc>
          <w:tcPr>
            <w:tcW w:w="1140" w:type="dxa"/>
            <w:vAlign w:val="bottom"/>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Chris Richardson</w:t>
            </w:r>
          </w:p>
        </w:tc>
      </w:tr>
      <w:tr>
        <w:trPr>
          <w:trHeight w:val="230"/>
        </w:trPr>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405"/>
        </w:trPr>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60" w:type="dxa"/>
            <w:vAlign w:val="bottom"/>
            <w:gridSpan w:val="2"/>
          </w:tcPr>
          <w:p>
            <w:pPr>
              <w:ind w:left="800"/>
              <w:spacing w:after="0"/>
              <w:rPr>
                <w:sz w:val="20"/>
                <w:szCs w:val="20"/>
                <w:color w:val="auto"/>
              </w:rPr>
            </w:pPr>
            <w:r>
              <w:rPr>
                <w:rFonts w:ascii="Arial" w:cs="Arial" w:eastAsia="Arial" w:hAnsi="Arial"/>
                <w:sz w:val="18"/>
                <w:szCs w:val="18"/>
                <w:color w:val="auto"/>
              </w:rPr>
              <w:t>Page 3 of 3</w:t>
            </w:r>
          </w:p>
        </w:tc>
      </w:tr>
    </w:tbl>
    <w:p>
      <w:pPr>
        <w:sectPr>
          <w:pgSz w:w="11900" w:h="16838" w:orient="portrait"/>
          <w:cols w:equalWidth="0" w:num="1">
            <w:col w:w="11420"/>
          </w:cols>
          <w:pgMar w:left="240" w:top="958"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10.19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June 25, 2008,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Daniel E. Bachus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parties agree as follows:</w:t>
      </w:r>
    </w:p>
    <w:p>
      <w:pPr>
        <w:spacing w:after="0" w:line="117" w:lineRule="exact"/>
        <w:rPr>
          <w:sz w:val="20"/>
          <w:szCs w:val="20"/>
          <w:color w:val="auto"/>
        </w:rPr>
      </w:pPr>
    </w:p>
    <w:p>
      <w:pPr>
        <w:ind w:left="420" w:hanging="187"/>
        <w:spacing w:after="0"/>
        <w:tabs>
          <w:tab w:leader="none" w:pos="4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hereby employs Executive, and Executive hereby accepts such employment, upon the terms and conditions set forth herein.</w:t>
      </w:r>
    </w:p>
    <w:p>
      <w:pPr>
        <w:spacing w:after="0" w:line="140" w:lineRule="exact"/>
        <w:rPr>
          <w:rFonts w:ascii="Arial" w:cs="Arial" w:eastAsia="Arial" w:hAnsi="Arial"/>
          <w:sz w:val="16"/>
          <w:szCs w:val="16"/>
          <w:color w:val="auto"/>
        </w:rPr>
      </w:pPr>
    </w:p>
    <w:p>
      <w:pPr>
        <w:ind w:left="420" w:hanging="187"/>
        <w:spacing w:after="0"/>
        <w:tabs>
          <w:tab w:leader="none" w:pos="4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Financial Officer and shall have the duties and responsibilities assigned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both upon initial hire and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79"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CEO in advance of Executive’s intent to engage in other paid work and receives the CEO’s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81"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62" w:lineRule="exact"/>
        <w:rPr>
          <w:sz w:val="20"/>
          <w:szCs w:val="20"/>
          <w:color w:val="auto"/>
        </w:rPr>
      </w:pPr>
    </w:p>
    <w:p>
      <w:pPr>
        <w:ind w:left="420" w:hanging="187"/>
        <w:spacing w:after="0"/>
        <w:tabs>
          <w:tab w:leader="none" w:pos="4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Term</w:t>
      </w:r>
      <w:r>
        <w:rPr>
          <w:rFonts w:ascii="Arial" w:cs="Arial" w:eastAsia="Arial" w:hAnsi="Arial"/>
          <w:sz w:val="16"/>
          <w:szCs w:val="16"/>
          <w:color w:val="auto"/>
        </w:rPr>
        <w:t>. The employment relationship pursuant to this Agreement shall be for an initial term commencing on July 1, 2008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continuing for a period of four (4) years following such date (“</w:t>
      </w:r>
      <w:r>
        <w:rPr>
          <w:rFonts w:ascii="Arial" w:cs="Arial" w:eastAsia="Arial" w:hAnsi="Arial"/>
          <w:sz w:val="16"/>
          <w:szCs w:val="16"/>
          <w:u w:val="single" w:color="auto"/>
          <w:color w:val="auto"/>
        </w:rPr>
        <w:t>Initial Term</w:t>
      </w:r>
      <w:r>
        <w:rPr>
          <w:rFonts w:ascii="Arial" w:cs="Arial" w:eastAsia="Arial" w:hAnsi="Arial"/>
          <w:sz w:val="16"/>
          <w:szCs w:val="16"/>
          <w:color w:val="auto"/>
        </w:rPr>
        <w:t>”), unless sooner terminated in accordance with section 7 below.</w:t>
      </w:r>
    </w:p>
    <w:p>
      <w:pPr>
        <w:spacing w:after="0" w:line="16"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Renewal</w:t>
      </w:r>
      <w:r>
        <w:rPr>
          <w:rFonts w:ascii="Arial" w:cs="Arial" w:eastAsia="Arial" w:hAnsi="Arial"/>
          <w:sz w:val="16"/>
          <w:szCs w:val="16"/>
          <w:color w:val="auto"/>
        </w:rPr>
        <w:t>. On expiration of the Initial Term specified in subsection 3.1 above, this Agreement will automatically renew for subsequent one (1) year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thirty (30) days’ advance written notice to the other that the Company or Executive does not wish to renew the Agreement for subsequent Renewal Term. In the event either party gives notice of nonrenewal pursuant to this subsection 3.2, this Agreement will expire at the end of the then current term. The Initial Term and each subsequent Renewal Term are referred to collectively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3" w:name="page214"/>
    <w:bookmarkEnd w:id="213"/>
    <w:p>
      <w:pPr>
        <w:ind w:left="420" w:hanging="187"/>
        <w:spacing w:after="0"/>
        <w:tabs>
          <w:tab w:leader="none" w:pos="4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the Company shall pay to Executive an initial Base Salary at the rate of Two-Hundred Seventy-Five Thousand Dollars ($275,000.00)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85"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Incentive Compensation</w:t>
      </w:r>
      <w:r>
        <w:rPr>
          <w:rFonts w:ascii="Arial" w:cs="Arial" w:eastAsia="Arial" w:hAnsi="Arial"/>
          <w:sz w:val="17"/>
          <w:szCs w:val="17"/>
          <w:color w:val="auto"/>
        </w:rPr>
        <w:t>. For the fiscal year of the Company ending December 31, 2008, and provided Executive remains employed with the Company as of such date, Executive will be eligible to receive a bonus equal to Sixty-Eight Thousand Seven-Hundred Fifty Dollars ($68,750.00). Thereafter, Executive will be eligible to earn incentive compensation in the form of an annual bonus for each fiscal year of the Company with a target amount of fifty percent (50%) of Executive’s Base Salary. The Compensation Committee will determine the actual amount of the bonus earned for any year, which will be based upon both the Company’s achievement of overall performance metrics for the year and Executive’s achievement of individual performance metrics as agreed upon by the Compensation Committee and the Executive. The Compensation Committee may, in its sole discretion, increase the Executive’s annual bonus above fifty percent (50%) of Base Salary if it determines that the performance of both the Executive and the Company significantly exceed the predetermined metrics. Bonus amounts, if any, are to be awarded annually and payment shall be made within two and one-half months following the end of the applicable Company fiscal year.</w:t>
      </w:r>
    </w:p>
    <w:p>
      <w:pPr>
        <w:spacing w:after="0" w:line="74"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Stock Options</w:t>
      </w:r>
      <w:r>
        <w:rPr>
          <w:rFonts w:ascii="Arial" w:cs="Arial" w:eastAsia="Arial" w:hAnsi="Arial"/>
          <w:sz w:val="17"/>
          <w:szCs w:val="17"/>
          <w:color w:val="auto"/>
        </w:rPr>
        <w:t>. Upon approval by Compensation Committee, Executive will be granted immediately prior to the Company’s intended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shares of the Company’s Common Stock under the Company’s 2008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at an exercise price per share equal to the IPO offering price per share. The number of shares subject to such Option shall be equal to 0.90% of the sum of (a) the number of shares of Common Stock of the Company issued and outstanding as of the date of grant of the Option, plus (b) the number of shares of Common Stock to be issued in connection with the IPO as set forth in the agreement between the Company and the underwriters of the IPO (but without giving effect to any “Green Shoe” or “overallotment” option that may become exercisable by the underwriters), plus (c) the number of shares of Common Stock to be issued upon conversion of the Company’s outstanding shares of preferred stock in connection with the IPO. Subject to Executive’s continued employment, the Option will vest and become exercisable in five equal annual installments (each, an “</w:t>
      </w:r>
      <w:r>
        <w:rPr>
          <w:rFonts w:ascii="Arial" w:cs="Arial" w:eastAsia="Arial" w:hAnsi="Arial"/>
          <w:sz w:val="17"/>
          <w:szCs w:val="17"/>
          <w:u w:val="single" w:color="auto"/>
          <w:color w:val="auto"/>
        </w:rPr>
        <w:t>Annual Installment</w:t>
      </w:r>
      <w:r>
        <w:rPr>
          <w:rFonts w:ascii="Arial" w:cs="Arial" w:eastAsia="Arial" w:hAnsi="Arial"/>
          <w:sz w:val="17"/>
          <w:szCs w:val="17"/>
          <w:color w:val="auto"/>
        </w:rPr>
        <w:t>”) over a five (5) year period beginning on the grant date. The Option will be subject to the terms and conditions of the Plan and a form of stock option agreement specified by the Compensation Committee, which Executive will be required to sign as a condition of retaining the Option. Executive may be eligible for future grants at the sole discretion of the Compensation Committee.</w:t>
      </w:r>
    </w:p>
    <w:p>
      <w:pPr>
        <w:spacing w:after="0" w:line="7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Directed Shares</w:t>
      </w:r>
      <w:r>
        <w:rPr>
          <w:rFonts w:ascii="Arial" w:cs="Arial" w:eastAsia="Arial" w:hAnsi="Arial"/>
          <w:sz w:val="18"/>
          <w:szCs w:val="18"/>
          <w:color w:val="auto"/>
        </w:rPr>
        <w:t>. Subject to its establishment, Executive shall be entitled to participate in the Company’s IPO directed share program in accordance with its terms and on substantially the same basis as other executive officers of the Company.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14" w:name="page215"/>
    <w:bookmarkEnd w:id="214"/>
    <w:p>
      <w:pPr>
        <w:jc w:val="both"/>
        <w:ind w:right="500" w:firstLine="233"/>
        <w:spacing w:after="0" w:line="264" w:lineRule="auto"/>
        <w:tabs>
          <w:tab w:leader="none" w:pos="40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73" w:lineRule="exact"/>
        <w:rPr>
          <w:rFonts w:ascii="Arial" w:cs="Arial" w:eastAsia="Arial" w:hAnsi="Arial"/>
          <w:sz w:val="18"/>
          <w:szCs w:val="18"/>
          <w:color w:val="auto"/>
        </w:rPr>
      </w:pPr>
    </w:p>
    <w:p>
      <w:pPr>
        <w:ind w:firstLine="233"/>
        <w:spacing w:after="0" w:line="257" w:lineRule="auto"/>
        <w:tabs>
          <w:tab w:leader="none" w:pos="40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80" w:lineRule="exact"/>
        <w:rPr>
          <w:rFonts w:ascii="Arial" w:cs="Arial" w:eastAsia="Arial" w:hAnsi="Arial"/>
          <w:sz w:val="18"/>
          <w:szCs w:val="18"/>
          <w:color w:val="auto"/>
        </w:rPr>
      </w:pPr>
    </w:p>
    <w:p>
      <w:pPr>
        <w:ind w:left="420" w:hanging="187"/>
        <w:spacing w:after="0"/>
        <w:tabs>
          <w:tab w:leader="none" w:pos="4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Termination for Cause by Company</w:t>
      </w:r>
      <w:r>
        <w:rPr>
          <w:rFonts w:ascii="Arial" w:cs="Arial" w:eastAsia="Arial" w:hAnsi="Arial"/>
          <w:sz w:val="17"/>
          <w:szCs w:val="17"/>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73"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 Without Cause by Company/Severance</w:t>
      </w:r>
      <w:r>
        <w:rPr>
          <w:rFonts w:ascii="Arial" w:cs="Arial" w:eastAsia="Arial" w:hAnsi="Arial"/>
          <w:sz w:val="16"/>
          <w:szCs w:val="16"/>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6"/>
          <w:szCs w:val="16"/>
          <w:u w:val="single" w:color="auto"/>
          <w:color w:val="auto"/>
        </w:rPr>
        <w:t>Severance Package</w:t>
      </w:r>
      <w:r>
        <w:rPr>
          <w:rFonts w:ascii="Arial" w:cs="Arial" w:eastAsia="Arial" w:hAnsi="Arial"/>
          <w:sz w:val="16"/>
          <w:szCs w:val="16"/>
          <w:color w:val="auto"/>
        </w:rPr>
        <w:t>” that shall include (a) a severance payment equivalent to twelve</w:t>
      </w:r>
    </w:p>
    <w:p>
      <w:pPr>
        <w:ind w:right="920" w:firstLine="8"/>
        <w:spacing w:after="0" w:line="261" w:lineRule="auto"/>
        <w:tabs>
          <w:tab w:leader="none" w:pos="3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months of Executive’s Base Salary then in effect on the date of termination, payable in accordance with the Company’s regular payroll cycle commencing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5" w:name="page216"/>
    <w:bookmarkEnd w:id="215"/>
    <w:p>
      <w:pPr>
        <w:ind w:right="40"/>
        <w:spacing w:after="0" w:line="270" w:lineRule="auto"/>
        <w:rPr>
          <w:sz w:val="20"/>
          <w:szCs w:val="20"/>
          <w:color w:val="auto"/>
        </w:rPr>
      </w:pPr>
      <w:r>
        <w:rPr>
          <w:rFonts w:ascii="Arial" w:cs="Arial" w:eastAsia="Arial" w:hAnsi="Arial"/>
          <w:sz w:val="17"/>
          <w:szCs w:val="17"/>
          <w:color w:val="auto"/>
        </w:rPr>
        <w:t>the first payroll date occurring on or after the 60th day following the date of Executive’s termination of employment,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provided that Executive timely elects to continue and remains eligible for these benefits under COBRA, and does not become eligible for health coverage through another employer during this period, and (c) acceleration of the vesting of the Annual Installment under the Option that would otherwise have vested on the next vesting date following the termination of Executive’s employment.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70"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Reason/Severance</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67"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16" w:name="page217"/>
    <w:bookmarkEnd w:id="216"/>
    <w:p>
      <w:pPr>
        <w:ind w:left="4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17" w:lineRule="exact"/>
        <w:rPr>
          <w:sz w:val="20"/>
          <w:szCs w:val="20"/>
          <w:color w:val="auto"/>
        </w:rPr>
      </w:pPr>
    </w:p>
    <w:p>
      <w:pPr>
        <w:ind w:left="-40" w:right="60" w:firstLine="683"/>
        <w:spacing w:after="0" w:line="273" w:lineRule="auto"/>
        <w:tabs>
          <w:tab w:leader="none" w:pos="88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Severance Payment; Option Vesting Acceleration</w:t>
      </w:r>
      <w:r>
        <w:rPr>
          <w:rFonts w:ascii="Arial" w:cs="Arial" w:eastAsia="Arial" w:hAnsi="Arial"/>
          <w:sz w:val="17"/>
          <w:szCs w:val="17"/>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the Option and any other stock options granted to Executive by the Company shall vest in full as of the date of such termination of employment, provided Executive complies with the conditions described in subsection 7.2 above.</w:t>
      </w:r>
    </w:p>
    <w:p>
      <w:pPr>
        <w:spacing w:after="0" w:line="70" w:lineRule="exact"/>
        <w:rPr>
          <w:rFonts w:ascii="Arial" w:cs="Arial" w:eastAsia="Arial" w:hAnsi="Arial"/>
          <w:sz w:val="17"/>
          <w:szCs w:val="17"/>
          <w:color w:val="auto"/>
        </w:rPr>
      </w:pPr>
    </w:p>
    <w:p>
      <w:pPr>
        <w:ind w:left="-40" w:right="140" w:firstLine="683"/>
        <w:spacing w:after="0" w:line="279" w:lineRule="auto"/>
        <w:tabs>
          <w:tab w:leader="none" w:pos="89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Parachute Payments</w:t>
      </w:r>
      <w:r>
        <w:rPr>
          <w:rFonts w:ascii="Arial" w:cs="Arial" w:eastAsia="Arial" w:hAnsi="Arial"/>
          <w:sz w:val="17"/>
          <w:szCs w:val="17"/>
          <w:color w:val="auto"/>
        </w:rPr>
        <w:t>. If, due to the benefits provided under subsection 7.5(a) and any other payments or benefits, Executive would be subject to any excise tax pursuant to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due to characterization of any such amounts as excess parachute payments pursuant to Section 280G of the Code, the amounts payable under subsection 7.5(a) will be reduced (to the least extent possible) in order to avoid any “excess parachute payment” under Section 280G(b)(1) of the Code.</w:t>
      </w:r>
    </w:p>
    <w:p>
      <w:pPr>
        <w:spacing w:after="0" w:line="63" w:lineRule="exact"/>
        <w:rPr>
          <w:rFonts w:ascii="Arial" w:cs="Arial" w:eastAsia="Arial" w:hAnsi="Arial"/>
          <w:sz w:val="17"/>
          <w:szCs w:val="17"/>
          <w:color w:val="auto"/>
        </w:rPr>
      </w:pPr>
    </w:p>
    <w:p>
      <w:pPr>
        <w:ind w:left="880" w:hanging="237"/>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ind w:left="-40" w:firstLine="908"/>
        <w:spacing w:after="0" w:line="270" w:lineRule="auto"/>
        <w:tabs>
          <w:tab w:leader="none" w:pos="106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73" w:lineRule="exact"/>
        <w:rPr>
          <w:rFonts w:ascii="Arial" w:cs="Arial" w:eastAsia="Arial" w:hAnsi="Arial"/>
          <w:sz w:val="17"/>
          <w:szCs w:val="17"/>
          <w:color w:val="auto"/>
        </w:rPr>
      </w:pPr>
    </w:p>
    <w:p>
      <w:pPr>
        <w:ind w:left="-40" w:right="300" w:firstLine="908"/>
        <w:spacing w:after="0" w:line="277" w:lineRule="auto"/>
        <w:tabs>
          <w:tab w:leader="none" w:pos="11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62" w:lineRule="exact"/>
        <w:rPr>
          <w:rFonts w:ascii="Arial" w:cs="Arial" w:eastAsia="Arial" w:hAnsi="Arial"/>
          <w:sz w:val="18"/>
          <w:szCs w:val="18"/>
          <w:color w:val="auto"/>
        </w:rPr>
      </w:pPr>
    </w:p>
    <w:p>
      <w:pPr>
        <w:jc w:val="both"/>
        <w:ind w:left="-40" w:right="200" w:firstLine="908"/>
        <w:spacing w:after="0" w:line="259" w:lineRule="auto"/>
        <w:tabs>
          <w:tab w:leader="none" w:pos="11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17" w:name="page218"/>
    <w:bookmarkEnd w:id="217"/>
    <w:p>
      <w:pPr>
        <w:ind w:left="900"/>
        <w:spacing w:after="0"/>
        <w:rPr>
          <w:sz w:val="20"/>
          <w:szCs w:val="20"/>
          <w:color w:val="auto"/>
        </w:rPr>
      </w:pPr>
      <w:r>
        <w:rPr>
          <w:rFonts w:ascii="Arial" w:cs="Arial" w:eastAsia="Arial" w:hAnsi="Arial"/>
          <w:sz w:val="18"/>
          <w:szCs w:val="18"/>
          <w:color w:val="auto"/>
        </w:rPr>
        <w:t>(iv) the dissolution or liquidation of the Company.</w:t>
      </w:r>
    </w:p>
    <w:p>
      <w:pPr>
        <w:spacing w:after="0" w:line="117" w:lineRule="exact"/>
        <w:rPr>
          <w:sz w:val="20"/>
          <w:szCs w:val="20"/>
          <w:color w:val="auto"/>
        </w:rPr>
      </w:pPr>
    </w:p>
    <w:p>
      <w:pPr>
        <w:ind w:right="140" w:firstLine="450"/>
        <w:spacing w:after="0" w:line="27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64"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90" w:lineRule="auto"/>
        <w:tabs>
          <w:tab w:leader="none" w:pos="9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subsection, become payable prior to the Delayed Payment Date will be accumulated and paid on the Delayed Payment Date.</w:t>
      </w:r>
    </w:p>
    <w:p>
      <w:pPr>
        <w:spacing w:after="0" w:line="58" w:lineRule="exact"/>
        <w:rPr>
          <w:rFonts w:ascii="Arial" w:cs="Arial" w:eastAsia="Arial" w:hAnsi="Arial"/>
          <w:sz w:val="16"/>
          <w:szCs w:val="16"/>
          <w:color w:val="auto"/>
        </w:rPr>
      </w:pPr>
    </w:p>
    <w:p>
      <w:pPr>
        <w:ind w:right="160" w:firstLine="683"/>
        <w:spacing w:after="0" w:line="255" w:lineRule="auto"/>
        <w:tabs>
          <w:tab w:leader="none" w:pos="92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 xml:space="preserve">However, the Company does not guarantee any particular tax effect for income provided to Executive pursuant to this Agreement. </w:t>
      </w:r>
      <w:r>
        <w:rPr>
          <w:rFonts w:ascii="Arial" w:cs="Arial" w:eastAsia="Arial" w:hAnsi="Arial"/>
          <w:sz w:val="18"/>
          <w:szCs w:val="18"/>
          <w:color w:val="auto"/>
        </w:rPr>
        <w:t>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85" w:lineRule="exact"/>
        <w:rPr>
          <w:rFonts w:ascii="Arial" w:cs="Arial" w:eastAsia="Arial" w:hAnsi="Arial"/>
          <w:sz w:val="18"/>
          <w:szCs w:val="18"/>
          <w:color w:val="auto"/>
        </w:rPr>
      </w:pPr>
    </w:p>
    <w:p>
      <w:pPr>
        <w:ind w:right="20" w:firstLine="233"/>
        <w:spacing w:after="0" w:line="255" w:lineRule="auto"/>
        <w:tabs>
          <w:tab w:leader="none" w:pos="40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8" w:name="page219"/>
    <w:bookmarkEnd w:id="218"/>
    <w:p>
      <w:pPr>
        <w:ind w:right="580" w:firstLine="233"/>
        <w:spacing w:after="0" w:line="277" w:lineRule="auto"/>
        <w:tabs>
          <w:tab w:leader="none" w:pos="40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62" w:lineRule="exact"/>
        <w:rPr>
          <w:sz w:val="20"/>
          <w:szCs w:val="20"/>
          <w:color w:val="auto"/>
        </w:rPr>
      </w:pPr>
    </w:p>
    <w:p>
      <w:pPr>
        <w:jc w:val="both"/>
        <w:ind w:right="20" w:firstLine="450"/>
        <w:spacing w:after="0" w:line="302" w:lineRule="auto"/>
        <w:rPr>
          <w:sz w:val="20"/>
          <w:szCs w:val="20"/>
          <w:color w:val="auto"/>
        </w:rPr>
      </w:pPr>
      <w:r>
        <w:rPr>
          <w:rFonts w:ascii="Arial" w:cs="Arial" w:eastAsia="Arial" w:hAnsi="Arial"/>
          <w:sz w:val="16"/>
          <w:szCs w:val="16"/>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46"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5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9.3 During the Term of Executive’s employment with the Company and after the termination thereof, neither Executive nor the Company will disparage each other, or the Company’s products, services, agents or employees.</w:t>
      </w:r>
    </w:p>
    <w:p>
      <w:pPr>
        <w:spacing w:after="0" w:line="6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79" w:lineRule="exact"/>
        <w:rPr>
          <w:sz w:val="20"/>
          <w:szCs w:val="20"/>
          <w:color w:val="auto"/>
        </w:rPr>
      </w:pPr>
    </w:p>
    <w:p>
      <w:pPr>
        <w:ind w:right="740" w:firstLine="233"/>
        <w:spacing w:after="0" w:line="277" w:lineRule="auto"/>
        <w:tabs>
          <w:tab w:leader="none" w:pos="49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the Company’s Employee Nondisclosure and Assignment Agreement, which is provided with this Agreement and incorporated herein by reference.</w:t>
      </w:r>
    </w:p>
    <w:p>
      <w:pPr>
        <w:spacing w:after="0" w:line="62" w:lineRule="exact"/>
        <w:rPr>
          <w:rFonts w:ascii="Arial" w:cs="Arial" w:eastAsia="Arial" w:hAnsi="Arial"/>
          <w:sz w:val="18"/>
          <w:szCs w:val="18"/>
          <w:color w:val="auto"/>
        </w:rPr>
      </w:pPr>
    </w:p>
    <w:p>
      <w:pPr>
        <w:ind w:right="80" w:firstLine="233"/>
        <w:spacing w:after="0" w:line="254" w:lineRule="auto"/>
        <w:tabs>
          <w:tab w:leader="none" w:pos="48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of Company’s Employees</w:t>
      </w:r>
      <w:r>
        <w:rPr>
          <w:rFonts w:ascii="Arial" w:cs="Arial" w:eastAsia="Arial" w:hAnsi="Arial"/>
          <w:sz w:val="18"/>
          <w:szCs w:val="18"/>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9" w:name="page220"/>
    <w:bookmarkEnd w:id="219"/>
    <w:p>
      <w:pPr>
        <w:spacing w:after="0" w:line="253" w:lineRule="auto"/>
        <w:rPr>
          <w:sz w:val="20"/>
          <w:szCs w:val="20"/>
          <w:color w:val="auto"/>
        </w:rPr>
      </w:pPr>
      <w:r>
        <w:rPr>
          <w:rFonts w:ascii="Arial" w:cs="Arial" w:eastAsia="Arial" w:hAnsi="Arial"/>
          <w:sz w:val="18"/>
          <w:szCs w:val="18"/>
          <w:color w:val="auto"/>
        </w:rPr>
        <w:t>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89" w:lineRule="exact"/>
        <w:rPr>
          <w:sz w:val="20"/>
          <w:szCs w:val="20"/>
          <w:color w:val="auto"/>
        </w:rPr>
      </w:pPr>
    </w:p>
    <w:p>
      <w:pPr>
        <w:ind w:right="100" w:firstLine="233"/>
        <w:spacing w:after="0" w:line="279" w:lineRule="auto"/>
        <w:tabs>
          <w:tab w:leader="none" w:pos="49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Executive acknowledges that Executive’s breach of the covenants contained in sections 9-11 hereof (collectively “</w:t>
      </w:r>
      <w:r>
        <w:rPr>
          <w:rFonts w:ascii="Arial" w:cs="Arial" w:eastAsia="Arial" w:hAnsi="Arial"/>
          <w:sz w:val="17"/>
          <w:szCs w:val="17"/>
          <w:u w:val="single" w:color="auto"/>
          <w:color w:val="auto"/>
        </w:rPr>
        <w:t>Covenants</w:t>
      </w:r>
      <w:r>
        <w:rPr>
          <w:rFonts w:ascii="Arial" w:cs="Arial" w:eastAsia="Arial" w:hAnsi="Arial"/>
          <w:sz w:val="17"/>
          <w:szCs w:val="17"/>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63" w:lineRule="exact"/>
        <w:rPr>
          <w:rFonts w:ascii="Arial" w:cs="Arial" w:eastAsia="Arial" w:hAnsi="Arial"/>
          <w:sz w:val="17"/>
          <w:szCs w:val="17"/>
          <w:color w:val="auto"/>
        </w:rPr>
      </w:pPr>
    </w:p>
    <w:p>
      <w:pPr>
        <w:ind w:left="500" w:hanging="267"/>
        <w:spacing w:after="0"/>
        <w:tabs>
          <w:tab w:leader="none" w:pos="5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13.1 During the Term of Executive’s employment hereunder, Executive will be covered by the Company’s director and officer insurance policy to the same extent as all other senior executive officers of the Company</w:t>
      </w:r>
    </w:p>
    <w:p>
      <w:pPr>
        <w:spacing w:after="0" w:line="6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62" w:lineRule="exact"/>
        <w:rPr>
          <w:sz w:val="20"/>
          <w:szCs w:val="20"/>
          <w:color w:val="auto"/>
        </w:rPr>
      </w:pPr>
    </w:p>
    <w:p>
      <w:pPr>
        <w:ind w:left="500" w:hanging="267"/>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4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6"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62"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62"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 court of competent jurisdiction, such provision shall be deemed modified to the extent necessary to allow enforceability of the provision as so limited, it being intended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0" w:name="page221"/>
    <w:bookmarkEnd w:id="220"/>
    <w:p>
      <w:pPr>
        <w:jc w:val="both"/>
        <w:ind w:right="100"/>
        <w:spacing w:after="0" w:line="342" w:lineRule="auto"/>
        <w:rPr>
          <w:sz w:val="20"/>
          <w:szCs w:val="20"/>
          <w:color w:val="auto"/>
        </w:rPr>
      </w:pPr>
      <w:r>
        <w:rPr>
          <w:rFonts w:ascii="Arial" w:cs="Arial" w:eastAsia="Arial" w:hAnsi="Arial"/>
          <w:sz w:val="16"/>
          <w:szCs w:val="16"/>
          <w:color w:val="auto"/>
        </w:rPr>
        <w:t>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6"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80" w:lineRule="exact"/>
        <w:rPr>
          <w:sz w:val="20"/>
          <w:szCs w:val="20"/>
          <w:color w:val="auto"/>
        </w:rPr>
      </w:pPr>
    </w:p>
    <w:p>
      <w:pPr>
        <w:ind w:right="180" w:firstLine="450"/>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63" w:lineRule="exact"/>
        <w:rPr>
          <w:sz w:val="20"/>
          <w:szCs w:val="20"/>
          <w:color w:val="auto"/>
        </w:rPr>
      </w:pPr>
    </w:p>
    <w:p>
      <w:pPr>
        <w:ind w:right="200" w:firstLine="450"/>
        <w:spacing w:after="0" w:line="302"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46" w:lineRule="exact"/>
        <w:rPr>
          <w:sz w:val="20"/>
          <w:szCs w:val="20"/>
          <w:color w:val="auto"/>
        </w:rPr>
      </w:pPr>
    </w:p>
    <w:p>
      <w:pPr>
        <w:ind w:right="20" w:firstLine="450"/>
        <w:spacing w:after="0" w:line="342"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Survival</w:t>
      </w:r>
      <w:r>
        <w:rPr>
          <w:rFonts w:ascii="Arial" w:cs="Arial" w:eastAsia="Arial" w:hAnsi="Arial"/>
          <w:sz w:val="16"/>
          <w:szCs w:val="16"/>
          <w:color w:val="auto"/>
        </w:rPr>
        <w:t>. Sections 9 (“Other Covenants”), 10 (“Confidentiality and Proprietary Rights”), 11 (“Non-Competition; Nonsolicitation”), 12 (“Injunctive Relief”), 13 (“General Provisions”) and 14 (“Entire Agreement”) of this Agreement shall survive termination of Executive’s employment with the Company.</w:t>
      </w:r>
    </w:p>
    <w:p>
      <w:pPr>
        <w:spacing w:after="0" w:line="16" w:lineRule="exact"/>
        <w:rPr>
          <w:sz w:val="20"/>
          <w:szCs w:val="20"/>
          <w:color w:val="auto"/>
        </w:rPr>
      </w:pPr>
    </w:p>
    <w:p>
      <w:pPr>
        <w:ind w:left="500" w:hanging="267"/>
        <w:spacing w:after="0"/>
        <w:tabs>
          <w:tab w:leader="none" w:pos="50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Employee Nondisclosure and Assignment Agreement incorporated herein by reference and the</w:t>
      </w:r>
    </w:p>
    <w:p>
      <w:pPr>
        <w:spacing w:after="0" w:line="34"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Company’s 2008 Equity Incentive Plan and related option documents described in Section 4.3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1" w:name="page222"/>
    <w:bookmarkEnd w:id="221"/>
    <w:p>
      <w:pPr>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740" w:type="dxa"/>
            <w:vAlign w:val="bottom"/>
            <w:gridSpan w:val="4"/>
          </w:tcPr>
          <w:p>
            <w:pPr>
              <w:ind w:left="2220"/>
              <w:spacing w:after="0"/>
              <w:rPr>
                <w:sz w:val="20"/>
                <w:szCs w:val="20"/>
                <w:color w:val="auto"/>
              </w:rPr>
            </w:pPr>
            <w:r>
              <w:rPr>
                <w:rFonts w:ascii="Arial" w:cs="Arial" w:eastAsia="Arial" w:hAnsi="Arial"/>
                <w:sz w:val="18"/>
                <w:szCs w:val="18"/>
                <w:b w:val="1"/>
                <w:bCs w:val="1"/>
                <w:color w:val="auto"/>
              </w:rPr>
              <w:t>DANIEL E. BACHUS</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25, 2008</w:t>
            </w:r>
          </w:p>
        </w:tc>
        <w:tc>
          <w:tcPr>
            <w:tcW w:w="6740" w:type="dxa"/>
            <w:vAlign w:val="bottom"/>
            <w:gridSpan w:val="4"/>
          </w:tcPr>
          <w:p>
            <w:pPr>
              <w:ind w:left="2220"/>
              <w:spacing w:after="0"/>
              <w:rPr>
                <w:sz w:val="20"/>
                <w:szCs w:val="20"/>
                <w:color w:val="auto"/>
              </w:rPr>
            </w:pPr>
            <w:r>
              <w:rPr>
                <w:rFonts w:ascii="Arial" w:cs="Arial" w:eastAsia="Arial" w:hAnsi="Arial"/>
                <w:sz w:val="18"/>
                <w:szCs w:val="18"/>
                <w:color w:val="auto"/>
              </w:rPr>
              <w:t>By: /s/ Daniel E. Bachus</w:t>
            </w:r>
          </w:p>
        </w:tc>
      </w:tr>
      <w:tr>
        <w:trPr>
          <w:trHeight w:val="20"/>
        </w:trPr>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r>
      <w:tr>
        <w:trPr>
          <w:trHeight w:val="412"/>
        </w:trPr>
        <w:tc>
          <w:tcPr>
            <w:tcW w:w="3580" w:type="dxa"/>
            <w:vAlign w:val="bottom"/>
          </w:tcPr>
          <w:p>
            <w:pPr>
              <w:spacing w:after="0"/>
              <w:rPr>
                <w:sz w:val="24"/>
                <w:szCs w:val="24"/>
                <w:color w:val="auto"/>
              </w:rPr>
            </w:pPr>
          </w:p>
        </w:tc>
        <w:tc>
          <w:tcPr>
            <w:tcW w:w="2920" w:type="dxa"/>
            <w:vAlign w:val="bottom"/>
            <w:gridSpan w:val="3"/>
          </w:tcPr>
          <w:p>
            <w:pPr>
              <w:ind w:left="2220"/>
              <w:spacing w:after="0"/>
              <w:rPr>
                <w:sz w:val="20"/>
                <w:szCs w:val="20"/>
                <w:color w:val="auto"/>
              </w:rPr>
            </w:pPr>
            <w:r>
              <w:rPr>
                <w:rFonts w:ascii="Arial" w:cs="Arial" w:eastAsia="Arial" w:hAnsi="Arial"/>
                <w:sz w:val="18"/>
                <w:szCs w:val="18"/>
                <w:color w:val="auto"/>
                <w:w w:val="95"/>
              </w:rPr>
              <w:t>Address:</w:t>
            </w:r>
          </w:p>
        </w:tc>
        <w:tc>
          <w:tcPr>
            <w:tcW w:w="3820" w:type="dxa"/>
            <w:vAlign w:val="bottom"/>
            <w:tcBorders>
              <w:bottom w:val="single" w:sz="8" w:color="auto"/>
            </w:tcBorders>
          </w:tcPr>
          <w:p>
            <w:pPr>
              <w:spacing w:after="0"/>
              <w:rPr>
                <w:sz w:val="24"/>
                <w:szCs w:val="24"/>
                <w:color w:val="auto"/>
              </w:rPr>
            </w:pPr>
          </w:p>
        </w:tc>
      </w:tr>
      <w:tr>
        <w:trPr>
          <w:trHeight w:val="210"/>
        </w:trPr>
        <w:tc>
          <w:tcPr>
            <w:tcW w:w="3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642"/>
        </w:trPr>
        <w:tc>
          <w:tcPr>
            <w:tcW w:w="3580" w:type="dxa"/>
            <w:vAlign w:val="bottom"/>
          </w:tcPr>
          <w:p>
            <w:pPr>
              <w:spacing w:after="0"/>
              <w:rPr>
                <w:sz w:val="24"/>
                <w:szCs w:val="24"/>
                <w:color w:val="auto"/>
              </w:rPr>
            </w:pPr>
          </w:p>
        </w:tc>
        <w:tc>
          <w:tcPr>
            <w:tcW w:w="6740" w:type="dxa"/>
            <w:vAlign w:val="bottom"/>
            <w:gridSpan w:val="4"/>
          </w:tcPr>
          <w:p>
            <w:pPr>
              <w:ind w:left="218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27, 2008</w:t>
            </w:r>
          </w:p>
        </w:tc>
        <w:tc>
          <w:tcPr>
            <w:tcW w:w="6740" w:type="dxa"/>
            <w:vAlign w:val="bottom"/>
            <w:gridSpan w:val="4"/>
          </w:tcPr>
          <w:p>
            <w:pPr>
              <w:ind w:left="2180"/>
              <w:spacing w:after="0"/>
              <w:rPr>
                <w:sz w:val="20"/>
                <w:szCs w:val="20"/>
                <w:color w:val="auto"/>
              </w:rPr>
            </w:pPr>
            <w:r>
              <w:rPr>
                <w:rFonts w:ascii="Arial" w:cs="Arial" w:eastAsia="Arial" w:hAnsi="Arial"/>
                <w:sz w:val="18"/>
                <w:szCs w:val="18"/>
                <w:color w:val="auto"/>
              </w:rPr>
              <w:t>By: /s/ Christopher C. Richardson</w:t>
            </w:r>
          </w:p>
        </w:tc>
      </w:tr>
      <w:tr>
        <w:trPr>
          <w:trHeight w:val="195"/>
        </w:trPr>
        <w:tc>
          <w:tcPr>
            <w:tcW w:w="3580" w:type="dxa"/>
            <w:vAlign w:val="bottom"/>
          </w:tcPr>
          <w:p>
            <w:pPr>
              <w:spacing w:after="0"/>
              <w:rPr>
                <w:sz w:val="16"/>
                <w:szCs w:val="16"/>
                <w:color w:val="auto"/>
              </w:rPr>
            </w:pPr>
          </w:p>
        </w:tc>
        <w:tc>
          <w:tcPr>
            <w:tcW w:w="2540" w:type="dxa"/>
            <w:vAlign w:val="bottom"/>
          </w:tcPr>
          <w:p>
            <w:pPr>
              <w:ind w:left="2180"/>
              <w:spacing w:after="0"/>
              <w:rPr>
                <w:sz w:val="20"/>
                <w:szCs w:val="20"/>
                <w:color w:val="auto"/>
              </w:rPr>
            </w:pPr>
            <w:r>
              <w:rPr>
                <w:rFonts w:ascii="Arial" w:cs="Arial" w:eastAsia="Arial" w:hAnsi="Arial"/>
                <w:sz w:val="16"/>
                <w:szCs w:val="16"/>
                <w:color w:val="auto"/>
                <w:w w:val="72"/>
              </w:rPr>
              <w:t>Name:</w:t>
            </w:r>
          </w:p>
        </w:tc>
        <w:tc>
          <w:tcPr>
            <w:tcW w:w="380" w:type="dxa"/>
            <w:vAlign w:val="bottom"/>
            <w:tcBorders>
              <w:top w:val="single" w:sz="8" w:color="auto"/>
            </w:tcBorders>
            <w:gridSpan w:val="2"/>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Christopher C. Richardson</w:t>
            </w:r>
          </w:p>
        </w:tc>
      </w:tr>
      <w:tr>
        <w:trPr>
          <w:trHeight w:val="230"/>
        </w:trPr>
        <w:tc>
          <w:tcPr>
            <w:tcW w:w="3580" w:type="dxa"/>
            <w:vAlign w:val="bottom"/>
          </w:tcPr>
          <w:p>
            <w:pPr>
              <w:spacing w:after="0"/>
              <w:rPr>
                <w:sz w:val="20"/>
                <w:szCs w:val="20"/>
                <w:color w:val="auto"/>
              </w:rPr>
            </w:pPr>
          </w:p>
        </w:tc>
        <w:tc>
          <w:tcPr>
            <w:tcW w:w="2920" w:type="dxa"/>
            <w:vAlign w:val="bottom"/>
            <w:gridSpan w:val="3"/>
          </w:tcPr>
          <w:p>
            <w:pPr>
              <w:ind w:left="218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 and Director</w:t>
            </w:r>
          </w:p>
        </w:tc>
      </w:tr>
      <w:tr>
        <w:trPr>
          <w:trHeight w:val="418"/>
        </w:trPr>
        <w:tc>
          <w:tcPr>
            <w:tcW w:w="3580" w:type="dxa"/>
            <w:vAlign w:val="bottom"/>
          </w:tcPr>
          <w:p>
            <w:pPr>
              <w:spacing w:after="0"/>
              <w:rPr>
                <w:sz w:val="24"/>
                <w:szCs w:val="24"/>
                <w:color w:val="auto"/>
              </w:rPr>
            </w:pPr>
          </w:p>
        </w:tc>
        <w:tc>
          <w:tcPr>
            <w:tcW w:w="2920" w:type="dxa"/>
            <w:vAlign w:val="bottom"/>
            <w:gridSpan w:val="3"/>
          </w:tcPr>
          <w:p>
            <w:pPr>
              <w:ind w:left="2180"/>
              <w:spacing w:after="0"/>
              <w:rPr>
                <w:sz w:val="20"/>
                <w:szCs w:val="20"/>
                <w:color w:val="auto"/>
              </w:rPr>
            </w:pPr>
            <w:r>
              <w:rPr>
                <w:rFonts w:ascii="Arial" w:cs="Arial" w:eastAsia="Arial" w:hAnsi="Arial"/>
                <w:sz w:val="18"/>
                <w:szCs w:val="18"/>
                <w:color w:val="auto"/>
              </w:rPr>
              <w:t>Address:</w:t>
            </w:r>
          </w:p>
        </w:tc>
        <w:tc>
          <w:tcPr>
            <w:tcW w:w="3820" w:type="dxa"/>
            <w:vAlign w:val="bottom"/>
          </w:tcPr>
          <w:p>
            <w:pPr>
              <w:spacing w:after="0"/>
              <w:rPr>
                <w:sz w:val="20"/>
                <w:szCs w:val="20"/>
                <w:color w:val="auto"/>
              </w:rPr>
            </w:pPr>
            <w:r>
              <w:rPr>
                <w:rFonts w:ascii="Arial" w:cs="Arial" w:eastAsia="Arial" w:hAnsi="Arial"/>
                <w:sz w:val="18"/>
                <w:szCs w:val="18"/>
                <w:color w:val="auto"/>
              </w:rPr>
              <w:t>3300 West Camelback Road</w:t>
            </w: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Phoenix, Arizona 85017</w:t>
            </w:r>
          </w:p>
        </w:tc>
      </w:tr>
      <w:tr>
        <w:trPr>
          <w:trHeight w:val="621"/>
        </w:trPr>
        <w:tc>
          <w:tcPr>
            <w:tcW w:w="3580" w:type="dxa"/>
            <w:vAlign w:val="bottom"/>
          </w:tcPr>
          <w:p>
            <w:pPr>
              <w:spacing w:after="0"/>
              <w:rPr>
                <w:sz w:val="24"/>
                <w:szCs w:val="24"/>
                <w:color w:val="auto"/>
              </w:rPr>
            </w:pPr>
          </w:p>
        </w:tc>
        <w:tc>
          <w:tcPr>
            <w:tcW w:w="2540" w:type="dxa"/>
            <w:vAlign w:val="bottom"/>
          </w:tcPr>
          <w:p>
            <w:pPr>
              <w:ind w:left="20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0980"/>
          </w:cols>
          <w:pgMar w:left="240" w:top="936" w:right="67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June 25, 2008,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Brian E. Mueller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parties agree as follows:</w:t>
      </w:r>
    </w:p>
    <w:p>
      <w:pPr>
        <w:spacing w:after="0" w:line="117" w:lineRule="exact"/>
        <w:rPr>
          <w:sz w:val="20"/>
          <w:szCs w:val="20"/>
          <w:color w:val="auto"/>
        </w:rPr>
      </w:pPr>
    </w:p>
    <w:p>
      <w:pPr>
        <w:ind w:left="420" w:hanging="187"/>
        <w:spacing w:after="0"/>
        <w:tabs>
          <w:tab w:leader="none" w:pos="42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hereby employs Executive, and Executive hereby accepts such employment, upon the terms and conditions set forth herein.</w:t>
      </w:r>
    </w:p>
    <w:p>
      <w:pPr>
        <w:spacing w:after="0" w:line="140" w:lineRule="exact"/>
        <w:rPr>
          <w:rFonts w:ascii="Arial" w:cs="Arial" w:eastAsia="Arial" w:hAnsi="Arial"/>
          <w:sz w:val="16"/>
          <w:szCs w:val="16"/>
          <w:color w:val="auto"/>
        </w:rPr>
      </w:pPr>
    </w:p>
    <w:p>
      <w:pPr>
        <w:ind w:left="420" w:hanging="187"/>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Chief Executive Officer and shall have the duties and responsibilities assigned by the Company’s Executive Chairman and Board of Directors both upon initial hire and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79"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Board of Directors’ in advance of Executive’s intent to engage in other paid work and receives Board of Directors’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81"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62" w:lineRule="exact"/>
        <w:rPr>
          <w:sz w:val="20"/>
          <w:szCs w:val="20"/>
          <w:color w:val="auto"/>
        </w:rPr>
      </w:pPr>
    </w:p>
    <w:p>
      <w:pPr>
        <w:ind w:left="420" w:hanging="187"/>
        <w:spacing w:after="0"/>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Term</w:t>
      </w:r>
      <w:r>
        <w:rPr>
          <w:rFonts w:ascii="Arial" w:cs="Arial" w:eastAsia="Arial" w:hAnsi="Arial"/>
          <w:sz w:val="16"/>
          <w:szCs w:val="16"/>
          <w:color w:val="auto"/>
        </w:rPr>
        <w:t>. The employment relationship pursuant to this Agreement shall be for an initial term commencing on July 1, 2008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continuing for a period of four (4) years following such date (“</w:t>
      </w:r>
      <w:r>
        <w:rPr>
          <w:rFonts w:ascii="Arial" w:cs="Arial" w:eastAsia="Arial" w:hAnsi="Arial"/>
          <w:sz w:val="16"/>
          <w:szCs w:val="16"/>
          <w:u w:val="single" w:color="auto"/>
          <w:color w:val="auto"/>
        </w:rPr>
        <w:t>Initial Term</w:t>
      </w:r>
      <w:r>
        <w:rPr>
          <w:rFonts w:ascii="Arial" w:cs="Arial" w:eastAsia="Arial" w:hAnsi="Arial"/>
          <w:sz w:val="16"/>
          <w:szCs w:val="16"/>
          <w:color w:val="auto"/>
        </w:rPr>
        <w:t>”), unless sooner terminated in accordance with section 7 below.</w:t>
      </w:r>
    </w:p>
    <w:p>
      <w:pPr>
        <w:spacing w:after="0" w:line="16"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On expiration of the Initial Term specified in subsection 3.1 above, this Agreement will automatically renew for subsequent one (1)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unless either party provides thirty (30) days’ advance written notice to the other that the Company or Executive does not wish to renew the Agreement for subsequent Renewal Term. In the event either party gives notice of nonrenewal pursuant to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3" w:name="page224"/>
    <w:bookmarkEnd w:id="223"/>
    <w:p>
      <w:pPr>
        <w:ind w:right="20"/>
        <w:spacing w:after="0" w:line="277" w:lineRule="auto"/>
        <w:rPr>
          <w:sz w:val="20"/>
          <w:szCs w:val="20"/>
          <w:color w:val="auto"/>
        </w:rPr>
      </w:pPr>
      <w:r>
        <w:rPr>
          <w:rFonts w:ascii="Arial" w:cs="Arial" w:eastAsia="Arial" w:hAnsi="Arial"/>
          <w:sz w:val="18"/>
          <w:szCs w:val="18"/>
          <w:color w:val="auto"/>
        </w:rPr>
        <w:t>subsection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62" w:lineRule="exact"/>
        <w:rPr>
          <w:sz w:val="20"/>
          <w:szCs w:val="20"/>
          <w:color w:val="auto"/>
        </w:rPr>
      </w:pPr>
    </w:p>
    <w:p>
      <w:pPr>
        <w:ind w:left="420" w:hanging="187"/>
        <w:spacing w:after="0"/>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the Company shall pay to Executive an initial Base Salary at the rate of Five-Hundred Thousand Dollars ($500,000.00)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85"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For the fiscal year of the Company ending December 31, 2008, and provided Executive remains employed with the Company as of such date, Executive will be eligible to receive a bonus equal to Two-Hundred Fifty Thousand Dollars ($250,000.00). Thereafter, Executive will be eligible to earn incentive compensation in the form of an annual bonus for each fiscal year of the Company with a target amount of one hundred percent (100%) of Executive’s Base Salary. The Compensation Committee will determine the actual amount of the bonus earned for any year, which may be more than one hundred percent (100%) of Executive’s Base Salary, and will base such determination upon both the Company’s achievement of overall performance metrics for the year and Executive’s achievement of individual performance metrics as agreed upon by the Compensation Committee and the Executive. Bonus amounts, if any, are to be awarded annually and payment shall be made within two and one-half months following the end of the applicable Company fiscal year.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Stock Options</w:t>
      </w:r>
      <w:r>
        <w:rPr>
          <w:rFonts w:ascii="Arial" w:cs="Arial" w:eastAsia="Arial" w:hAnsi="Arial"/>
          <w:sz w:val="16"/>
          <w:szCs w:val="16"/>
          <w:color w:val="auto"/>
        </w:rPr>
        <w:t>. Upon approval by Compensation Committee, Executive will be granted immediately prior to the Company’s intended initial public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offering (the “</w:t>
      </w:r>
      <w:r>
        <w:rPr>
          <w:rFonts w:ascii="Arial" w:cs="Arial" w:eastAsia="Arial" w:hAnsi="Arial"/>
          <w:sz w:val="17"/>
          <w:szCs w:val="17"/>
          <w:u w:val="single" w:color="auto"/>
          <w:color w:val="auto"/>
        </w:rPr>
        <w:t>IPO</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shares of the Company’s Common Stock under the Company’s 2008 Equity Incentive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at an exercise price per share equal to the IPO offering price per share. The number of shares subject to such Option shall be equal to 2.5% of the sum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the number of shares of Common Stock of the Company issued and outstanding as of the date of grant of the Option, plus (b) the number of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issued in connection with the IPO as set forth in the agreement between the Company and the underwriters of the IPO (but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any “Green Shoe” or “overallotment” option that may become exercisable by the underwriters), plus (c) the number of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to be issued upon conversion of the Company’s outstanding shares of preferred stock in connection with the IPO. Subject to Executive’s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employment, the Option will vest and become exercisable in five equal annual installments (each, an “</w:t>
      </w:r>
      <w:r>
        <w:rPr>
          <w:rFonts w:ascii="Arial" w:cs="Arial" w:eastAsia="Arial" w:hAnsi="Arial"/>
          <w:sz w:val="17"/>
          <w:szCs w:val="17"/>
          <w:u w:val="single" w:color="auto"/>
          <w:color w:val="auto"/>
        </w:rPr>
        <w:t>Annual Installment</w:t>
      </w:r>
      <w:r>
        <w:rPr>
          <w:rFonts w:ascii="Arial" w:cs="Arial" w:eastAsia="Arial" w:hAnsi="Arial"/>
          <w:sz w:val="17"/>
          <w:szCs w:val="17"/>
          <w:color w:val="auto"/>
        </w:rPr>
        <w:t>”) over a five (5) year period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beginning on the grant date. The Option will be subject to the terms and conditions of the Plan and a form of stock option agreement specified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which Executive will be required to sign as a condition of retaining the Option. Executive may be eligible for future grants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sole discretion of the Compensation Committee.</w:t>
      </w:r>
    </w:p>
    <w:p>
      <w:pPr>
        <w:spacing w:after="0" w:line="103"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Stock Grant</w:t>
      </w:r>
      <w:r>
        <w:rPr>
          <w:rFonts w:ascii="Arial" w:cs="Arial" w:eastAsia="Arial" w:hAnsi="Arial"/>
          <w:sz w:val="18"/>
          <w:szCs w:val="18"/>
          <w:color w:val="auto"/>
        </w:rPr>
        <w:t>. Upon approval by Compensation Committee, Executive will be granted immediately prior to the Company’s intended IPO shares of the Company’s Common Stock under the Plan (the “</w:t>
      </w:r>
      <w:r>
        <w:rPr>
          <w:rFonts w:ascii="Arial" w:cs="Arial" w:eastAsia="Arial" w:hAnsi="Arial"/>
          <w:sz w:val="18"/>
          <w:szCs w:val="18"/>
          <w:u w:val="single" w:color="auto"/>
          <w:color w:val="auto"/>
        </w:rPr>
        <w:t>Stock Grant</w:t>
      </w:r>
      <w:r>
        <w:rPr>
          <w:rFonts w:ascii="Arial" w:cs="Arial" w:eastAsia="Arial" w:hAnsi="Arial"/>
          <w:sz w:val="18"/>
          <w:szCs w:val="18"/>
          <w:color w:val="auto"/>
        </w:rPr>
        <w:t>”). The number of shares subject to such Stock Grant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color w:val="auto"/>
        </w:rPr>
        <w:t>shall be equal to 0.25% of the sum of (a) the number of shares of Common Stock of the Company issued and outstanding as of the date of stock grant, plus</w:t>
      </w:r>
    </w:p>
    <w:p>
      <w:pPr>
        <w:spacing w:after="0" w:line="46" w:lineRule="exact"/>
        <w:rPr>
          <w:sz w:val="20"/>
          <w:szCs w:val="20"/>
          <w:color w:val="auto"/>
        </w:rPr>
      </w:pPr>
    </w:p>
    <w:p>
      <w:pPr>
        <w:ind w:firstLine="8"/>
        <w:spacing w:after="0" w:line="270" w:lineRule="auto"/>
        <w:tabs>
          <w:tab w:leader="none" w:pos="2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number of shares of Common Stock to be issued in connection with the IPO as set forth in the agreement between the Company and the underwriters of the IPO (but without giving effect to any “Green Shoe” or “overallotment” option that may become exercisable by the underwriters), plus (c) the number of shares of Common Stock to be issued upon conversion of the Company’s outstanding shares of preferred stock in connection with the IPO. The shares subject to the Stock Grant shall be fully vested upon grant. The Stock Grant will be subject to the terms and conditions of the Plan and a form of stock grant agreement specified by the Compensation Committee, which Executive will be required to sign as a condition of retaining the Stock Grant. Executive may be eligible for future stock grants at the sole discretion of the Compensation Committee.</w:t>
      </w:r>
    </w:p>
    <w:p>
      <w:pPr>
        <w:spacing w:after="0" w:line="71"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Directed Shares</w:t>
      </w:r>
      <w:r>
        <w:rPr>
          <w:rFonts w:ascii="Arial" w:cs="Arial" w:eastAsia="Arial" w:hAnsi="Arial"/>
          <w:sz w:val="18"/>
          <w:szCs w:val="18"/>
          <w:color w:val="auto"/>
        </w:rPr>
        <w:t>. Subject to its establishment, Executive shall be entitled to participate in the Company’s IPO directed share program in accordance with its terms and on substantially the same basis as other executive officers of the Company.</w:t>
      </w:r>
    </w:p>
    <w:p>
      <w:pPr>
        <w:spacing w:after="0" w:line="62" w:lineRule="exact"/>
        <w:rPr>
          <w:sz w:val="20"/>
          <w:szCs w:val="20"/>
          <w:color w:val="auto"/>
        </w:rPr>
      </w:pPr>
    </w:p>
    <w:p>
      <w:pPr>
        <w:jc w:val="both"/>
        <w:ind w:right="520" w:firstLine="233"/>
        <w:spacing w:after="0" w:line="264" w:lineRule="auto"/>
        <w:tabs>
          <w:tab w:leader="none" w:pos="40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73" w:lineRule="exact"/>
        <w:rPr>
          <w:rFonts w:ascii="Arial" w:cs="Arial" w:eastAsia="Arial" w:hAnsi="Arial"/>
          <w:sz w:val="18"/>
          <w:szCs w:val="18"/>
          <w:color w:val="auto"/>
        </w:rPr>
      </w:pPr>
    </w:p>
    <w:p>
      <w:pPr>
        <w:ind w:right="20" w:firstLine="233"/>
        <w:spacing w:after="0" w:line="257" w:lineRule="auto"/>
        <w:tabs>
          <w:tab w:leader="none" w:pos="40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80" w:lineRule="exact"/>
        <w:rPr>
          <w:rFonts w:ascii="Arial" w:cs="Arial" w:eastAsia="Arial" w:hAnsi="Arial"/>
          <w:sz w:val="18"/>
          <w:szCs w:val="18"/>
          <w:color w:val="auto"/>
        </w:rPr>
      </w:pPr>
    </w:p>
    <w:p>
      <w:pPr>
        <w:ind w:left="420" w:hanging="187"/>
        <w:spacing w:after="0"/>
        <w:tabs>
          <w:tab w:leader="none" w:pos="4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for Cause by Company</w:t>
      </w:r>
      <w:r>
        <w:rPr>
          <w:rFonts w:ascii="Arial" w:cs="Arial" w:eastAsia="Arial" w:hAnsi="Arial"/>
          <w:sz w:val="16"/>
          <w:szCs w:val="16"/>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5" w:name="page226"/>
    <w:bookmarkEnd w:id="225"/>
    <w:p>
      <w:pPr>
        <w:ind w:right="40"/>
        <w:spacing w:after="0" w:line="257" w:lineRule="auto"/>
        <w:rPr>
          <w:sz w:val="20"/>
          <w:szCs w:val="20"/>
          <w:color w:val="auto"/>
        </w:rPr>
      </w:pPr>
      <w:r>
        <w:rPr>
          <w:rFonts w:ascii="Arial" w:cs="Arial" w:eastAsia="Arial" w:hAnsi="Arial"/>
          <w:sz w:val="18"/>
          <w:szCs w:val="18"/>
          <w:color w:val="auto"/>
        </w:rPr>
        <w:t>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80" w:lineRule="exact"/>
        <w:rPr>
          <w:sz w:val="20"/>
          <w:szCs w:val="20"/>
          <w:color w:val="auto"/>
        </w:rPr>
      </w:pPr>
    </w:p>
    <w:p>
      <w:pPr>
        <w:jc w:val="both"/>
        <w:ind w:right="20" w:firstLine="450"/>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 Without Cause by Company/Severance</w:t>
      </w:r>
      <w:r>
        <w:rPr>
          <w:rFonts w:ascii="Arial" w:cs="Arial" w:eastAsia="Arial" w:hAnsi="Arial"/>
          <w:sz w:val="16"/>
          <w:szCs w:val="16"/>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6"/>
          <w:szCs w:val="16"/>
          <w:u w:val="single" w:color="auto"/>
          <w:color w:val="auto"/>
        </w:rPr>
        <w:t>Severance Package</w:t>
      </w:r>
      <w:r>
        <w:rPr>
          <w:rFonts w:ascii="Arial" w:cs="Arial" w:eastAsia="Arial" w:hAnsi="Arial"/>
          <w:sz w:val="16"/>
          <w:szCs w:val="16"/>
          <w:color w:val="auto"/>
        </w:rPr>
        <w:t>” that shall include (a) a severance payment equivalent to twelve</w:t>
      </w:r>
    </w:p>
    <w:p>
      <w:pPr>
        <w:ind w:right="20" w:firstLine="8"/>
        <w:spacing w:after="0" w:line="267" w:lineRule="auto"/>
        <w:tabs>
          <w:tab w:leader="none" w:pos="3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months of Executive’s Base Salary then in effect on the date of termination, payable in accordance with the Company’s regular payroll cycle commencing with the first payroll date occurring on or after the 60th day following the date of Executive’s termination of employment,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provided that Executive timely elects to continue and remains eligible for these benefits under COBRA, and does not become eligible for health coverage through another employer during this period, and (c) acceleration of the vesting of the Annual Installment under the Option that would otherwise have vested on the next vesting date following the termination of Executive’s employment.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79"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Reason/Severance</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6" w:name="page227"/>
    <w:bookmarkEnd w:id="226"/>
    <w:p>
      <w:pPr>
        <w:ind w:right="80"/>
        <w:spacing w:after="0" w:line="277" w:lineRule="auto"/>
        <w:rPr>
          <w:sz w:val="20"/>
          <w:szCs w:val="20"/>
          <w:color w:val="auto"/>
        </w:rPr>
      </w:pPr>
      <w:r>
        <w:rPr>
          <w:rFonts w:ascii="Arial" w:cs="Arial" w:eastAsia="Arial" w:hAnsi="Arial"/>
          <w:sz w:val="18"/>
          <w:szCs w:val="18"/>
          <w:color w:val="auto"/>
        </w:rPr>
        <w:t>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62"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17" w:lineRule="exact"/>
        <w:rPr>
          <w:sz w:val="20"/>
          <w:szCs w:val="20"/>
          <w:color w:val="auto"/>
        </w:rPr>
      </w:pPr>
    </w:p>
    <w:p>
      <w:pPr>
        <w:ind w:right="60" w:firstLine="683"/>
        <w:spacing w:after="0" w:line="273" w:lineRule="auto"/>
        <w:tabs>
          <w:tab w:leader="none" w:pos="92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Severance Payment; Option Vesting Acceleration</w:t>
      </w:r>
      <w:r>
        <w:rPr>
          <w:rFonts w:ascii="Arial" w:cs="Arial" w:eastAsia="Arial" w:hAnsi="Arial"/>
          <w:sz w:val="17"/>
          <w:szCs w:val="17"/>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the Option and any other stock options granted to Executive by the Company shall vest in full as of the date of such termination of employment, provided Executive complies with the conditions described in subsection 7.2 above.</w:t>
      </w:r>
    </w:p>
    <w:p>
      <w:pPr>
        <w:spacing w:after="0" w:line="70" w:lineRule="exact"/>
        <w:rPr>
          <w:rFonts w:ascii="Arial" w:cs="Arial" w:eastAsia="Arial" w:hAnsi="Arial"/>
          <w:sz w:val="17"/>
          <w:szCs w:val="17"/>
          <w:color w:val="auto"/>
        </w:rPr>
      </w:pPr>
    </w:p>
    <w:p>
      <w:pPr>
        <w:ind w:right="140" w:firstLine="683"/>
        <w:spacing w:after="0" w:line="279" w:lineRule="auto"/>
        <w:tabs>
          <w:tab w:leader="none" w:pos="93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Parachute Payments</w:t>
      </w:r>
      <w:r>
        <w:rPr>
          <w:rFonts w:ascii="Arial" w:cs="Arial" w:eastAsia="Arial" w:hAnsi="Arial"/>
          <w:sz w:val="17"/>
          <w:szCs w:val="17"/>
          <w:color w:val="auto"/>
        </w:rPr>
        <w:t>. If, due to the benefits provided under subsection 7.5(a) and any other payments or benefits, Executive would be subject to any excise tax pursuant to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due to characterization of any such amounts as excess parachute payments pursuant to Section 280G of the Code, the amounts payable under subsection 7.5(a) will be reduced (to the least extent possible) in order to avoid any “excess parachute payment” under Section 280G(b)(1) of the Code.</w:t>
      </w:r>
    </w:p>
    <w:p>
      <w:pPr>
        <w:spacing w:after="0" w:line="63" w:lineRule="exact"/>
        <w:rPr>
          <w:rFonts w:ascii="Arial" w:cs="Arial" w:eastAsia="Arial" w:hAnsi="Arial"/>
          <w:sz w:val="17"/>
          <w:szCs w:val="17"/>
          <w:color w:val="auto"/>
        </w:rPr>
      </w:pPr>
    </w:p>
    <w:p>
      <w:pPr>
        <w:ind w:left="920" w:hanging="237"/>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ind w:firstLine="908"/>
        <w:spacing w:after="0" w:line="271" w:lineRule="auto"/>
        <w:tabs>
          <w:tab w:leader="none" w:pos="110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stockholders of the Company in substantially the same proportions as their ownership of the voting securities of the Company; or</w:t>
      </w:r>
    </w:p>
    <w:p>
      <w:pPr>
        <w:spacing w:after="0" w:line="117" w:lineRule="exact"/>
        <w:rPr>
          <w:sz w:val="20"/>
          <w:szCs w:val="20"/>
          <w:color w:val="auto"/>
        </w:rPr>
      </w:pPr>
    </w:p>
    <w:p>
      <w:pPr>
        <w:ind w:right="320" w:firstLine="908"/>
        <w:spacing w:after="0" w:line="277" w:lineRule="auto"/>
        <w:tabs>
          <w:tab w:leader="none" w:pos="11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62" w:lineRule="exact"/>
        <w:rPr>
          <w:rFonts w:ascii="Arial" w:cs="Arial" w:eastAsia="Arial" w:hAnsi="Arial"/>
          <w:sz w:val="18"/>
          <w:szCs w:val="18"/>
          <w:color w:val="auto"/>
        </w:rPr>
      </w:pPr>
    </w:p>
    <w:p>
      <w:pPr>
        <w:jc w:val="both"/>
        <w:ind w:right="220" w:firstLine="908"/>
        <w:spacing w:after="0" w:line="259" w:lineRule="auto"/>
        <w:tabs>
          <w:tab w:leader="none" w:pos="12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78" w:lineRule="exact"/>
        <w:rPr>
          <w:rFonts w:ascii="Arial" w:cs="Arial" w:eastAsia="Arial" w:hAnsi="Arial"/>
          <w:sz w:val="18"/>
          <w:szCs w:val="18"/>
          <w:color w:val="auto"/>
        </w:rPr>
      </w:pPr>
    </w:p>
    <w:p>
      <w:pPr>
        <w:ind w:left="1220" w:hanging="312"/>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17" w:lineRule="exact"/>
        <w:rPr>
          <w:sz w:val="20"/>
          <w:szCs w:val="20"/>
          <w:color w:val="auto"/>
        </w:rPr>
      </w:pPr>
    </w:p>
    <w:p>
      <w:pPr>
        <w:ind w:right="140" w:firstLine="450"/>
        <w:spacing w:after="0" w:line="27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64"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90" w:lineRule="auto"/>
        <w:tabs>
          <w:tab w:leader="none" w:pos="9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subsection, become payable prior to the Delayed Payment Date will be accumulated and paid on the Delayed Payment Date.</w:t>
      </w:r>
    </w:p>
    <w:p>
      <w:pPr>
        <w:spacing w:after="0" w:line="58" w:lineRule="exact"/>
        <w:rPr>
          <w:rFonts w:ascii="Arial" w:cs="Arial" w:eastAsia="Arial" w:hAnsi="Arial"/>
          <w:sz w:val="16"/>
          <w:szCs w:val="16"/>
          <w:color w:val="auto"/>
        </w:rPr>
      </w:pPr>
    </w:p>
    <w:p>
      <w:pPr>
        <w:jc w:val="both"/>
        <w:ind w:right="240" w:firstLine="683"/>
        <w:spacing w:after="0" w:line="291" w:lineRule="auto"/>
        <w:tabs>
          <w:tab w:leader="none" w:pos="92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w:t>
      </w:r>
    </w:p>
    <w:p>
      <w:pPr>
        <w:spacing w:after="0"/>
        <w:rPr>
          <w:rFonts w:ascii="Arial" w:cs="Arial" w:eastAsia="Arial" w:hAnsi="Arial"/>
          <w:sz w:val="16"/>
          <w:szCs w:val="16"/>
          <w:color w:val="auto"/>
        </w:rPr>
      </w:pPr>
      <w:r>
        <w:rPr>
          <w:rFonts w:ascii="Arial" w:cs="Arial" w:eastAsia="Arial" w:hAnsi="Arial"/>
          <w:sz w:val="18"/>
          <w:szCs w:val="18"/>
          <w:b w:val="1"/>
          <w:bCs w:val="1"/>
          <w:color w:val="auto"/>
        </w:rPr>
        <w:t>However, the Company does not guarantee any particular tax effect for income provided to Executive pursuant to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8" w:name="page229"/>
    <w:bookmarkEnd w:id="228"/>
    <w:p>
      <w:pPr>
        <w:ind w:right="4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the Company’s responsibility to withhold applicable income and employment taxes from compensation paid or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the Company shall not be responsible for the payment of any applicable taxes incurred by Executive on compensation paid or provided to Executive pursuant to this Agreement.</w:t>
      </w:r>
    </w:p>
    <w:p>
      <w:pPr>
        <w:spacing w:after="0" w:line="72" w:lineRule="exact"/>
        <w:rPr>
          <w:sz w:val="20"/>
          <w:szCs w:val="20"/>
          <w:color w:val="auto"/>
        </w:rPr>
      </w:pPr>
    </w:p>
    <w:p>
      <w:pPr>
        <w:ind w:right="20" w:firstLine="233"/>
        <w:spacing w:after="0" w:line="255" w:lineRule="auto"/>
        <w:tabs>
          <w:tab w:leader="none" w:pos="40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85" w:lineRule="exact"/>
        <w:rPr>
          <w:rFonts w:ascii="Arial" w:cs="Arial" w:eastAsia="Arial" w:hAnsi="Arial"/>
          <w:sz w:val="18"/>
          <w:szCs w:val="18"/>
          <w:color w:val="auto"/>
        </w:rPr>
      </w:pPr>
    </w:p>
    <w:p>
      <w:pPr>
        <w:ind w:right="580" w:firstLine="233"/>
        <w:spacing w:after="0" w:line="277" w:lineRule="auto"/>
        <w:tabs>
          <w:tab w:leader="none" w:pos="40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62" w:lineRule="exact"/>
        <w:rPr>
          <w:sz w:val="20"/>
          <w:szCs w:val="20"/>
          <w:color w:val="auto"/>
        </w:rPr>
      </w:pPr>
    </w:p>
    <w:p>
      <w:pPr>
        <w:jc w:val="both"/>
        <w:ind w:right="20" w:firstLine="450"/>
        <w:spacing w:after="0" w:line="302" w:lineRule="auto"/>
        <w:rPr>
          <w:sz w:val="20"/>
          <w:szCs w:val="20"/>
          <w:color w:val="auto"/>
        </w:rPr>
      </w:pPr>
      <w:r>
        <w:rPr>
          <w:rFonts w:ascii="Arial" w:cs="Arial" w:eastAsia="Arial" w:hAnsi="Arial"/>
          <w:sz w:val="16"/>
          <w:szCs w:val="16"/>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46"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5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9.3 During the Term of Executive’s employment with the Company and after the termination thereof, neither Executive nor the Company will disparage each other, or the Company’s products, services, agents or employees.</w:t>
      </w:r>
    </w:p>
    <w:p>
      <w:pPr>
        <w:spacing w:after="0" w:line="6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9" w:name="page230"/>
    <w:bookmarkEnd w:id="229"/>
    <w:p>
      <w:pPr>
        <w:ind w:right="720" w:firstLine="233"/>
        <w:spacing w:after="0" w:line="277" w:lineRule="auto"/>
        <w:tabs>
          <w:tab w:leader="none" w:pos="49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the Company’s Employee Nondisclosure and Assignment Agreement, which is provided with this Agreement and incorporated herein by reference.</w:t>
      </w:r>
    </w:p>
    <w:p>
      <w:pPr>
        <w:spacing w:after="0" w:line="62" w:lineRule="exact"/>
        <w:rPr>
          <w:rFonts w:ascii="Arial" w:cs="Arial" w:eastAsia="Arial" w:hAnsi="Arial"/>
          <w:sz w:val="18"/>
          <w:szCs w:val="18"/>
          <w:color w:val="auto"/>
        </w:rPr>
      </w:pPr>
    </w:p>
    <w:p>
      <w:pPr>
        <w:ind w:right="20" w:firstLine="233"/>
        <w:spacing w:after="0" w:line="268" w:lineRule="auto"/>
        <w:tabs>
          <w:tab w:leader="none" w:pos="488"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Non-Competition; Nonsolicitation of Company’s Employees</w:t>
      </w:r>
      <w:r>
        <w:rPr>
          <w:rFonts w:ascii="Arial" w:cs="Arial" w:eastAsia="Arial" w:hAnsi="Arial"/>
          <w:sz w:val="17"/>
          <w:szCs w:val="17"/>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72" w:lineRule="exact"/>
        <w:rPr>
          <w:rFonts w:ascii="Arial" w:cs="Arial" w:eastAsia="Arial" w:hAnsi="Arial"/>
          <w:sz w:val="17"/>
          <w:szCs w:val="17"/>
          <w:color w:val="auto"/>
        </w:rPr>
      </w:pPr>
    </w:p>
    <w:p>
      <w:pPr>
        <w:ind w:right="100" w:firstLine="233"/>
        <w:spacing w:after="0" w:line="279" w:lineRule="auto"/>
        <w:tabs>
          <w:tab w:leader="none" w:pos="495"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Executive acknowledges that Executive’s breach of the covenants contained in sections 9-11 hereof (collectively “</w:t>
      </w:r>
      <w:r>
        <w:rPr>
          <w:rFonts w:ascii="Arial" w:cs="Arial" w:eastAsia="Arial" w:hAnsi="Arial"/>
          <w:sz w:val="17"/>
          <w:szCs w:val="17"/>
          <w:u w:val="single" w:color="auto"/>
          <w:color w:val="auto"/>
        </w:rPr>
        <w:t>Covenants</w:t>
      </w:r>
      <w:r>
        <w:rPr>
          <w:rFonts w:ascii="Arial" w:cs="Arial" w:eastAsia="Arial" w:hAnsi="Arial"/>
          <w:sz w:val="17"/>
          <w:szCs w:val="17"/>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63" w:lineRule="exact"/>
        <w:rPr>
          <w:rFonts w:ascii="Arial" w:cs="Arial" w:eastAsia="Arial" w:hAnsi="Arial"/>
          <w:sz w:val="17"/>
          <w:szCs w:val="17"/>
          <w:color w:val="auto"/>
        </w:rPr>
      </w:pPr>
    </w:p>
    <w:p>
      <w:pPr>
        <w:ind w:left="500" w:hanging="267"/>
        <w:spacing w:after="0"/>
        <w:tabs>
          <w:tab w:leader="none" w:pos="5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13.1 During the Term of Executive’s employment hereunder, Executive will be covered by the Company’s director and officer insurance policy to the same extent as all other senior executive officers of the Company</w:t>
      </w:r>
    </w:p>
    <w:p>
      <w:pPr>
        <w:spacing w:after="0" w:line="6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0" w:name="page231"/>
    <w:bookmarkEnd w:id="230"/>
    <w:p>
      <w:pPr>
        <w:ind w:left="500" w:hanging="267"/>
        <w:spacing w:after="0"/>
        <w:tabs>
          <w:tab w:leader="none" w:pos="5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4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6"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62"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62" w:lineRule="exact"/>
        <w:rPr>
          <w:sz w:val="20"/>
          <w:szCs w:val="20"/>
          <w:color w:val="auto"/>
        </w:rPr>
      </w:pPr>
    </w:p>
    <w:p>
      <w:pPr>
        <w:ind w:right="160" w:firstLine="450"/>
        <w:spacing w:after="0" w:line="279"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63"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80" w:lineRule="exact"/>
        <w:rPr>
          <w:sz w:val="20"/>
          <w:szCs w:val="20"/>
          <w:color w:val="auto"/>
        </w:rPr>
      </w:pPr>
    </w:p>
    <w:p>
      <w:pPr>
        <w:ind w:right="160" w:firstLine="450"/>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63"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Survival</w:t>
      </w:r>
      <w:r>
        <w:rPr>
          <w:rFonts w:ascii="Arial" w:cs="Arial" w:eastAsia="Arial" w:hAnsi="Arial"/>
          <w:sz w:val="18"/>
          <w:szCs w:val="18"/>
          <w:color w:val="auto"/>
        </w:rPr>
        <w:t>. Sections 9 (“Other Covenants”), 10 (“Confidentiality and Proprietary Rights”), 11 (“Non-Competition; Nonsolicitation”), 12 (“Injunctive Relief”),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auto"/>
        </w:rPr>
        <w:t>13 (“General Provisions”) and 14 (“Entire Agreement”) of this Agreement shall survive termination of Executive’s employment with the Company.</w:t>
      </w:r>
    </w:p>
    <w:p>
      <w:pPr>
        <w:spacing w:after="0" w:line="129" w:lineRule="exact"/>
        <w:rPr>
          <w:sz w:val="20"/>
          <w:szCs w:val="20"/>
          <w:color w:val="auto"/>
        </w:rPr>
      </w:pPr>
    </w:p>
    <w:p>
      <w:pPr>
        <w:ind w:firstLine="233"/>
        <w:spacing w:after="0" w:line="276" w:lineRule="auto"/>
        <w:tabs>
          <w:tab w:leader="none" w:pos="495"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Employee Nondisclosure and Assignment Agreement incorporated herein by reference and the Company’s 2008 Equity Incentive Plan and related option and stock grant documents described in Section 4.2 and Section 4.4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6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740" w:type="dxa"/>
            <w:vAlign w:val="bottom"/>
            <w:gridSpan w:val="4"/>
          </w:tcPr>
          <w:p>
            <w:pPr>
              <w:ind w:left="2220"/>
              <w:spacing w:after="0"/>
              <w:rPr>
                <w:sz w:val="20"/>
                <w:szCs w:val="20"/>
                <w:color w:val="auto"/>
              </w:rPr>
            </w:pPr>
            <w:r>
              <w:rPr>
                <w:rFonts w:ascii="Arial" w:cs="Arial" w:eastAsia="Arial" w:hAnsi="Arial"/>
                <w:sz w:val="18"/>
                <w:szCs w:val="18"/>
                <w:b w:val="1"/>
                <w:bCs w:val="1"/>
                <w:color w:val="auto"/>
              </w:rPr>
              <w:t>BRIAN E. MUELLER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25, 2008</w:t>
            </w:r>
          </w:p>
        </w:tc>
        <w:tc>
          <w:tcPr>
            <w:tcW w:w="6740" w:type="dxa"/>
            <w:vAlign w:val="bottom"/>
            <w:gridSpan w:val="4"/>
          </w:tcPr>
          <w:p>
            <w:pPr>
              <w:ind w:left="2220"/>
              <w:spacing w:after="0"/>
              <w:rPr>
                <w:sz w:val="20"/>
                <w:szCs w:val="20"/>
                <w:color w:val="auto"/>
              </w:rPr>
            </w:pPr>
            <w:r>
              <w:rPr>
                <w:rFonts w:ascii="Arial" w:cs="Arial" w:eastAsia="Arial" w:hAnsi="Arial"/>
                <w:sz w:val="18"/>
                <w:szCs w:val="18"/>
                <w:color w:val="auto"/>
              </w:rPr>
              <w:t>By: /s/ Brian E. Mueller</w:t>
            </w:r>
          </w:p>
        </w:tc>
      </w:tr>
      <w:tr>
        <w:trPr>
          <w:trHeight w:val="20"/>
        </w:trPr>
        <w:tc>
          <w:tcPr>
            <w:tcW w:w="3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r>
      <w:tr>
        <w:trPr>
          <w:trHeight w:val="412"/>
        </w:trPr>
        <w:tc>
          <w:tcPr>
            <w:tcW w:w="3580" w:type="dxa"/>
            <w:vAlign w:val="bottom"/>
          </w:tcPr>
          <w:p>
            <w:pPr>
              <w:spacing w:after="0"/>
              <w:rPr>
                <w:sz w:val="24"/>
                <w:szCs w:val="24"/>
                <w:color w:val="auto"/>
              </w:rPr>
            </w:pPr>
          </w:p>
        </w:tc>
        <w:tc>
          <w:tcPr>
            <w:tcW w:w="2880" w:type="dxa"/>
            <w:vAlign w:val="bottom"/>
            <w:gridSpan w:val="2"/>
          </w:tcPr>
          <w:p>
            <w:pPr>
              <w:ind w:left="2220"/>
              <w:spacing w:after="0"/>
              <w:rPr>
                <w:sz w:val="20"/>
                <w:szCs w:val="20"/>
                <w:color w:val="auto"/>
              </w:rPr>
            </w:pPr>
            <w:r>
              <w:rPr>
                <w:rFonts w:ascii="Arial" w:cs="Arial" w:eastAsia="Arial" w:hAnsi="Arial"/>
                <w:sz w:val="18"/>
                <w:szCs w:val="18"/>
                <w:color w:val="auto"/>
                <w:w w:val="90"/>
              </w:rPr>
              <w:t>Address:</w:t>
            </w:r>
          </w:p>
        </w:tc>
        <w:tc>
          <w:tcPr>
            <w:tcW w:w="4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10"/>
        </w:trPr>
        <w:tc>
          <w:tcPr>
            <w:tcW w:w="3580" w:type="dxa"/>
            <w:vAlign w:val="bottom"/>
          </w:tcPr>
          <w:p>
            <w:pPr>
              <w:spacing w:after="0"/>
              <w:rPr>
                <w:sz w:val="18"/>
                <w:szCs w:val="18"/>
                <w:color w:val="auto"/>
              </w:rPr>
            </w:pPr>
          </w:p>
        </w:tc>
        <w:tc>
          <w:tcPr>
            <w:tcW w:w="2920" w:type="dxa"/>
            <w:vAlign w:val="bottom"/>
            <w:gridSpan w:val="3"/>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642"/>
        </w:trPr>
        <w:tc>
          <w:tcPr>
            <w:tcW w:w="3580" w:type="dxa"/>
            <w:vAlign w:val="bottom"/>
          </w:tcPr>
          <w:p>
            <w:pPr>
              <w:spacing w:after="0"/>
              <w:rPr>
                <w:sz w:val="24"/>
                <w:szCs w:val="24"/>
                <w:color w:val="auto"/>
              </w:rPr>
            </w:pPr>
          </w:p>
        </w:tc>
        <w:tc>
          <w:tcPr>
            <w:tcW w:w="6740" w:type="dxa"/>
            <w:vAlign w:val="bottom"/>
            <w:gridSpan w:val="4"/>
          </w:tcPr>
          <w:p>
            <w:pPr>
              <w:ind w:left="22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27, 2008</w:t>
            </w:r>
          </w:p>
        </w:tc>
        <w:tc>
          <w:tcPr>
            <w:tcW w:w="6740" w:type="dxa"/>
            <w:vAlign w:val="bottom"/>
            <w:gridSpan w:val="4"/>
          </w:tcPr>
          <w:p>
            <w:pPr>
              <w:ind w:left="2220"/>
              <w:spacing w:after="0"/>
              <w:rPr>
                <w:sz w:val="20"/>
                <w:szCs w:val="20"/>
                <w:color w:val="auto"/>
              </w:rPr>
            </w:pPr>
            <w:r>
              <w:rPr>
                <w:rFonts w:ascii="Arial" w:cs="Arial" w:eastAsia="Arial" w:hAnsi="Arial"/>
                <w:sz w:val="18"/>
                <w:szCs w:val="18"/>
                <w:color w:val="auto"/>
              </w:rPr>
              <w:t>By: /s/ Christopher C. Richardson</w:t>
            </w:r>
          </w:p>
        </w:tc>
      </w:tr>
      <w:tr>
        <w:trPr>
          <w:trHeight w:val="20"/>
        </w:trPr>
        <w:tc>
          <w:tcPr>
            <w:tcW w:w="3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r>
      <w:tr>
        <w:trPr>
          <w:trHeight w:val="195"/>
        </w:trPr>
        <w:tc>
          <w:tcPr>
            <w:tcW w:w="3580" w:type="dxa"/>
            <w:vAlign w:val="bottom"/>
          </w:tcPr>
          <w:p>
            <w:pPr>
              <w:spacing w:after="0"/>
              <w:rPr>
                <w:sz w:val="16"/>
                <w:szCs w:val="16"/>
                <w:color w:val="auto"/>
              </w:rPr>
            </w:pPr>
          </w:p>
        </w:tc>
        <w:tc>
          <w:tcPr>
            <w:tcW w:w="2880" w:type="dxa"/>
            <w:vAlign w:val="bottom"/>
            <w:gridSpan w:val="2"/>
          </w:tcPr>
          <w:p>
            <w:pPr>
              <w:ind w:left="2220"/>
              <w:spacing w:after="0" w:line="195" w:lineRule="exact"/>
              <w:rPr>
                <w:sz w:val="20"/>
                <w:szCs w:val="20"/>
                <w:color w:val="auto"/>
              </w:rPr>
            </w:pPr>
            <w:r>
              <w:rPr>
                <w:rFonts w:ascii="Arial" w:cs="Arial" w:eastAsia="Arial" w:hAnsi="Arial"/>
                <w:sz w:val="18"/>
                <w:szCs w:val="18"/>
                <w:color w:val="auto"/>
              </w:rPr>
              <w:t>Name:</w:t>
            </w:r>
          </w:p>
        </w:tc>
        <w:tc>
          <w:tcPr>
            <w:tcW w:w="38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Christopher C. Richardson</w:t>
            </w:r>
          </w:p>
        </w:tc>
      </w:tr>
      <w:tr>
        <w:trPr>
          <w:trHeight w:val="230"/>
        </w:trPr>
        <w:tc>
          <w:tcPr>
            <w:tcW w:w="3580" w:type="dxa"/>
            <w:vAlign w:val="bottom"/>
          </w:tcPr>
          <w:p>
            <w:pPr>
              <w:spacing w:after="0"/>
              <w:rPr>
                <w:sz w:val="20"/>
                <w:szCs w:val="20"/>
                <w:color w:val="auto"/>
              </w:rPr>
            </w:pPr>
          </w:p>
        </w:tc>
        <w:tc>
          <w:tcPr>
            <w:tcW w:w="2880" w:type="dxa"/>
            <w:vAlign w:val="bottom"/>
            <w:gridSpan w:val="2"/>
          </w:tcPr>
          <w:p>
            <w:pPr>
              <w:ind w:left="2220"/>
              <w:spacing w:after="0"/>
              <w:rPr>
                <w:sz w:val="20"/>
                <w:szCs w:val="20"/>
                <w:color w:val="auto"/>
              </w:rPr>
            </w:pPr>
            <w:r>
              <w:rPr>
                <w:rFonts w:ascii="Arial" w:cs="Arial" w:eastAsia="Arial" w:hAnsi="Arial"/>
                <w:sz w:val="18"/>
                <w:szCs w:val="18"/>
                <w:color w:val="auto"/>
              </w:rPr>
              <w:t>Title:</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General Counsel and Director</w:t>
            </w:r>
          </w:p>
        </w:tc>
      </w:tr>
      <w:tr>
        <w:trPr>
          <w:trHeight w:val="418"/>
        </w:trPr>
        <w:tc>
          <w:tcPr>
            <w:tcW w:w="3580" w:type="dxa"/>
            <w:vAlign w:val="bottom"/>
          </w:tcPr>
          <w:p>
            <w:pPr>
              <w:spacing w:after="0"/>
              <w:rPr>
                <w:sz w:val="24"/>
                <w:szCs w:val="24"/>
                <w:color w:val="auto"/>
              </w:rPr>
            </w:pPr>
          </w:p>
        </w:tc>
        <w:tc>
          <w:tcPr>
            <w:tcW w:w="2880" w:type="dxa"/>
            <w:vAlign w:val="bottom"/>
            <w:gridSpan w:val="2"/>
          </w:tcPr>
          <w:p>
            <w:pPr>
              <w:ind w:left="2220"/>
              <w:spacing w:after="0"/>
              <w:rPr>
                <w:sz w:val="20"/>
                <w:szCs w:val="20"/>
                <w:color w:val="auto"/>
              </w:rPr>
            </w:pPr>
            <w:r>
              <w:rPr>
                <w:rFonts w:ascii="Arial" w:cs="Arial" w:eastAsia="Arial" w:hAnsi="Arial"/>
                <w:sz w:val="18"/>
                <w:szCs w:val="18"/>
                <w:color w:val="auto"/>
                <w:w w:val="90"/>
              </w:rPr>
              <w:t>Address:</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3300 West Camelback Road</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Phoenix, Arizona 85017</w:t>
            </w:r>
          </w:p>
        </w:tc>
      </w:tr>
      <w:tr>
        <w:trPr>
          <w:trHeight w:val="621"/>
        </w:trPr>
        <w:tc>
          <w:tcPr>
            <w:tcW w:w="3580" w:type="dxa"/>
            <w:vAlign w:val="bottom"/>
          </w:tcPr>
          <w:p>
            <w:pPr>
              <w:spacing w:after="0"/>
              <w:rPr>
                <w:sz w:val="24"/>
                <w:szCs w:val="24"/>
                <w:color w:val="auto"/>
              </w:rPr>
            </w:pPr>
          </w:p>
        </w:tc>
        <w:tc>
          <w:tcPr>
            <w:tcW w:w="2580" w:type="dxa"/>
            <w:vAlign w:val="bottom"/>
          </w:tcPr>
          <w:p>
            <w:pPr>
              <w:ind w:left="20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360"/>
          </w:cols>
          <w:pgMar w:left="240" w:top="935" w:right="2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w:t>
      </w:r>
    </w:p>
    <w:p>
      <w:pPr>
        <w:spacing w:after="0" w:line="10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June 25, 2008, by and between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 Stan Meyer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parties agree as follows:</w:t>
      </w:r>
    </w:p>
    <w:p>
      <w:pPr>
        <w:spacing w:after="0" w:line="117" w:lineRule="exact"/>
        <w:rPr>
          <w:sz w:val="20"/>
          <w:szCs w:val="20"/>
          <w:color w:val="auto"/>
        </w:rPr>
      </w:pPr>
    </w:p>
    <w:p>
      <w:pPr>
        <w:ind w:left="420" w:hanging="187"/>
        <w:spacing w:after="0"/>
        <w:tabs>
          <w:tab w:leader="none" w:pos="42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hereby employs Executive, and Executive hereby accepts such employment, upon the terms and conditions set forth herein.</w:t>
      </w:r>
    </w:p>
    <w:p>
      <w:pPr>
        <w:spacing w:after="0" w:line="140" w:lineRule="exact"/>
        <w:rPr>
          <w:rFonts w:ascii="Arial" w:cs="Arial" w:eastAsia="Arial" w:hAnsi="Arial"/>
          <w:sz w:val="16"/>
          <w:szCs w:val="16"/>
          <w:color w:val="auto"/>
        </w:rPr>
      </w:pPr>
    </w:p>
    <w:p>
      <w:pPr>
        <w:ind w:left="420" w:hanging="187"/>
        <w:spacing w:after="0"/>
        <w:tabs>
          <w:tab w:leader="none" w:pos="42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Executive is employed as Executive Vice President and shall have the duties and responsibilities assigned by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both upon initial hire and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7.3(ii) below.</w:t>
      </w:r>
    </w:p>
    <w:p>
      <w:pPr>
        <w:spacing w:after="0" w:line="79"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CEO in advance of Executive’s intent to engage in other paid work and receives the CEO’s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81"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62" w:lineRule="exact"/>
        <w:rPr>
          <w:sz w:val="20"/>
          <w:szCs w:val="20"/>
          <w:color w:val="auto"/>
        </w:rPr>
      </w:pPr>
    </w:p>
    <w:p>
      <w:pPr>
        <w:ind w:left="420" w:hanging="187"/>
        <w:spacing w:after="0"/>
        <w:tabs>
          <w:tab w:leader="none" w:pos="4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right="480" w:firstLine="450"/>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Initial Term</w:t>
      </w:r>
      <w:r>
        <w:rPr>
          <w:rFonts w:ascii="Arial" w:cs="Arial" w:eastAsia="Arial" w:hAnsi="Arial"/>
          <w:sz w:val="16"/>
          <w:szCs w:val="16"/>
          <w:color w:val="auto"/>
        </w:rPr>
        <w:t>. The employment relationship pursuant to this Agreement shall be for an initial term commencing on July 1, 2008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continuing for a period of four (4) years following such date (“</w:t>
      </w:r>
      <w:r>
        <w:rPr>
          <w:rFonts w:ascii="Arial" w:cs="Arial" w:eastAsia="Arial" w:hAnsi="Arial"/>
          <w:sz w:val="16"/>
          <w:szCs w:val="16"/>
          <w:u w:val="single" w:color="auto"/>
          <w:color w:val="auto"/>
        </w:rPr>
        <w:t>Initial Term</w:t>
      </w:r>
      <w:r>
        <w:rPr>
          <w:rFonts w:ascii="Arial" w:cs="Arial" w:eastAsia="Arial" w:hAnsi="Arial"/>
          <w:sz w:val="16"/>
          <w:szCs w:val="16"/>
          <w:color w:val="auto"/>
        </w:rPr>
        <w:t>”), unless sooner terminated in accordance with section 7 below.</w:t>
      </w:r>
    </w:p>
    <w:p>
      <w:pPr>
        <w:spacing w:after="0" w:line="16"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Renewal</w:t>
      </w:r>
      <w:r>
        <w:rPr>
          <w:rFonts w:ascii="Arial" w:cs="Arial" w:eastAsia="Arial" w:hAnsi="Arial"/>
          <w:sz w:val="17"/>
          <w:szCs w:val="17"/>
          <w:color w:val="auto"/>
        </w:rPr>
        <w:t>. On expiration of the Initial Term specified in subsection 3.1 above, this Agreement will automatically renew for subsequent one (1)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unless either party provides thirty (30) days’ advance written notice to the other that the Company or Executive does not wish to renew the Agreement for subsequent Renewal Term. In the event either party gives notice of nonrenewal pursuant to this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3" w:name="page234"/>
    <w:bookmarkEnd w:id="233"/>
    <w:p>
      <w:pPr>
        <w:ind w:right="20"/>
        <w:spacing w:after="0" w:line="277" w:lineRule="auto"/>
        <w:rPr>
          <w:sz w:val="20"/>
          <w:szCs w:val="20"/>
          <w:color w:val="auto"/>
        </w:rPr>
      </w:pPr>
      <w:r>
        <w:rPr>
          <w:rFonts w:ascii="Arial" w:cs="Arial" w:eastAsia="Arial" w:hAnsi="Arial"/>
          <w:sz w:val="18"/>
          <w:szCs w:val="18"/>
          <w:color w:val="auto"/>
        </w:rPr>
        <w:t>subsection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62" w:lineRule="exact"/>
        <w:rPr>
          <w:sz w:val="20"/>
          <w:szCs w:val="20"/>
          <w:color w:val="auto"/>
        </w:rPr>
      </w:pPr>
    </w:p>
    <w:p>
      <w:pPr>
        <w:ind w:left="420" w:hanging="187"/>
        <w:spacing w:after="0"/>
        <w:tabs>
          <w:tab w:leader="none" w:pos="4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the Company shall pay to Executive an initial Base Salary at the rate of Three-Hundred Thousand Dollars ($300,000.00)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85" w:lineRule="exact"/>
        <w:rPr>
          <w:sz w:val="20"/>
          <w:szCs w:val="20"/>
          <w:color w:val="auto"/>
        </w:rPr>
      </w:pPr>
    </w:p>
    <w:p>
      <w:pPr>
        <w:ind w:right="20" w:firstLine="450"/>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For the fiscal year of the Company ending December 31, 2008, and provided Executive remains employed with the Company as of such date, Executive will be eligible to receive a bonus equal to Seventy-Five Thousand Dollars ($75,000.00). Thereafter, Executive will be eligible to earn incentive compensation in the form of an annual bonus for each fiscal year of the Company with a target amount of fifty percent (50%) of Executive’s Base Salary. The Compensation Committee will determine the actual amount of the bonus earned for any year, which will be based upon both the Company’s achievement of overall performance metrics for the year and Executive’s achievement of individual performance metrics as agreed upon by the Compensation Committee and the Executive. The Compensation Committee may, in its sole discretion, increase the Executive’s annual bonus above fifty percent (50%) of Base Salary if it determines that the performance of both the Executive and the Company significantly exceed the predetermined metrics. Bonus amounts, if any, are to be awarded annually and payment shall be made within two and one-half months following the end of the applicable Company fiscal year.</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Stock Options</w:t>
      </w:r>
      <w:r>
        <w:rPr>
          <w:rFonts w:ascii="Arial" w:cs="Arial" w:eastAsia="Arial" w:hAnsi="Arial"/>
          <w:sz w:val="16"/>
          <w:szCs w:val="16"/>
          <w:color w:val="auto"/>
        </w:rPr>
        <w:t>. Upon approval by Compensation Committee, Executive will be granted immediately prior to the Company’s intended initial public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offering (the “</w:t>
      </w:r>
      <w:r>
        <w:rPr>
          <w:rFonts w:ascii="Arial" w:cs="Arial" w:eastAsia="Arial" w:hAnsi="Arial"/>
          <w:sz w:val="17"/>
          <w:szCs w:val="17"/>
          <w:u w:val="single" w:color="auto"/>
          <w:color w:val="auto"/>
        </w:rPr>
        <w:t>IPO</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shares of the Company’s Common Stock under the Company’s 2008 Equity Incentive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at an exercise price per share equal to the IPO offering price per share. The number of shares subject to such Option shall be equal to 1.0% of the sum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the number of shares of Common Stock of the Company issued and outstanding as of the date of grant of the Option, plus (b) the number of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issued in connection with the IPO as set forth in the agreement between the Company and the underwriters of the IPO (but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any “Green Shoe” or “overallotment” option that may become exercisable by the underwriters), plus (c) the number of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to be issued upon conversion of the Company’s outstanding shares of preferred stock in connection with the IPO. Subject to Executive’s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employment, the Option will vest and become exercisable in five equal annual installments (each, an “</w:t>
      </w:r>
      <w:r>
        <w:rPr>
          <w:rFonts w:ascii="Arial" w:cs="Arial" w:eastAsia="Arial" w:hAnsi="Arial"/>
          <w:sz w:val="17"/>
          <w:szCs w:val="17"/>
          <w:u w:val="single" w:color="auto"/>
          <w:color w:val="auto"/>
        </w:rPr>
        <w:t>Annual Installment</w:t>
      </w:r>
      <w:r>
        <w:rPr>
          <w:rFonts w:ascii="Arial" w:cs="Arial" w:eastAsia="Arial" w:hAnsi="Arial"/>
          <w:sz w:val="17"/>
          <w:szCs w:val="17"/>
          <w:color w:val="auto"/>
        </w:rPr>
        <w:t>”) over a five (5) year period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beginning on the grant date. The Option will be subject to the terms and conditions of the Plan and a form of stock option agreement specified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which Executive will be required to sign as a condition of retaining the Option. Executive may be eligible for future grants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sole discretion of the Compensation Committee.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4" w:name="page235"/>
    <w:bookmarkEnd w:id="234"/>
    <w:p>
      <w:pPr>
        <w:ind w:right="80" w:firstLine="45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Directed Shares</w:t>
      </w:r>
      <w:r>
        <w:rPr>
          <w:rFonts w:ascii="Arial" w:cs="Arial" w:eastAsia="Arial" w:hAnsi="Arial"/>
          <w:sz w:val="18"/>
          <w:szCs w:val="18"/>
          <w:color w:val="auto"/>
        </w:rPr>
        <w:t>. Subject to its establishment, Executive shall be entitled to participate in the Company’s IPO directed share program in accordance with its terms and on substantially the same basis as other executive officers of the Company.</w:t>
      </w:r>
    </w:p>
    <w:p>
      <w:pPr>
        <w:spacing w:after="0" w:line="62" w:lineRule="exact"/>
        <w:rPr>
          <w:sz w:val="20"/>
          <w:szCs w:val="20"/>
          <w:color w:val="auto"/>
        </w:rPr>
      </w:pPr>
    </w:p>
    <w:p>
      <w:pPr>
        <w:jc w:val="both"/>
        <w:ind w:right="500" w:firstLine="233"/>
        <w:spacing w:after="0" w:line="264" w:lineRule="auto"/>
        <w:tabs>
          <w:tab w:leader="none" w:pos="40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73" w:lineRule="exact"/>
        <w:rPr>
          <w:rFonts w:ascii="Arial" w:cs="Arial" w:eastAsia="Arial" w:hAnsi="Arial"/>
          <w:sz w:val="18"/>
          <w:szCs w:val="18"/>
          <w:color w:val="auto"/>
        </w:rPr>
      </w:pPr>
    </w:p>
    <w:p>
      <w:pPr>
        <w:ind w:firstLine="233"/>
        <w:spacing w:after="0" w:line="257" w:lineRule="auto"/>
        <w:tabs>
          <w:tab w:leader="none" w:pos="40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80" w:lineRule="exact"/>
        <w:rPr>
          <w:rFonts w:ascii="Arial" w:cs="Arial" w:eastAsia="Arial" w:hAnsi="Arial"/>
          <w:sz w:val="18"/>
          <w:szCs w:val="18"/>
          <w:color w:val="auto"/>
        </w:rPr>
      </w:pPr>
    </w:p>
    <w:p>
      <w:pPr>
        <w:ind w:left="420" w:hanging="187"/>
        <w:spacing w:after="0"/>
        <w:tabs>
          <w:tab w:leader="none" w:pos="4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Termination for Cause by Company</w:t>
      </w:r>
      <w:r>
        <w:rPr>
          <w:rFonts w:ascii="Arial" w:cs="Arial" w:eastAsia="Arial" w:hAnsi="Arial"/>
          <w:sz w:val="17"/>
          <w:szCs w:val="17"/>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11; (c) 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 (30) days following receipt of such written notice, unless Executive’s action or omission is not subject to cure, in which case no such notice shall be required, or (g) Executive’s death. In the event Executive’s employment is terminated in accordance with this subsection 7.1,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subsection 7.2 below. Any termination pursuant to this subsection 7.1 shall be evidenced by a resolution or written consent of the Board of Directors of the Company, and the Company shall provide Executive with a copy of such resolution or written consent, certified by the Secretary of the Company, upon Executive’s written request.</w:t>
      </w:r>
    </w:p>
    <w:p>
      <w:pPr>
        <w:spacing w:after="0" w:line="73"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Without Cause by Company/Severance</w:t>
      </w:r>
      <w:r>
        <w:rPr>
          <w:rFonts w:ascii="Arial" w:cs="Arial" w:eastAsia="Arial" w:hAnsi="Arial"/>
          <w:sz w:val="18"/>
          <w:szCs w:val="18"/>
          <w:color w:val="auto"/>
        </w:rPr>
        <w:t>. The Company may terminate Executive’s employment under this Agreement without Cause at any time upon written notice to Executive. In the event of such termination, Executive will receive Executive’s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Base Salary then in effect, prorated to the date of termination of employment. In addition, Executive will receive a “</w:t>
      </w:r>
      <w:r>
        <w:rPr>
          <w:rFonts w:ascii="Arial" w:cs="Arial" w:eastAsia="Arial" w:hAnsi="Arial"/>
          <w:sz w:val="16"/>
          <w:szCs w:val="16"/>
          <w:u w:val="single" w:color="auto"/>
          <w:color w:val="auto"/>
        </w:rPr>
        <w:t>Severance Package</w:t>
      </w:r>
      <w:r>
        <w:rPr>
          <w:rFonts w:ascii="Arial" w:cs="Arial" w:eastAsia="Arial" w:hAnsi="Arial"/>
          <w:sz w:val="16"/>
          <w:szCs w:val="16"/>
          <w:color w:val="auto"/>
        </w:rPr>
        <w:t>” that shall include</w:t>
      </w:r>
    </w:p>
    <w:p>
      <w:pPr>
        <w:spacing w:after="0" w:line="46" w:lineRule="exact"/>
        <w:rPr>
          <w:sz w:val="20"/>
          <w:szCs w:val="20"/>
          <w:color w:val="auto"/>
        </w:rPr>
      </w:pPr>
    </w:p>
    <w:p>
      <w:pPr>
        <w:ind w:firstLine="8"/>
        <w:spacing w:after="0" w:line="267" w:lineRule="auto"/>
        <w:tabs>
          <w:tab w:leader="none" w:pos="2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severance payment equivalent to twelve (12) months of Executive’s Base Salary then in effect on the date of termination, payable in accordance with the Company’s regular payroll cycle commencing with the first payroll date occurring on or after the 60th day following the date of Executive’s termination of employment,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provided that Executive timely elects to continue and remains eligible for these benefits under COBRA, and does not become eligible for health coverage through another employer during this period, and (c) acceleration of the vesting of the Annual Installment under the Option that would otherwise have vested on the next vesting date following the termination of Executive’s employment. Executive will only receive the Severance Package if Executive: (i) complies with all surviving provisions of this Agreement as specified in subsection 14.8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79"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Voluntary Resignation by Executive for Good Reason/Severance</w:t>
      </w:r>
      <w:r>
        <w:rPr>
          <w:rFonts w:ascii="Arial" w:cs="Arial" w:eastAsia="Arial" w:hAnsi="Arial"/>
          <w:sz w:val="16"/>
          <w:szCs w:val="16"/>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subsection 7.2 above, provided Executive complies with all of the conditions described in subsection 7.2 above. All other Company obligations to Executive pursuant to this Agreement will be automatically terminated and completely extinguished.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of the following conditions without Executive’s written consent, which condition(s) remain(s) in effect thirty (30) days after Executive provides written notice to the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the Company as they existed prior to such change, or (iii) a relocation of Executive’s principal place of work which increases Executive’s one-way commute distance by more than fifty (50) miles. Executive will be deemed to have given consent to any condition(s) described in this subsection if Executive does not provide written notice to the Company of his intent to exercise his rights pursuant to this subsection within thirty (30) days following the first occurrence of such condition(s).</w:t>
      </w:r>
    </w:p>
    <w:p>
      <w:pPr>
        <w:spacing w:after="0" w:line="67"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subsection 7.2 above.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6" w:name="page237"/>
    <w:bookmarkEnd w:id="236"/>
    <w:p>
      <w:pPr>
        <w:ind w:left="4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17" w:lineRule="exact"/>
        <w:rPr>
          <w:sz w:val="20"/>
          <w:szCs w:val="20"/>
          <w:color w:val="auto"/>
        </w:rPr>
      </w:pPr>
    </w:p>
    <w:p>
      <w:pPr>
        <w:ind w:left="-40" w:right="60" w:firstLine="683"/>
        <w:spacing w:after="0" w:line="273" w:lineRule="auto"/>
        <w:tabs>
          <w:tab w:leader="none" w:pos="88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Severance Payment; Option Vesting Acceleration</w:t>
      </w:r>
      <w:r>
        <w:rPr>
          <w:rFonts w:ascii="Arial" w:cs="Arial" w:eastAsia="Arial" w:hAnsi="Arial"/>
          <w:sz w:val="17"/>
          <w:szCs w:val="17"/>
          <w:color w:val="auto"/>
        </w:rPr>
        <w:t>. If, upon or within twelve (12) months after a Change in Control (as that term is defined below), Executive’s employment is terminated by the Company other than for Cause (as defined in subsection 7.1 above) or Executive resigns for Good Reason (as defined in subsection 7.3 above), then (i) Executive shall be entitled to receive (A) Executive’s Base Salary, prorated to the date of termination of employment, and (B) the Severance Package described in subsection 7.2 above, provided Executive complies with all of the conditions described in subsection 7.2 above, and (ii) to the extent not yet vested, the Option and any other stock options granted to Executive by the Company shall vest in full as of the date of such termination of employment, provided Executive complies with the conditions described in subsection 7.2 above.</w:t>
      </w:r>
    </w:p>
    <w:p>
      <w:pPr>
        <w:spacing w:after="0" w:line="70" w:lineRule="exact"/>
        <w:rPr>
          <w:rFonts w:ascii="Arial" w:cs="Arial" w:eastAsia="Arial" w:hAnsi="Arial"/>
          <w:sz w:val="17"/>
          <w:szCs w:val="17"/>
          <w:color w:val="auto"/>
        </w:rPr>
      </w:pPr>
    </w:p>
    <w:p>
      <w:pPr>
        <w:ind w:left="-40" w:right="140" w:firstLine="683"/>
        <w:spacing w:after="0" w:line="279" w:lineRule="auto"/>
        <w:tabs>
          <w:tab w:leader="none" w:pos="89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Parachute Payments</w:t>
      </w:r>
      <w:r>
        <w:rPr>
          <w:rFonts w:ascii="Arial" w:cs="Arial" w:eastAsia="Arial" w:hAnsi="Arial"/>
          <w:sz w:val="17"/>
          <w:szCs w:val="17"/>
          <w:color w:val="auto"/>
        </w:rPr>
        <w:t>. If, due to the benefits provided under subsection 7.5(a) and any other payments or benefits, Executive would be subject to any excise tax pursuant to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due to characterization of any such amounts as excess parachute payments pursuant to Section 280G of the Code, the amounts payable under subsection 7.5(a) will be reduced (to the least extent possible) in order to avoid any “excess parachute payment” under Section 280G(b)(1) of the Code.</w:t>
      </w:r>
    </w:p>
    <w:p>
      <w:pPr>
        <w:spacing w:after="0" w:line="63" w:lineRule="exact"/>
        <w:rPr>
          <w:rFonts w:ascii="Arial" w:cs="Arial" w:eastAsia="Arial" w:hAnsi="Arial"/>
          <w:sz w:val="17"/>
          <w:szCs w:val="17"/>
          <w:color w:val="auto"/>
        </w:rPr>
      </w:pPr>
    </w:p>
    <w:p>
      <w:pPr>
        <w:ind w:left="880" w:hanging="237"/>
        <w:spacing w:after="0"/>
        <w:tabs>
          <w:tab w:leader="none" w:pos="8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17" w:lineRule="exact"/>
        <w:rPr>
          <w:rFonts w:ascii="Arial" w:cs="Arial" w:eastAsia="Arial" w:hAnsi="Arial"/>
          <w:sz w:val="18"/>
          <w:szCs w:val="18"/>
          <w:color w:val="auto"/>
        </w:rPr>
      </w:pPr>
    </w:p>
    <w:p>
      <w:pPr>
        <w:ind w:left="-40" w:firstLine="908"/>
        <w:spacing w:after="0" w:line="270" w:lineRule="auto"/>
        <w:tabs>
          <w:tab w:leader="none" w:pos="106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73" w:lineRule="exact"/>
        <w:rPr>
          <w:rFonts w:ascii="Arial" w:cs="Arial" w:eastAsia="Arial" w:hAnsi="Arial"/>
          <w:sz w:val="17"/>
          <w:szCs w:val="17"/>
          <w:color w:val="auto"/>
        </w:rPr>
      </w:pPr>
    </w:p>
    <w:p>
      <w:pPr>
        <w:ind w:left="-40" w:right="300" w:firstLine="908"/>
        <w:spacing w:after="0" w:line="277" w:lineRule="auto"/>
        <w:tabs>
          <w:tab w:leader="none" w:pos="112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Company’s assets (other than a sale or disposition to one or more subsidiaries of the Company), or any transaction having similar effect is consummated; or</w:t>
      </w:r>
    </w:p>
    <w:p>
      <w:pPr>
        <w:spacing w:after="0" w:line="62" w:lineRule="exact"/>
        <w:rPr>
          <w:rFonts w:ascii="Arial" w:cs="Arial" w:eastAsia="Arial" w:hAnsi="Arial"/>
          <w:sz w:val="18"/>
          <w:szCs w:val="18"/>
          <w:color w:val="auto"/>
        </w:rPr>
      </w:pPr>
    </w:p>
    <w:p>
      <w:pPr>
        <w:jc w:val="both"/>
        <w:ind w:left="-40" w:right="200" w:firstLine="908"/>
        <w:spacing w:after="0" w:line="259" w:lineRule="auto"/>
        <w:tabs>
          <w:tab w:leader="none" w:pos="117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237" w:name="page238"/>
    <w:bookmarkEnd w:id="237"/>
    <w:p>
      <w:pPr>
        <w:ind w:left="900"/>
        <w:spacing w:after="0"/>
        <w:rPr>
          <w:sz w:val="20"/>
          <w:szCs w:val="20"/>
          <w:color w:val="auto"/>
        </w:rPr>
      </w:pPr>
      <w:r>
        <w:rPr>
          <w:rFonts w:ascii="Arial" w:cs="Arial" w:eastAsia="Arial" w:hAnsi="Arial"/>
          <w:sz w:val="18"/>
          <w:szCs w:val="18"/>
          <w:color w:val="auto"/>
        </w:rPr>
        <w:t>(iv) the dissolution or liquidation of the Company.</w:t>
      </w:r>
    </w:p>
    <w:p>
      <w:pPr>
        <w:spacing w:after="0" w:line="117" w:lineRule="exact"/>
        <w:rPr>
          <w:sz w:val="20"/>
          <w:szCs w:val="20"/>
          <w:color w:val="auto"/>
        </w:rPr>
      </w:pPr>
    </w:p>
    <w:p>
      <w:pPr>
        <w:ind w:right="140" w:firstLine="450"/>
        <w:spacing w:after="0" w:line="27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Termination of Employment Upon Nonrenewal</w:t>
      </w:r>
      <w:r>
        <w:rPr>
          <w:rFonts w:ascii="Arial" w:cs="Arial" w:eastAsia="Arial" w:hAnsi="Arial"/>
          <w:sz w:val="17"/>
          <w:szCs w:val="17"/>
          <w:color w:val="auto"/>
        </w:rPr>
        <w:t>. In the event either party decides not to renew this Agreement for a subsequent term in accordance with subsection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subsection 7.2 above, but shall be subject to the surviving provisions of this Agreement as set forth in section 14.8 below.</w:t>
      </w:r>
    </w:p>
    <w:p>
      <w:pPr>
        <w:spacing w:after="0" w:line="64"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90" w:lineRule="auto"/>
        <w:tabs>
          <w:tab w:leader="none" w:pos="9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6"/>
          <w:szCs w:val="16"/>
          <w:u w:val="single" w:color="auto"/>
          <w:color w:val="auto"/>
        </w:rPr>
        <w:t>Section 409A Regulations</w:t>
      </w:r>
      <w:r>
        <w:rPr>
          <w:rFonts w:ascii="Arial" w:cs="Arial" w:eastAsia="Arial" w:hAnsi="Arial"/>
          <w:sz w:val="16"/>
          <w:szCs w:val="16"/>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subsection, become payable prior to the Delayed Payment Date will be accumulated and paid on the Delayed Payment Date.</w:t>
      </w:r>
    </w:p>
    <w:p>
      <w:pPr>
        <w:spacing w:after="0" w:line="58" w:lineRule="exact"/>
        <w:rPr>
          <w:rFonts w:ascii="Arial" w:cs="Arial" w:eastAsia="Arial" w:hAnsi="Arial"/>
          <w:sz w:val="16"/>
          <w:szCs w:val="16"/>
          <w:color w:val="auto"/>
        </w:rPr>
      </w:pPr>
    </w:p>
    <w:p>
      <w:pPr>
        <w:ind w:right="160" w:firstLine="683"/>
        <w:spacing w:after="0" w:line="255" w:lineRule="auto"/>
        <w:tabs>
          <w:tab w:leader="none" w:pos="92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 xml:space="preserve">However, the Company does not guarantee any particular tax effect for income provided to Executive pursuant to this Agreement. </w:t>
      </w:r>
      <w:r>
        <w:rPr>
          <w:rFonts w:ascii="Arial" w:cs="Arial" w:eastAsia="Arial" w:hAnsi="Arial"/>
          <w:sz w:val="18"/>
          <w:szCs w:val="18"/>
          <w:color w:val="auto"/>
        </w:rPr>
        <w:t>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85" w:lineRule="exact"/>
        <w:rPr>
          <w:rFonts w:ascii="Arial" w:cs="Arial" w:eastAsia="Arial" w:hAnsi="Arial"/>
          <w:sz w:val="18"/>
          <w:szCs w:val="18"/>
          <w:color w:val="auto"/>
        </w:rPr>
      </w:pPr>
    </w:p>
    <w:p>
      <w:pPr>
        <w:ind w:right="20" w:firstLine="233"/>
        <w:spacing w:after="0" w:line="255" w:lineRule="auto"/>
        <w:tabs>
          <w:tab w:leader="none" w:pos="40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8" w:name="page239"/>
    <w:bookmarkEnd w:id="238"/>
    <w:p>
      <w:pPr>
        <w:ind w:right="580" w:firstLine="233"/>
        <w:spacing w:after="0" w:line="277" w:lineRule="auto"/>
        <w:tabs>
          <w:tab w:leader="none" w:pos="40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62" w:lineRule="exact"/>
        <w:rPr>
          <w:sz w:val="20"/>
          <w:szCs w:val="20"/>
          <w:color w:val="auto"/>
        </w:rPr>
      </w:pPr>
    </w:p>
    <w:p>
      <w:pPr>
        <w:jc w:val="both"/>
        <w:ind w:right="20" w:firstLine="450"/>
        <w:spacing w:after="0" w:line="302" w:lineRule="auto"/>
        <w:rPr>
          <w:sz w:val="20"/>
          <w:szCs w:val="20"/>
          <w:color w:val="auto"/>
        </w:rPr>
      </w:pPr>
      <w:r>
        <w:rPr>
          <w:rFonts w:ascii="Arial" w:cs="Arial" w:eastAsia="Arial" w:hAnsi="Arial"/>
          <w:sz w:val="16"/>
          <w:szCs w:val="16"/>
          <w:color w:val="auto"/>
        </w:rPr>
        <w:t>9.1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46"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9.2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57"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9.3 During the Term of Executive’s employment with the Company and after the termination thereof, neither Executive nor the Company will disparage each other, or the Company’s products, services, agents or employees.</w:t>
      </w:r>
    </w:p>
    <w:p>
      <w:pPr>
        <w:spacing w:after="0" w:line="6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9.4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79" w:lineRule="exact"/>
        <w:rPr>
          <w:sz w:val="20"/>
          <w:szCs w:val="20"/>
          <w:color w:val="auto"/>
        </w:rPr>
      </w:pPr>
    </w:p>
    <w:p>
      <w:pPr>
        <w:ind w:right="740" w:firstLine="233"/>
        <w:spacing w:after="0" w:line="277" w:lineRule="auto"/>
        <w:tabs>
          <w:tab w:leader="none" w:pos="49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the Company’s Employee Nondisclosure and Assignment Agreement, which is provided with this Agreement and incorporated herein by reference.</w:t>
      </w:r>
    </w:p>
    <w:p>
      <w:pPr>
        <w:spacing w:after="0" w:line="62" w:lineRule="exact"/>
        <w:rPr>
          <w:rFonts w:ascii="Arial" w:cs="Arial" w:eastAsia="Arial" w:hAnsi="Arial"/>
          <w:sz w:val="18"/>
          <w:szCs w:val="18"/>
          <w:color w:val="auto"/>
        </w:rPr>
      </w:pPr>
    </w:p>
    <w:p>
      <w:pPr>
        <w:ind w:right="80" w:firstLine="233"/>
        <w:spacing w:after="0" w:line="254" w:lineRule="auto"/>
        <w:tabs>
          <w:tab w:leader="none" w:pos="48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of Company’s Employees</w:t>
      </w:r>
      <w:r>
        <w:rPr>
          <w:rFonts w:ascii="Arial" w:cs="Arial" w:eastAsia="Arial" w:hAnsi="Arial"/>
          <w:sz w:val="18"/>
          <w:szCs w:val="18"/>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9" w:name="page240"/>
    <w:bookmarkEnd w:id="239"/>
    <w:p>
      <w:pPr>
        <w:spacing w:after="0" w:line="253" w:lineRule="auto"/>
        <w:rPr>
          <w:sz w:val="20"/>
          <w:szCs w:val="20"/>
          <w:color w:val="auto"/>
        </w:rPr>
      </w:pPr>
      <w:r>
        <w:rPr>
          <w:rFonts w:ascii="Arial" w:cs="Arial" w:eastAsia="Arial" w:hAnsi="Arial"/>
          <w:sz w:val="18"/>
          <w:szCs w:val="18"/>
          <w:color w:val="auto"/>
        </w:rPr>
        <w:t>for trading on any securities exchange or which are traded in the over-the-counter market), manage, control, participate in, consult with, render services for, be employed by, or in any manner engage in the operation of (i) a for-profit, post-secondary education institution, or (ii)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89" w:lineRule="exact"/>
        <w:rPr>
          <w:sz w:val="20"/>
          <w:szCs w:val="20"/>
          <w:color w:val="auto"/>
        </w:rPr>
      </w:pPr>
    </w:p>
    <w:p>
      <w:pPr>
        <w:ind w:right="100" w:firstLine="233"/>
        <w:spacing w:after="0" w:line="279" w:lineRule="auto"/>
        <w:tabs>
          <w:tab w:leader="none" w:pos="495"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Executive acknowledges that Executive’s breach of the covenants contained in sections 9-11 hereof (collectively “</w:t>
      </w:r>
      <w:r>
        <w:rPr>
          <w:rFonts w:ascii="Arial" w:cs="Arial" w:eastAsia="Arial" w:hAnsi="Arial"/>
          <w:sz w:val="17"/>
          <w:szCs w:val="17"/>
          <w:u w:val="single" w:color="auto"/>
          <w:color w:val="auto"/>
        </w:rPr>
        <w:t>Covenants</w:t>
      </w:r>
      <w:r>
        <w:rPr>
          <w:rFonts w:ascii="Arial" w:cs="Arial" w:eastAsia="Arial" w:hAnsi="Arial"/>
          <w:sz w:val="17"/>
          <w:szCs w:val="17"/>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63" w:lineRule="exact"/>
        <w:rPr>
          <w:rFonts w:ascii="Arial" w:cs="Arial" w:eastAsia="Arial" w:hAnsi="Arial"/>
          <w:sz w:val="17"/>
          <w:szCs w:val="17"/>
          <w:color w:val="auto"/>
        </w:rPr>
      </w:pPr>
    </w:p>
    <w:p>
      <w:pPr>
        <w:ind w:left="500" w:hanging="267"/>
        <w:spacing w:after="0"/>
        <w:tabs>
          <w:tab w:leader="none" w:pos="5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1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13.1 During the Term of Executive’s employment hereunder, Executive will be covered by the Company’s director and officer insurance policy to the same extent as all other senior executive officers of the Company</w:t>
      </w:r>
    </w:p>
    <w:p>
      <w:pPr>
        <w:spacing w:after="0" w:line="6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13.2 Following the execution of this Agreement, the Company will execute and deliver a director and officer indemnification agreement with Executive in a form approved by the Board of Directors for the senior executive officers of the Company.</w:t>
      </w:r>
    </w:p>
    <w:p>
      <w:pPr>
        <w:spacing w:after="0" w:line="62" w:lineRule="exact"/>
        <w:rPr>
          <w:sz w:val="20"/>
          <w:szCs w:val="20"/>
          <w:color w:val="auto"/>
        </w:rPr>
      </w:pPr>
    </w:p>
    <w:p>
      <w:pPr>
        <w:ind w:left="500" w:hanging="267"/>
        <w:spacing w:after="0"/>
        <w:tabs>
          <w:tab w:leader="none" w:pos="50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00" w:firstLine="450"/>
        <w:spacing w:after="0" w:line="34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6"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62"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62"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 court of competent jurisdiction, such provision shall be deemed modified to the extent necessary to allow enforceability of the provision as so limited, it being intended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0" w:name="page241"/>
    <w:bookmarkEnd w:id="240"/>
    <w:p>
      <w:pPr>
        <w:jc w:val="both"/>
        <w:ind w:right="100"/>
        <w:spacing w:after="0" w:line="342" w:lineRule="auto"/>
        <w:rPr>
          <w:sz w:val="20"/>
          <w:szCs w:val="20"/>
          <w:color w:val="auto"/>
        </w:rPr>
      </w:pPr>
      <w:r>
        <w:rPr>
          <w:rFonts w:ascii="Arial" w:cs="Arial" w:eastAsia="Arial" w:hAnsi="Arial"/>
          <w:sz w:val="16"/>
          <w:szCs w:val="16"/>
          <w:color w:val="auto"/>
        </w:rPr>
        <w:t>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6"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80" w:lineRule="exact"/>
        <w:rPr>
          <w:sz w:val="20"/>
          <w:szCs w:val="20"/>
          <w:color w:val="auto"/>
        </w:rPr>
      </w:pPr>
    </w:p>
    <w:p>
      <w:pPr>
        <w:ind w:right="180" w:firstLine="450"/>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Governing Law; Forum</w:t>
      </w:r>
      <w:r>
        <w:rPr>
          <w:rFonts w:ascii="Arial" w:cs="Arial" w:eastAsia="Arial" w:hAnsi="Arial"/>
          <w:sz w:val="17"/>
          <w:szCs w:val="17"/>
          <w:color w:val="auto"/>
        </w:rPr>
        <w:t>. This Agreement will be governed by and construed in accordance with the laws of the United States and the State of Arizona .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63" w:lineRule="exact"/>
        <w:rPr>
          <w:sz w:val="20"/>
          <w:szCs w:val="20"/>
          <w:color w:val="auto"/>
        </w:rPr>
      </w:pPr>
    </w:p>
    <w:p>
      <w:pPr>
        <w:ind w:right="200" w:firstLine="450"/>
        <w:spacing w:after="0" w:line="302"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46" w:lineRule="exact"/>
        <w:rPr>
          <w:sz w:val="20"/>
          <w:szCs w:val="20"/>
          <w:color w:val="auto"/>
        </w:rPr>
      </w:pPr>
    </w:p>
    <w:p>
      <w:pPr>
        <w:ind w:right="20" w:firstLine="450"/>
        <w:spacing w:after="0" w:line="342"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Survival</w:t>
      </w:r>
      <w:r>
        <w:rPr>
          <w:rFonts w:ascii="Arial" w:cs="Arial" w:eastAsia="Arial" w:hAnsi="Arial"/>
          <w:sz w:val="16"/>
          <w:szCs w:val="16"/>
          <w:color w:val="auto"/>
        </w:rPr>
        <w:t>. Sections 9 (“Other Covenants”), 10 (“Confidentiality and Proprietary Rights”), 11 (“Non-Competition; Nonsolicitation”), 12 (“Injunctive Relief”), 13 (“General Provisions”) and 14 (“Entire Agreement”) of this Agreement shall survive termination of Executive’s employment with the Company.</w:t>
      </w:r>
    </w:p>
    <w:p>
      <w:pPr>
        <w:spacing w:after="0" w:line="16" w:lineRule="exact"/>
        <w:rPr>
          <w:sz w:val="20"/>
          <w:szCs w:val="20"/>
          <w:color w:val="auto"/>
        </w:rPr>
      </w:pPr>
    </w:p>
    <w:p>
      <w:pPr>
        <w:ind w:left="500" w:hanging="267"/>
        <w:spacing w:after="0"/>
        <w:tabs>
          <w:tab w:leader="none" w:pos="50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Employee Nondisclosure and Assignment Agreement incorporated herein by reference and the</w:t>
      </w:r>
    </w:p>
    <w:p>
      <w:pPr>
        <w:spacing w:after="0" w:line="34" w:lineRule="exact"/>
        <w:rPr>
          <w:rFonts w:ascii="Arial" w:cs="Arial" w:eastAsia="Arial" w:hAnsi="Arial"/>
          <w:sz w:val="17"/>
          <w:szCs w:val="17"/>
          <w:color w:val="auto"/>
        </w:rPr>
      </w:pPr>
    </w:p>
    <w:p>
      <w:pPr>
        <w:spacing w:after="0" w:line="254" w:lineRule="auto"/>
        <w:rPr>
          <w:rFonts w:ascii="Arial" w:cs="Arial" w:eastAsia="Arial" w:hAnsi="Arial"/>
          <w:sz w:val="17"/>
          <w:szCs w:val="17"/>
          <w:color w:val="auto"/>
        </w:rPr>
      </w:pPr>
      <w:r>
        <w:rPr>
          <w:rFonts w:ascii="Arial" w:cs="Arial" w:eastAsia="Arial" w:hAnsi="Arial"/>
          <w:sz w:val="18"/>
          <w:szCs w:val="18"/>
          <w:color w:val="auto"/>
        </w:rPr>
        <w:t>Company’s 2008 Equity Incentive Plan and related option documents described in Section 4.3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1" w:name="page242"/>
    <w:bookmarkEnd w:id="241"/>
    <w:p>
      <w:pPr>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20" w:type="dxa"/>
            <w:vAlign w:val="bottom"/>
            <w:gridSpan w:val="6"/>
          </w:tcPr>
          <w:p>
            <w:pPr>
              <w:ind w:left="2040"/>
              <w:spacing w:after="0"/>
              <w:rPr>
                <w:sz w:val="20"/>
                <w:szCs w:val="20"/>
                <w:color w:val="auto"/>
              </w:rPr>
            </w:pPr>
            <w:r>
              <w:rPr>
                <w:rFonts w:ascii="Arial" w:cs="Arial" w:eastAsia="Arial" w:hAnsi="Arial"/>
                <w:sz w:val="18"/>
                <w:szCs w:val="18"/>
                <w:b w:val="1"/>
                <w:bCs w:val="1"/>
                <w:color w:val="auto"/>
              </w:rPr>
              <w:t>W. STAN MEYER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June 25, 2008</w:t>
            </w:r>
          </w:p>
        </w:tc>
        <w:tc>
          <w:tcPr>
            <w:tcW w:w="6320" w:type="dxa"/>
            <w:vAlign w:val="bottom"/>
            <w:gridSpan w:val="6"/>
          </w:tcPr>
          <w:p>
            <w:pPr>
              <w:ind w:left="2040"/>
              <w:spacing w:after="0"/>
              <w:rPr>
                <w:sz w:val="20"/>
                <w:szCs w:val="20"/>
                <w:color w:val="auto"/>
              </w:rPr>
            </w:pPr>
            <w:r>
              <w:rPr>
                <w:rFonts w:ascii="Arial" w:cs="Arial" w:eastAsia="Arial" w:hAnsi="Arial"/>
                <w:sz w:val="18"/>
                <w:szCs w:val="18"/>
                <w:color w:val="auto"/>
              </w:rPr>
              <w:t>By: /s/ W. Stan Meyer</w:t>
            </w:r>
          </w:p>
        </w:tc>
      </w:tr>
      <w:tr>
        <w:trPr>
          <w:trHeight w:val="20"/>
        </w:trPr>
        <w:tc>
          <w:tcPr>
            <w:tcW w:w="3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12"/>
        </w:trPr>
        <w:tc>
          <w:tcPr>
            <w:tcW w:w="3540" w:type="dxa"/>
            <w:vAlign w:val="bottom"/>
          </w:tcPr>
          <w:p>
            <w:pPr>
              <w:spacing w:after="0"/>
              <w:rPr>
                <w:sz w:val="24"/>
                <w:szCs w:val="24"/>
                <w:color w:val="auto"/>
              </w:rPr>
            </w:pPr>
          </w:p>
        </w:tc>
        <w:tc>
          <w:tcPr>
            <w:tcW w:w="2720" w:type="dxa"/>
            <w:vAlign w:val="bottom"/>
            <w:gridSpan w:val="3"/>
          </w:tcPr>
          <w:p>
            <w:pPr>
              <w:ind w:left="2040"/>
              <w:spacing w:after="0"/>
              <w:rPr>
                <w:sz w:val="20"/>
                <w:szCs w:val="20"/>
                <w:color w:val="auto"/>
              </w:rPr>
            </w:pPr>
            <w:r>
              <w:rPr>
                <w:rFonts w:ascii="Arial" w:cs="Arial" w:eastAsia="Arial" w:hAnsi="Arial"/>
                <w:sz w:val="18"/>
                <w:szCs w:val="18"/>
                <w:color w:val="auto"/>
                <w:w w:val="92"/>
              </w:rPr>
              <w:t>Address:</w:t>
            </w:r>
          </w:p>
        </w:tc>
        <w:tc>
          <w:tcPr>
            <w:tcW w:w="24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10"/>
        </w:trPr>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gridSpan w:val="3"/>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642"/>
        </w:trPr>
        <w:tc>
          <w:tcPr>
            <w:tcW w:w="3540" w:type="dxa"/>
            <w:vAlign w:val="bottom"/>
          </w:tcPr>
          <w:p>
            <w:pPr>
              <w:spacing w:after="0"/>
              <w:rPr>
                <w:sz w:val="24"/>
                <w:szCs w:val="24"/>
                <w:color w:val="auto"/>
              </w:rPr>
            </w:pPr>
          </w:p>
        </w:tc>
        <w:tc>
          <w:tcPr>
            <w:tcW w:w="6320" w:type="dxa"/>
            <w:vAlign w:val="bottom"/>
            <w:gridSpan w:val="6"/>
          </w:tcPr>
          <w:p>
            <w:pPr>
              <w:ind w:left="20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June 27, 2008</w:t>
            </w:r>
          </w:p>
        </w:tc>
        <w:tc>
          <w:tcPr>
            <w:tcW w:w="6320" w:type="dxa"/>
            <w:vAlign w:val="bottom"/>
            <w:gridSpan w:val="6"/>
          </w:tcPr>
          <w:p>
            <w:pPr>
              <w:ind w:left="2000"/>
              <w:spacing w:after="0"/>
              <w:rPr>
                <w:sz w:val="20"/>
                <w:szCs w:val="20"/>
                <w:color w:val="auto"/>
              </w:rPr>
            </w:pPr>
            <w:r>
              <w:rPr>
                <w:rFonts w:ascii="Arial" w:cs="Arial" w:eastAsia="Arial" w:hAnsi="Arial"/>
                <w:sz w:val="18"/>
                <w:szCs w:val="18"/>
                <w:color w:val="auto"/>
              </w:rPr>
              <w:t>By: /s/ Christopher C. Richardson</w:t>
            </w:r>
          </w:p>
        </w:tc>
      </w:tr>
      <w:tr>
        <w:trPr>
          <w:trHeight w:val="195"/>
        </w:trPr>
        <w:tc>
          <w:tcPr>
            <w:tcW w:w="3540" w:type="dxa"/>
            <w:vAlign w:val="bottom"/>
          </w:tcPr>
          <w:p>
            <w:pPr>
              <w:spacing w:after="0"/>
              <w:rPr>
                <w:sz w:val="16"/>
                <w:szCs w:val="16"/>
                <w:color w:val="auto"/>
              </w:rPr>
            </w:pPr>
          </w:p>
        </w:tc>
        <w:tc>
          <w:tcPr>
            <w:tcW w:w="2360" w:type="dxa"/>
            <w:vAlign w:val="bottom"/>
          </w:tcPr>
          <w:p>
            <w:pPr>
              <w:ind w:left="2000"/>
              <w:spacing w:after="0"/>
              <w:rPr>
                <w:sz w:val="20"/>
                <w:szCs w:val="20"/>
                <w:color w:val="auto"/>
              </w:rPr>
            </w:pPr>
            <w:r>
              <w:rPr>
                <w:rFonts w:ascii="Arial" w:cs="Arial" w:eastAsia="Arial" w:hAnsi="Arial"/>
                <w:sz w:val="16"/>
                <w:szCs w:val="16"/>
                <w:color w:val="auto"/>
                <w:w w:val="72"/>
              </w:rPr>
              <w:t>Name:</w:t>
            </w:r>
          </w:p>
        </w:tc>
        <w:tc>
          <w:tcPr>
            <w:tcW w:w="360" w:type="dxa"/>
            <w:vAlign w:val="bottom"/>
            <w:tcBorders>
              <w:top w:val="single" w:sz="8" w:color="auto"/>
            </w:tcBorders>
            <w:gridSpan w:val="2"/>
          </w:tcPr>
          <w:p>
            <w:pPr>
              <w:spacing w:after="0"/>
              <w:rPr>
                <w:sz w:val="16"/>
                <w:szCs w:val="16"/>
                <w:color w:val="auto"/>
              </w:rPr>
            </w:pPr>
          </w:p>
        </w:tc>
        <w:tc>
          <w:tcPr>
            <w:tcW w:w="342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Christopher C. Richardson</w:t>
            </w:r>
          </w:p>
        </w:tc>
        <w:tc>
          <w:tcPr>
            <w:tcW w:w="18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720" w:type="dxa"/>
            <w:vAlign w:val="bottom"/>
            <w:gridSpan w:val="3"/>
          </w:tcPr>
          <w:p>
            <w:pPr>
              <w:ind w:left="2000"/>
              <w:spacing w:after="0"/>
              <w:rPr>
                <w:sz w:val="20"/>
                <w:szCs w:val="20"/>
                <w:color w:val="auto"/>
              </w:rPr>
            </w:pPr>
            <w:r>
              <w:rPr>
                <w:rFonts w:ascii="Arial" w:cs="Arial" w:eastAsia="Arial" w:hAnsi="Arial"/>
                <w:sz w:val="18"/>
                <w:szCs w:val="18"/>
                <w:color w:val="auto"/>
              </w:rPr>
              <w:t>Title:</w:t>
            </w: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General Counsel and Director</w:t>
            </w:r>
          </w:p>
        </w:tc>
      </w:tr>
      <w:tr>
        <w:trPr>
          <w:trHeight w:val="418"/>
        </w:trPr>
        <w:tc>
          <w:tcPr>
            <w:tcW w:w="3540" w:type="dxa"/>
            <w:vAlign w:val="bottom"/>
          </w:tcPr>
          <w:p>
            <w:pPr>
              <w:spacing w:after="0"/>
              <w:rPr>
                <w:sz w:val="24"/>
                <w:szCs w:val="24"/>
                <w:color w:val="auto"/>
              </w:rPr>
            </w:pPr>
          </w:p>
        </w:tc>
        <w:tc>
          <w:tcPr>
            <w:tcW w:w="2720" w:type="dxa"/>
            <w:vAlign w:val="bottom"/>
            <w:gridSpan w:val="3"/>
          </w:tcPr>
          <w:p>
            <w:pPr>
              <w:ind w:left="2000"/>
              <w:spacing w:after="0"/>
              <w:rPr>
                <w:sz w:val="20"/>
                <w:szCs w:val="20"/>
                <w:color w:val="auto"/>
              </w:rPr>
            </w:pPr>
            <w:r>
              <w:rPr>
                <w:rFonts w:ascii="Arial" w:cs="Arial" w:eastAsia="Arial" w:hAnsi="Arial"/>
                <w:sz w:val="18"/>
                <w:szCs w:val="18"/>
                <w:color w:val="auto"/>
                <w:w w:val="98"/>
              </w:rPr>
              <w:t>Address:</w:t>
            </w: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3300 West Camelback Road</w:t>
            </w:r>
          </w:p>
        </w:tc>
      </w:tr>
      <w:tr>
        <w:trPr>
          <w:trHeight w:val="230"/>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Phoenix, Arizona 85017</w:t>
            </w:r>
          </w:p>
        </w:tc>
      </w:tr>
      <w:tr>
        <w:trPr>
          <w:trHeight w:val="621"/>
        </w:trPr>
        <w:tc>
          <w:tcPr>
            <w:tcW w:w="3540" w:type="dxa"/>
            <w:vAlign w:val="bottom"/>
          </w:tcPr>
          <w:p>
            <w:pPr>
              <w:spacing w:after="0"/>
              <w:rPr>
                <w:sz w:val="24"/>
                <w:szCs w:val="24"/>
                <w:color w:val="auto"/>
              </w:rPr>
            </w:pPr>
          </w:p>
        </w:tc>
        <w:tc>
          <w:tcPr>
            <w:tcW w:w="2360" w:type="dxa"/>
            <w:vAlign w:val="bottom"/>
          </w:tcPr>
          <w:p>
            <w:pPr>
              <w:ind w:left="208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980"/>
          </w:cols>
          <w:pgMar w:left="240" w:top="935" w:right="67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May 12, 2008 (except for Note 3, as to which the date is August 11, 2008, and Note 17(a), as to which the date is [ </w:t>
      </w:r>
      <w:r>
        <w:rPr>
          <w:rFonts w:ascii="Arial" w:cs="Arial" w:eastAsia="Arial" w:hAnsi="Arial"/>
          <w:sz w:val="18"/>
          <w:szCs w:val="18"/>
          <w:b w:val="1"/>
          <w:bCs w:val="1"/>
          <w:color w:val="auto"/>
        </w:rPr>
        <w:t>·</w:t>
      </w:r>
      <w:r>
        <w:rPr>
          <w:rFonts w:ascii="Arial" w:cs="Arial" w:eastAsia="Arial" w:hAnsi="Arial"/>
          <w:sz w:val="18"/>
          <w:szCs w:val="18"/>
          <w:color w:val="auto"/>
        </w:rPr>
        <w:t xml:space="preserve"> ], 2008), in Amendment No. 1 to the Registration Statement (Form S-1 No. 333-150876) and related Prospectus of Grand Canyon Education, Inc. for the registration of [ </w:t>
      </w:r>
      <w:r>
        <w:rPr>
          <w:rFonts w:ascii="Arial" w:cs="Arial" w:eastAsia="Arial" w:hAnsi="Arial"/>
          <w:sz w:val="18"/>
          <w:szCs w:val="18"/>
          <w:b w:val="1"/>
          <w:bCs w:val="1"/>
          <w:color w:val="auto"/>
        </w:rPr>
        <w:t>·</w:t>
      </w:r>
      <w:r>
        <w:rPr>
          <w:rFonts w:ascii="Arial" w:cs="Arial" w:eastAsia="Arial" w:hAnsi="Arial"/>
          <w:sz w:val="18"/>
          <w:szCs w:val="18"/>
          <w:color w:val="auto"/>
        </w:rPr>
        <w:t xml:space="preserve"> ] shares of its common stock.</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foregoing consent is in the form that will be signed upon the determination of the special distribution to stockholders described in Note 17(a) to the financial statements.</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11, 2008</w:t>
      </w:r>
    </w:p>
    <w:p>
      <w:pPr>
        <w:sectPr>
          <w:pgSz w:w="11900" w:h="16838" w:orient="portrait"/>
          <w:cols w:equalWidth="0" w:num="1">
            <w:col w:w="11420"/>
          </w:cols>
          <w:pgMar w:left="240" w:top="12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t>August 13,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by courier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Larry Spirgel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b w:val="1"/>
          <w:bCs w:val="1"/>
          <w:color w:val="auto"/>
        </w:rPr>
        <w:t>RE:</w:t>
        <w:tab/>
        <w:t>Grand Canyon Education, Inc.</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Filed on May 13, 2008</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 No. 333-150876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Spirgel:</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This letter responds to the letter of the staff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dated June 10, 2008, to Grand Canyon Education, Inc. (the “</w:t>
      </w:r>
      <w:r>
        <w:rPr>
          <w:rFonts w:ascii="Arial" w:cs="Arial" w:eastAsia="Arial" w:hAnsi="Arial"/>
          <w:sz w:val="18"/>
          <w:szCs w:val="18"/>
          <w:u w:val="single" w:color="auto"/>
          <w:color w:val="auto"/>
        </w:rPr>
        <w:t>Company</w:t>
      </w:r>
      <w:r>
        <w:rPr>
          <w:rFonts w:ascii="Arial" w:cs="Arial" w:eastAsia="Arial" w:hAnsi="Arial"/>
          <w:sz w:val="18"/>
          <w:szCs w:val="18"/>
          <w:color w:val="auto"/>
        </w:rPr>
        <w:t>”) regarding the Registration Statement on Form S-1, File No. 333-150876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the Company on May 13, 2008.</w:t>
      </w:r>
    </w:p>
    <w:p>
      <w:pPr>
        <w:spacing w:after="0" w:line="73" w:lineRule="exact"/>
        <w:rPr>
          <w:sz w:val="20"/>
          <w:szCs w:val="20"/>
          <w:color w:val="auto"/>
        </w:rPr>
      </w:pPr>
    </w:p>
    <w:p>
      <w:pPr>
        <w:jc w:val="both"/>
        <w:ind w:right="320" w:firstLine="222"/>
        <w:spacing w:after="0" w:line="264" w:lineRule="auto"/>
        <w:rPr>
          <w:sz w:val="20"/>
          <w:szCs w:val="20"/>
          <w:color w:val="auto"/>
        </w:rPr>
      </w:pPr>
      <w:r>
        <w:rPr>
          <w:rFonts w:ascii="Arial" w:cs="Arial" w:eastAsia="Arial" w:hAnsi="Arial"/>
          <w:sz w:val="18"/>
          <w:szCs w:val="18"/>
          <w:color w:val="auto"/>
        </w:rPr>
        <w:t>This letter sets forth each comment of the Staff in the comment letter (numbered in accordance with the comment letter) and, following each comment, sets forth the Company’s response. We are enclosing a copy of Amendment No. 1 to the Registration Statement on Form S-1, together with a copy that is marked to show the changes from the initial filing.</w:t>
      </w:r>
    </w:p>
    <w:p>
      <w:pPr>
        <w:spacing w:after="0" w:line="73"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has restated its financial statements as of December 31, 2006 and 2007 and for the three-year period ended December 31, 2007. Please see new Note 3, “Restatement of Financial Statements,” to the Company’s audited financial statements included in Amendment No. 1 to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60" w:firstLine="233"/>
        <w:spacing w:after="0" w:line="277" w:lineRule="auto"/>
        <w:tabs>
          <w:tab w:leader="none" w:pos="405" w:val="left"/>
        </w:tabs>
        <w:numPr>
          <w:ilvl w:val="0"/>
          <w:numId w:val="175"/>
        </w:numPr>
        <w:rPr>
          <w:rFonts w:ascii="Arial" w:cs="Arial" w:eastAsia="Arial" w:hAnsi="Arial"/>
          <w:sz w:val="18"/>
          <w:szCs w:val="18"/>
          <w:i w:val="1"/>
          <w:iCs w:val="1"/>
          <w:color w:val="auto"/>
        </w:rPr>
      </w:pPr>
      <w:r>
        <w:rPr>
          <w:rFonts w:ascii="Arial" w:cs="Arial" w:eastAsia="Arial" w:hAnsi="Arial"/>
          <w:sz w:val="18"/>
          <w:szCs w:val="18"/>
          <w:i w:val="1"/>
          <w:iCs w:val="1"/>
          <w:color w:val="auto"/>
        </w:rPr>
        <w:t>Please be advised that you should include the price range, the size of the offering, and all other required information in an amendment to your Form S-l prior to any distribution of preliminary prospectuses so that we may complete our review. Note that we may have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comments once you have provided this disclosure. Therefore, please allow us sufficient time to review your complete disclosure prior to any distribution of preliminary prospectuses.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acknowledges the Staff’s comment. The Company will not be distributing a preliminary prospectus in conjunction with this filing.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64" w:lineRule="auto"/>
        <w:tabs>
          <w:tab w:leader="none" w:pos="402" w:val="left"/>
        </w:tabs>
        <w:numPr>
          <w:ilvl w:val="0"/>
          <w:numId w:val="176"/>
        </w:numPr>
        <w:rPr>
          <w:rFonts w:ascii="Arial" w:cs="Arial" w:eastAsia="Arial" w:hAnsi="Arial"/>
          <w:sz w:val="18"/>
          <w:szCs w:val="18"/>
          <w:i w:val="1"/>
          <w:iCs w:val="1"/>
          <w:color w:val="auto"/>
        </w:rPr>
      </w:pPr>
      <w:r>
        <w:rPr>
          <w:rFonts w:ascii="Arial" w:cs="Arial" w:eastAsia="Arial" w:hAnsi="Arial"/>
          <w:sz w:val="18"/>
          <w:szCs w:val="18"/>
          <w:i w:val="1"/>
          <w:iCs w:val="1"/>
          <w:color w:val="auto"/>
        </w:rPr>
        <w:t>As soon as practicable, please furnish to us a statement as to whether or not the amount of compensation to be allowed or paid to the underwriter(s) has been cleared with the FINRA. Prior to the effectiveness of this registration statement, please provide us with a copy of the letter or a call from the FINRA informing us that FINRA has no additional concerns.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Company acknowledges the Staff’s comment and will notify the Staff as soon as practicable after FINRA so acts. As of the date of this letter, FINRA has supplied the underwriters with a standard response letter, but has not cleared the amount of compensation to be paid to the underwriters.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00" w:firstLine="233"/>
        <w:spacing w:after="0" w:line="312" w:lineRule="auto"/>
        <w:tabs>
          <w:tab w:leader="none" w:pos="405"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We encourage you to file all exhibits with your next amendment or otherwise furnish us drafts of your legality opinion and underwriting agreement. We must review these documents before the registration statement is declared effective, and we may have additional comments. Furthermore, we remind you to provide us with sufficient time to review any requests for confidential treatment you may be submitting in connection with the filing of your exhibits.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acknowledges the Staff’s comment and has filed the legality opinion and form of underwriting agreement. Certain other exhibits consisting of material contracts that are not yet in effect will be filed with a later amendment.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jc w:val="both"/>
        <w:ind w:right="100" w:firstLine="233"/>
        <w:spacing w:after="0" w:line="259" w:lineRule="auto"/>
        <w:tabs>
          <w:tab w:leader="none" w:pos="405"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extensive use of third-party statements, data, and statistics throughout the prospectus, With respect to statements attributed to such parties, please provide us with support for such statements. Please set forth the dates of all the reports cited. To expedite our review, please clearly mark each source to highlight the applicable portion or section containing the statistic and cross-reference it to the appropriate location in your prospectus. Also, tell us whether you commissioned any of the referenced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response to the Staff’s comment, the Company has amended the Registration Statement to add the dates of all reports cited. In addition, the Company has delivered to the Staff, under separate cover and in the manner requested by the Staff, support for all third-party statements used in the Registration Statement. The Company requests that these materials be returned to it upon completion of the Staff’s review. The Company did not commission any of the referenced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 page 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60" w:firstLine="233"/>
        <w:spacing w:after="0" w:line="264" w:lineRule="auto"/>
        <w:tabs>
          <w:tab w:leader="none" w:pos="405" w:val="left"/>
        </w:tabs>
        <w:numPr>
          <w:ilvl w:val="0"/>
          <w:numId w:val="179"/>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that you are “a leading ... provider of online postsecondary education services.” Please revise this statement to disclose that it is your belief and the basis for your belief. In this regard, indicate the measure by which you determined that you are a leading provider, be it based on revenues, market share, or some other standard.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response to the Staff’s comment, the Company has amended the Registration Statement to remove the word “leading” when describing its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Offering Summary, page 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57" w:lineRule="auto"/>
        <w:tabs>
          <w:tab w:leader="none" w:pos="405" w:val="left"/>
        </w:tabs>
        <w:numPr>
          <w:ilvl w:val="0"/>
          <w:numId w:val="18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that the special distribution “permits a return of capital to all of our stockholders as of the record date, and does so without significantly decreasing our capital resources or requiring these stockholders to sell their shares.” Please revise your disclosure under “Special Distribution” on page 32 to discuss when your principal stockholders, including your directors and executive officers, directly or indirectly, acquired their shares, the amount paid for those shares and the amount that will be paid to them in the special distribution. Provide corresponding changes to your disclosure under “Certain Relationships and Related Transactions — Special Distribution” on page 100.</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in the indicated sections to provide the information requested by the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Financial and Other Data, page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Financial Data, page 37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3260" w:hanging="7"/>
        <w:spacing w:after="0" w:line="375" w:lineRule="auto"/>
        <w:tabs>
          <w:tab w:leader="none" w:pos="420" w:val="left"/>
        </w:tabs>
        <w:numPr>
          <w:ilvl w:val="0"/>
          <w:numId w:val="18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Refer to “Other Data.” Revise to present net cash provided by (used in) investing and financing activities.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Company acknowledges the Staff’s comment. Because the Company uses Adjusted EBITDA as a performance measure, and not as a measure of liquidity, the Company has chosen instead to eliminate the line item for “Net cash provided by (used in) operating activities,” and believes that the requested line items are therefore not necessary.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25" w:lineRule="exact"/>
        <w:rPr>
          <w:sz w:val="20"/>
          <w:szCs w:val="20"/>
          <w:color w:val="auto"/>
        </w:rPr>
      </w:pPr>
    </w:p>
    <w:p>
      <w:pPr>
        <w:jc w:val="right"/>
        <w:ind w:right="9960"/>
        <w:spacing w:after="0"/>
        <w:rPr>
          <w:sz w:val="20"/>
          <w:szCs w:val="20"/>
          <w:color w:val="auto"/>
        </w:rPr>
      </w:pPr>
      <w:r>
        <w:rPr>
          <w:rFonts w:ascii="Arial" w:cs="Arial" w:eastAsia="Arial" w:hAnsi="Arial"/>
          <w:sz w:val="16"/>
          <w:szCs w:val="16"/>
          <w:u w:val="single" w:color="auto"/>
          <w:color w:val="auto"/>
        </w:rPr>
        <w:t>Overview, page 40</w:t>
      </w:r>
    </w:p>
    <w:p>
      <w:pPr>
        <w:spacing w:after="0" w:line="140" w:lineRule="exact"/>
        <w:rPr>
          <w:sz w:val="20"/>
          <w:szCs w:val="20"/>
          <w:color w:val="auto"/>
        </w:rPr>
      </w:pPr>
    </w:p>
    <w:p>
      <w:pPr>
        <w:jc w:val="right"/>
        <w:ind w:right="996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420" w:hanging="187"/>
        <w:spacing w:after="0"/>
        <w:tabs>
          <w:tab w:leader="none" w:pos="420" w:val="left"/>
        </w:tabs>
        <w:numPr>
          <w:ilvl w:val="0"/>
          <w:numId w:val="182"/>
        </w:numPr>
        <w:rPr>
          <w:rFonts w:ascii="Arial" w:cs="Arial" w:eastAsia="Arial" w:hAnsi="Arial"/>
          <w:sz w:val="17"/>
          <w:szCs w:val="17"/>
          <w:i w:val="1"/>
          <w:iCs w:val="1"/>
          <w:color w:val="auto"/>
        </w:rPr>
      </w:pPr>
      <w:r>
        <w:rPr>
          <w:rFonts w:ascii="Arial" w:cs="Arial" w:eastAsia="Arial" w:hAnsi="Arial"/>
          <w:sz w:val="17"/>
          <w:szCs w:val="17"/>
          <w:i w:val="1"/>
          <w:iCs w:val="1"/>
          <w:color w:val="auto"/>
        </w:rPr>
        <w:t>Please revise to discuss in more detail the impact of any known trends and uncertainties associated with your participation in, and continued</w:t>
      </w:r>
    </w:p>
    <w:p>
      <w:pPr>
        <w:spacing w:after="0" w:line="34" w:lineRule="exact"/>
        <w:rPr>
          <w:rFonts w:ascii="Arial" w:cs="Arial" w:eastAsia="Arial" w:hAnsi="Arial"/>
          <w:sz w:val="17"/>
          <w:szCs w:val="17"/>
          <w:i w:val="1"/>
          <w:iCs w:val="1"/>
          <w:color w:val="auto"/>
        </w:rPr>
      </w:pPr>
    </w:p>
    <w:p>
      <w:pPr>
        <w:ind w:right="340"/>
        <w:spacing w:after="0" w:line="261" w:lineRule="auto"/>
        <w:rPr>
          <w:rFonts w:ascii="Arial" w:cs="Arial" w:eastAsia="Arial" w:hAnsi="Arial"/>
          <w:sz w:val="17"/>
          <w:szCs w:val="17"/>
          <w:i w:val="1"/>
          <w:iCs w:val="1"/>
          <w:color w:val="auto"/>
        </w:rPr>
      </w:pPr>
      <w:r>
        <w:rPr>
          <w:rFonts w:ascii="Arial" w:cs="Arial" w:eastAsia="Arial" w:hAnsi="Arial"/>
          <w:sz w:val="18"/>
          <w:szCs w:val="18"/>
          <w:i w:val="1"/>
          <w:iCs w:val="1"/>
          <w:color w:val="auto"/>
        </w:rPr>
        <w:t>availability of, federal student aid programs under Title IV. For example, discuss and quantify the costs associated with administering the programs and complying with the regulations associated with the programs.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to discuss certain trends and uncertainties affecting companies, including the Company, that participate in federal student aid programs under Title IV.</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0" w:firstLine="233"/>
        <w:spacing w:after="0" w:line="264" w:lineRule="auto"/>
        <w:tabs>
          <w:tab w:leader="none" w:pos="405"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on page 42 that you treat online faculty as independent contractors “in accordance with industry practice.” Please remove this statement or revise to clarify the basis for your belief that it is appropriate to treat your online faculty as independent contractors rather than employees under applicable federal and state law.</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response to the Staff’s comment, the Company has amended the Registration Statement to remove the above-quoted clause.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60" w:firstLine="233"/>
        <w:spacing w:after="0" w:line="277" w:lineRule="auto"/>
        <w:tabs>
          <w:tab w:leader="none" w:pos="495" w:val="left"/>
        </w:tabs>
        <w:numPr>
          <w:ilvl w:val="0"/>
          <w:numId w:val="184"/>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42 that you do not expect to make substantial investments in [y]our campus-based instructional costs and services, which include facilities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full-time adjunct faculty as you expect the mix of your student population to continue to shift toward online students. However, we note on page 20 that you have vulnerable computer networks and that you may be required to expend significant resources to protect against the threat of security breaches. Additionally, on page 21, you stated that in the future, you may need to develop course content solely or initially for online use. Please revise your disclosure accordingly.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response to the Staff’s comment, the Company has amended the Registration Statement to clarify the intent of the disclosure, which is that the Company expects its instructional costs and services as a percentage of tuition and other net revenue to decline as it leverages its support services that are in place over a larger tuition and enrollment base.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00" w:firstLine="233"/>
        <w:spacing w:after="0" w:line="286" w:lineRule="auto"/>
        <w:tabs>
          <w:tab w:leader="none" w:pos="482" w:val="left"/>
        </w:tabs>
        <w:numPr>
          <w:ilvl w:val="0"/>
          <w:numId w:val="185"/>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 on page 43 regarding the dispute with your former owner and the related standstill agreement. We also note that the standstill agreement does not appear as an exhibit to the registration statement. Please tell us why you believe it is not necessary to file this agreement. Refer to Item 601(b)(10)(iii) of Regulation S-K.</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jc w:val="both"/>
        <w:ind w:right="160" w:firstLine="222"/>
        <w:spacing w:after="0" w:line="286" w:lineRule="auto"/>
        <w:rPr>
          <w:sz w:val="20"/>
          <w:szCs w:val="20"/>
          <w:color w:val="auto"/>
        </w:rPr>
      </w:pPr>
      <w:r>
        <w:rPr>
          <w:rFonts w:ascii="Arial" w:cs="Arial" w:eastAsia="Arial" w:hAnsi="Arial"/>
          <w:sz w:val="17"/>
          <w:szCs w:val="17"/>
          <w:color w:val="auto"/>
        </w:rPr>
        <w:t>The Company’s material contractual obligations under the standstill agreement were fully performed when the Company made its $19.5 million payment on April 15, 2008. Because the Company no longer has any material obligations to be performed under the standstill agreement, it does not believe that the standstill agreement is a material agreement that is required to be filed as an exhibit under Item 601(b)(10)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 page 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jc w:val="both"/>
        <w:ind w:right="260" w:firstLine="233"/>
        <w:spacing w:after="0" w:line="264" w:lineRule="auto"/>
        <w:tabs>
          <w:tab w:leader="none" w:pos="492" w:val="left"/>
        </w:tabs>
        <w:numPr>
          <w:ilvl w:val="0"/>
          <w:numId w:val="186"/>
        </w:numPr>
        <w:rPr>
          <w:rFonts w:ascii="Arial" w:cs="Arial" w:eastAsia="Arial" w:hAnsi="Arial"/>
          <w:sz w:val="18"/>
          <w:szCs w:val="18"/>
          <w:i w:val="1"/>
          <w:iCs w:val="1"/>
          <w:color w:val="auto"/>
        </w:rPr>
      </w:pPr>
      <w:r>
        <w:rPr>
          <w:rFonts w:ascii="Arial" w:cs="Arial" w:eastAsia="Arial" w:hAnsi="Arial"/>
          <w:sz w:val="18"/>
          <w:szCs w:val="18"/>
          <w:i w:val="1"/>
          <w:iCs w:val="1"/>
          <w:color w:val="auto"/>
        </w:rPr>
        <w:t>As disclosed herein, a portion of your on campus ground students do not attend courses during the summer months, which historically has impacted your second quarter and third quarter financial results. If true, please revise your disclosure to state that historically, you had incurred losses during those quarters.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to state that lower on-campus enrollment during the summer months has historically contributed to operating losses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97" w:lineRule="auto"/>
        <w:tabs>
          <w:tab w:leader="none" w:pos="495" w:val="left"/>
        </w:tabs>
        <w:numPr>
          <w:ilvl w:val="0"/>
          <w:numId w:val="187"/>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belief that your current cash flow from operating activities, and other sources of liquidity, including cash, and cash equivalents will provide “adequate funds” for ongoing operations, planned capital expenditures and working capital requirements “for the foreseeable future.” Please provide a more detailed discussion of your ability to meet your short- and long-term liquidity needs and provide greater insight into the length of time that the sufficiency will extend. We consider “long-term” to be the period in excess of the next 12 months. See Section III.C. of Release No. 33-6835 and footnote 43 of Release No. 33-8350. In addition, revise to quantify your material short- and long-term liquidity requirements, to the extent practicable.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response to the Staff’s comment, the Company has amended the Registration Statement to clarify that cash flow from operations and other sources of liquidity, including cash and cash equivalents, will provide adequate funds for ongoing operations, planned capital expenditures, and working capital requirements for at least the next 24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Education Licensure and Regulation, page 72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80" w:firstLine="233"/>
        <w:spacing w:after="0" w:line="302" w:lineRule="auto"/>
        <w:tabs>
          <w:tab w:leader="none" w:pos="495" w:val="left"/>
        </w:tabs>
        <w:numPr>
          <w:ilvl w:val="0"/>
          <w:numId w:val="188"/>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enroll students from all 50 states and the District of Columbia in your online education programs. Please identify the states in which you operate and are subject to state regulation. To the extent material, identity the states that have the particular laws and regulations you discuss, or that have sought to assert jurisdiction over educational institutions offering online degree programs, such as you. Discuss the extent to which you have not complied with the applicable regulations in such states and whether any such regulations have had or may have a material impact on your business.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As discussed in the section of the Registration Statement entitled “Regulation – State Education Licensure and Regulation,” the Company is authorized to offer its programs by the Arizona State Board for Private Postsecondary Education, the regulatory agency governing private postsecondary educational institutions in the state of Arizona, where the Company and its only campus are located. As further discussed in this section, state regulatory requirements for online education vary among the states, are not well developed in many states, are imprecise or unclear in some states, and can change frequently.</w:t>
      </w:r>
    </w:p>
    <w:p>
      <w:pPr>
        <w:spacing w:after="0" w:line="46"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While Arizona is the location of the Company’s business and only campus, the Company has obtained licenses or authorizations in other states where it believes its activities require 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 licensed or authorized, as well as in certain states where the Company has determined that licensure can facilitate the teaching certification process for graduates of its College of Education. The Company does not believe that any of the states in which it is currently licensed or authorized, other than Arizona, are material to its operations, and further believes that it will be able to comply with additional state licensing or authorization requirements that may arise or be asserted in the future. The Company does believe that, from an investor’s perspective, it is important to understand that state regulations applicable to educational institutions generally, and online education in particular, are continually evolving and unclear, and the disclosure in the Registration Statement describes this state of affairs.</w:t>
      </w:r>
    </w:p>
    <w:p>
      <w:pPr>
        <w:spacing w:after="0" w:line="85"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response to the Staff’s comment, the Company has amended the Registration Statement to clarify the reasons why it may be licensed or authorized in states other than Arizona and also to state that, although it believes it is licensed in those jurisdictions that are material to its operations, because it enrolls students in all 50 states and the District of Columbia, it expects that other state regulatory authorities will request that it seek licensure in their states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Board Composition, page 87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00" w:firstLine="233"/>
        <w:spacing w:after="0" w:line="259" w:lineRule="auto"/>
        <w:tabs>
          <w:tab w:leader="none" w:pos="495"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disclosure to discuss the matters considered by the board of directors in making the affirmative determination that no relationship exists between Messrs. Heath and Dorman and the company that would impair their independence under Nasdaq Marketplace Rule 4200. In particular, discuss what consideration was given to Messrs. Heath’s and Dorman’s association with Endeavour Capital, the company’s leading outside investor and financial advisor, and the business relationship between both companies.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response to the Staff’s comment, the Company has amended the Registration Statement to discuss the matters considered by the board of directors in making the affirmative determination that no relationship exists between Messrs. Heath and Dorman and the Company that would impair their independence under Nasdaq Marketplace Rule 4200.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Objectives of Compensation Programs, page 88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20" w:firstLine="233"/>
        <w:spacing w:after="0" w:line="259" w:lineRule="auto"/>
        <w:tabs>
          <w:tab w:leader="none" w:pos="495" w:val="left"/>
        </w:tabs>
        <w:numPr>
          <w:ilvl w:val="0"/>
          <w:numId w:val="19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88 that in setting compensation levels you take into consideration the marketplace for individuals that you wish to attract. Further, we note that you have not engaged in any “formal benchmarking,” but rather compensation decisions have been made based on the knowledge of the market possessed by your board of directors, as supplemented by market knowledge of Endeavour Capital and your human resources department, and as negotiated with your named executive officers. Please explain what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mean by “formal benchmarking” and how you determined the elements and levels of your executive compensation relative to the other companies. Please identify any specific elements benchmarked, including whether you benchmarked total compensation, So that investors may understand the kind of benchmarking information you used in determining annual executive compensation, identify the elements that were considered by the representatives of your lead outside investor. Identify any companies and industries used for benchmarking. See Regulation S-K Item 402(b)(2)(xiv).</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To date, the Company has not engaged in any benchmarking in setting the compensation levels for any of the named executive officers or when making decisions to attract individuals to the Company. In response to the Staff’s comment, the Company has amended the Registration Statement to clarify its compensation practices.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Programs Design and Elements of Compensation, page 89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64" w:lineRule="auto"/>
        <w:tabs>
          <w:tab w:leader="none" w:pos="495"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how you consider the company’s and the individual’s performance in setting the compensation levels of your named executive officers. In this regard, we note that base salaries, which are the largest component of compensation, are contractually agreed at the time of initial employment, and are “not at risk.”</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to provide an example of how it considers the Company’s and the individual’s performance in setting compensation levels for its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Actions Taken in Current Fiscal Year, page 91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0" w:firstLine="233"/>
        <w:spacing w:after="0" w:line="257" w:lineRule="auto"/>
        <w:tabs>
          <w:tab w:leader="none" w:pos="495" w:val="left"/>
        </w:tabs>
        <w:numPr>
          <w:ilvl w:val="0"/>
          <w:numId w:val="19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will adopt an equity incentive plan and an employee stock purchase plan in 2008. In light of your disclosure on page 89 regarding your view that the Richardsons’ ownership in the company provides a level of motivation that would not be appreciably enhanced through further equity incentives, please revise to clarify whether the Richardsons will be eligible to participate in these plans. Also, please explain the purpose of this plan and how it fits into your overall compensation philosophy and objectives. In addition, to the extent material, describe any changes to your other forms of compensation, such as salary and bonus, that will be undertaken for 2008.</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to (i) clarify that although Brent Richardson and Chris Richardson are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participate in the 2008 Equity Incentive Plan, the Company does not anticipate granting any material awards under such plan to Brent Richardson or Chris Richardson, (ii) link the 2008 Equity Incentive Plan and 2008 Employee Stock Purchase Plan to the Company’s overall compensation philosophy and objectives, and (iii) to describe material changes to other forms of compensation for fiscal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Relationships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page 98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460" w:firstLine="233"/>
        <w:spacing w:after="0" w:line="277" w:lineRule="auto"/>
        <w:tabs>
          <w:tab w:leader="none" w:pos="495"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F-26 regarding payments made to, and cash provided by, Spirit Finance Acquisitions, LLC. Please describe the nature of any affiliation or common ownership between you, or any of your affiliates, and Spirit.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There is no common ownership among the Company or any of its affiliates and Spirit Finance Acquisitions, LLC (“</w:t>
      </w:r>
      <w:r>
        <w:rPr>
          <w:rFonts w:ascii="Arial" w:cs="Arial" w:eastAsia="Arial" w:hAnsi="Arial"/>
          <w:sz w:val="18"/>
          <w:szCs w:val="18"/>
          <w:u w:val="single" w:color="auto"/>
          <w:color w:val="auto"/>
        </w:rPr>
        <w:t>Spirit</w:t>
      </w:r>
      <w:r>
        <w:rPr>
          <w:rFonts w:ascii="Arial" w:cs="Arial" w:eastAsia="Arial" w:hAnsi="Arial"/>
          <w:sz w:val="18"/>
          <w:szCs w:val="18"/>
          <w:color w:val="auto"/>
        </w:rPr>
        <w:t>”). Accordingly, we have removed any references to Spirit from Note 15 to our audited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Agreement, page 98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77" w:lineRule="auto"/>
        <w:tabs>
          <w:tab w:leader="none" w:pos="495" w:val="left"/>
        </w:tabs>
        <w:numPr>
          <w:ilvl w:val="0"/>
          <w:numId w:val="19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the proxy and voting agreement described in this section does not appear as an exhibit to the registration statement; however, Item 601(b) (ii)(A) seems to require its filing as a material agreement. Please file.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acknowledges the Staff’s comment and intends to file the proxy and voting agreement as an exhibit to the Registration Statement with its next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Ownership of Common Stock, page 102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00" w:firstLine="233"/>
        <w:spacing w:after="0" w:line="277" w:lineRule="auto"/>
        <w:tabs>
          <w:tab w:leader="none" w:pos="495"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natural person(s) who exercise investment and voting control over the shares held by each entity or non-natural person listed as a principal shareholder, to the extent it is not widely held.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disclose the natural person(s) who exercise investment and voting control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each entity or non-natural person listed as a principal shareholder, to the extent it is not widely held.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 of Independent Registered Public Accounting Firm, page F-2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1960" w:hanging="7"/>
        <w:spacing w:after="0" w:line="375" w:lineRule="auto"/>
        <w:tabs>
          <w:tab w:leader="none" w:pos="51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Please be advised that you must amend the registration statement to provide an unqualified report prior to its effectiveness.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 acknowledges the Staff’s comment and will amend the Registration Statement to provide an unqualified report prior to effectiveness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Balance Sheets, page F-3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5260" w:hanging="7"/>
        <w:spacing w:after="0" w:line="375" w:lineRule="auto"/>
        <w:tabs>
          <w:tab w:leader="none" w:pos="510"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Revise your caption for Series A Preferred Stock to describe it as convertible.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including the balance sheet, to refer to the Series A preferred stock as the “Series A convertible preferred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Balance Sheets, page F-3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Statements of Operations, page F-4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jc w:val="both"/>
        <w:ind w:right="100" w:firstLine="233"/>
        <w:spacing w:after="0" w:line="264" w:lineRule="auto"/>
        <w:tabs>
          <w:tab w:leader="none" w:pos="495"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Provide a description of the nature and calculation of the pro forma information in the notes to the financial statements. Per page 6, we note that the Series A and C Preferred Stocks will be automatically converted to common shares upon the closing of the initial public offering. We note your disclosure in Note 16 on page F-27.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connection with the initial public offering, the Company anticipates declaring a special distribution to its pre-IPO stockholders, including the holders of its common stock, Series A convertible preferred stock and Series C preferred stock, equal to a stated percentage of the gross proceeds of the offering. The special distribution would be payable upon the closing of the offering (and upon the closing of the over-allotment option, if applicable) to such holders on an as converted to common stock basis. The amount of the special distribution is not yet known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time, as it is dependent upon the size of the offering, which itself is dependent upon market conditions, but the Company anticipates that it will be significant in amount relative to its reported equity as of December 31, 2007 and as of June 30, 2008. In accordance with Staff Accounting Bulletin (“</w:t>
      </w:r>
      <w:r>
        <w:rPr>
          <w:rFonts w:ascii="Arial" w:cs="Arial" w:eastAsia="Arial" w:hAnsi="Arial"/>
          <w:sz w:val="18"/>
          <w:szCs w:val="18"/>
          <w:u w:val="single" w:color="auto"/>
          <w:color w:val="auto"/>
        </w:rPr>
        <w:t>SAB</w:t>
      </w:r>
      <w:r>
        <w:rPr>
          <w:rFonts w:ascii="Arial" w:cs="Arial" w:eastAsia="Arial" w:hAnsi="Arial"/>
          <w:sz w:val="18"/>
          <w:szCs w:val="18"/>
          <w:color w:val="auto"/>
        </w:rPr>
        <w:t>”) Topic 1.B.3, management believes it is appropriate to present a pro forma balance sheet as of December 31, 2007 and as of June 30, 2008 alongside the corresponding historical balance sheets to reflect the accrual of the special distribution, but without giving effect to the receipt and distribution of the anticipated offering proceeds. The Company further anticipates that the special distribution will be in excess of its earnings for the twelve-month period ended June 30, 2008. In accordance with SAB Topic 1.B.3, management believes it is appropriate to present pro forma earnings per share data for the 2007 fiscal year, and the six-month period ended June 30, 2008, giving effect to the number of shares the proceeds from the sale of which would be necessary to pay the special distribution (to the extent that the special distribution exceeds earnings for the twelve-month period ended June 30, 2008) in addition to the historical earnings per share.</w:t>
      </w:r>
    </w:p>
    <w:p>
      <w:pPr>
        <w:spacing w:after="0" w:line="89"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Company intends to amend the Registration Statement to include the pro forma presentation and calculations in a subsequent amendment to the Registration Statement that contains the proposed price range.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Formation and Transactions with Former Owner, page F-7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jc w:val="both"/>
        <w:ind w:right="100" w:firstLine="233"/>
        <w:spacing w:after="0" w:line="264" w:lineRule="auto"/>
        <w:tabs>
          <w:tab w:leader="none" w:pos="492" w:val="left"/>
        </w:tabs>
        <w:numPr>
          <w:ilvl w:val="0"/>
          <w:numId w:val="199"/>
        </w:numPr>
        <w:rPr>
          <w:rFonts w:ascii="Arial" w:cs="Arial" w:eastAsia="Arial" w:hAnsi="Arial"/>
          <w:sz w:val="18"/>
          <w:szCs w:val="18"/>
          <w:i w:val="1"/>
          <w:iCs w:val="1"/>
          <w:color w:val="auto"/>
        </w:rPr>
      </w:pPr>
      <w:r>
        <w:rPr>
          <w:rFonts w:ascii="Arial" w:cs="Arial" w:eastAsia="Arial" w:hAnsi="Arial"/>
          <w:sz w:val="18"/>
          <w:szCs w:val="18"/>
          <w:i w:val="1"/>
          <w:iCs w:val="1"/>
          <w:color w:val="auto"/>
        </w:rPr>
        <w:t>As disclosed, you accounted for the value of the Institute Warrant as a component of the cost of the Campus and related buildings. Considering that in 2004, you only acquired the right to purchase the ground campus and related buildings, tell us why it was appropriate to allocate a portion of the cost of the purchase right or option into the cost of the campus and related buildings.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described in the Registration Statement, on June 25, 2004, the Company and the Institute entered into an agreement (the “</w:t>
      </w:r>
      <w:r>
        <w:rPr>
          <w:rFonts w:ascii="Arial" w:cs="Arial" w:eastAsia="Arial" w:hAnsi="Arial"/>
          <w:sz w:val="18"/>
          <w:szCs w:val="18"/>
          <w:u w:val="single" w:color="auto"/>
          <w:color w:val="auto"/>
        </w:rPr>
        <w:t>Ancillary Agreement</w:t>
      </w:r>
      <w:r>
        <w:rPr>
          <w:rFonts w:ascii="Arial" w:cs="Arial" w:eastAsia="Arial" w:hAnsi="Arial"/>
          <w:sz w:val="18"/>
          <w:szCs w:val="18"/>
          <w:color w:val="auto"/>
        </w:rPr>
        <w:t>”) pursuant to which, among other things, the Company agreed to purchase substantially all of the ground campus and related buildings (the “</w:t>
      </w:r>
      <w:r>
        <w:rPr>
          <w:rFonts w:ascii="Arial" w:cs="Arial" w:eastAsia="Arial" w:hAnsi="Arial"/>
          <w:sz w:val="18"/>
          <w:szCs w:val="18"/>
          <w:u w:val="single" w:color="auto"/>
          <w:color w:val="auto"/>
        </w:rPr>
        <w:t>Campus</w:t>
      </w:r>
      <w:r>
        <w:rPr>
          <w:rFonts w:ascii="Arial" w:cs="Arial" w:eastAsia="Arial" w:hAnsi="Arial"/>
          <w:sz w:val="18"/>
          <w:szCs w:val="18"/>
          <w:color w:val="auto"/>
        </w:rPr>
        <w:t>”) from the Institute. Concurrently, the Company assigned its rights to purchase the Campus under the Ancillary Agreement (the “</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to Spirit and, following Spirit’s purchase of the Campus from the Institute, simultaneously entered into a long-term lease with Spirit for use of the Campus (the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which was accounted for as a capital lease transaction.</w:t>
      </w:r>
    </w:p>
    <w:p>
      <w:pPr>
        <w:spacing w:after="0" w:line="80"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In connection with, and as a part of the transactions effected by, the Ancillary Agreement, the Assignment Agreement, and the Lease Agreement, the Company issued to the Institute and Spirit warrants to purchase common stock of the Company (the “</w:t>
      </w:r>
      <w:r>
        <w:rPr>
          <w:rFonts w:ascii="Arial" w:cs="Arial" w:eastAsia="Arial" w:hAnsi="Arial"/>
          <w:sz w:val="18"/>
          <w:szCs w:val="18"/>
          <w:u w:val="single" w:color="auto"/>
          <w:color w:val="auto"/>
        </w:rPr>
        <w:t>Institute Warrant</w:t>
      </w:r>
      <w:r>
        <w:rPr>
          <w:rFonts w:ascii="Arial" w:cs="Arial" w:eastAsia="Arial" w:hAnsi="Arial"/>
          <w:sz w:val="18"/>
          <w:szCs w:val="18"/>
          <w:color w:val="auto"/>
        </w:rPr>
        <w:t>” and the “</w:t>
      </w:r>
      <w:r>
        <w:rPr>
          <w:rFonts w:ascii="Arial" w:cs="Arial" w:eastAsia="Arial" w:hAnsi="Arial"/>
          <w:sz w:val="18"/>
          <w:szCs w:val="18"/>
          <w:u w:val="single" w:color="auto"/>
          <w:color w:val="auto"/>
        </w:rPr>
        <w:t>Spirit Warrant</w:t>
      </w:r>
      <w:r>
        <w:rPr>
          <w:rFonts w:ascii="Arial" w:cs="Arial" w:eastAsia="Arial" w:hAnsi="Arial"/>
          <w:sz w:val="18"/>
          <w:szCs w:val="18"/>
          <w:color w:val="auto"/>
        </w:rPr>
        <w:t xml:space="preserve">,” respectively). In accordance with EITF Issue No. 96-18, </w:t>
      </w:r>
      <w:r>
        <w:rPr>
          <w:rFonts w:ascii="Arial" w:cs="Arial" w:eastAsia="Arial" w:hAnsi="Arial"/>
          <w:sz w:val="18"/>
          <w:szCs w:val="18"/>
          <w:i w:val="1"/>
          <w:iCs w:val="1"/>
          <w:color w:val="auto"/>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Equity Instruments That Are Issued to Other Than Employees for Acquiring, or in Conjunction with Selling, Goods or Services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EITF 96-18</w:t>
      </w:r>
      <w:r>
        <w:rPr>
          <w:rFonts w:ascii="Arial" w:cs="Arial" w:eastAsia="Arial" w:hAnsi="Arial"/>
          <w:sz w:val="18"/>
          <w:szCs w:val="18"/>
          <w:color w:val="auto"/>
        </w:rPr>
        <w:t>”), the Company estimated the value of the Institute Warrant and the Spirit Warrant ($420,000 and $127,000, respectively) and treated the value of those warrants as part of the cost of the Campus and the related capital lease with Spirit.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40" w:firstLine="233"/>
        <w:spacing w:after="0" w:line="264" w:lineRule="auto"/>
        <w:tabs>
          <w:tab w:leader="none" w:pos="495"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We further note from your disclosure that in connection with the standstill agreement, you acquired certain real property located on the Campus from the Institute. Clarify, if true, that this real property was included in the Ancillary Agreement. If not, tell us the nature of the property and how it affected the assignment of your right to purchase the ground campus and related buildings to Spirit.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real property that was originally conveyed by the Institute to Spirit in connection with the Ancillary Agreement excluded one campus building and certain related real property, which the Institute continued to own. The Institute ultimately conveyed this building and related real property to the Company in connection with the Standstill Agreement. In response to the Staff’s comment, the Company has amended the Registration Statement to clarify this point.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firstLine="233"/>
        <w:spacing w:after="0" w:line="277" w:lineRule="auto"/>
        <w:tabs>
          <w:tab w:leader="none" w:pos="495"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Tell us the nature of the consideration that you received from Spirit in connection with your assignment of the right to purchase the ground campus and related buildings. Also, tell how you accounted for this consideration and the basis for your accounting.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Company entered into the Assignment Agreement with Spirit as a means of financing the acquisition of the Campus from the Institute, and thereafter entered into the Lease Agreement with Spirit. The Company did not receive any consideration from Spirit in connection with the Assignment Agreement.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40" w:firstLine="233"/>
        <w:spacing w:after="0" w:line="259" w:lineRule="auto"/>
        <w:tabs>
          <w:tab w:leader="none" w:pos="495"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exercised your option related to your standstill agreement with the Institute on April 15, 2008. Citing your basis in the accounting literature, tell us how you accounted for this transaction including the initial $3 million payment and how the transaction is reflected in the financial statements. We also note on page 44 that you will recognize a prepaid royalty asset that will be amortized over future periods. Tell us how you determined the fair value of this asset and its amortization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Under the Standstill Agreement, the Company was required to make an initial $3 million payment (the “</w:t>
      </w:r>
      <w:r>
        <w:rPr>
          <w:rFonts w:ascii="Arial" w:cs="Arial" w:eastAsia="Arial" w:hAnsi="Arial"/>
          <w:sz w:val="18"/>
          <w:szCs w:val="18"/>
          <w:u w:val="single" w:color="auto"/>
          <w:color w:val="auto"/>
        </w:rPr>
        <w:t>Initial Payment</w:t>
      </w:r>
      <w:r>
        <w:rPr>
          <w:rFonts w:ascii="Arial" w:cs="Arial" w:eastAsia="Arial" w:hAnsi="Arial"/>
          <w:sz w:val="18"/>
          <w:szCs w:val="18"/>
          <w:color w:val="auto"/>
        </w:rPr>
        <w:t>”) upon execution of the Standstill Agreement, and it received the unilateral right to make an incremental $19.5 million payment (the “</w:t>
      </w:r>
      <w:r>
        <w:rPr>
          <w:rFonts w:ascii="Arial" w:cs="Arial" w:eastAsia="Arial" w:hAnsi="Arial"/>
          <w:sz w:val="18"/>
          <w:szCs w:val="18"/>
          <w:u w:val="single" w:color="auto"/>
          <w:color w:val="auto"/>
        </w:rPr>
        <w:t>Optional Payment</w:t>
      </w:r>
      <w:r>
        <w:rPr>
          <w:rFonts w:ascii="Arial" w:cs="Arial" w:eastAsia="Arial" w:hAnsi="Arial"/>
          <w:sz w:val="18"/>
          <w:szCs w:val="18"/>
          <w:color w:val="auto"/>
        </w:rPr>
        <w:t>” and together with the Initial Payment, the “</w:t>
      </w:r>
      <w:r>
        <w:rPr>
          <w:rFonts w:ascii="Arial" w:cs="Arial" w:eastAsia="Arial" w:hAnsi="Arial"/>
          <w:sz w:val="18"/>
          <w:szCs w:val="18"/>
          <w:u w:val="single" w:color="auto"/>
          <w:color w:val="auto"/>
        </w:rPr>
        <w:t>Total Payment</w:t>
      </w:r>
      <w:r>
        <w:rPr>
          <w:rFonts w:ascii="Arial" w:cs="Arial" w:eastAsia="Arial" w:hAnsi="Arial"/>
          <w:sz w:val="18"/>
          <w:szCs w:val="18"/>
          <w:color w:val="auto"/>
        </w:rPr>
        <w:t>”) on April 15, 2008, which would serve to settle the various disputes between the Company and the Institute, as described in the notes to the audited financial statements included in the Registration Statement. The terms of the Standstill Agreement did not provide the Institute with an option to terminate such agreement.</w:t>
      </w:r>
    </w:p>
    <w:p>
      <w:pPr>
        <w:spacing w:after="0" w:line="80"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following table provides a tabular depiction of the Company’s allocation of the Total Payment to each of the assets acquired, obligations settled, and liabilities assumed (the “</w:t>
      </w:r>
      <w:r>
        <w:rPr>
          <w:rFonts w:ascii="Arial" w:cs="Arial" w:eastAsia="Arial" w:hAnsi="Arial"/>
          <w:sz w:val="18"/>
          <w:szCs w:val="18"/>
          <w:u w:val="single" w:color="auto"/>
          <w:color w:val="auto"/>
        </w:rPr>
        <w:t>Acquired Net Assets</w:t>
      </w:r>
      <w:r>
        <w:rPr>
          <w:rFonts w:ascii="Arial" w:cs="Arial" w:eastAsia="Arial" w:hAnsi="Arial"/>
          <w:sz w:val="18"/>
          <w:szCs w:val="18"/>
          <w:color w:val="auto"/>
        </w:rPr>
        <w:t xml:space="preserve">”), based on the Company’s fair value estimates. The text following the table provides additional information regarding the allocation methodologies and the classifications of assets as “qualifying” or “non-qualifying” as defined by SFAS No. 141,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w:t>
      </w:r>
      <w:r>
        <w:rPr>
          <w:rFonts w:ascii="Arial" w:cs="Arial" w:eastAsia="Arial" w:hAnsi="Arial"/>
          <w:sz w:val="18"/>
          <w:szCs w:val="18"/>
          <w:u w:val="single" w:color="auto"/>
          <w:color w:val="auto"/>
        </w:rPr>
        <w:t>SFAS No. 141</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color w:val="auto"/>
              </w:rPr>
              <w:t>($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Optional Payment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76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Payment to be allocated</w:t>
            </w: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9"/>
              </w:rPr>
              <w:t>1)</w:t>
            </w:r>
          </w:p>
        </w:tc>
        <w:tc>
          <w:tcPr>
            <w:tcW w:w="9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Obligations settled</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gridSpan w:val="2"/>
            <w:vMerge w:val="continue"/>
          </w:tcPr>
          <w:p>
            <w:pPr>
              <w:spacing w:after="0"/>
              <w:rPr>
                <w:sz w:val="24"/>
                <w:szCs w:val="24"/>
                <w:color w:val="auto"/>
              </w:rPr>
            </w:pPr>
          </w:p>
        </w:tc>
        <w:tc>
          <w:tcPr>
            <w:tcW w:w="9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due under Royalty Agreement (as of April 15, 2008)</w:t>
            </w: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-Repurchase of Institute Warrant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Institute Loan, including accrued interest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-Other amounts due to Institute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2)</w:t>
            </w:r>
          </w:p>
        </w:tc>
        <w:tc>
          <w:tcPr>
            <w:tcW w:w="9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 and “Non-qualifying” assets acquired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-Assumption of Institute’s gift annuities obligation, at fair value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3)</w:t>
            </w:r>
          </w:p>
        </w:tc>
        <w:tc>
          <w:tcPr>
            <w:tcW w:w="9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to be allocated to assets acquired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property and prepaid royalty asset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60" w:type="dxa"/>
            <w:vAlign w:val="bottom"/>
          </w:tcPr>
          <w:p>
            <w:pPr>
              <w:ind w:left="240"/>
              <w:spacing w:after="0"/>
              <w:rPr>
                <w:sz w:val="20"/>
                <w:szCs w:val="20"/>
                <w:color w:val="auto"/>
              </w:rPr>
            </w:pPr>
            <w:r>
              <w:rPr>
                <w:rFonts w:ascii="Arial" w:cs="Arial" w:eastAsia="Arial" w:hAnsi="Arial"/>
                <w:sz w:val="18"/>
                <w:szCs w:val="18"/>
                <w:b w:val="1"/>
                <w:bCs w:val="1"/>
                <w:color w:val="auto"/>
              </w:rPr>
              <w:t>Total preliminary fair value estimates</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Although the Initial Payment was not refundable to the Company under any circumstances, as of December 31, 2007, the Company had not yet exercised, or determined whether it would exercise, its unilateral option to pay the Institute the Optional Payment to settle the disputes with the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0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Subsequent to the Company’s Initial Payment to the Institute, and during the period that the Company’s option remained outstanding and exercisable, the Initial Payment represented, in substance, a prepaid component of the Total Payment.</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Given the uncertainty at December 31, 2007 as to the ultimate application of the Initial Payment, the Company classified this payment as a non-current asset (“deposit with former owner”) on its December 31, 2007 balance sheet. Given that the Company did not determine to exercise its option until after year end and did not exercise the option and make the Optional Payment to the Institute until April 15, 2008, management believes that the treatment of the Initial Payment as a deferred asset at December 31, 2007 is appropriate.</w:t>
      </w:r>
    </w:p>
    <w:p>
      <w:pPr>
        <w:spacing w:after="0" w:line="79" w:lineRule="exact"/>
        <w:rPr>
          <w:sz w:val="20"/>
          <w:szCs w:val="20"/>
          <w:color w:val="auto"/>
        </w:rPr>
      </w:pPr>
    </w:p>
    <w:p>
      <w:pPr>
        <w:ind w:right="20" w:firstLine="267"/>
        <w:spacing w:after="0" w:line="297" w:lineRule="auto"/>
        <w:rPr>
          <w:sz w:val="20"/>
          <w:szCs w:val="20"/>
          <w:color w:val="auto"/>
        </w:rPr>
      </w:pPr>
      <w:r>
        <w:rPr>
          <w:rFonts w:ascii="Arial" w:cs="Arial" w:eastAsia="Arial" w:hAnsi="Arial"/>
          <w:sz w:val="16"/>
          <w:szCs w:val="16"/>
          <w:color w:val="auto"/>
        </w:rPr>
        <w:t xml:space="preserve">The net assets acquired in connection with the Standstill Agreement do not constitute a “business,” as defined by EITF Issue No. 98-3, </w:t>
      </w:r>
      <w:r>
        <w:rPr>
          <w:rFonts w:ascii="Arial" w:cs="Arial" w:eastAsia="Arial" w:hAnsi="Arial"/>
          <w:sz w:val="16"/>
          <w:szCs w:val="16"/>
          <w:i w:val="1"/>
          <w:iCs w:val="1"/>
          <w:color w:val="auto"/>
        </w:rPr>
        <w:t>Determining</w:t>
      </w:r>
      <w:r>
        <w:rPr>
          <w:rFonts w:ascii="Arial" w:cs="Arial" w:eastAsia="Arial" w:hAnsi="Arial"/>
          <w:sz w:val="16"/>
          <w:szCs w:val="16"/>
          <w:color w:val="auto"/>
        </w:rPr>
        <w:t xml:space="preserve"> </w:t>
      </w:r>
      <w:r>
        <w:rPr>
          <w:rFonts w:ascii="Arial" w:cs="Arial" w:eastAsia="Arial" w:hAnsi="Arial"/>
          <w:sz w:val="16"/>
          <w:szCs w:val="16"/>
          <w:i w:val="1"/>
          <w:iCs w:val="1"/>
          <w:color w:val="auto"/>
        </w:rPr>
        <w:t>Whether a Nonmonetary Transaction Involves Receipt of Productive Assets or of a Business</w:t>
      </w:r>
      <w:r>
        <w:rPr>
          <w:rFonts w:ascii="Arial" w:cs="Arial" w:eastAsia="Arial" w:hAnsi="Arial"/>
          <w:sz w:val="16"/>
          <w:szCs w:val="16"/>
          <w:color w:val="auto"/>
        </w:rPr>
        <w:t>, and the Company has accounted for the Acquired Net Assets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allocating the cost of the Total Payment to the individual assets acquired and liabilities assumed based on the relative fair value method, as discussed in paragraph 9 of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SFAS No. 142</w:t>
      </w:r>
      <w:r>
        <w:rPr>
          <w:rFonts w:ascii="Arial" w:cs="Arial" w:eastAsia="Arial" w:hAnsi="Arial"/>
          <w:sz w:val="16"/>
          <w:szCs w:val="16"/>
          <w:color w:val="auto"/>
        </w:rPr>
        <w:t>”), as well as in paragraphs 4 — 8 of SFAS No. 141. Because the recognition of goodwill is precluded in such asset acquisitions, goodwill was not recorded in connection with this transaction.</w:t>
      </w:r>
    </w:p>
    <w:p>
      <w:pPr>
        <w:spacing w:after="0" w:line="50"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fair value of the Acquired Net Assets exceeded the Total Payment, and this excess amount was allocated on a relative fair value basis to the “qualifying assets” rather than to all assets (as described in paragraph 44 of SFAS No. 141). After applying the Total Payment to the obligations settled at the acquisition date, the assumed liabilities were recognized at fair value, and the remaining acquired assets were recognized based on their fair value relative to the total fair value of all qualifying assets.</w:t>
      </w:r>
    </w:p>
    <w:p>
      <w:pPr>
        <w:spacing w:after="0" w:line="79" w:lineRule="exact"/>
        <w:rPr>
          <w:sz w:val="20"/>
          <w:szCs w:val="20"/>
          <w:color w:val="auto"/>
        </w:rPr>
      </w:pPr>
    </w:p>
    <w:p>
      <w:pPr>
        <w:jc w:val="both"/>
        <w:ind w:right="120" w:firstLine="215"/>
        <w:spacing w:after="0" w:line="286" w:lineRule="auto"/>
        <w:rPr>
          <w:sz w:val="20"/>
          <w:szCs w:val="20"/>
          <w:color w:val="auto"/>
        </w:rPr>
      </w:pPr>
      <w:r>
        <w:rPr>
          <w:rFonts w:ascii="Arial" w:cs="Arial" w:eastAsia="Arial" w:hAnsi="Arial"/>
          <w:sz w:val="17"/>
          <w:szCs w:val="17"/>
          <w:color w:val="auto"/>
        </w:rPr>
        <w:t>Accordingly, 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 as of the option exercise date.</w:t>
      </w:r>
    </w:p>
    <w:p>
      <w:pPr>
        <w:spacing w:after="0" w:line="57" w:lineRule="exact"/>
        <w:rPr>
          <w:sz w:val="20"/>
          <w:szCs w:val="20"/>
          <w:color w:val="auto"/>
        </w:rPr>
      </w:pPr>
    </w:p>
    <w:p>
      <w:pPr>
        <w:ind w:right="280" w:firstLine="267"/>
        <w:spacing w:after="0" w:line="312" w:lineRule="auto"/>
        <w:rPr>
          <w:sz w:val="20"/>
          <w:szCs w:val="20"/>
          <w:color w:val="auto"/>
        </w:rPr>
      </w:pPr>
      <w:r>
        <w:rPr>
          <w:rFonts w:ascii="Arial" w:cs="Arial" w:eastAsia="Arial" w:hAnsi="Arial"/>
          <w:sz w:val="16"/>
          <w:szCs w:val="16"/>
          <w:color w:val="auto"/>
        </w:rPr>
        <w:t xml:space="preserve">The Standstill Agreement also requires the Company to assume future payment obligations in respect of certain gift annuities made to the Institute by donors prior to the acquisition, which represents a liability assumed under the Standstill Agreement and were recognized based on the fair value of such annuities at the option exercise date in accordance with the guidance provided in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SFAS No. 157</w:t>
      </w:r>
      <w:r>
        <w:rPr>
          <w:rFonts w:ascii="Arial" w:cs="Arial" w:eastAsia="Arial" w:hAnsi="Arial"/>
          <w:sz w:val="16"/>
          <w:szCs w:val="16"/>
          <w:color w:val="auto"/>
        </w:rPr>
        <w:t>”).</w:t>
      </w:r>
    </w:p>
    <w:p>
      <w:pPr>
        <w:spacing w:after="0" w:line="39"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None of the assets acquired in the transaction constitute “non-qualifying” assets, and after the settlement of the obligations and the recognition of the gift annuity liability discussed above, the remaining $6.1 million of the Total Payment was allocated to the remaining acquired assets (“qualifying” assets), and recognized based on their individual fair value relative to the total fair value of all “qualifying” assets. As a result, the Company recognized the real property (</w:t>
      </w:r>
      <w:r>
        <w:rPr>
          <w:rFonts w:ascii="Arial" w:cs="Arial" w:eastAsia="Arial" w:hAnsi="Arial"/>
          <w:sz w:val="17"/>
          <w:szCs w:val="17"/>
          <w:i w:val="1"/>
          <w:iCs w:val="1"/>
          <w:color w:val="auto"/>
        </w:rPr>
        <w:t>i.e.</w:t>
      </w:r>
      <w:r>
        <w:rPr>
          <w:rFonts w:ascii="Arial" w:cs="Arial" w:eastAsia="Arial" w:hAnsi="Arial"/>
          <w:sz w:val="17"/>
          <w:szCs w:val="17"/>
          <w:color w:val="auto"/>
        </w:rPr>
        <w:t>, land and a building) acquired from the Institute in the transaction as an asset at the option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date classified within “Property and equipment” and the property will be recognized at its relative fair value subject to impairment considerations under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SFAS No. 144</w:t>
      </w:r>
      <w:r>
        <w:rPr>
          <w:rFonts w:ascii="Arial" w:cs="Arial" w:eastAsia="Arial" w:hAnsi="Arial"/>
          <w:sz w:val="18"/>
          <w:szCs w:val="18"/>
          <w:color w:val="auto"/>
        </w:rPr>
        <w:t>”).</w:t>
      </w:r>
    </w:p>
    <w:p>
      <w:pPr>
        <w:spacing w:after="0" w:line="62"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settlement of future royalty payment obligations to the Institute represents a settlement of the future royalty payment stream and the fair value of such obligation (</w:t>
      </w:r>
      <w:r>
        <w:rPr>
          <w:rFonts w:ascii="Arial" w:cs="Arial" w:eastAsia="Arial" w:hAnsi="Arial"/>
          <w:sz w:val="18"/>
          <w:szCs w:val="18"/>
          <w:i w:val="1"/>
          <w:iCs w:val="1"/>
          <w:color w:val="auto"/>
        </w:rPr>
        <w:t>i.e.</w:t>
      </w:r>
      <w:r>
        <w:rPr>
          <w:rFonts w:ascii="Arial" w:cs="Arial" w:eastAsia="Arial" w:hAnsi="Arial"/>
          <w:sz w:val="18"/>
          <w:szCs w:val="18"/>
          <w:color w:val="auto"/>
        </w:rPr>
        <w:t>, the exit price) was determined at the option exercise date in accordance with the guidance provided in SFAS No. 157 and was recognized as a prepaid royalty asset at that date.</w:t>
      </w:r>
    </w:p>
    <w:p>
      <w:pPr>
        <w:spacing w:after="0" w:line="73"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Subsequent to the option exercise date, the prepaid royalty asset is being amortized as an operating expense in a systematic and rational manner consistent with the underlying assumptions utilized to calculate the fair value of the asset at the option exercise date. This amortization will continue until the asset is fully amortized. The prepaid royalty asset will be amortized as an operating expense over a 20-year period and not as contra-revenue given the considerations in EITF Issue No. 99-19, </w:t>
      </w:r>
      <w:r>
        <w:rPr>
          <w:rFonts w:ascii="Arial" w:cs="Arial" w:eastAsia="Arial" w:hAnsi="Arial"/>
          <w:sz w:val="17"/>
          <w:szCs w:val="17"/>
          <w:i w:val="1"/>
          <w:iCs w:val="1"/>
          <w:color w:val="auto"/>
        </w:rPr>
        <w:t>Reporting Revenue Gross as a Principal versus Net as an Agent</w:t>
      </w:r>
      <w:r>
        <w:rPr>
          <w:rFonts w:ascii="Arial" w:cs="Arial" w:eastAsia="Arial" w:hAnsi="Arial"/>
          <w:sz w:val="17"/>
          <w:szCs w:val="17"/>
          <w:color w:val="auto"/>
        </w:rPr>
        <w:t>, as the facts and circumstances of the royalty arrangement closely resemble “gross” revenue reporting, and the amortization of this asset arises only as a result of the Company’s operations (thus “operating expense” classification is appropriate versus classification in “other income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F-10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100" w:firstLine="233"/>
        <w:spacing w:after="0" w:line="277" w:lineRule="auto"/>
        <w:tabs>
          <w:tab w:leader="none" w:pos="495" w:val="left"/>
        </w:tabs>
        <w:numPr>
          <w:ilvl w:val="0"/>
          <w:numId w:val="20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when a student withdraws prior to the end of the third week of a semester, you will refund all or a portion of the tuition already paid. Tell us and disclose how your refund policy impacts your tuition revenue recognition policy.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Company’s refund policy allows for a student to receive a refund of 100%, 75%, or 50% of the student’s tuition if the student withdraws during the first, second, or third week after the start of a term, respectively. Under its revenue recognition policy, the Company recognizes tuition revenue on a monthly basis evenly over the length of an academic term, typically four months, so that no revenue is recognized prior to the start of a course and, by the end of the first month, 25% of the revenue has been recognized. Accordingly, the Company does not recognize tuition revenue in excess of amounts it is entitled to retain under its tuition refund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Restricted Cash and Investments, page F-13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00" w:firstLine="233"/>
        <w:spacing w:after="0" w:line="264" w:lineRule="auto"/>
        <w:tabs>
          <w:tab w:leader="none" w:pos="495"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Tell us the nature of the municipal securities and U.S. Agency instruments and your basis for determining their fair value. Also, tell us if any of these instruments are considered auction rate securities. Further, please revise your disclosure to provide the maturity dates and redemption and interest rate provisions of all of your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response to the Staff’s comment, the Company has amended the Registration Statement to discuss the nature of the municipal securities and U.S. Agency instruments owned by the Company and the Company’s basis for determining their fair value as required by SFAS No. 157. None of the securities owned by the Company are considered auction rate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Property and Equipment, page F-14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3220" w:hanging="7"/>
        <w:spacing w:after="0" w:line="375" w:lineRule="auto"/>
        <w:tabs>
          <w:tab w:leader="none" w:pos="510" w:val="left"/>
        </w:tabs>
        <w:numPr>
          <w:ilvl w:val="0"/>
          <w:numId w:val="20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Please disclose the remaining estimated useful life of each major classification of property and equipment.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response to the Staff’s comment, the Company has amended the Registration Statement to expand its disclosure under Note 2 concerning the estimated useful life of each major classification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Notes Payable and Capital Lease Obligations, page F-15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580" w:firstLine="233"/>
        <w:spacing w:after="0" w:line="277" w:lineRule="auto"/>
        <w:tabs>
          <w:tab w:leader="none" w:pos="495" w:val="left"/>
        </w:tabs>
        <w:numPr>
          <w:ilvl w:val="0"/>
          <w:numId w:val="206"/>
        </w:numPr>
        <w:rPr>
          <w:rFonts w:ascii="Arial" w:cs="Arial" w:eastAsia="Arial" w:hAnsi="Arial"/>
          <w:sz w:val="18"/>
          <w:szCs w:val="18"/>
          <w:i w:val="1"/>
          <w:iCs w:val="1"/>
          <w:color w:val="auto"/>
        </w:rPr>
      </w:pPr>
      <w:r>
        <w:rPr>
          <w:rFonts w:ascii="Arial" w:cs="Arial" w:eastAsia="Arial" w:hAnsi="Arial"/>
          <w:sz w:val="18"/>
          <w:szCs w:val="18"/>
          <w:i w:val="1"/>
          <w:iCs w:val="1"/>
          <w:color w:val="auto"/>
        </w:rPr>
        <w:t>Tell us how you accounted for the amounts advanced by Spirit into the tenant improvement funds. Include in your response how these funds are reflected in the balance sheets, statements of operations and statements of cash flows.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Amounts advanced by Spirit as tenant improvement funds are recorded in the balance sheet as an increase in the capital lease obligation upon the receipt of the funds from Spirit, and are amortized along with the remainder of the capital lease obligation, in part through interest expense and in part through depreciation in the statements of operations, over the remaining term of the lease. Amounts advanced by Spirit as tenant improvement funds are recorded as a reduction of capital expenditures in the “Investing activities” section of the statements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Preferred Stock and Equity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Stock, page F-19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0" w:firstLine="233"/>
        <w:spacing w:after="0" w:line="342" w:lineRule="auto"/>
        <w:tabs>
          <w:tab w:leader="none" w:pos="495" w:val="left"/>
        </w:tabs>
        <w:numPr>
          <w:ilvl w:val="0"/>
          <w:numId w:val="207"/>
        </w:numPr>
        <w:rPr>
          <w:rFonts w:ascii="Arial" w:cs="Arial" w:eastAsia="Arial" w:hAnsi="Arial"/>
          <w:sz w:val="16"/>
          <w:szCs w:val="16"/>
          <w:i w:val="1"/>
          <w:iCs w:val="1"/>
          <w:color w:val="auto"/>
        </w:rPr>
      </w:pPr>
      <w:r>
        <w:rPr>
          <w:rFonts w:ascii="Arial" w:cs="Arial" w:eastAsia="Arial" w:hAnsi="Arial"/>
          <w:sz w:val="16"/>
          <w:szCs w:val="16"/>
          <w:i w:val="1"/>
          <w:iCs w:val="1"/>
          <w:color w:val="auto"/>
        </w:rPr>
        <w:t>Tell us your consideration of EITF D-42 in accounting for the conversion of the remaining 865 shares of Series B into 800 shares of Series C. Also, tell us whether the conversion was made pursuant to the original terms of the Series B preferred stock. If so, tell us and disclose the nature of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520" w:firstLine="222"/>
        <w:spacing w:after="0" w:line="308" w:lineRule="auto"/>
        <w:rPr>
          <w:sz w:val="20"/>
          <w:szCs w:val="20"/>
          <w:color w:val="auto"/>
        </w:rPr>
      </w:pPr>
      <w:r>
        <w:rPr>
          <w:rFonts w:ascii="Arial" w:cs="Arial" w:eastAsia="Arial" w:hAnsi="Arial"/>
          <w:sz w:val="17"/>
          <w:szCs w:val="17"/>
          <w:color w:val="auto"/>
        </w:rPr>
        <w:t>The original terms of the Series B preferred stock did not contain any provision to allow for the conversion of Series B preferred stock into Series C preferred stock and no amendment was made to the Series B preferred stock to allow for conversion into Series C preferred stock.</w:t>
      </w:r>
    </w:p>
    <w:p>
      <w:pPr>
        <w:spacing w:after="0" w:line="3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transaction in which certain holders of the Series B preferred stock received shares of Series C preferred stock for such shares of Series B preferred stock is most appropriately described as an exchange, and not a conversion. At December 17, 2007, the remaining 865 shares of Series B preferred stock were exchanged for 800 shares of Series C preferred stock. In the exchange, the fair value of the Series C preferred stock issued (</w:t>
      </w:r>
      <w:r>
        <w:rPr>
          <w:rFonts w:ascii="Arial" w:cs="Arial" w:eastAsia="Arial" w:hAnsi="Arial"/>
          <w:sz w:val="17"/>
          <w:szCs w:val="17"/>
          <w:i w:val="1"/>
          <w:iCs w:val="1"/>
          <w:color w:val="auto"/>
        </w:rPr>
        <w:t>i.e.</w:t>
      </w:r>
      <w:r>
        <w:rPr>
          <w:rFonts w:ascii="Arial" w:cs="Arial" w:eastAsia="Arial" w:hAnsi="Arial"/>
          <w:sz w:val="17"/>
          <w:szCs w:val="17"/>
          <w:color w:val="auto"/>
        </w:rPr>
        <w:t xml:space="preserve">, fair value of the consideration transferred to the preferred stockholders) was equal to the carrying amount of the Series B preferred stock, net of issuance costs, at the exchange date. Contemporaneous with the exchange, several additional investors purchased shares of Series C preferred stock for cash at the same valuation as the exchange. No excess consideration was transferred to the holders of Series B preferred stock and no discount was applicable to the Series B preferred stock holders at the time of redemption. Management considered the guidance in EITF Issue No. D-42, </w:t>
      </w:r>
      <w:r>
        <w:rPr>
          <w:rFonts w:ascii="Arial" w:cs="Arial" w:eastAsia="Arial" w:hAnsi="Arial"/>
          <w:sz w:val="17"/>
          <w:szCs w:val="17"/>
          <w:i w:val="1"/>
          <w:iCs w:val="1"/>
          <w:color w:val="auto"/>
        </w:rPr>
        <w:t>The Effect on the Calculation of Earnings per share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Redemption or Induced Conversion of Preferred Stock </w:t>
      </w:r>
      <w:r>
        <w:rPr>
          <w:rFonts w:ascii="Arial" w:cs="Arial" w:eastAsia="Arial" w:hAnsi="Arial"/>
          <w:sz w:val="17"/>
          <w:szCs w:val="17"/>
          <w:color w:val="auto"/>
        </w:rPr>
        <w:t>(“</w:t>
      </w:r>
      <w:r>
        <w:rPr>
          <w:rFonts w:ascii="Arial" w:cs="Arial" w:eastAsia="Arial" w:hAnsi="Arial"/>
          <w:sz w:val="17"/>
          <w:szCs w:val="17"/>
          <w:u w:val="single" w:color="auto"/>
          <w:color w:val="auto"/>
        </w:rPr>
        <w:t>EITF D-42</w:t>
      </w:r>
      <w:r>
        <w:rPr>
          <w:rFonts w:ascii="Arial" w:cs="Arial" w:eastAsia="Arial" w:hAnsi="Arial"/>
          <w:sz w:val="17"/>
          <w:szCs w:val="17"/>
          <w:color w:val="auto"/>
        </w:rPr>
        <w:t>”), and concluded that the exchange therefore had no impact on net earnings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shareholders for purposes of calculating earnings per share.</w:t>
      </w:r>
    </w:p>
    <w:p>
      <w:pPr>
        <w:spacing w:after="0" w:line="7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response to the Staff’s comment, the Company has revised its disclosure in Note 11 to the audited financial statements included in the Registration Statement to describe the Series B transaction as an exchange, rather than a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 Stock, page F-19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0" w:firstLine="233"/>
        <w:spacing w:after="0" w:line="259" w:lineRule="auto"/>
        <w:tabs>
          <w:tab w:leader="none" w:pos="495" w:val="left"/>
        </w:tabs>
        <w:numPr>
          <w:ilvl w:val="0"/>
          <w:numId w:val="208"/>
        </w:numPr>
        <w:rPr>
          <w:rFonts w:ascii="Arial" w:cs="Arial" w:eastAsia="Arial" w:hAnsi="Arial"/>
          <w:sz w:val="18"/>
          <w:szCs w:val="18"/>
          <w:i w:val="1"/>
          <w:iCs w:val="1"/>
          <w:color w:val="auto"/>
        </w:rPr>
      </w:pPr>
      <w:r>
        <w:rPr>
          <w:rFonts w:ascii="Arial" w:cs="Arial" w:eastAsia="Arial" w:hAnsi="Arial"/>
          <w:sz w:val="18"/>
          <w:szCs w:val="18"/>
          <w:i w:val="1"/>
          <w:iCs w:val="1"/>
          <w:color w:val="auto"/>
        </w:rPr>
        <w:t>Per page 6, we understand that the Series C Preferred Stock will be automatically converted to common shares upon the closing of the initial public offering through an amendment to your certificate of incorporation. Tell us if the Series C Preferred Stock agreement was amended to provide for this automatic conversion. If so, revise to disclose the date the agreement was amended and terms of the provision. If not, tell us why these preferred stocks can be automatically converted to common shares upon the closing of the initial public offering.</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(as defined in the Company’s certificate of incorporation). It is anticipated that this offering will constitute a Qualified Public Offering. The amendment is anticipated to be filed, and would become effective, prior to the effectiveness of the Registration Statement.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response to the Staff’s comment, the Company has amended the Registration Statement to disclose this information and the terms of the conversion provision.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 to Purchase Common Stock, page F-20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760" w:hanging="7"/>
        <w:spacing w:after="0" w:line="375" w:lineRule="auto"/>
        <w:tabs>
          <w:tab w:leader="none" w:pos="510" w:val="left"/>
        </w:tabs>
        <w:numPr>
          <w:ilvl w:val="0"/>
          <w:numId w:val="20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Citing your basis in the accounting literature, tell us whether you are accounting for the Institute Warrant as a liability or equity component.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color w:val="auto"/>
        </w:rPr>
        <w:t>The Institute Warrant was accounted for as a component of equity. Management has reviewed the December 1, 2006 Working Draft , Convertible Debt, Convertible Preferred Shares, Warrants, and Other Equity-Related Financial Instruments, prepared by the Convertible Debt, Convertible Preferred Shares, Warrants, and Other Equity-Related Financial Instruments Task Force and Staff of the American Institute of Certified Public Accountants (the “</w:t>
      </w:r>
      <w:r>
        <w:rPr>
          <w:rFonts w:ascii="Arial" w:cs="Arial" w:eastAsia="Arial" w:hAnsi="Arial"/>
          <w:sz w:val="17"/>
          <w:szCs w:val="17"/>
          <w:u w:val="single" w:color="auto"/>
          <w:color w:val="auto"/>
        </w:rPr>
        <w:t>Roadmap</w:t>
      </w:r>
      <w:r>
        <w:rPr>
          <w:rFonts w:ascii="Arial" w:cs="Arial" w:eastAsia="Arial" w:hAnsi="Arial"/>
          <w:sz w:val="17"/>
          <w:szCs w:val="17"/>
          <w:color w:val="auto"/>
        </w:rPr>
        <w:t>”), including Chapter 2: Roadmap for Accounting for Freestanding Financial Instruments Indexed to, and Potentially Settled in, a Company’s Own Stock, which includes evaluation of the instrument under SFAS No. 150, EITF D-98, EITF 00-19, and other applicable accounting literature. Based on this review, management determined that the Institute Warrant was a written call option to purchase a variable number of shares of the Company. The Institute Warrant provided for the delivery of a variable number of shares based on the then-current number of shares outstanding and did not provide the holder with any right to put the Institute Warrant to the Company. The monetary value of the shares delivered varied directly with the value of the Company’s common stock. The monetary value of the obligation to deliver these shares was not based on a fixed monetary amount, variations in something other than the fair value of the Company’s shares, or variations inversely related to changes in the fair value of the Company’s shares. The monetary value of the shares delivered upon exercise of the Institute Warrant was based solely on the variations in the fair value of the Company’s common stock and is therefore considered indexed solely to the Company’s own common stock. Management also concluded that the Institute Warrant was issued to a non-employee as a portion of the consideration to acquire the Campus.</w:t>
      </w:r>
    </w:p>
    <w:p>
      <w:pPr>
        <w:spacing w:after="0" w:line="80"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Based on the Roadmap, management determined that the Institute Warrant should be accounted for under other applicable GAAP until performance occurred. The applicable guidance that was evaluated by management and used to account for the Institute Warrant prior to performance occurring was EITF 96-18, whereby the Institute Warrant was accounted for as an equity instrument. Upon performance occurring (</w:t>
      </w:r>
      <w:r>
        <w:rPr>
          <w:rFonts w:ascii="Arial" w:cs="Arial" w:eastAsia="Arial" w:hAnsi="Arial"/>
          <w:sz w:val="17"/>
          <w:szCs w:val="17"/>
          <w:i w:val="1"/>
          <w:iCs w:val="1"/>
          <w:color w:val="auto"/>
        </w:rPr>
        <w:t>i.e.</w:t>
      </w:r>
      <w:r>
        <w:rPr>
          <w:rFonts w:ascii="Arial" w:cs="Arial" w:eastAsia="Arial" w:hAnsi="Arial"/>
          <w:sz w:val="17"/>
          <w:szCs w:val="17"/>
          <w:color w:val="auto"/>
        </w:rPr>
        <w:t xml:space="preserve">, the Campus acquisition transaction closed), management evaluated the Institute Warrant under the provisions of EITF Issue No. 00-19, </w:t>
      </w:r>
      <w:r>
        <w:rPr>
          <w:rFonts w:ascii="Arial" w:cs="Arial" w:eastAsia="Arial" w:hAnsi="Arial"/>
          <w:sz w:val="17"/>
          <w:szCs w:val="17"/>
          <w:i w:val="1"/>
          <w:iCs w:val="1"/>
          <w:color w:val="auto"/>
        </w:rPr>
        <w:t>Accounting for Derivative Financial Instruments Indexed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and Potentially Settled in, a Company’s Own Stock </w:t>
      </w:r>
      <w:r>
        <w:rPr>
          <w:rFonts w:ascii="Arial" w:cs="Arial" w:eastAsia="Arial" w:hAnsi="Arial"/>
          <w:sz w:val="17"/>
          <w:szCs w:val="17"/>
          <w:color w:val="auto"/>
        </w:rPr>
        <w:t>(“</w:t>
      </w:r>
      <w:r>
        <w:rPr>
          <w:rFonts w:ascii="Arial" w:cs="Arial" w:eastAsia="Arial" w:hAnsi="Arial"/>
          <w:sz w:val="17"/>
          <w:szCs w:val="17"/>
          <w:u w:val="single" w:color="auto"/>
          <w:color w:val="auto"/>
        </w:rPr>
        <w:t>EITF 00-19</w:t>
      </w:r>
      <w:r>
        <w:rPr>
          <w:rFonts w:ascii="Arial" w:cs="Arial" w:eastAsia="Arial" w:hAnsi="Arial"/>
          <w:sz w:val="17"/>
          <w:szCs w:val="17"/>
          <w:color w:val="auto"/>
        </w:rPr>
        <w:t>”). The Institute Warrant only requires that the Company deliver shares as part of a</w:t>
      </w:r>
      <w:r>
        <w:rPr>
          <w:rFonts w:ascii="Arial" w:cs="Arial" w:eastAsia="Arial" w:hAnsi="Arial"/>
          <w:sz w:val="17"/>
          <w:szCs w:val="17"/>
          <w:i w:val="1"/>
          <w:iCs w:val="1"/>
          <w:color w:val="auto"/>
        </w:rPr>
        <w:t xml:space="preserve"> </w:t>
      </w:r>
      <w:r>
        <w:rPr>
          <w:rFonts w:ascii="Arial" w:cs="Arial" w:eastAsia="Arial" w:hAnsi="Arial"/>
          <w:sz w:val="17"/>
          <w:szCs w:val="17"/>
          <w:color w:val="auto"/>
        </w:rPr>
        <w:t>physical settlement, and since there are no net-cash or net-share settlement features to the Institute Warrant, management concluded that it was appropriate to classify the Institute Warrant as equity. In addition, the Company evaluated the call feature embedded in the Institute Warrant, which permits the Company to redeem the Institute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0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at its sole discretion for $6 million, and concluded that, because the call option was solely within the Company’s control, equity classification was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3700" w:hanging="7"/>
        <w:spacing w:after="0" w:line="375" w:lineRule="auto"/>
        <w:tabs>
          <w:tab w:leader="none" w:pos="510" w:val="left"/>
        </w:tabs>
        <w:numPr>
          <w:ilvl w:val="0"/>
          <w:numId w:val="2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Citing your basis in the accounting literature, tell us how you are accounting for the Spirit Warrant.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The Spirit Warrant was accounted for as a component of equity and a capital lease asset as it was issued in connection with the Spirit lease. Management reviewed Chapter 2 of the Roadmap and determined that the Spirit Warrant is a written call option to purchase a fixed number of shares of the Company and does not provide the holder with any right to put the Spirit Warrant to the Company. The monetary value of the shares delivered varies directly with the value of the Company’s common stock. The monetary value of the obligation to deliver these shares is not based on a fixed monetary amount, variations in something other than the fair value of the Company’s shares, or variations inversely related to changes in the fair value of the Company’s shares. The monetary value of the shares delivered upon exercise of the Spirit Warrant is based solely on the variations in the fair value of the Company’s common stock and is therefore considered indexed solely to the Company’s own common stock. Management concluded that the Spirit Warrant was issued to a non-employee in connection with entering into a lease agreement.</w:t>
      </w:r>
    </w:p>
    <w:p>
      <w:pPr>
        <w:spacing w:after="0" w:line="7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Based on the Roadmap, management determined that the Spirit Warrant should be accounted for under other applicable GAAP until performance has occurred. The applicable guidance that was evaluated by management and used to account for the Spirit Warrant prior to performance occurring was EITF 96-18, whereby the Spirit Warrant was accounted for as an equity instrument. Upon performance occurring (</w:t>
      </w:r>
      <w:r>
        <w:rPr>
          <w:rFonts w:ascii="Arial" w:cs="Arial" w:eastAsia="Arial" w:hAnsi="Arial"/>
          <w:sz w:val="18"/>
          <w:szCs w:val="18"/>
          <w:i w:val="1"/>
          <w:iCs w:val="1"/>
          <w:color w:val="auto"/>
        </w:rPr>
        <w:t>i.e.</w:t>
      </w:r>
      <w:r>
        <w:rPr>
          <w:rFonts w:ascii="Arial" w:cs="Arial" w:eastAsia="Arial" w:hAnsi="Arial"/>
          <w:sz w:val="18"/>
          <w:szCs w:val="18"/>
          <w:color w:val="auto"/>
        </w:rPr>
        <w:t>, the execution of the lease agreement), management evaluated the Spirit Warrant under the provisions of EITF 00-19. The Spirit Warrant only requires that the Company deliver shares as part of a physical settlement, and since there are no net-cash or net-share settlement features, management concluded that it was appropriate to classify the Spirit Warrant as equity. In addition, the Company evaluated its call feature embedded in the Spirit Warrant, which permits the Company to redeem the Spirit Warrant at its sole discretion for $16 million, and concluded that, because the call option was solely within its control, equity classification remains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16.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Blanchard Amendment, page F-26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right="220" w:firstLine="233"/>
        <w:spacing w:after="0" w:line="277" w:lineRule="auto"/>
        <w:tabs>
          <w:tab w:leader="none" w:pos="495" w:val="left"/>
        </w:tabs>
        <w:numPr>
          <w:ilvl w:val="0"/>
          <w:numId w:val="211"/>
        </w:numPr>
        <w:rPr>
          <w:rFonts w:ascii="Arial" w:cs="Arial" w:eastAsia="Arial" w:hAnsi="Arial"/>
          <w:sz w:val="18"/>
          <w:szCs w:val="18"/>
          <w:i w:val="1"/>
          <w:iCs w:val="1"/>
          <w:color w:val="auto"/>
        </w:rPr>
      </w:pPr>
      <w:r>
        <w:rPr>
          <w:rFonts w:ascii="Arial" w:cs="Arial" w:eastAsia="Arial" w:hAnsi="Arial"/>
          <w:sz w:val="18"/>
          <w:szCs w:val="18"/>
          <w:i w:val="1"/>
          <w:iCs w:val="1"/>
          <w:color w:val="auto"/>
        </w:rPr>
        <w:t>Tell us your basis of measurement for the 200 shares of common stock issued to Blanchard. Also, tell us and disclose the fair value assigned to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Company Response:</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Under the terms of the Company’s agreement with Blanchard Education, LLC, Blanchard would earn shares based upon specified levels of enrollment in business courses at the College of Business. In accordance with FAS 123R and EITF 96-18, each tranche of shares corresponding to a stated enrollment threshold set forth in the agreement has been treated as a share-based award subject to performance conditions. Accordingly, the Company has applied variable accounting procedures that have taken into account the value of each tranche of shares from the time it was deemed probable to be earned and then fixed the value when such tranche was actually earned.</w:t>
      </w:r>
    </w:p>
    <w:p>
      <w:pPr>
        <w:spacing w:after="0" w:line="80"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As of December 31, 2006, the Company determined that it had become probable that the first enrollment threshold would be met and, therefore, that Blanchard would earn the first tranche of 100 shares. Based on a valuation of its common stock at that date, the Company determined that $281,900 should have been set up as an asset and amortized between January 1, 2007 and February 6, 2016 (the expiration date of the license agreement). During the third quarter of 2007, this first enrollment threshold was in fact met, and Blanchard earned the first tranche of 100 shares, by which point the fair value of the award had increased to $398,400, and the related asset should have been increased accordingly. The Company has restated its financial statements to properly reflect the accounting for this transaction.</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May 9, 2008, the Company and Blanchard amended the terms of the agreement, pursuant to which Blanchard was issued an additional 100 shares of the Company’s common stock in full settlement of all shares owed and contingently owed under this agreement. Thus, an additional 100 shares became earned on that date and all remaining performance conditions based on enrollment thresholds were terminated. Although a valuation as of December 31, 2007 valued the shares at $5,149 per share, because the Company filed its initial S-1 on May 13, 2008, the Company believes that the most appropriate value to be placed on the additional 100 shares is one that reflects the valuation placed on the Company in connection with its initial public offering. As the offering has not yet priced, the Company is required to estimate this value, and has valued the additional 100 shares at $29,954 per share. The asset of $2,995,400 was recorded on May 9, 2008 and is being amortized between that date and February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Updating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Staff Comment:</w:t>
      </w:r>
    </w:p>
    <w:p>
      <w:pPr>
        <w:spacing w:after="0" w:line="117" w:lineRule="exact"/>
        <w:rPr>
          <w:sz w:val="20"/>
          <w:szCs w:val="20"/>
          <w:color w:val="auto"/>
        </w:rPr>
      </w:pPr>
    </w:p>
    <w:p>
      <w:pPr>
        <w:ind w:left="240" w:right="4160" w:hanging="7"/>
        <w:spacing w:after="0" w:line="375" w:lineRule="auto"/>
        <w:tabs>
          <w:tab w:leader="none" w:pos="510" w:val="left"/>
        </w:tabs>
        <w:numPr>
          <w:ilvl w:val="0"/>
          <w:numId w:val="2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Update your financial statements and applicable sections under Rule 3-12 of Regulation S-X. </w:t>
      </w:r>
      <w:r>
        <w:rPr>
          <w:rFonts w:ascii="Arial" w:cs="Arial" w:eastAsia="Arial" w:hAnsi="Arial"/>
          <w:sz w:val="18"/>
          <w:szCs w:val="18"/>
          <w:i w:val="1"/>
          <w:iCs w:val="1"/>
          <w:u w:val="single" w:color="auto"/>
          <w:color w:val="auto"/>
        </w:rPr>
        <w:t>Company Response: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amended the Registration Statement to update its financial statements and applicable sections under Rule 3-12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you require any additional information on these issues, or if we can provide you with any other information that will facilitate your continued review of this filing, please advise us at your earliest convenience. You may reach me at (602) 639-6820.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Christopher C. Richardson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25558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320"/>
        <w:spacing w:after="0"/>
        <w:tabs>
          <w:tab w:leader="none" w:pos="58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Counsel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DLA Piper US LLP</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Steven D. Pidgeon, Esq. (via e-mail: steven.pidgeon@dlapiper.com)</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David P. Lewis, Esq. (via e-mail: david.lewis@dlapiper.com)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Mark A. Stegemoeller, Esq. (via e-mail: mark.stegemoeller@lw.com)</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Steven B. Stokdyk, Esq. (via e-mail: steven.stokdyk@lw.com)</w:t>
      </w:r>
    </w:p>
    <w:sectPr>
      <w:pgSz w:w="11900" w:h="16838" w:orient="portrait"/>
      <w:cols w:equalWidth="0" w:num="1">
        <w:col w:w="11300"/>
      </w:cols>
      <w:pgMar w:left="240" w:top="9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
      <w:numFmt w:val="bullet"/>
      <w:start w:val="1"/>
    </w:lvl>
  </w:abstractNum>
  <w:abstractNum w:abstractNumId="3">
    <w:nsid w:val="2A155DBC"/>
    <w:multiLevelType w:val="hybridMultilevel"/>
    <w:lvl w:ilvl="0">
      <w:lvlJc w:val="left"/>
      <w:lvlText w:val="(%1)"/>
      <w:numFmt w:val="decimal"/>
      <w:start w:val="1"/>
    </w:lvl>
  </w:abstractNum>
  <w:abstractNum w:abstractNumId="4">
    <w:nsid w:val="1D9F6E5F"/>
    <w:multiLevelType w:val="hybridMultilevel"/>
    <w:lvl w:ilvl="0">
      <w:lvlJc w:val="left"/>
      <w:lvlText w:val="•"/>
      <w:numFmt w:val="bullet"/>
      <w:start w:val="1"/>
    </w:lvl>
  </w:abstractNum>
  <w:abstractNum w:abstractNumId="5">
    <w:nsid w:val="97E1B4E"/>
    <w:multiLevelType w:val="hybridMultilevel"/>
    <w:lvl w:ilvl="0">
      <w:lvlJc w:val="left"/>
      <w:lvlText w:val="•"/>
      <w:numFmt w:val="bullet"/>
      <w:start w:val="1"/>
    </w:lvl>
  </w:abstractNum>
  <w:abstractNum w:abstractNumId="6">
    <w:nsid w:val="51088277"/>
    <w:multiLevelType w:val="hybridMultilevel"/>
    <w:lvl w:ilvl="0">
      <w:lvlJc w:val="left"/>
      <w:lvlText w:val="(%1)"/>
      <w:numFmt w:val="decimal"/>
      <w:start w:val="1"/>
    </w:lvl>
  </w:abstractNum>
  <w:abstractNum w:abstractNumId="7">
    <w:nsid w:val="1CA0C5FA"/>
    <w:multiLevelType w:val="hybridMultilevel"/>
    <w:lvl w:ilvl="0">
      <w:lvlJc w:val="left"/>
      <w:lvlText w:val="•"/>
      <w:numFmt w:val="bullet"/>
      <w:start w:val="1"/>
    </w:lvl>
  </w:abstractNum>
  <w:abstractNum w:abstractNumId="8">
    <w:nsid w:val="53584BCB"/>
    <w:multiLevelType w:val="hybridMultilevel"/>
    <w:lvl w:ilvl="0">
      <w:lvlJc w:val="left"/>
      <w:lvlText w:val="%1"/>
      <w:numFmt w:val="decimal"/>
      <w:start w:val="1"/>
    </w:lvl>
    <w:lvl w:ilvl="1">
      <w:lvlJc w:val="left"/>
      <w:lvlText w:val="(%2)"/>
      <w:numFmt w:val="lowerLetter"/>
      <w:start w:val="1"/>
    </w:lvl>
  </w:abstractNum>
  <w:abstractNum w:abstractNumId="9">
    <w:nsid w:val="415E286C"/>
    <w:multiLevelType w:val="hybridMultilevel"/>
    <w:lvl w:ilvl="0">
      <w:lvlJc w:val="left"/>
      <w:lvlText w:val="(%1)"/>
      <w:numFmt w:val="decimal"/>
      <w:start w:val="4"/>
    </w:lvl>
    <w:lvl w:ilvl="1">
      <w:lvlJc w:val="left"/>
      <w:lvlText w:val="%2"/>
      <w:numFmt w:val="lowerLetter"/>
      <w:start w:val="1"/>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
      <w:numFmt w:val="bullet"/>
      <w:start w:val="1"/>
    </w:lvl>
  </w:abstractNum>
  <w:abstractNum w:abstractNumId="16">
    <w:nsid w:val="4BD8591A"/>
    <w:multiLevelType w:val="hybridMultilevel"/>
    <w:lvl w:ilvl="0">
      <w:lvlJc w:val="left"/>
      <w:lvlText w:val="$"/>
      <w:numFmt w:val="bullet"/>
      <w:start w:val="1"/>
    </w:lvl>
  </w:abstractNum>
  <w:abstractNum w:abstractNumId="17">
    <w:nsid w:val="78DF6A55"/>
    <w:multiLevelType w:val="hybridMultilevel"/>
    <w:lvl w:ilvl="0">
      <w:lvlJc w:val="left"/>
      <w:lvlText w:val="(%1)"/>
      <w:numFmt w:val="decimal"/>
      <w:start w:val="1"/>
    </w:lvl>
  </w:abstractNum>
  <w:abstractNum w:abstractNumId="18">
    <w:nsid w:val="39B7AAA2"/>
    <w:multiLevelType w:val="hybridMultilevel"/>
    <w:lvl w:ilvl="0">
      <w:lvlJc w:val="left"/>
      <w:lvlText w:val="•"/>
      <w:numFmt w:val="bullet"/>
      <w:start w:val="1"/>
    </w:lvl>
  </w:abstractNum>
  <w:abstractNum w:abstractNumId="19">
    <w:nsid w:val="2B0D8DBE"/>
    <w:multiLevelType w:val="hybridMultilevel"/>
    <w:lvl w:ilvl="0">
      <w:lvlJc w:val="left"/>
      <w:lvlText w:val="(%1)"/>
      <w:numFmt w:val="lowerRoman"/>
      <w:start w:val="1"/>
    </w:lvl>
  </w:abstractNum>
  <w:abstractNum w:abstractNumId="20">
    <w:nsid w:val="6C80EC70"/>
    <w:multiLevelType w:val="hybridMultilevel"/>
    <w:lvl w:ilvl="0">
      <w:lvlJc w:val="left"/>
      <w:lvlText w:val="(%1)"/>
      <w:numFmt w:val="lowerRoman"/>
      <w:start w:val="3"/>
    </w:lvl>
  </w:abstractNum>
  <w:abstractNum w:abstractNumId="21">
    <w:nsid w:val="379E21B5"/>
    <w:multiLevelType w:val="hybridMultilevel"/>
    <w:lvl w:ilvl="0">
      <w:lvlJc w:val="left"/>
      <w:lvlText w:val="(%1)"/>
      <w:numFmt w:val="decimal"/>
      <w:start w:val="1"/>
    </w:lvl>
    <w:lvl w:ilvl="1">
      <w:lvlJc w:val="left"/>
      <w:lvlText w:val="•"/>
      <w:numFmt w:val="bullet"/>
      <w:start w:val="1"/>
    </w:lvl>
  </w:abstractNum>
  <w:abstractNum w:abstractNumId="22">
    <w:nsid w:val="69E373"/>
    <w:multiLevelType w:val="hybridMultilevel"/>
    <w:lvl w:ilvl="0">
      <w:lvlJc w:val="left"/>
      <w:lvlText w:val="%1"/>
      <w:numFmt w:val="decimal"/>
      <w:start w:val="1"/>
    </w:lvl>
    <w:lvl w:ilvl="1">
      <w:lvlJc w:val="left"/>
      <w:lvlText w:val="(%2)"/>
      <w:numFmt w:val="lowerLetter"/>
      <w:start w:val="1"/>
    </w:lvl>
  </w:abstractNum>
  <w:abstractNum w:abstractNumId="23">
    <w:nsid w:val="2C27173B"/>
    <w:multiLevelType w:val="hybridMultilevel"/>
    <w:lvl w:ilvl="0">
      <w:lvlJc w:val="left"/>
      <w:lvlText w:val="(%1)"/>
      <w:numFmt w:val="decimal"/>
      <w:start w:val="5"/>
    </w:lvl>
    <w:lvl w:ilvl="1">
      <w:lvlJc w:val="left"/>
      <w:lvlText w:val="%2"/>
      <w:numFmt w:val="lowerLetter"/>
      <w:start w:val="1"/>
    </w:lvl>
  </w:abstractNum>
  <w:abstractNum w:abstractNumId="24">
    <w:nsid w:val="4C9B0904"/>
    <w:multiLevelType w:val="hybridMultilevel"/>
    <w:lvl w:ilvl="0">
      <w:lvlJc w:val="left"/>
      <w:lvlText w:val="•"/>
      <w:numFmt w:val="bullet"/>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
      <w:numFmt w:val="bullet"/>
      <w:start w:val="1"/>
    </w:lvl>
  </w:abstractNum>
  <w:abstractNum w:abstractNumId="27">
    <w:nsid w:val="5675FF36"/>
    <w:multiLevelType w:val="hybridMultilevel"/>
    <w:lvl w:ilvl="0">
      <w:lvlJc w:val="left"/>
      <w:lvlText w:val="(%1)"/>
      <w:numFmt w:val="decimal"/>
      <w:start w:val="1"/>
    </w:lvl>
  </w:abstractNum>
  <w:abstractNum w:abstractNumId="28">
    <w:nsid w:val="3DD15094"/>
    <w:multiLevelType w:val="hybridMultilevel"/>
    <w:lvl w:ilvl="0">
      <w:lvlJc w:val="left"/>
      <w:lvlText w:val="(%1)"/>
      <w:numFmt w:val="decimal"/>
      <w:start w:val="1"/>
    </w:lvl>
  </w:abstractNum>
  <w:abstractNum w:abstractNumId="29">
    <w:nsid w:val="3DB012B3"/>
    <w:multiLevelType w:val="hybridMultilevel"/>
    <w:lvl w:ilvl="0">
      <w:lvlJc w:val="left"/>
      <w:lvlText w:val="•"/>
      <w:numFmt w:val="bullet"/>
      <w:start w:val="1"/>
    </w:lvl>
  </w:abstractNum>
  <w:abstractNum w:abstractNumId="30">
    <w:nsid w:val="2708C9AF"/>
    <w:multiLevelType w:val="hybridMultilevel"/>
    <w:lvl w:ilvl="0">
      <w:lvlJc w:val="left"/>
      <w:lvlText w:val="(%1)"/>
      <w:numFmt w:val="lowerLetter"/>
      <w:start w:val="1"/>
    </w:lvl>
    <w:lvl w:ilvl="1">
      <w:lvlJc w:val="left"/>
      <w:lvlText w:val="(%2)"/>
      <w:numFmt w:val="lowerLetter"/>
      <w:start w:val="3"/>
    </w:lvl>
  </w:abstractNum>
  <w:abstractNum w:abstractNumId="31">
    <w:nsid w:val="5B25ACE2"/>
    <w:multiLevelType w:val="hybridMultilevel"/>
    <w:lvl w:ilvl="0">
      <w:lvlJc w:val="left"/>
      <w:lvlText w:val="•"/>
      <w:numFmt w:val="bullet"/>
      <w:start w:val="1"/>
    </w:lvl>
  </w:abstractNum>
  <w:abstractNum w:abstractNumId="32">
    <w:nsid w:val="175DFCF0"/>
    <w:multiLevelType w:val="hybridMultilevel"/>
    <w:lvl w:ilvl="0">
      <w:lvlJc w:val="left"/>
      <w:lvlText w:val="•"/>
      <w:numFmt w:val="bullet"/>
      <w:start w:val="1"/>
    </w:lvl>
  </w:abstractNum>
  <w:abstractNum w:abstractNumId="33">
    <w:nsid w:val="4F97E3E4"/>
    <w:multiLevelType w:val="hybridMultilevel"/>
    <w:lvl w:ilvl="0">
      <w:lvlJc w:val="left"/>
      <w:lvlText w:val="•"/>
      <w:numFmt w:val="bullet"/>
      <w:start w:val="1"/>
    </w:lvl>
  </w:abstractNum>
  <w:abstractNum w:abstractNumId="34">
    <w:nsid w:val="53B0A9E"/>
    <w:multiLevelType w:val="hybridMultilevel"/>
    <w:lvl w:ilvl="0">
      <w:lvlJc w:val="left"/>
      <w:lvlText w:val="•"/>
      <w:numFmt w:val="bullet"/>
      <w:start w:val="1"/>
    </w:lvl>
  </w:abstractNum>
  <w:abstractNum w:abstractNumId="35">
    <w:nsid w:val="34FD6B4F"/>
    <w:multiLevelType w:val="hybridMultilevel"/>
    <w:lvl w:ilvl="0">
      <w:lvlJc w:val="left"/>
      <w:lvlText w:val="*"/>
      <w:numFmt w:val="bullet"/>
      <w:start w:val="1"/>
    </w:lvl>
  </w:abstractNum>
  <w:abstractNum w:abstractNumId="36">
    <w:nsid w:val="5915FF32"/>
    <w:multiLevelType w:val="hybridMultilevel"/>
    <w:lvl w:ilvl="0">
      <w:lvlJc w:val="left"/>
      <w:lvlText w:val="•"/>
      <w:numFmt w:val="bullet"/>
      <w:start w:val="1"/>
    </w:lvl>
  </w:abstractNum>
  <w:abstractNum w:abstractNumId="37">
    <w:nsid w:val="56438D15"/>
    <w:multiLevelType w:val="hybridMultilevel"/>
    <w:lvl w:ilvl="0">
      <w:lvlJc w:val="left"/>
      <w:lvlText w:val="•"/>
      <w:numFmt w:val="bullet"/>
      <w:start w:val="1"/>
    </w:lvl>
  </w:abstractNum>
  <w:abstractNum w:abstractNumId="38">
    <w:nsid w:val="519E3149"/>
    <w:multiLevelType w:val="hybridMultilevel"/>
    <w:lvl w:ilvl="0">
      <w:lvlJc w:val="left"/>
      <w:lvlText w:val="*"/>
      <w:numFmt w:val="bullet"/>
      <w:start w:val="1"/>
    </w:lvl>
  </w:abstractNum>
  <w:abstractNum w:abstractNumId="39">
    <w:nsid w:val="2C6E4AFD"/>
    <w:multiLevelType w:val="hybridMultilevel"/>
    <w:lvl w:ilvl="0">
      <w:lvlJc w:val="left"/>
      <w:lvlText w:val="•"/>
      <w:numFmt w:val="bullet"/>
      <w:start w:val="1"/>
    </w:lvl>
  </w:abstractNum>
  <w:abstractNum w:abstractNumId="40">
    <w:nsid w:val="17A1B582"/>
    <w:multiLevelType w:val="hybridMultilevel"/>
    <w:lvl w:ilvl="0">
      <w:lvlJc w:val="left"/>
      <w:lvlText w:val="•"/>
      <w:numFmt w:val="bullet"/>
      <w:start w:val="1"/>
    </w:lvl>
  </w:abstractNum>
  <w:abstractNum w:abstractNumId="41">
    <w:nsid w:val="4DF72E4E"/>
    <w:multiLevelType w:val="hybridMultilevel"/>
    <w:lvl w:ilvl="0">
      <w:lvlJc w:val="left"/>
      <w:lvlText w:val="•"/>
      <w:numFmt w:val="bullet"/>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
      <w:numFmt w:val="bullet"/>
      <w:start w:val="1"/>
    </w:lvl>
  </w:abstractNum>
  <w:abstractNum w:abstractNumId="44">
    <w:nsid w:val="2A082C70"/>
    <w:multiLevelType w:val="hybridMultilevel"/>
    <w:lvl w:ilvl="0">
      <w:lvlJc w:val="left"/>
      <w:lvlText w:val="•"/>
      <w:numFmt w:val="bullet"/>
      <w:start w:val="1"/>
    </w:lvl>
  </w:abstractNum>
  <w:abstractNum w:abstractNumId="45">
    <w:nsid w:val="5EC6AFD4"/>
    <w:multiLevelType w:val="hybridMultilevel"/>
    <w:lvl w:ilvl="0">
      <w:lvlJc w:val="left"/>
      <w:lvlText w:val="•"/>
      <w:numFmt w:val="bullet"/>
      <w:start w:val="1"/>
    </w:lvl>
  </w:abstractNum>
  <w:abstractNum w:abstractNumId="46">
    <w:nsid w:val="19E21BB2"/>
    <w:multiLevelType w:val="hybridMultilevel"/>
    <w:lvl w:ilvl="0">
      <w:lvlJc w:val="left"/>
      <w:lvlText w:val="•"/>
      <w:numFmt w:val="bullet"/>
      <w:start w:val="1"/>
    </w:lvl>
  </w:abstractNum>
  <w:abstractNum w:abstractNumId="47">
    <w:nsid w:val="75E0858A"/>
    <w:multiLevelType w:val="hybridMultilevel"/>
    <w:lvl w:ilvl="0">
      <w:lvlJc w:val="left"/>
      <w:lvlText w:val="•"/>
      <w:numFmt w:val="bullet"/>
      <w:start w:val="1"/>
    </w:lvl>
  </w:abstractNum>
  <w:abstractNum w:abstractNumId="48">
    <w:nsid w:val="57A61A29"/>
    <w:multiLevelType w:val="hybridMultilevel"/>
    <w:lvl w:ilvl="0">
      <w:lvlJc w:val="left"/>
      <w:lvlText w:val="•"/>
      <w:numFmt w:val="bullet"/>
      <w:start w:val="1"/>
    </w:lvl>
  </w:abstractNum>
  <w:abstractNum w:abstractNumId="49">
    <w:nsid w:val="5399C654"/>
    <w:multiLevelType w:val="hybridMultilevel"/>
    <w:lvl w:ilvl="0">
      <w:lvlJc w:val="left"/>
      <w:lvlText w:val="•"/>
      <w:numFmt w:val="bullet"/>
      <w:start w:val="1"/>
    </w:lvl>
  </w:abstractNum>
  <w:abstractNum w:abstractNumId="50">
    <w:nsid w:val="20EE1348"/>
    <w:multiLevelType w:val="hybridMultilevel"/>
    <w:lvl w:ilvl="0">
      <w:lvlJc w:val="left"/>
      <w:lvlText w:val="•"/>
      <w:numFmt w:val="bullet"/>
      <w:start w:val="1"/>
    </w:lvl>
  </w:abstractNum>
  <w:abstractNum w:abstractNumId="51">
    <w:nsid w:val="4427069A"/>
    <w:multiLevelType w:val="hybridMultilevel"/>
    <w:lvl w:ilvl="0">
      <w:lvlJc w:val="left"/>
      <w:lvlText w:val="•"/>
      <w:numFmt w:val="bullet"/>
      <w:start w:val="1"/>
    </w:lvl>
  </w:abstractNum>
  <w:abstractNum w:abstractNumId="52">
    <w:nsid w:val="B37E80A"/>
    <w:multiLevelType w:val="hybridMultilevel"/>
    <w:lvl w:ilvl="0">
      <w:lvlJc w:val="left"/>
      <w:lvlText w:val="•"/>
      <w:numFmt w:val="bullet"/>
      <w:start w:val="1"/>
    </w:lvl>
  </w:abstractNum>
  <w:abstractNum w:abstractNumId="53">
    <w:nsid w:val="2157F6BC"/>
    <w:multiLevelType w:val="hybridMultilevel"/>
    <w:lvl w:ilvl="0">
      <w:lvlJc w:val="left"/>
      <w:lvlText w:val="•"/>
      <w:numFmt w:val="bullet"/>
      <w:start w:val="1"/>
    </w:lvl>
  </w:abstractNum>
  <w:abstractNum w:abstractNumId="54">
    <w:nsid w:val="704E1DD5"/>
    <w:multiLevelType w:val="hybridMultilevel"/>
    <w:lvl w:ilvl="0">
      <w:lvlJc w:val="left"/>
      <w:lvlText w:val="•"/>
      <w:numFmt w:val="bullet"/>
      <w:start w:val="1"/>
    </w:lvl>
  </w:abstractNum>
  <w:abstractNum w:abstractNumId="55">
    <w:nsid w:val="57D2F10E"/>
    <w:multiLevelType w:val="hybridMultilevel"/>
    <w:lvl w:ilvl="0">
      <w:lvlJc w:val="left"/>
      <w:lvlText w:val="(%1)"/>
      <w:numFmt w:val="lowerRoman"/>
      <w:start w:val="1"/>
    </w:lvl>
  </w:abstractNum>
  <w:abstractNum w:abstractNumId="56">
    <w:nsid w:val="BFFAE18"/>
    <w:multiLevelType w:val="hybridMultilevel"/>
    <w:lvl w:ilvl="0">
      <w:lvlJc w:val="left"/>
      <w:lvlText w:val="•"/>
      <w:numFmt w:val="bullet"/>
      <w:start w:val="1"/>
    </w:lvl>
  </w:abstractNum>
  <w:abstractNum w:abstractNumId="57">
    <w:nsid w:val="E3E47A8"/>
    <w:multiLevelType w:val="hybridMultilevel"/>
    <w:lvl w:ilvl="0">
      <w:lvlJc w:val="left"/>
      <w:lvlText w:val="•"/>
      <w:numFmt w:val="bullet"/>
      <w:start w:val="1"/>
    </w:lvl>
  </w:abstractNum>
  <w:abstractNum w:abstractNumId="58">
    <w:nsid w:val="2E48F044"/>
    <w:multiLevelType w:val="hybridMultilevel"/>
    <w:lvl w:ilvl="0">
      <w:lvlJc w:val="left"/>
      <w:lvlText w:val="(%1)"/>
      <w:numFmt w:val="lowerLetter"/>
      <w:start w:val="1"/>
    </w:lvl>
  </w:abstractNum>
  <w:abstractNum w:abstractNumId="59">
    <w:nsid w:val="49D0FEAC"/>
    <w:multiLevelType w:val="hybridMultilevel"/>
    <w:lvl w:ilvl="0">
      <w:lvlJc w:val="left"/>
      <w:lvlText w:val="(%1)"/>
      <w:numFmt w:val="decimal"/>
      <w:start w:val="1"/>
    </w:lvl>
  </w:abstractNum>
  <w:abstractNum w:abstractNumId="60">
    <w:nsid w:val="4BEE5A5B"/>
    <w:multiLevelType w:val="hybridMultilevel"/>
    <w:lvl w:ilvl="0">
      <w:lvlJc w:val="left"/>
      <w:lvlText w:val="(%1)"/>
      <w:numFmt w:val="decimal"/>
      <w:start w:val="1"/>
    </w:lvl>
  </w:abstractNum>
  <w:abstractNum w:abstractNumId="61">
    <w:nsid w:val="5551B9F3"/>
    <w:multiLevelType w:val="hybridMultilevel"/>
    <w:lvl w:ilvl="0">
      <w:lvlJc w:val="left"/>
      <w:lvlText w:val="(%1)"/>
      <w:numFmt w:val="decimal"/>
      <w:start w:val="1"/>
    </w:lvl>
  </w:abstractNum>
  <w:abstractNum w:abstractNumId="62">
    <w:nsid w:val="24F6AB8E"/>
    <w:multiLevelType w:val="hybridMultilevel"/>
    <w:lvl w:ilvl="0">
      <w:lvlJc w:val="left"/>
      <w:lvlText w:val="•"/>
      <w:numFmt w:val="bullet"/>
      <w:start w:val="1"/>
    </w:lvl>
  </w:abstractNum>
  <w:abstractNum w:abstractNumId="63">
    <w:nsid w:val="634C574C"/>
    <w:multiLevelType w:val="hybridMultilevel"/>
    <w:lvl w:ilvl="0">
      <w:lvlJc w:val="left"/>
      <w:lvlText w:val="•"/>
      <w:numFmt w:val="bullet"/>
      <w:start w:val="1"/>
    </w:lvl>
  </w:abstractNum>
  <w:abstractNum w:abstractNumId="64">
    <w:nsid w:val="24E99DD7"/>
    <w:multiLevelType w:val="hybridMultilevel"/>
    <w:lvl w:ilvl="0">
      <w:lvlJc w:val="left"/>
      <w:lvlText w:val="(%1)"/>
      <w:numFmt w:val="decimal"/>
      <w:start w:val="1"/>
    </w:lvl>
    <w:lvl w:ilvl="1">
      <w:lvlJc w:val="left"/>
      <w:lvlText w:val="•"/>
      <w:numFmt w:val="bullet"/>
      <w:start w:val="1"/>
    </w:lvl>
  </w:abstractNum>
  <w:abstractNum w:abstractNumId="65">
    <w:nsid w:val="2A31B62D"/>
    <w:multiLevelType w:val="hybridMultilevel"/>
    <w:lvl w:ilvl="0">
      <w:lvlJc w:val="left"/>
      <w:lvlText w:val="(%1)"/>
      <w:numFmt w:val="decimal"/>
      <w:start w:val="4"/>
    </w:lvl>
    <w:lvl w:ilvl="1">
      <w:lvlJc w:val="left"/>
      <w:lvlText w:val="•"/>
      <w:numFmt w:val="bullet"/>
      <w:start w:val="1"/>
    </w:lvl>
  </w:abstractNum>
  <w:abstractNum w:abstractNumId="66">
    <w:nsid w:val="1849C29B"/>
    <w:multiLevelType w:val="hybridMultilevel"/>
    <w:lvl w:ilvl="0">
      <w:lvlJc w:val="left"/>
      <w:lvlText w:val="(%1)"/>
      <w:numFmt w:val="decimal"/>
      <w:start w:val="5"/>
    </w:lvl>
    <w:lvl w:ilvl="1">
      <w:lvlJc w:val="left"/>
      <w:lvlText w:val="•"/>
      <w:numFmt w:val="bullet"/>
      <w:start w:val="1"/>
    </w:lvl>
  </w:abstractNum>
  <w:abstractNum w:abstractNumId="67">
    <w:nsid w:val="7DFF9D09"/>
    <w:multiLevelType w:val="hybridMultilevel"/>
    <w:lvl w:ilvl="0">
      <w:lvlJc w:val="left"/>
      <w:lvlText w:val="•"/>
      <w:numFmt w:val="bullet"/>
      <w:start w:val="1"/>
    </w:lvl>
  </w:abstractNum>
  <w:abstractNum w:abstractNumId="68">
    <w:nsid w:val="754342"/>
    <w:multiLevelType w:val="hybridMultilevel"/>
    <w:lvl w:ilvl="0">
      <w:lvlJc w:val="left"/>
      <w:lvlText w:val="(%1)"/>
      <w:numFmt w:val="decimal"/>
      <w:start w:val="11"/>
    </w:lvl>
  </w:abstractNum>
  <w:abstractNum w:abstractNumId="69">
    <w:nsid w:val="69E7F3E5"/>
    <w:multiLevelType w:val="hybridMultilevel"/>
    <w:lvl w:ilvl="0">
      <w:lvlJc w:val="left"/>
      <w:lvlText w:val="•"/>
      <w:numFmt w:val="bullet"/>
      <w:start w:val="1"/>
    </w:lvl>
  </w:abstractNum>
  <w:abstractNum w:abstractNumId="70">
    <w:nsid w:val="2A6DE806"/>
    <w:multiLevelType w:val="hybridMultilevel"/>
    <w:lvl w:ilvl="0">
      <w:lvlJc w:val="left"/>
      <w:lvlText w:val="•"/>
      <w:numFmt w:val="bullet"/>
      <w:start w:val="1"/>
    </w:lvl>
  </w:abstractNum>
  <w:abstractNum w:abstractNumId="71">
    <w:nsid w:val="1816F8C4"/>
    <w:multiLevelType w:val="hybridMultilevel"/>
    <w:lvl w:ilvl="0">
      <w:lvlJc w:val="left"/>
      <w:lvlText w:val="•"/>
      <w:numFmt w:val="bullet"/>
      <w:start w:val="1"/>
    </w:lvl>
  </w:abstractNum>
  <w:abstractNum w:abstractNumId="72">
    <w:nsid w:val="37DF2233"/>
    <w:multiLevelType w:val="hybridMultilevel"/>
    <w:lvl w:ilvl="0">
      <w:lvlJc w:val="left"/>
      <w:lvlText w:val="•"/>
      <w:numFmt w:val="bullet"/>
      <w:start w:val="1"/>
    </w:lvl>
  </w:abstractNum>
  <w:abstractNum w:abstractNumId="73">
    <w:nsid w:val="7AB49DAF"/>
    <w:multiLevelType w:val="hybridMultilevel"/>
    <w:lvl w:ilvl="0">
      <w:lvlJc w:val="left"/>
      <w:lvlText w:val="•"/>
      <w:numFmt w:val="bullet"/>
      <w:start w:val="1"/>
    </w:lvl>
  </w:abstractNum>
  <w:abstractNum w:abstractNumId="74">
    <w:nsid w:val="759F82CD"/>
    <w:multiLevelType w:val="hybridMultilevel"/>
    <w:lvl w:ilvl="0">
      <w:lvlJc w:val="left"/>
      <w:lvlText w:val="•"/>
      <w:numFmt w:val="bullet"/>
      <w:start w:val="1"/>
    </w:lvl>
  </w:abstractNum>
  <w:abstractNum w:abstractNumId="75">
    <w:nsid w:val="61E74EA3"/>
    <w:multiLevelType w:val="hybridMultilevel"/>
    <w:lvl w:ilvl="0">
      <w:lvlJc w:val="left"/>
      <w:lvlText w:val="•"/>
      <w:numFmt w:val="bullet"/>
      <w:start w:val="1"/>
    </w:lvl>
  </w:abstractNum>
  <w:abstractNum w:abstractNumId="76">
    <w:nsid w:val="597B4D84"/>
    <w:multiLevelType w:val="hybridMultilevel"/>
    <w:lvl w:ilvl="0">
      <w:lvlJc w:val="left"/>
      <w:lvlText w:val="•"/>
      <w:numFmt w:val="bullet"/>
      <w:start w:val="1"/>
    </w:lvl>
  </w:abstractNum>
  <w:abstractNum w:abstractNumId="77">
    <w:nsid w:val="F819E7F"/>
    <w:multiLevelType w:val="hybridMultilevel"/>
    <w:lvl w:ilvl="0">
      <w:lvlJc w:val="left"/>
      <w:lvlText w:val="(%1)"/>
      <w:numFmt w:val="decimal"/>
      <w:start w:val="1"/>
    </w:lvl>
  </w:abstractNum>
  <w:abstractNum w:abstractNumId="78">
    <w:nsid w:val="57C7D42D"/>
    <w:multiLevelType w:val="hybridMultilevel"/>
    <w:lvl w:ilvl="0">
      <w:lvlJc w:val="left"/>
      <w:lvlText w:val="•"/>
      <w:numFmt w:val="bullet"/>
      <w:start w:val="1"/>
    </w:lvl>
  </w:abstractNum>
  <w:abstractNum w:abstractNumId="79">
    <w:nsid w:val="312167AD"/>
    <w:multiLevelType w:val="hybridMultilevel"/>
    <w:lvl w:ilvl="0">
      <w:lvlJc w:val="left"/>
      <w:lvlText w:val="•"/>
      <w:numFmt w:val="bullet"/>
      <w:start w:val="1"/>
    </w:lvl>
  </w:abstractNum>
  <w:abstractNum w:abstractNumId="80">
    <w:nsid w:val="631B64D4"/>
    <w:multiLevelType w:val="hybridMultilevel"/>
    <w:lvl w:ilvl="0">
      <w:lvlJc w:val="left"/>
      <w:lvlText w:val="(%1)"/>
      <w:numFmt w:val="lowerLetter"/>
      <w:start w:val="1"/>
    </w:lvl>
  </w:abstractNum>
  <w:abstractNum w:abstractNumId="81">
    <w:nsid w:val="78B5E776"/>
    <w:multiLevelType w:val="hybridMultilevel"/>
    <w:lvl w:ilvl="0">
      <w:lvlJc w:val="left"/>
      <w:lvlText w:val="(%1)"/>
      <w:numFmt w:val="lowerLetter"/>
      <w:start w:val="1"/>
    </w:lvl>
  </w:abstractNum>
  <w:abstractNum w:abstractNumId="82">
    <w:nsid w:val="75486E47"/>
    <w:multiLevelType w:val="hybridMultilevel"/>
    <w:lvl w:ilvl="0">
      <w:lvlJc w:val="left"/>
      <w:lvlText w:val="•"/>
      <w:numFmt w:val="bullet"/>
      <w:start w:val="1"/>
    </w:lvl>
  </w:abstractNum>
  <w:abstractNum w:abstractNumId="83">
    <w:nsid w:val="6E534CDE"/>
    <w:multiLevelType w:val="hybridMultilevel"/>
    <w:lvl w:ilvl="0">
      <w:lvlJc w:val="left"/>
      <w:lvlText w:val="•"/>
      <w:numFmt w:val="bullet"/>
      <w:start w:val="1"/>
    </w:lvl>
  </w:abstractNum>
  <w:abstractNum w:abstractNumId="84">
    <w:nsid w:val="1A0DDE32"/>
    <w:multiLevelType w:val="hybridMultilevel"/>
    <w:lvl w:ilvl="0">
      <w:lvlJc w:val="left"/>
      <w:lvlText w:val="•"/>
      <w:numFmt w:val="bullet"/>
      <w:start w:val="1"/>
    </w:lvl>
  </w:abstractNum>
  <w:abstractNum w:abstractNumId="85">
    <w:nsid w:val="65968C1C"/>
    <w:multiLevelType w:val="hybridMultilevel"/>
    <w:lvl w:ilvl="0">
      <w:lvlJc w:val="left"/>
      <w:lvlText w:val="•"/>
      <w:numFmt w:val="bullet"/>
      <w:start w:val="1"/>
    </w:lvl>
  </w:abstractNum>
  <w:abstractNum w:abstractNumId="86">
    <w:nsid w:val="46263DEC"/>
    <w:multiLevelType w:val="hybridMultilevel"/>
    <w:lvl w:ilvl="0">
      <w:lvlJc w:val="left"/>
      <w:lvlText w:val="%1."/>
      <w:numFmt w:val="decimal"/>
      <w:start w:val="10"/>
    </w:lvl>
  </w:abstractNum>
  <w:abstractNum w:abstractNumId="87">
    <w:nsid w:val="260D8C4A"/>
    <w:multiLevelType w:val="hybridMultilevel"/>
    <w:lvl w:ilvl="0">
      <w:lvlJc w:val="left"/>
      <w:lvlText w:val="%1."/>
      <w:numFmt w:val="decimal"/>
      <w:start w:val="11"/>
    </w:lvl>
  </w:abstractNum>
  <w:abstractNum w:abstractNumId="88">
    <w:nsid w:val="73D4D3C4"/>
    <w:multiLevelType w:val="hybridMultilevel"/>
    <w:lvl w:ilvl="0">
      <w:lvlJc w:val="left"/>
      <w:lvlText w:val="%1."/>
      <w:numFmt w:val="decimal"/>
      <w:start w:val="12"/>
    </w:lvl>
  </w:abstractNum>
  <w:abstractNum w:abstractNumId="89">
    <w:nsid w:val="746F2E30"/>
    <w:multiLevelType w:val="hybridMultilevel"/>
    <w:lvl w:ilvl="0">
      <w:lvlJc w:val="left"/>
      <w:lvlText w:val="%1."/>
      <w:numFmt w:val="decimal"/>
      <w:start w:val="13"/>
    </w:lvl>
  </w:abstractNum>
  <w:abstractNum w:abstractNumId="90">
    <w:nsid w:val="6FDE8AF6"/>
    <w:multiLevelType w:val="hybridMultilevel"/>
    <w:lvl w:ilvl="0">
      <w:lvlJc w:val="left"/>
      <w:lvlText w:val="%1."/>
      <w:numFmt w:val="decimal"/>
      <w:start w:val="14"/>
    </w:lvl>
  </w:abstractNum>
  <w:abstractNum w:abstractNumId="91">
    <w:nsid w:val="3FC32E20"/>
    <w:multiLevelType w:val="hybridMultilevel"/>
    <w:lvl w:ilvl="0">
      <w:lvlJc w:val="left"/>
      <w:lvlText w:val="%1."/>
      <w:numFmt w:val="decimal"/>
      <w:start w:val="15"/>
    </w:lvl>
  </w:abstractNum>
  <w:abstractNum w:abstractNumId="92">
    <w:nsid w:val="49C0E823"/>
    <w:multiLevelType w:val="hybridMultilevel"/>
    <w:lvl w:ilvl="0">
      <w:lvlJc w:val="left"/>
      <w:lvlText w:val="%1."/>
      <w:numFmt w:val="decimal"/>
      <w:start w:val="17"/>
    </w:lvl>
    <w:lvl w:ilvl="1">
      <w:lvlJc w:val="left"/>
      <w:lvlText w:val="(%2)"/>
      <w:numFmt w:val="lowerLetter"/>
      <w:start w:val="1"/>
    </w:lvl>
  </w:abstractNum>
  <w:abstractNum w:abstractNumId="93">
    <w:nsid w:val="14D53685"/>
    <w:multiLevelType w:val="hybridMultilevel"/>
    <w:lvl w:ilvl="0">
      <w:lvlJc w:val="left"/>
      <w:lvlText w:val="$"/>
      <w:numFmt w:val="bullet"/>
      <w:start w:val="1"/>
    </w:lvl>
  </w:abstractNum>
  <w:abstractNum w:abstractNumId="94">
    <w:nsid w:val="230F856C"/>
    <w:multiLevelType w:val="hybridMultilevel"/>
    <w:lvl w:ilvl="0">
      <w:lvlJc w:val="left"/>
      <w:lvlText w:val="†"/>
      <w:numFmt w:val="bullet"/>
      <w:start w:val="1"/>
    </w:lvl>
    <w:lvl w:ilvl="1">
      <w:lvlJc w:val="left"/>
      <w:lvlText w:val="(%2)"/>
      <w:numFmt w:val="lowerLetter"/>
      <w:start w:val="2"/>
    </w:lvl>
  </w:abstractNum>
  <w:abstractNum w:abstractNumId="95">
    <w:nsid w:val="6EAA85FB"/>
    <w:multiLevelType w:val="hybridMultilevel"/>
    <w:lvl w:ilvl="0">
      <w:lvlJc w:val="left"/>
      <w:lvlText w:val="(%1)"/>
      <w:numFmt w:val="lowerRoman"/>
      <w:start w:val="1"/>
    </w:lvl>
  </w:abstractNum>
  <w:abstractNum w:abstractNumId="96">
    <w:nsid w:val="3F06ECB2"/>
    <w:multiLevelType w:val="hybridMultilevel"/>
    <w:lvl w:ilvl="0">
      <w:lvlJc w:val="left"/>
      <w:lvlText w:val="%1."/>
      <w:numFmt w:val="decimal"/>
      <w:start w:val="2"/>
    </w:lvl>
    <w:lvl w:ilvl="1">
      <w:lvlJc w:val="left"/>
      <w:lvlText w:val="(%2)"/>
      <w:numFmt w:val="lowerLetter"/>
      <w:start w:val="1"/>
    </w:lvl>
  </w:abstractNum>
  <w:abstractNum w:abstractNumId="97">
    <w:nsid w:val="3B594807"/>
    <w:multiLevelType w:val="hybridMultilevel"/>
    <w:lvl w:ilvl="0">
      <w:lvlJc w:val="left"/>
      <w:lvlText w:val="(%1)"/>
      <w:numFmt w:val="lowerLetter"/>
      <w:start w:val="2"/>
    </w:lvl>
  </w:abstractNum>
  <w:abstractNum w:abstractNumId="98">
    <w:nsid w:val="6CAA2304"/>
    <w:multiLevelType w:val="hybridMultilevel"/>
    <w:lvl w:ilvl="0">
      <w:lvlJc w:val="left"/>
      <w:lvlText w:val="(%1)"/>
      <w:numFmt w:val="lowerLetter"/>
      <w:start w:val="5"/>
    </w:lvl>
  </w:abstractNum>
  <w:abstractNum w:abstractNumId="99">
    <w:nsid w:val="3F7C2FF4"/>
    <w:multiLevelType w:val="hybridMultilevel"/>
    <w:lvl w:ilvl="0">
      <w:lvlJc w:val="left"/>
      <w:lvlText w:val="(%1)"/>
      <w:numFmt w:val="lowerLetter"/>
      <w:start w:val="6"/>
    </w:lvl>
  </w:abstractNum>
  <w:abstractNum w:abstractNumId="100">
    <w:nsid w:val="25413BEC"/>
    <w:multiLevelType w:val="hybridMultilevel"/>
    <w:lvl w:ilvl="0">
      <w:lvlJc w:val="left"/>
      <w:lvlText w:val="(%1)"/>
      <w:numFmt w:val="lowerLetter"/>
      <w:start w:val="12"/>
    </w:lvl>
  </w:abstractNum>
  <w:abstractNum w:abstractNumId="101">
    <w:nsid w:val="17180B0B"/>
    <w:multiLevelType w:val="hybridMultilevel"/>
    <w:lvl w:ilvl="0">
      <w:lvlJc w:val="left"/>
      <w:lvlText w:val="(%1)"/>
      <w:numFmt w:val="lowerLetter"/>
      <w:start w:val="20"/>
    </w:lvl>
  </w:abstractNum>
  <w:abstractNum w:abstractNumId="102">
    <w:nsid w:val="579328B9"/>
    <w:multiLevelType w:val="hybridMultilevel"/>
    <w:lvl w:ilvl="0">
      <w:lvlJc w:val="left"/>
      <w:lvlText w:val="%1"/>
      <w:numFmt w:val="lowerRoman"/>
      <w:start w:val="1"/>
    </w:lvl>
    <w:lvl w:ilvl="1">
      <w:lvlJc w:val="left"/>
      <w:lvlText w:val="(%2)"/>
      <w:numFmt w:val="lowerLetter"/>
      <w:start w:val="26"/>
    </w:lvl>
  </w:abstractNum>
  <w:abstractNum w:abstractNumId="103">
    <w:nsid w:val="5D205E20"/>
    <w:multiLevelType w:val="hybridMultilevel"/>
    <w:lvl w:ilvl="0">
      <w:lvlJc w:val="left"/>
      <w:lvlText w:val="(%1)"/>
      <w:numFmt w:val="lowerRoman"/>
      <w:start w:val="1"/>
    </w:lvl>
    <w:lvl w:ilvl="1">
      <w:lvlJc w:val="left"/>
      <w:lvlText w:val="(%2)"/>
      <w:numFmt w:val="lowerLetter"/>
      <w:start w:val="27"/>
    </w:lvl>
  </w:abstractNum>
  <w:abstractNum w:abstractNumId="104">
    <w:nsid w:val="11CCA8BA"/>
    <w:multiLevelType w:val="hybridMultilevel"/>
    <w:lvl w:ilvl="0">
      <w:lvlJc w:val="left"/>
      <w:lvlText w:val="%1"/>
      <w:numFmt w:val="upperLetter"/>
      <w:start w:val="1"/>
    </w:lvl>
    <w:lvl w:ilvl="1">
      <w:lvlJc w:val="left"/>
      <w:lvlText w:val="(%2)"/>
      <w:numFmt w:val="lowerLetter"/>
      <w:start w:val="31"/>
    </w:lvl>
  </w:abstractNum>
  <w:abstractNum w:abstractNumId="105">
    <w:nsid w:val="4D32AB86"/>
    <w:multiLevelType w:val="hybridMultilevel"/>
    <w:lvl w:ilvl="0">
      <w:lvlJc w:val="left"/>
      <w:lvlText w:val="(%1)"/>
      <w:numFmt w:val="upperLetter"/>
      <w:start w:val="2"/>
    </w:lvl>
    <w:lvl w:ilvl="1">
      <w:lvlJc w:val="left"/>
      <w:lvlText w:val="(%2)"/>
      <w:numFmt w:val="lowerLetter"/>
      <w:start w:val="33"/>
    </w:lvl>
  </w:abstractNum>
  <w:abstractNum w:abstractNumId="106">
    <w:nsid w:val="3F07ACC3"/>
    <w:multiLevelType w:val="hybridMultilevel"/>
    <w:lvl w:ilvl="0">
      <w:lvlJc w:val="left"/>
      <w:lvlText w:val="%1."/>
      <w:numFmt w:val="decimal"/>
      <w:start w:val="3"/>
    </w:lvl>
  </w:abstractNum>
  <w:abstractNum w:abstractNumId="107">
    <w:nsid w:val="6B47F63E"/>
    <w:multiLevelType w:val="hybridMultilevel"/>
    <w:lvl w:ilvl="0">
      <w:lvlJc w:val="left"/>
      <w:lvlText w:val="%1."/>
      <w:numFmt w:val="decimal"/>
      <w:start w:val="4"/>
    </w:lvl>
    <w:lvl w:ilvl="1">
      <w:lvlJc w:val="left"/>
      <w:lvlText w:val="(%2)"/>
      <w:numFmt w:val="lowerLetter"/>
      <w:start w:val="1"/>
    </w:lvl>
  </w:abstractNum>
  <w:abstractNum w:abstractNumId="108">
    <w:nsid w:val="5CB44A05"/>
    <w:multiLevelType w:val="hybridMultilevel"/>
    <w:lvl w:ilvl="0">
      <w:lvlJc w:val="left"/>
      <w:lvlText w:val="(%1)"/>
      <w:numFmt w:val="lowerLetter"/>
      <w:start w:val="2"/>
    </w:lvl>
  </w:abstractNum>
  <w:abstractNum w:abstractNumId="109">
    <w:nsid w:val="16CF80F1"/>
    <w:multiLevelType w:val="hybridMultilevel"/>
    <w:lvl w:ilvl="0">
      <w:lvlJc w:val="left"/>
      <w:lvlText w:val="(%1)"/>
      <w:numFmt w:val="lowerLetter"/>
      <w:start w:val="6"/>
    </w:lvl>
  </w:abstractNum>
  <w:abstractNum w:abstractNumId="110">
    <w:nsid w:val="1C695DEC"/>
    <w:multiLevelType w:val="hybridMultilevel"/>
    <w:lvl w:ilvl="0">
      <w:lvlJc w:val="left"/>
      <w:lvlText w:val="%1"/>
      <w:numFmt w:val="decimal"/>
      <w:start w:val="1"/>
    </w:lvl>
    <w:lvl w:ilvl="1">
      <w:lvlJc w:val="left"/>
      <w:lvlText w:val="(%2)"/>
      <w:numFmt w:val="lowerLetter"/>
      <w:start w:val="12"/>
    </w:lvl>
  </w:abstractNum>
  <w:abstractNum w:abstractNumId="111">
    <w:nsid w:val="3FCFAED9"/>
    <w:multiLevelType w:val="hybridMultilevel"/>
    <w:lvl w:ilvl="0">
      <w:lvlJc w:val="left"/>
      <w:lvlText w:val="%1."/>
      <w:numFmt w:val="decimal"/>
      <w:start w:val="6"/>
    </w:lvl>
    <w:lvl w:ilvl="1">
      <w:lvlJc w:val="left"/>
      <w:lvlText w:val="(%2)"/>
      <w:numFmt w:val="lowerLetter"/>
      <w:start w:val="1"/>
    </w:lvl>
  </w:abstractNum>
  <w:abstractNum w:abstractNumId="112">
    <w:nsid w:val="F856867"/>
    <w:multiLevelType w:val="hybridMultilevel"/>
    <w:lvl w:ilvl="0">
      <w:lvlJc w:val="left"/>
      <w:lvlText w:val="%1"/>
      <w:numFmt w:val="lowerLetter"/>
      <w:start w:val="1"/>
    </w:lvl>
    <w:lvl w:ilvl="1">
      <w:lvlJc w:val="left"/>
      <w:lvlText w:val="(%2)"/>
      <w:numFmt w:val="lowerLetter"/>
      <w:start w:val="3"/>
    </w:lvl>
  </w:abstractNum>
  <w:abstractNum w:abstractNumId="113">
    <w:nsid w:val="11B1CC33"/>
    <w:multiLevelType w:val="hybridMultilevel"/>
    <w:lvl w:ilvl="0">
      <w:lvlJc w:val="left"/>
      <w:lvlText w:val="(%1)"/>
      <w:numFmt w:val="lowerLetter"/>
      <w:start w:val="35"/>
    </w:lvl>
    <w:lvl w:ilvl="1">
      <w:lvlJc w:val="left"/>
      <w:lvlText w:val="(%2)"/>
      <w:numFmt w:val="lowerLetter"/>
      <w:start w:val="4"/>
    </w:lvl>
  </w:abstractNum>
  <w:abstractNum w:abstractNumId="114">
    <w:nsid w:val="2E22FBB7"/>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2"/>
    </w:lvl>
  </w:abstractNum>
  <w:abstractNum w:abstractNumId="115">
    <w:nsid w:val="2993469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3"/>
    </w:lvl>
  </w:abstractNum>
  <w:abstractNum w:abstractNumId="116">
    <w:nsid w:val="77485850"/>
    <w:multiLevelType w:val="hybridMultilevel"/>
    <w:lvl w:ilvl="0">
      <w:lvlJc w:val="left"/>
      <w:lvlText w:val="%1"/>
      <w:numFmt w:val="lowerLetter"/>
      <w:start w:val="1"/>
    </w:lvl>
    <w:lvl w:ilvl="1">
      <w:lvlJc w:val="left"/>
      <w:lvlText w:val="(%2)"/>
      <w:numFmt w:val="lowerLetter"/>
      <w:start w:val="4"/>
    </w:lvl>
  </w:abstractNum>
  <w:abstractNum w:abstractNumId="117">
    <w:nsid w:val="744939A3"/>
    <w:multiLevelType w:val="hybridMultilevel"/>
    <w:lvl w:ilvl="0">
      <w:lvlJc w:val="left"/>
      <w:lvlText w:val="(%1)"/>
      <w:numFmt w:val="lowerLetter"/>
      <w:start w:val="3"/>
    </w:lvl>
    <w:lvl w:ilvl="1">
      <w:lvlJc w:val="left"/>
      <w:lvlText w:val="%2"/>
      <w:numFmt w:val="lowerLetter"/>
      <w:start w:val="1"/>
    </w:lvl>
  </w:abstractNum>
  <w:abstractNum w:abstractNumId="118">
    <w:nsid w:val="4FA0D2E3"/>
    <w:multiLevelType w:val="hybridMultilevel"/>
    <w:lvl w:ilvl="0">
      <w:lvlJc w:val="left"/>
      <w:lvlText w:val="(%1)"/>
      <w:numFmt w:val="lowerLetter"/>
      <w:start w:val="9"/>
    </w:lvl>
    <w:lvl w:ilvl="1">
      <w:lvlJc w:val="left"/>
      <w:lvlText w:val="(%2)"/>
      <w:numFmt w:val="lowerLetter"/>
      <w:start w:val="5"/>
    </w:lvl>
  </w:abstractNum>
  <w:abstractNum w:abstractNumId="119">
    <w:nsid w:val="6B1D2C14"/>
    <w:multiLevelType w:val="hybridMultilevel"/>
    <w:lvl w:ilvl="0">
      <w:lvlJc w:val="left"/>
      <w:lvlText w:val="(%1)"/>
      <w:numFmt w:val="lowerLetter"/>
      <w:start w:val="3"/>
    </w:lvl>
    <w:lvl w:ilvl="1">
      <w:lvlJc w:val="left"/>
      <w:lvlText w:val="%2"/>
      <w:numFmt w:val="lowerLetter"/>
      <w:start w:val="1"/>
    </w:lvl>
  </w:abstractNum>
  <w:abstractNum w:abstractNumId="120">
    <w:nsid w:val="68B867D3"/>
    <w:multiLevelType w:val="hybridMultilevel"/>
    <w:lvl w:ilvl="0">
      <w:lvlJc w:val="left"/>
      <w:lvlText w:val="%1."/>
      <w:numFmt w:val="decimal"/>
      <w:start w:val="9"/>
    </w:lvl>
  </w:abstractNum>
  <w:abstractNum w:abstractNumId="121">
    <w:nsid w:val="3F7F5DD9"/>
    <w:multiLevelType w:val="hybridMultilevel"/>
    <w:lvl w:ilvl="0">
      <w:lvlJc w:val="left"/>
      <w:lvlText w:val="%1."/>
      <w:numFmt w:val="decimal"/>
      <w:start w:val="12"/>
    </w:lvl>
  </w:abstractNum>
  <w:abstractNum w:abstractNumId="122">
    <w:nsid w:val="2AE05A34"/>
    <w:multiLevelType w:val="hybridMultilevel"/>
    <w:lvl w:ilvl="0">
      <w:lvlJc w:val="left"/>
      <w:lvlText w:val="(%1)"/>
      <w:numFmt w:val="lowerLetter"/>
      <w:start w:val="1"/>
    </w:lvl>
  </w:abstractNum>
  <w:abstractNum w:abstractNumId="123">
    <w:nsid w:val="32794FF7"/>
    <w:multiLevelType w:val="hybridMultilevel"/>
    <w:lvl w:ilvl="0">
      <w:lvlJc w:val="left"/>
      <w:lvlText w:val="%1."/>
      <w:numFmt w:val="decimal"/>
      <w:start w:val="16"/>
    </w:lvl>
  </w:abstractNum>
  <w:abstractNum w:abstractNumId="124">
    <w:nsid w:val="5454945E"/>
    <w:multiLevelType w:val="hybridMultilevel"/>
    <w:lvl w:ilvl="0">
      <w:lvlJc w:val="left"/>
      <w:lvlText w:val="(%1)"/>
      <w:numFmt w:val="lowerLetter"/>
      <w:start w:val="4"/>
    </w:lvl>
  </w:abstractNum>
  <w:abstractNum w:abstractNumId="125">
    <w:nsid w:val="4DEFDFA0"/>
    <w:multiLevelType w:val="hybridMultilevel"/>
    <w:lvl w:ilvl="0">
      <w:lvlJc w:val="left"/>
      <w:lvlText w:val="(%1)"/>
      <w:numFmt w:val="lowerLetter"/>
      <w:start w:val="1"/>
    </w:lvl>
  </w:abstractNum>
  <w:abstractNum w:abstractNumId="126">
    <w:nsid w:val="2123D5F2"/>
    <w:multiLevelType w:val="hybridMultilevel"/>
    <w:lvl w:ilvl="0">
      <w:lvlJc w:val="left"/>
      <w:lvlText w:val="%1."/>
      <w:numFmt w:val="decimal"/>
      <w:start w:val="1"/>
    </w:lvl>
  </w:abstractNum>
  <w:abstractNum w:abstractNumId="127">
    <w:nsid w:val="135B8110"/>
    <w:multiLevelType w:val="hybridMultilevel"/>
    <w:lvl w:ilvl="0">
      <w:lvlJc w:val="left"/>
      <w:lvlText w:val="%1."/>
      <w:numFmt w:val="decimal"/>
      <w:start w:val="1"/>
    </w:lvl>
  </w:abstractNum>
  <w:abstractNum w:abstractNumId="128">
    <w:nsid w:val="94927A8"/>
    <w:multiLevelType w:val="hybridMultilevel"/>
    <w:lvl w:ilvl="0">
      <w:lvlJc w:val="left"/>
      <w:lvlText w:val="%1."/>
      <w:numFmt w:val="decimal"/>
      <w:start w:val="1"/>
    </w:lvl>
  </w:abstractNum>
  <w:abstractNum w:abstractNumId="129">
    <w:nsid w:val="DCDF8F6"/>
    <w:multiLevelType w:val="hybridMultilevel"/>
    <w:lvl w:ilvl="0">
      <w:lvlJc w:val="left"/>
      <w:lvlText w:val="%1."/>
      <w:numFmt w:val="decimal"/>
      <w:start w:val="1"/>
    </w:lvl>
  </w:abstractNum>
  <w:abstractNum w:abstractNumId="130">
    <w:nsid w:val="52D7B105"/>
    <w:multiLevelType w:val="hybridMultilevel"/>
    <w:lvl w:ilvl="0">
      <w:lvlJc w:val="left"/>
      <w:lvlText w:val="%1."/>
      <w:numFmt w:val="decimal"/>
      <w:start w:val="5"/>
    </w:lvl>
  </w:abstractNum>
  <w:abstractNum w:abstractNumId="131">
    <w:nsid w:val="2E8A6394"/>
    <w:multiLevelType w:val="hybridMultilevel"/>
    <w:lvl w:ilvl="0">
      <w:lvlJc w:val="left"/>
      <w:lvlText w:val="%1."/>
      <w:numFmt w:val="decimal"/>
      <w:start w:val="9"/>
    </w:lvl>
  </w:abstractNum>
  <w:abstractNum w:abstractNumId="132">
    <w:nsid w:val="24E60401"/>
    <w:multiLevelType w:val="hybridMultilevel"/>
    <w:lvl w:ilvl="0">
      <w:lvlJc w:val="left"/>
      <w:lvlText w:val="%1."/>
      <w:numFmt w:val="decimal"/>
      <w:start w:val="2"/>
    </w:lvl>
  </w:abstractNum>
  <w:abstractNum w:abstractNumId="133">
    <w:nsid w:val="2A6AD9BE"/>
    <w:multiLevelType w:val="hybridMultilevel"/>
    <w:lvl w:ilvl="0">
      <w:lvlJc w:val="left"/>
      <w:lvlText w:val="%1."/>
      <w:numFmt w:val="decimal"/>
      <w:start w:val="1"/>
    </w:lvl>
  </w:abstractNum>
  <w:abstractNum w:abstractNumId="134">
    <w:nsid w:val="BAAC1B4"/>
    <w:multiLevelType w:val="hybridMultilevel"/>
    <w:lvl w:ilvl="0">
      <w:lvlJc w:val="left"/>
      <w:lvlText w:val="%1."/>
      <w:numFmt w:val="decimal"/>
      <w:start w:val="2"/>
    </w:lvl>
  </w:abstractNum>
  <w:abstractNum w:abstractNumId="135">
    <w:nsid w:val="36B2ACBC"/>
    <w:multiLevelType w:val="hybridMultilevel"/>
    <w:lvl w:ilvl="0">
      <w:lvlJc w:val="left"/>
      <w:lvlText w:val="%1."/>
      <w:numFmt w:val="decimal"/>
      <w:start w:val="1"/>
    </w:lvl>
  </w:abstractNum>
  <w:abstractNum w:abstractNumId="136">
    <w:nsid w:val="779D8544"/>
    <w:multiLevelType w:val="hybridMultilevel"/>
    <w:lvl w:ilvl="0">
      <w:lvlJc w:val="left"/>
      <w:lvlText w:val="%1."/>
      <w:numFmt w:val="decimal"/>
      <w:start w:val="3"/>
    </w:lvl>
  </w:abstractNum>
  <w:abstractNum w:abstractNumId="137">
    <w:nsid w:val="4AB26E78"/>
    <w:multiLevelType w:val="hybridMultilevel"/>
    <w:lvl w:ilvl="0">
      <w:lvlJc w:val="left"/>
      <w:lvlText w:val="%1."/>
      <w:numFmt w:val="decimal"/>
      <w:start w:val="4"/>
    </w:lvl>
  </w:abstractNum>
  <w:abstractNum w:abstractNumId="138">
    <w:nsid w:val="21FAA2FA"/>
    <w:multiLevelType w:val="hybridMultilevel"/>
    <w:lvl w:ilvl="0">
      <w:lvlJc w:val="left"/>
      <w:lvlText w:val="%1."/>
      <w:numFmt w:val="decimal"/>
      <w:start w:val="5"/>
    </w:lvl>
  </w:abstractNum>
  <w:abstractNum w:abstractNumId="139">
    <w:nsid w:val="5451CF49"/>
    <w:multiLevelType w:val="hybridMultilevel"/>
    <w:lvl w:ilvl="0">
      <w:lvlJc w:val="left"/>
      <w:lvlText w:val="(%1)"/>
      <w:numFmt w:val="decimal"/>
      <w:start w:val="12"/>
    </w:lvl>
  </w:abstractNum>
  <w:abstractNum w:abstractNumId="140">
    <w:nsid w:val="6181EF69"/>
    <w:multiLevelType w:val="hybridMultilevel"/>
    <w:lvl w:ilvl="0">
      <w:lvlJc w:val="left"/>
      <w:lvlText w:val="(%1)"/>
      <w:numFmt w:val="lowerLetter"/>
      <w:start w:val="1"/>
    </w:lvl>
    <w:lvl w:ilvl="1">
      <w:lvlJc w:val="left"/>
      <w:lvlText w:val="(%2)"/>
      <w:numFmt w:val="lowerRoman"/>
      <w:start w:val="1"/>
    </w:lvl>
  </w:abstractNum>
  <w:abstractNum w:abstractNumId="141">
    <w:nsid w:val="3E6400E6"/>
    <w:multiLevelType w:val="hybridMultilevel"/>
    <w:lvl w:ilvl="0">
      <w:lvlJc w:val="left"/>
      <w:lvlText w:val="%1"/>
      <w:numFmt w:val="decimal"/>
      <w:start w:val="1"/>
    </w:lvl>
    <w:lvl w:ilvl="1">
      <w:lvlJc w:val="left"/>
      <w:lvlText w:val="(%2)"/>
      <w:numFmt w:val="lowerLetter"/>
      <w:start w:val="1"/>
    </w:lvl>
  </w:abstractNum>
  <w:abstractNum w:abstractNumId="142">
    <w:nsid w:val="14217E23"/>
    <w:multiLevelType w:val="hybridMultilevel"/>
    <w:lvl w:ilvl="0">
      <w:lvlJc w:val="left"/>
      <w:lvlText w:val="%1."/>
      <w:numFmt w:val="decimal"/>
      <w:start w:val="8"/>
    </w:lvl>
    <w:lvl w:ilvl="1">
      <w:lvlJc w:val="left"/>
      <w:lvlText w:val="%2"/>
      <w:numFmt w:val="lowerLetter"/>
      <w:start w:val="1"/>
    </w:lvl>
  </w:abstractNum>
  <w:abstractNum w:abstractNumId="143">
    <w:nsid w:val="710757D0"/>
    <w:multiLevelType w:val="hybridMultilevel"/>
    <w:lvl w:ilvl="0">
      <w:lvlJc w:val="left"/>
      <w:lvlText w:val="%1."/>
      <w:numFmt w:val="decimal"/>
      <w:start w:val="9"/>
    </w:lvl>
  </w:abstractNum>
  <w:abstractNum w:abstractNumId="144">
    <w:nsid w:val="5015CD1A"/>
    <w:multiLevelType w:val="hybridMultilevel"/>
    <w:lvl w:ilvl="0">
      <w:lvlJc w:val="left"/>
      <w:lvlText w:val="%1."/>
      <w:numFmt w:val="decimal"/>
      <w:start w:val="10"/>
    </w:lvl>
  </w:abstractNum>
  <w:abstractNum w:abstractNumId="145">
    <w:nsid w:val="424479DA"/>
    <w:multiLevelType w:val="hybridMultilevel"/>
    <w:lvl w:ilvl="0">
      <w:lvlJc w:val="left"/>
      <w:lvlText w:val="%1."/>
      <w:numFmt w:val="decimal"/>
      <w:start w:val="12"/>
    </w:lvl>
  </w:abstractNum>
  <w:abstractNum w:abstractNumId="146">
    <w:nsid w:val="1A9A9E69"/>
    <w:multiLevelType w:val="hybridMultilevel"/>
    <w:lvl w:ilvl="0">
      <w:lvlJc w:val="left"/>
      <w:lvlText w:val="%1."/>
      <w:numFmt w:val="decimal"/>
      <w:start w:val="14"/>
    </w:lvl>
  </w:abstractNum>
  <w:abstractNum w:abstractNumId="147">
    <w:nsid w:val="475E256A"/>
    <w:multiLevelType w:val="hybridMultilevel"/>
    <w:lvl w:ilvl="0">
      <w:lvlJc w:val="left"/>
      <w:lvlText w:val="%1."/>
      <w:numFmt w:val="decimal"/>
      <w:start w:val="15"/>
    </w:lvl>
  </w:abstractNum>
  <w:abstractNum w:abstractNumId="148">
    <w:nsid w:val="368DB37E"/>
    <w:multiLevelType w:val="hybridMultilevel"/>
    <w:lvl w:ilvl="0">
      <w:lvlJc w:val="left"/>
      <w:lvlText w:val="%1."/>
      <w:numFmt w:val="decimal"/>
      <w:start w:val="1"/>
    </w:lvl>
  </w:abstractNum>
  <w:abstractNum w:abstractNumId="149">
    <w:nsid w:val="6A3B714C"/>
    <w:multiLevelType w:val="hybridMultilevel"/>
    <w:lvl w:ilvl="0">
      <w:lvlJc w:val="left"/>
      <w:lvlText w:val="%1."/>
      <w:numFmt w:val="decimal"/>
      <w:start w:val="3"/>
    </w:lvl>
  </w:abstractNum>
  <w:abstractNum w:abstractNumId="150">
    <w:nsid w:val="327B517E"/>
    <w:multiLevelType w:val="hybridMultilevel"/>
    <w:lvl w:ilvl="0">
      <w:lvlJc w:val="left"/>
      <w:lvlText w:val="%1."/>
      <w:numFmt w:val="decimal"/>
      <w:start w:val="4"/>
    </w:lvl>
  </w:abstractNum>
  <w:abstractNum w:abstractNumId="151">
    <w:nsid w:val="1F461B51"/>
    <w:multiLevelType w:val="hybridMultilevel"/>
    <w:lvl w:ilvl="0">
      <w:lvlJc w:val="left"/>
      <w:lvlText w:val="(%1)"/>
      <w:numFmt w:val="lowerLetter"/>
      <w:start w:val="2"/>
    </w:lvl>
  </w:abstractNum>
  <w:abstractNum w:abstractNumId="152">
    <w:nsid w:val="29BACF25"/>
    <w:multiLevelType w:val="hybridMultilevel"/>
    <w:lvl w:ilvl="0">
      <w:lvlJc w:val="left"/>
      <w:lvlText w:val="%1."/>
      <w:numFmt w:val="decimal"/>
      <w:start w:val="5"/>
    </w:lvl>
  </w:abstractNum>
  <w:abstractNum w:abstractNumId="153">
    <w:nsid w:val="5D5BABB3"/>
    <w:multiLevelType w:val="hybridMultilevel"/>
    <w:lvl w:ilvl="0">
      <w:lvlJc w:val="left"/>
      <w:lvlText w:val="(%1)"/>
      <w:numFmt w:val="decimal"/>
      <w:start w:val="12"/>
    </w:lvl>
  </w:abstractNum>
  <w:abstractNum w:abstractNumId="154">
    <w:nsid w:val="51BF6B48"/>
    <w:multiLevelType w:val="hybridMultilevel"/>
    <w:lvl w:ilvl="0">
      <w:lvlJc w:val="left"/>
      <w:lvlText w:val="(%1)"/>
      <w:numFmt w:val="lowerLetter"/>
      <w:start w:val="1"/>
    </w:lvl>
    <w:lvl w:ilvl="1">
      <w:lvlJc w:val="left"/>
      <w:lvlText w:val="(%2)"/>
      <w:numFmt w:val="lowerLetter"/>
      <w:start w:val="9"/>
    </w:lvl>
  </w:abstractNum>
  <w:abstractNum w:abstractNumId="155">
    <w:nsid w:val="7E0F6384"/>
    <w:multiLevelType w:val="hybridMultilevel"/>
    <w:lvl w:ilvl="0">
      <w:lvlJc w:val="left"/>
      <w:lvlText w:val="(%1)"/>
      <w:numFmt w:val="lowerRoman"/>
      <w:start w:val="2"/>
    </w:lvl>
  </w:abstractNum>
  <w:abstractNum w:abstractNumId="156">
    <w:nsid w:val="2B4B8B53"/>
    <w:multiLevelType w:val="hybridMultilevel"/>
    <w:lvl w:ilvl="0">
      <w:lvlJc w:val="left"/>
      <w:lvlText w:val="(%1)"/>
      <w:numFmt w:val="lowerLetter"/>
      <w:start w:val="1"/>
    </w:lvl>
  </w:abstractNum>
  <w:abstractNum w:abstractNumId="157">
    <w:nsid w:val="72E3413A"/>
    <w:multiLevelType w:val="hybridMultilevel"/>
    <w:lvl w:ilvl="0">
      <w:lvlJc w:val="left"/>
      <w:lvlText w:val="%1."/>
      <w:numFmt w:val="decimal"/>
      <w:start w:val="8"/>
    </w:lvl>
  </w:abstractNum>
  <w:abstractNum w:abstractNumId="158">
    <w:nsid w:val="116AE494"/>
    <w:multiLevelType w:val="hybridMultilevel"/>
    <w:lvl w:ilvl="0">
      <w:lvlJc w:val="left"/>
      <w:lvlText w:val="%1."/>
      <w:numFmt w:val="decimal"/>
      <w:start w:val="10"/>
    </w:lvl>
  </w:abstractNum>
  <w:abstractNum w:abstractNumId="159">
    <w:nsid w:val="3494B2FB"/>
    <w:multiLevelType w:val="hybridMultilevel"/>
    <w:lvl w:ilvl="0">
      <w:lvlJc w:val="left"/>
      <w:lvlText w:val="%1."/>
      <w:numFmt w:val="decimal"/>
      <w:start w:val="14"/>
    </w:lvl>
  </w:abstractNum>
  <w:abstractNum w:abstractNumId="160">
    <w:nsid w:val="B13A31"/>
    <w:multiLevelType w:val="hybridMultilevel"/>
    <w:lvl w:ilvl="0">
      <w:lvlJc w:val="left"/>
      <w:lvlText w:val="%1."/>
      <w:numFmt w:val="decimal"/>
      <w:start w:val="15"/>
    </w:lvl>
  </w:abstractNum>
  <w:abstractNum w:abstractNumId="161">
    <w:nsid w:val="64429599"/>
    <w:multiLevelType w:val="hybridMultilevel"/>
    <w:lvl w:ilvl="0">
      <w:lvlJc w:val="left"/>
      <w:lvlText w:val="%1."/>
      <w:numFmt w:val="decimal"/>
      <w:start w:val="1"/>
    </w:lvl>
  </w:abstractNum>
  <w:abstractNum w:abstractNumId="162">
    <w:nsid w:val="631F1690"/>
    <w:multiLevelType w:val="hybridMultilevel"/>
    <w:lvl w:ilvl="0">
      <w:lvlJc w:val="left"/>
      <w:lvlText w:val="%1."/>
      <w:numFmt w:val="decimal"/>
      <w:start w:val="3"/>
    </w:lvl>
  </w:abstractNum>
  <w:abstractNum w:abstractNumId="163">
    <w:nsid w:val="25973E32"/>
    <w:multiLevelType w:val="hybridMultilevel"/>
    <w:lvl w:ilvl="0">
      <w:lvlJc w:val="left"/>
      <w:lvlText w:val="%1."/>
      <w:numFmt w:val="decimal"/>
      <w:start w:val="4"/>
    </w:lvl>
  </w:abstractNum>
  <w:abstractNum w:abstractNumId="164">
    <w:nsid w:val="EAD6F57"/>
    <w:multiLevelType w:val="hybridMultilevel"/>
    <w:lvl w:ilvl="0">
      <w:lvlJc w:val="left"/>
      <w:lvlText w:val="%1."/>
      <w:numFmt w:val="decimal"/>
      <w:start w:val="5"/>
    </w:lvl>
  </w:abstractNum>
  <w:abstractNum w:abstractNumId="165">
    <w:nsid w:val="6EC9D844"/>
    <w:multiLevelType w:val="hybridMultilevel"/>
    <w:lvl w:ilvl="0">
      <w:lvlJc w:val="left"/>
      <w:lvlText w:val="(%1)"/>
      <w:numFmt w:val="lowerLetter"/>
      <w:start w:val="1"/>
    </w:lvl>
  </w:abstractNum>
  <w:abstractNum w:abstractNumId="166">
    <w:nsid w:val="5C49EAEE"/>
    <w:multiLevelType w:val="hybridMultilevel"/>
    <w:lvl w:ilvl="0">
      <w:lvlJc w:val="left"/>
      <w:lvlText w:val="(%1)"/>
      <w:numFmt w:val="lowerLetter"/>
      <w:start w:val="1"/>
    </w:lvl>
    <w:lvl w:ilvl="1">
      <w:lvlJc w:val="left"/>
      <w:lvlText w:val="(%2)"/>
      <w:numFmt w:val="lowerRoman"/>
      <w:start w:val="1"/>
    </w:lvl>
  </w:abstractNum>
  <w:abstractNum w:abstractNumId="167">
    <w:nsid w:val="64AF49B"/>
    <w:multiLevelType w:val="hybridMultilevel"/>
    <w:lvl w:ilvl="0">
      <w:lvlJc w:val="left"/>
      <w:lvlText w:val="%1"/>
      <w:numFmt w:val="decimal"/>
      <w:start w:val="1"/>
    </w:lvl>
    <w:lvl w:ilvl="1">
      <w:lvlJc w:val="left"/>
      <w:lvlText w:val="(%2)"/>
      <w:numFmt w:val="lowerLetter"/>
      <w:start w:val="1"/>
    </w:lvl>
  </w:abstractNum>
  <w:abstractNum w:abstractNumId="168">
    <w:nsid w:val="397C46BC"/>
    <w:multiLevelType w:val="hybridMultilevel"/>
    <w:lvl w:ilvl="0">
      <w:lvlJc w:val="left"/>
      <w:lvlText w:val="%1."/>
      <w:numFmt w:val="decimal"/>
      <w:start w:val="8"/>
    </w:lvl>
    <w:lvl w:ilvl="1">
      <w:lvlJc w:val="left"/>
      <w:lvlText w:val="%2"/>
      <w:numFmt w:val="lowerLetter"/>
      <w:start w:val="1"/>
    </w:lvl>
  </w:abstractNum>
  <w:abstractNum w:abstractNumId="169">
    <w:nsid w:val="7E448DE9"/>
    <w:multiLevelType w:val="hybridMultilevel"/>
    <w:lvl w:ilvl="0">
      <w:lvlJc w:val="left"/>
      <w:lvlText w:val="%1."/>
      <w:numFmt w:val="decimal"/>
      <w:start w:val="9"/>
    </w:lvl>
  </w:abstractNum>
  <w:abstractNum w:abstractNumId="170">
    <w:nsid w:val="5A9CC3E5"/>
    <w:multiLevelType w:val="hybridMultilevel"/>
    <w:lvl w:ilvl="0">
      <w:lvlJc w:val="left"/>
      <w:lvlText w:val="%1."/>
      <w:numFmt w:val="decimal"/>
      <w:start w:val="10"/>
    </w:lvl>
  </w:abstractNum>
  <w:abstractNum w:abstractNumId="171">
    <w:nsid w:val="1AFE3625"/>
    <w:multiLevelType w:val="hybridMultilevel"/>
    <w:lvl w:ilvl="0">
      <w:lvlJc w:val="left"/>
      <w:lvlText w:val="%1."/>
      <w:numFmt w:val="decimal"/>
      <w:start w:val="12"/>
    </w:lvl>
  </w:abstractNum>
  <w:abstractNum w:abstractNumId="172">
    <w:nsid w:val="3CA88ECF"/>
    <w:multiLevelType w:val="hybridMultilevel"/>
    <w:lvl w:ilvl="0">
      <w:lvlJc w:val="left"/>
      <w:lvlText w:val="%1."/>
      <w:numFmt w:val="decimal"/>
      <w:start w:val="14"/>
    </w:lvl>
  </w:abstractNum>
  <w:abstractNum w:abstractNumId="173">
    <w:nsid w:val="6EBE4208"/>
    <w:multiLevelType w:val="hybridMultilevel"/>
    <w:lvl w:ilvl="0">
      <w:lvlJc w:val="left"/>
      <w:lvlText w:val="%1."/>
      <w:numFmt w:val="decimal"/>
      <w:start w:val="15"/>
    </w:lvl>
  </w:abstractNum>
  <w:abstractNum w:abstractNumId="174">
    <w:nsid w:val="C058DF5"/>
    <w:multiLevelType w:val="hybridMultilevel"/>
    <w:lvl w:ilvl="0">
      <w:lvlJc w:val="left"/>
      <w:lvlText w:val="%1."/>
      <w:numFmt w:val="decimal"/>
      <w:start w:val="1"/>
    </w:lvl>
  </w:abstractNum>
  <w:abstractNum w:abstractNumId="175">
    <w:nsid w:val="CBE5BE9"/>
    <w:multiLevelType w:val="hybridMultilevel"/>
    <w:lvl w:ilvl="0">
      <w:lvlJc w:val="left"/>
      <w:lvlText w:val="%1."/>
      <w:numFmt w:val="decimal"/>
      <w:start w:val="2"/>
    </w:lvl>
  </w:abstractNum>
  <w:abstractNum w:abstractNumId="176">
    <w:nsid w:val="3102BBE2"/>
    <w:multiLevelType w:val="hybridMultilevel"/>
    <w:lvl w:ilvl="0">
      <w:lvlJc w:val="left"/>
      <w:lvlText w:val="%1."/>
      <w:numFmt w:val="decimal"/>
      <w:start w:val="3"/>
    </w:lvl>
  </w:abstractNum>
  <w:abstractNum w:abstractNumId="177">
    <w:nsid w:val="26A02C5E"/>
    <w:multiLevelType w:val="hybridMultilevel"/>
    <w:lvl w:ilvl="0">
      <w:lvlJc w:val="left"/>
      <w:lvlText w:val="%1."/>
      <w:numFmt w:val="decimal"/>
      <w:start w:val="4"/>
    </w:lvl>
  </w:abstractNum>
  <w:abstractNum w:abstractNumId="178">
    <w:nsid w:val="541C8153"/>
    <w:multiLevelType w:val="hybridMultilevel"/>
    <w:lvl w:ilvl="0">
      <w:lvlJc w:val="left"/>
      <w:lvlText w:val="%1."/>
      <w:numFmt w:val="decimal"/>
      <w:start w:val="5"/>
    </w:lvl>
  </w:abstractNum>
  <w:abstractNum w:abstractNumId="179">
    <w:nsid w:val="67906F60"/>
    <w:multiLevelType w:val="hybridMultilevel"/>
    <w:lvl w:ilvl="0">
      <w:lvlJc w:val="left"/>
      <w:lvlText w:val="%1."/>
      <w:numFmt w:val="decimal"/>
      <w:start w:val="6"/>
    </w:lvl>
  </w:abstractNum>
  <w:abstractNum w:abstractNumId="180">
    <w:nsid w:val="10DB9DAA"/>
    <w:multiLevelType w:val="hybridMultilevel"/>
    <w:lvl w:ilvl="0">
      <w:lvlJc w:val="left"/>
      <w:lvlText w:val="%1."/>
      <w:numFmt w:val="decimal"/>
      <w:start w:val="7"/>
    </w:lvl>
  </w:abstractNum>
  <w:abstractNum w:abstractNumId="181">
    <w:nsid w:val="697D2D2"/>
    <w:multiLevelType w:val="hybridMultilevel"/>
    <w:lvl w:ilvl="0">
      <w:lvlJc w:val="left"/>
      <w:lvlText w:val="%1."/>
      <w:numFmt w:val="decimal"/>
      <w:start w:val="8"/>
    </w:lvl>
  </w:abstractNum>
  <w:abstractNum w:abstractNumId="182">
    <w:nsid w:val="6D68AB2"/>
    <w:multiLevelType w:val="hybridMultilevel"/>
    <w:lvl w:ilvl="0">
      <w:lvlJc w:val="left"/>
      <w:lvlText w:val="%1."/>
      <w:numFmt w:val="decimal"/>
      <w:start w:val="9"/>
    </w:lvl>
  </w:abstractNum>
  <w:abstractNum w:abstractNumId="183">
    <w:nsid w:val="3A966CD0"/>
    <w:multiLevelType w:val="hybridMultilevel"/>
    <w:lvl w:ilvl="0">
      <w:lvlJc w:val="left"/>
      <w:lvlText w:val="%1."/>
      <w:numFmt w:val="decimal"/>
      <w:start w:val="10"/>
    </w:lvl>
  </w:abstractNum>
  <w:abstractNum w:abstractNumId="184">
    <w:nsid w:val="63F37E85"/>
    <w:multiLevelType w:val="hybridMultilevel"/>
    <w:lvl w:ilvl="0">
      <w:lvlJc w:val="left"/>
      <w:lvlText w:val="%1."/>
      <w:numFmt w:val="decimal"/>
      <w:start w:val="11"/>
    </w:lvl>
  </w:abstractNum>
  <w:abstractNum w:abstractNumId="185">
    <w:nsid w:val="5895F5FA"/>
    <w:multiLevelType w:val="hybridMultilevel"/>
    <w:lvl w:ilvl="0">
      <w:lvlJc w:val="left"/>
      <w:lvlText w:val="%1."/>
      <w:numFmt w:val="decimal"/>
      <w:start w:val="12"/>
    </w:lvl>
  </w:abstractNum>
  <w:abstractNum w:abstractNumId="186">
    <w:nsid w:val="38A5D054"/>
    <w:multiLevelType w:val="hybridMultilevel"/>
    <w:lvl w:ilvl="0">
      <w:lvlJc w:val="left"/>
      <w:lvlText w:val="%1."/>
      <w:numFmt w:val="decimal"/>
      <w:start w:val="13"/>
    </w:lvl>
  </w:abstractNum>
  <w:abstractNum w:abstractNumId="187">
    <w:nsid w:val="F3F09D8"/>
    <w:multiLevelType w:val="hybridMultilevel"/>
    <w:lvl w:ilvl="0">
      <w:lvlJc w:val="left"/>
      <w:lvlText w:val="%1."/>
      <w:numFmt w:val="decimal"/>
      <w:start w:val="14"/>
    </w:lvl>
  </w:abstractNum>
  <w:abstractNum w:abstractNumId="188">
    <w:nsid w:val="4B793735"/>
    <w:multiLevelType w:val="hybridMultilevel"/>
    <w:lvl w:ilvl="0">
      <w:lvlJc w:val="left"/>
      <w:lvlText w:val="%1."/>
      <w:numFmt w:val="decimal"/>
      <w:start w:val="15"/>
    </w:lvl>
  </w:abstractNum>
  <w:abstractNum w:abstractNumId="189">
    <w:nsid w:val="4A10B4E8"/>
    <w:multiLevelType w:val="hybridMultilevel"/>
    <w:lvl w:ilvl="0">
      <w:lvlJc w:val="left"/>
      <w:lvlText w:val="%1."/>
      <w:numFmt w:val="decimal"/>
      <w:start w:val="16"/>
    </w:lvl>
  </w:abstractNum>
  <w:abstractNum w:abstractNumId="190">
    <w:nsid w:val="43D3BCD4"/>
    <w:multiLevelType w:val="hybridMultilevel"/>
    <w:lvl w:ilvl="0">
      <w:lvlJc w:val="left"/>
      <w:lvlText w:val="%1."/>
      <w:numFmt w:val="decimal"/>
      <w:start w:val="17"/>
    </w:lvl>
  </w:abstractNum>
  <w:abstractNum w:abstractNumId="191">
    <w:nsid w:val="4C2A7166"/>
    <w:multiLevelType w:val="hybridMultilevel"/>
    <w:lvl w:ilvl="0">
      <w:lvlJc w:val="left"/>
      <w:lvlText w:val="%1."/>
      <w:numFmt w:val="decimal"/>
      <w:start w:val="18"/>
    </w:lvl>
  </w:abstractNum>
  <w:abstractNum w:abstractNumId="192">
    <w:nsid w:val="2E534A82"/>
    <w:multiLevelType w:val="hybridMultilevel"/>
    <w:lvl w:ilvl="0">
      <w:lvlJc w:val="left"/>
      <w:lvlText w:val="%1."/>
      <w:numFmt w:val="decimal"/>
      <w:start w:val="19"/>
    </w:lvl>
  </w:abstractNum>
  <w:abstractNum w:abstractNumId="193">
    <w:nsid w:val="26F2D364"/>
    <w:multiLevelType w:val="hybridMultilevel"/>
    <w:lvl w:ilvl="0">
      <w:lvlJc w:val="left"/>
      <w:lvlText w:val="%1."/>
      <w:numFmt w:val="decimal"/>
      <w:start w:val="20"/>
    </w:lvl>
  </w:abstractNum>
  <w:abstractNum w:abstractNumId="194">
    <w:nsid w:val="71C1AF98"/>
    <w:multiLevelType w:val="hybridMultilevel"/>
    <w:lvl w:ilvl="0">
      <w:lvlJc w:val="left"/>
      <w:lvlText w:val="%1."/>
      <w:numFmt w:val="decimal"/>
      <w:start w:val="21"/>
    </w:lvl>
  </w:abstractNum>
  <w:abstractNum w:abstractNumId="195">
    <w:nsid w:val="3D00B9D9"/>
    <w:multiLevelType w:val="hybridMultilevel"/>
    <w:lvl w:ilvl="0">
      <w:lvlJc w:val="left"/>
      <w:lvlText w:val="%1."/>
      <w:numFmt w:val="decimal"/>
      <w:start w:val="22"/>
    </w:lvl>
  </w:abstractNum>
  <w:abstractNum w:abstractNumId="196">
    <w:nsid w:val="15BCABA8"/>
    <w:multiLevelType w:val="hybridMultilevel"/>
    <w:lvl w:ilvl="0">
      <w:lvlJc w:val="left"/>
      <w:lvlText w:val="%1."/>
      <w:numFmt w:val="decimal"/>
      <w:start w:val="23"/>
    </w:lvl>
  </w:abstractNum>
  <w:abstractNum w:abstractNumId="197">
    <w:nsid w:val="4E0B9A87"/>
    <w:multiLevelType w:val="hybridMultilevel"/>
    <w:lvl w:ilvl="0">
      <w:lvlJc w:val="left"/>
      <w:lvlText w:val="%1."/>
      <w:numFmt w:val="decimal"/>
      <w:start w:val="24"/>
    </w:lvl>
  </w:abstractNum>
  <w:abstractNum w:abstractNumId="198">
    <w:nsid w:val="434BAE75"/>
    <w:multiLevelType w:val="hybridMultilevel"/>
    <w:lvl w:ilvl="0">
      <w:lvlJc w:val="left"/>
      <w:lvlText w:val="%1."/>
      <w:numFmt w:val="decimal"/>
      <w:start w:val="25"/>
    </w:lvl>
  </w:abstractNum>
  <w:abstractNum w:abstractNumId="199">
    <w:nsid w:val="4F38F265"/>
    <w:multiLevelType w:val="hybridMultilevel"/>
    <w:lvl w:ilvl="0">
      <w:lvlJc w:val="left"/>
      <w:lvlText w:val="%1."/>
      <w:numFmt w:val="decimal"/>
      <w:start w:val="26"/>
    </w:lvl>
  </w:abstractNum>
  <w:abstractNum w:abstractNumId="200">
    <w:nsid w:val="4C502870"/>
    <w:multiLevelType w:val="hybridMultilevel"/>
    <w:lvl w:ilvl="0">
      <w:lvlJc w:val="left"/>
      <w:lvlText w:val="%1."/>
      <w:numFmt w:val="decimal"/>
      <w:start w:val="27"/>
    </w:lvl>
  </w:abstractNum>
  <w:abstractNum w:abstractNumId="201">
    <w:nsid w:val="1DE8725A"/>
    <w:multiLevelType w:val="hybridMultilevel"/>
    <w:lvl w:ilvl="0">
      <w:lvlJc w:val="left"/>
      <w:lvlText w:val="%1."/>
      <w:numFmt w:val="decimal"/>
      <w:start w:val="28"/>
    </w:lvl>
  </w:abstractNum>
  <w:abstractNum w:abstractNumId="202">
    <w:nsid w:val="6A37288A"/>
    <w:multiLevelType w:val="hybridMultilevel"/>
    <w:lvl w:ilvl="0">
      <w:lvlJc w:val="left"/>
      <w:lvlText w:val="%1."/>
      <w:numFmt w:val="decimal"/>
      <w:start w:val="29"/>
    </w:lvl>
  </w:abstractNum>
  <w:abstractNum w:abstractNumId="203">
    <w:nsid w:val="8F8B73F"/>
    <w:multiLevelType w:val="hybridMultilevel"/>
    <w:lvl w:ilvl="0">
      <w:lvlJc w:val="left"/>
      <w:lvlText w:val="%1."/>
      <w:numFmt w:val="decimal"/>
      <w:start w:val="30"/>
    </w:lvl>
  </w:abstractNum>
  <w:abstractNum w:abstractNumId="204">
    <w:nsid w:val="CA6B462"/>
    <w:multiLevelType w:val="hybridMultilevel"/>
    <w:lvl w:ilvl="0">
      <w:lvlJc w:val="left"/>
      <w:lvlText w:val="%1."/>
      <w:numFmt w:val="decimal"/>
      <w:start w:val="31"/>
    </w:lvl>
  </w:abstractNum>
  <w:abstractNum w:abstractNumId="205">
    <w:nsid w:val="763CB680"/>
    <w:multiLevelType w:val="hybridMultilevel"/>
    <w:lvl w:ilvl="0">
      <w:lvlJc w:val="left"/>
      <w:lvlText w:val="%1."/>
      <w:numFmt w:val="decimal"/>
      <w:start w:val="32"/>
    </w:lvl>
  </w:abstractNum>
  <w:abstractNum w:abstractNumId="206">
    <w:nsid w:val="15B71329"/>
    <w:multiLevelType w:val="hybridMultilevel"/>
    <w:lvl w:ilvl="0">
      <w:lvlJc w:val="left"/>
      <w:lvlText w:val="%1."/>
      <w:numFmt w:val="decimal"/>
      <w:start w:val="33"/>
    </w:lvl>
  </w:abstractNum>
  <w:abstractNum w:abstractNumId="207">
    <w:nsid w:val="3DA97044"/>
    <w:multiLevelType w:val="hybridMultilevel"/>
    <w:lvl w:ilvl="0">
      <w:lvlJc w:val="left"/>
      <w:lvlText w:val="%1."/>
      <w:numFmt w:val="decimal"/>
      <w:start w:val="34"/>
    </w:lvl>
  </w:abstractNum>
  <w:abstractNum w:abstractNumId="208">
    <w:nsid w:val="1CDCE2DE"/>
    <w:multiLevelType w:val="hybridMultilevel"/>
    <w:lvl w:ilvl="0">
      <w:lvlJc w:val="left"/>
      <w:lvlText w:val="%1."/>
      <w:numFmt w:val="decimal"/>
      <w:start w:val="35"/>
    </w:lvl>
  </w:abstractNum>
  <w:abstractNum w:abstractNumId="209">
    <w:nsid w:val="69D3947C"/>
    <w:multiLevelType w:val="hybridMultilevel"/>
    <w:lvl w:ilvl="0">
      <w:lvlJc w:val="left"/>
      <w:lvlText w:val="%1."/>
      <w:numFmt w:val="decimal"/>
      <w:start w:val="36"/>
    </w:lvl>
  </w:abstractNum>
  <w:abstractNum w:abstractNumId="210">
    <w:nsid w:val="2539DFA5"/>
    <w:multiLevelType w:val="hybridMultilevel"/>
    <w:lvl w:ilvl="0">
      <w:lvlJc w:val="left"/>
      <w:lvlText w:val="%1."/>
      <w:numFmt w:val="decimal"/>
      <w:start w:val="37"/>
    </w:lvl>
  </w:abstractNum>
  <w:abstractNum w:abstractNumId="211">
    <w:nsid w:val="2DB88089"/>
    <w:multiLevelType w:val="hybridMultilevel"/>
    <w:lvl w:ilvl="0">
      <w:lvlJc w:val="left"/>
      <w:lvlText w:val="%1."/>
      <w:numFmt w:val="decimal"/>
      <w:start w:val="38"/>
    </w:lvl>
  </w:abstractNum>
  <w:abstractNum w:abstractNumId="212">
    <w:nsid w:val="706B674E"/>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2019-12-11T16:25:13Z</dcterms:created>
  <dcterms:modified xsi:type="dcterms:W3CDTF">2019-12-11T16:25:13Z</dcterms:modified>
</cp:coreProperties>
</file>