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6,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November 6, 2024, the Company reported its results for the third quarter of 2024. The press release dated November 6, 2024 is furnished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Consolidated 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6, 2024</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(imbedded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7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6, 2024</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Date File (imbedded within the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602-639-6648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Dan.bachus@gce.com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2024 RESULTS</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PHOENIX, AZ., November 6, 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Grand Canyon Education,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LOPE), (“GCE” or the “Company”),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traded education services company that currently provides services to 22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September 30,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5" w:name="page6"/>
    <w:bookmarkEnd w:id="5"/>
    <w:p>
      <w:pPr>
        <w:ind w:right="414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Grand Canyon Education, Inc. Reports Third Quarter 2024 Results </w:t>
      </w:r>
      <w:r>
        <w:rPr>
          <w:rFonts w:ascii="Times New Roman" w:cs="Times New Roman" w:eastAsia="Times New Roman" w:hAnsi="Times New Roman"/>
          <w:sz w:val="18"/>
          <w:szCs w:val="18"/>
          <w:color w:val="auto"/>
        </w:rPr>
        <w:t>For the three months ended September 30, 2024:</w:t>
      </w:r>
    </w:p>
    <w:p>
      <w:pPr>
        <w:spacing w:after="0" w:line="11" w:lineRule="exact"/>
        <w:rPr>
          <w:sz w:val="20"/>
          <w:szCs w:val="20"/>
          <w:color w:val="auto"/>
        </w:rPr>
      </w:pPr>
    </w:p>
    <w:p>
      <w:pPr>
        <w:ind w:left="640" w:hanging="323"/>
        <w:spacing w:after="0" w:line="25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three months ended September 30, 2024 was $238.3 million, an increase of $16.4 million, or 7.4%, as compared to service revenue of $221.9 million for the three months ended September 30, 2023. The increase year over year in service revenue was primarily due to an increase in enrollments at Grand Canyon University, our largest university partner (“GCU”) to 123,002 at September 30, 2024, an increase of 4.0% over enrollments at September 30, 2023, an increase in university partner enrollments at our off-campus classroom and laboratory sites to 5,888 at September 30, 2024, an increase of 8.1% over enrollments at September 30, 2023, which includes 913 and 510 GCU students at September 30, 2024 and 2023, respectively, and an increase in revenue per student year over year. The increase in revenue per student between years is primarily due to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September 30, 2024 was also due to the timing of the Fall semester for the ground traditional campus. The Fall semester started two days earlier in 2024 than in 2023, which had the effect of shifting $2.2 million in service revenue from the fourth quarter of 2024 to the third quarter of 2024 in comparison to the prior year.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w:t>
      </w:r>
    </w:p>
    <w:p>
      <w:pPr>
        <w:spacing w:after="0" w:line="83" w:lineRule="exact"/>
        <w:rPr>
          <w:rFonts w:ascii="Times New Roman" w:cs="Times New Roman" w:eastAsia="Times New Roman" w:hAnsi="Times New Roman"/>
          <w:sz w:val="18"/>
          <w:szCs w:val="18"/>
          <w:color w:val="auto"/>
        </w:rPr>
      </w:pPr>
    </w:p>
    <w:p>
      <w:pPr>
        <w:ind w:left="640" w:right="20" w:hanging="323"/>
        <w:spacing w:after="0" w:line="25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enrollments totaled 127,977 at September 30, 2024 as compared to 123,165 at September 30, 2023. University partner enrollments at our off-campus classroom and laboratory sites were 5,888, an increase of 8.1% over enrollments at September 30, 2023, which includes 913 and 510 GCU students at September 30, 2024 and 2023, respectively. We opened five sites in the year ended December 31, 2023, seven sites in the nine months ended September 30, 2024 and closed one site, increasing the total number of these sites to 46 at September 30, 2024, which has also positively impacted the enrollment growth. Enrollments for GCU ground students were 24,657 at September 30, 2024, down from 25,232 at September 30, 2023, due to a small decline in traditional ground students year over year and the continued decline in professional studies students (working adults attending the university’s traditional campus at night), partially offset by an increase in ABSN students between years. GCU online enrollments were 98,345 at September 30, 2024, up from 92,995 at September 30, 2023, an increase of 5.8% between years.</w:t>
      </w:r>
    </w:p>
    <w:p>
      <w:pPr>
        <w:spacing w:after="0" w:line="86" w:lineRule="exact"/>
        <w:rPr>
          <w:rFonts w:ascii="Times New Roman" w:cs="Times New Roman" w:eastAsia="Times New Roman" w:hAnsi="Times New Roman"/>
          <w:sz w:val="18"/>
          <w:szCs w:val="18"/>
          <w:color w:val="auto"/>
        </w:rPr>
      </w:pPr>
    </w:p>
    <w:p>
      <w:pPr>
        <w:ind w:left="640" w:right="20" w:hanging="323"/>
        <w:spacing w:after="0" w:line="258"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three months ended September 30, 2024 was $48.2 million, an increase of $6.7 million as compared to $41.5 million for the same period in 2023. The operating margin for the three months ended September 30, 2024 and 2023 was 20.2% and 18.7%, respectively. The third quarter operating margin was positively impacted on a year over year basis by the timing difference between years in the start of the Fall semester for GCU’s ground traditional campus.</w:t>
      </w:r>
    </w:p>
    <w:p>
      <w:pPr>
        <w:spacing w:after="0" w:line="183" w:lineRule="exact"/>
        <w:rPr>
          <w:rFonts w:ascii="Times New Roman" w:cs="Times New Roman" w:eastAsia="Times New Roman" w:hAnsi="Times New Roman"/>
          <w:sz w:val="18"/>
          <w:szCs w:val="18"/>
          <w:color w:val="auto"/>
        </w:rPr>
      </w:pPr>
    </w:p>
    <w:p>
      <w:pPr>
        <w:ind w:left="640" w:right="200" w:hanging="323"/>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September 30, 2024 was $10.9 million, an increase of $2.4 million, or 27.2%, as compared to income tax expense of $8.5 million for the three months ended September 30, 2023. Our effective tax rate was 20.8% during the third quarter of 2024 compared to 19.3% during the third quarter of 2023. The effective tax rate increased year over year due to higher state income taxes.</w:t>
      </w:r>
    </w:p>
    <w:p>
      <w:pPr>
        <w:spacing w:after="0" w:line="179" w:lineRule="exact"/>
        <w:rPr>
          <w:rFonts w:ascii="Times New Roman" w:cs="Times New Roman" w:eastAsia="Times New Roman" w:hAnsi="Times New Roman"/>
          <w:sz w:val="18"/>
          <w:szCs w:val="18"/>
          <w:color w:val="auto"/>
        </w:rPr>
      </w:pPr>
    </w:p>
    <w:p>
      <w:pPr>
        <w:ind w:left="640" w:right="280" w:hanging="323"/>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16.0% to $41.5 million for the third quarter of 2024, compared to $35.7 million for the same period in 2023. As adjusted net income was $43.2 million and $37.8 million for the third quarters of 2024 and 2023, respectively.</w:t>
      </w:r>
    </w:p>
    <w:p>
      <w:pPr>
        <w:spacing w:after="0" w:line="175" w:lineRule="exact"/>
        <w:rPr>
          <w:rFonts w:ascii="Times New Roman" w:cs="Times New Roman" w:eastAsia="Times New Roman" w:hAnsi="Times New Roman"/>
          <w:sz w:val="18"/>
          <w:szCs w:val="18"/>
          <w:color w:val="auto"/>
        </w:rPr>
      </w:pPr>
    </w:p>
    <w:p>
      <w:pPr>
        <w:ind w:left="640" w:right="32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$1.42 and $1.19 for the third quarters of 2024 and 2023, respectively. As adjusted diluted net income per share was $1.48 and $1.26 for the third quarters of 2024 and 2023, respectively.</w:t>
      </w:r>
    </w:p>
    <w:p>
      <w:pPr>
        <w:spacing w:after="0" w:line="161" w:lineRule="exact"/>
        <w:rPr>
          <w:rFonts w:ascii="Times New Roman" w:cs="Times New Roman" w:eastAsia="Times New Roman" w:hAnsi="Times New Roman"/>
          <w:sz w:val="18"/>
          <w:szCs w:val="18"/>
          <w:color w:val="auto"/>
        </w:rPr>
      </w:pPr>
    </w:p>
    <w:p>
      <w:pPr>
        <w:ind w:left="640" w:right="34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16.4% to $66.3 million for the third quarter of 2024, compared to $57.0 million for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For the nine months ended September 30, 2024:</w:t>
      </w:r>
    </w:p>
    <w:p>
      <w:pPr>
        <w:spacing w:after="0" w:line="225" w:lineRule="exact"/>
        <w:rPr>
          <w:sz w:val="20"/>
          <w:szCs w:val="20"/>
          <w:color w:val="auto"/>
        </w:rPr>
      </w:pPr>
    </w:p>
    <w:p>
      <w:pPr>
        <w:ind w:left="640" w:right="360" w:hanging="323"/>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nine months ended September 30, 2024 was $740.4 million, an increase of $57.8 million, or 8.5%, as compared to service revenue of $682.6 million for the nine months ended September 30, 2023. The</w:t>
      </w:r>
    </w:p>
    <w:p>
      <w:pPr>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year over year in service revenue was primarily due to an increase in GCU enrollments to 123,002 at September 30, 2024, an increase of 4.0% over enrollments at September 30, 2023, an increase in university partner enrollments at our off-campus classroom and laboratory sites to 5,888 at September 30, 2024, an increase of 8.1% over enrollments at September 30, 2023, which includes 913 and 510 GCU students at September 30, 2024 and 2023, respectively, and an increase in revenue per student year over year. The increase in revenue per student between years is primarily due to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nine months ended September 30, 2024 was also due to the timing of the Fall semester for the ground traditional campus. The Fall semester started two days earlier in 2024 than in 2023, which had the effect of shifting $2.2 million in service revenue from the fourth quarter of 2024 to the third quarter of 2024 in comparison to the prior year. The additional day for leap year in 2024 added additional service revenue of $1.5 million as compared to the prior year.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w:t>
      </w:r>
    </w:p>
    <w:p>
      <w:pPr>
        <w:spacing w:after="0" w:line="190" w:lineRule="exact"/>
        <w:rPr>
          <w:rFonts w:ascii="Times New Roman" w:cs="Times New Roman" w:eastAsia="Times New Roman" w:hAnsi="Times New Roman"/>
          <w:sz w:val="18"/>
          <w:szCs w:val="18"/>
          <w:color w:val="auto"/>
        </w:rPr>
      </w:pPr>
    </w:p>
    <w:p>
      <w:pPr>
        <w:ind w:left="640" w:right="180" w:hanging="323"/>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nine months ended September 30, 2024 was $175.4 million, an increase of $23.9 million as compared to $151.5 million for the same period in 2023. The operating margin for the nine months ended September 30, 2024 and 2023 was 23.7% and 22.2%, respectively. The nine months ended September 30, 2024 operating margin was positively impacted on a year over year basis by the timing of the Fall semester start by two days, an extra day in 2024 for leap year and was negatively impacted by $1.1 million recorded in the second quarter related to an executive that resigned effective June 30, 2024.</w:t>
      </w:r>
    </w:p>
    <w:p>
      <w:pPr>
        <w:spacing w:after="0" w:line="187" w:lineRule="exact"/>
        <w:rPr>
          <w:rFonts w:ascii="Times New Roman" w:cs="Times New Roman" w:eastAsia="Times New Roman" w:hAnsi="Times New Roman"/>
          <w:sz w:val="18"/>
          <w:szCs w:val="18"/>
          <w:color w:val="auto"/>
        </w:rPr>
      </w:pPr>
    </w:p>
    <w:p>
      <w:pPr>
        <w:ind w:left="640" w:right="260" w:hanging="323"/>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nine months ended September 30, 2024 was $43.0 million, an increase of $8.4 million, or 24.2%, as compared to income tax expense of $34.6 million for the nine months ended September 30, 2023. Our effective tax rate was 23.0% during the nine months ended September 30, 2024 compared to 21.8% during the nine months ended September 30, 2023. Although the effective tax rate was favorably impacted in the nine months ended September 30, 2024 by excess tax benefits of $1.5 million as compared to $0.9 million in the nine months ended September 30, 2023, the effective tax rate increased year over year due to higher state income taxes.</w:t>
      </w:r>
    </w:p>
    <w:p>
      <w:pPr>
        <w:spacing w:after="0" w:line="187" w:lineRule="exact"/>
        <w:rPr>
          <w:rFonts w:ascii="Times New Roman" w:cs="Times New Roman" w:eastAsia="Times New Roman" w:hAnsi="Times New Roman"/>
          <w:sz w:val="18"/>
          <w:szCs w:val="18"/>
          <w:color w:val="auto"/>
        </w:rPr>
      </w:pPr>
    </w:p>
    <w:p>
      <w:pPr>
        <w:ind w:left="640" w:right="40" w:hanging="323"/>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16.2% to $144.4 million for the nine months ended September 30, 2024, compared to $124.3 million for the same period in 2023. As adjusted net income was $150.1 million and $129.7 million for the nine months ended September 30, 2024 and 2023, respectively.</w:t>
      </w:r>
    </w:p>
    <w:p>
      <w:pPr>
        <w:spacing w:after="0" w:line="175" w:lineRule="exact"/>
        <w:rPr>
          <w:rFonts w:ascii="Times New Roman" w:cs="Times New Roman" w:eastAsia="Times New Roman" w:hAnsi="Times New Roman"/>
          <w:sz w:val="18"/>
          <w:szCs w:val="18"/>
          <w:color w:val="auto"/>
        </w:rPr>
      </w:pPr>
    </w:p>
    <w:p>
      <w:pPr>
        <w:ind w:left="640" w:right="240" w:hanging="323"/>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$4.91 and $4.10 for the nine months ended September 30, 2024 and 2023, respectively. As adjusted diluted net income per share was $5.11 and $4.28 for the nine months ended September 30, 2024 and 2023, respectively.</w:t>
      </w:r>
    </w:p>
    <w:p>
      <w:pPr>
        <w:spacing w:after="0" w:line="175" w:lineRule="exact"/>
        <w:rPr>
          <w:rFonts w:ascii="Times New Roman" w:cs="Times New Roman" w:eastAsia="Times New Roman" w:hAnsi="Times New Roman"/>
          <w:sz w:val="18"/>
          <w:szCs w:val="18"/>
          <w:color w:val="auto"/>
        </w:rPr>
      </w:pPr>
    </w:p>
    <w:p>
      <w:pPr>
        <w:ind w:left="640" w:right="420" w:hanging="323"/>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16.8% to $223.4 million for the nine months ended September 30, 2024, compared to $191.4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liquidity position, as measured by cash and cash equivalents and investments increased by $19.1 million between December 31, 2023 and September 30, 2024, which was largely attributable to cash flows from operations for the nine months ended September 30, 2024 exceeding share repurchases, changes in our investment balances and capital expenditures during the nine months ended September 30, 2024. Our unrestricted cash and cash equivalents and investments were $263.6 million and $244.5 million at September 30, 2024 and December 31, 2023, respectively.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337" w:right="1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2024 Results and Full Year Outlook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2024:</w:t>
      </w:r>
    </w:p>
    <w:p>
      <w:pPr>
        <w:spacing w:after="0" w:line="31" w:lineRule="exact"/>
        <w:rPr>
          <w:sz w:val="20"/>
          <w:szCs w:val="20"/>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$289.0 million and $290.0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35.2% and 35.4%;</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21.2%;</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$2.86 and $2.89;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 million diluted shares.</w:t>
      </w:r>
    </w:p>
    <w:p>
      <w:pPr>
        <w:spacing w:after="0" w:line="9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$1.7 million, which equates to a $0.06 impact on diluted EPS. Thus, as adjusted, non-GAAP diluted income per share of between $2.92 and $2.95.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2024:</w:t>
      </w:r>
    </w:p>
    <w:p>
      <w:pPr>
        <w:spacing w:after="0" w:line="31" w:lineRule="exact"/>
        <w:rPr>
          <w:sz w:val="20"/>
          <w:szCs w:val="20"/>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$1,029.4 million and $1,030.4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26.9% and 27.0%;</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22.3%;</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between $7.76 and $7.79;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 million diluted shares.</w:t>
      </w:r>
    </w:p>
    <w:p>
      <w:pPr>
        <w:spacing w:after="0" w:line="9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$6.6 million and $0.9 million of severance costs, which equates to a $0.26 impact on diluted EPS. Thus, as adjusted, non-GAAP diluted income per share of between $8.02 and $8.05.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18"/>
          <w:szCs w:val="18"/>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22"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legal and regulatory actions taken against us related to our services business, or against our university partners that impact their businesses and that directly or indirectly reduce the service revenue we can earn under our master services agreements; the occurrence of any event, change or other circumstance that could give rise to the termination of any of the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 the harm to our business, results of operations, and financial condition, and harm to our university partners resulting from epidemics, pandemics, or public health crises; the harm to our business and our ability to retract and retain students resulting from capacity constraints, system disruptions, or security breaches in our online computer networks and phone systems; the ability of our university partners’ students to obtain federal Title IV funds, state financial aid, and private financing; potential damage to our reputation or other adverse effects as a result of negative publicity in the media, in the industry or in connection with governmental reports or investigations or otherwise, affecting us or other companies in the education services sector; risks associated with changes in applicable federal and state laws and regulations and accrediting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commission standards, including pending rulemaking by the United States Department of Education applicable to us directly or</w:t>
      </w:r>
    </w:p>
    <w:p>
      <w:pPr>
        <w:spacing w:after="0" w:line="16"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indirectly through our university partners; competition from other education service companies in our geographic region and market sector, including competition for students, qualified executives and other personnel; our expected tax payments and tax rate; our ability to hire and train new, and develop and train existing employees; the pace of growth of our university partners’ enrollment and its effect on the pace of our own growth; fluctuations in our revenues due to seasonality;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risks associated with the competitive environment for marketing the programs of our university partners; failure on our part to keep up with advances in technology that could enhance the experience for our university partners’ students; our ability to manage future growth effectively; the impact of any natural disasters or public health emergencies; general adverse economic conditions or other developments that affect the job prospects of our university partners’ students; and other factors discussed in reports on file with the Securities and Exchange Commission, including as set forth in Part I, Item 1A of our Annual Report on Form 10-K for period ended December 31, 2023, as updated in our subsequent reports filed with the Securities and Exchange Commission on Form 10-Q or Form 8-K.</w:t>
      </w:r>
    </w:p>
    <w:p>
      <w:pPr>
        <w:spacing w:after="0" w:line="17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2024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Grand Canyon Education, Inc. will discuss its third quarter 2024 results and full year 2024 outlook during a conference call scheduled for today, November 6, 2024 at 4:30 p.m. Eastern time (ET).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Live Conference Dial-In:</w:t>
      </w:r>
    </w:p>
    <w:p>
      <w:pPr>
        <w:spacing w:after="0" w:line="25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333333"/>
        </w:rPr>
        <w:t xml:space="preserve">Those interested in participating in the question-and-answer session should follow the conference dial-in instructions below. Participants may register for the call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333333"/>
        </w:rPr>
        <w:t xml:space="preserve"> to receive the dial-in numbers and unique PIN to access the call seamlessly. Please dial in at least ten minutes prior to the start of the call. Journalists are invited to listen only.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Webcast and Replay:</w:t>
      </w:r>
    </w:p>
    <w:p>
      <w:pPr>
        <w:spacing w:after="0" w:line="268"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333333"/>
        </w:rPr>
        <w:t xml:space="preserve">Investors, journalists and the general public may access a live webcast of this event at: </w:t>
      </w:r>
      <w:r>
        <w:rPr>
          <w:rFonts w:ascii="Times New Roman" w:cs="Times New Roman" w:eastAsia="Times New Roman" w:hAnsi="Times New Roman"/>
          <w:sz w:val="18"/>
          <w:szCs w:val="18"/>
          <w:i w:val="1"/>
          <w:iCs w:val="1"/>
          <w:color w:val="337AB7"/>
        </w:rPr>
        <w:t>Q3 2024 Grand Canyon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i w:val="1"/>
          <w:iCs w:val="1"/>
          <w:color w:val="337AB7"/>
        </w:rPr>
        <w:t>Education Inc. Earnings Conference Call</w:t>
      </w:r>
      <w:r>
        <w:rPr>
          <w:rFonts w:ascii="Times New Roman" w:cs="Times New Roman" w:eastAsia="Times New Roman" w:hAnsi="Times New Roman"/>
          <w:sz w:val="18"/>
          <w:szCs w:val="18"/>
          <w:i w:val="1"/>
          <w:iCs w:val="1"/>
          <w:color w:val="333333"/>
        </w:rPr>
        <w:t>.</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A webcast replay will be available approximately two hours following the conclusion</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of the call at the same link.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Grand Canyon Education, Inc.</w:t>
      </w:r>
    </w:p>
    <w:p>
      <w:pPr>
        <w:spacing w:after="0" w:line="32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(“GCE”), incorporated in 2008, is a publicly traded education services company that currently provides services to 22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Grand Canyon Education, Inc., 2600 W. Camelback Road, Phoenix, AZ 85017, </w:t>
      </w:r>
      <w:r>
        <w:rPr>
          <w:rFonts w:ascii="Times New Roman" w:cs="Times New Roman" w:eastAsia="Times New Roman" w:hAnsi="Times New Roman"/>
          <w:sz w:val="18"/>
          <w:szCs w:val="18"/>
          <w:b w:val="1"/>
          <w:bCs w:val="1"/>
          <w:color w:val="auto"/>
        </w:rPr>
        <w:t>www.gce.com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00"/>
          </w:cols>
          <w:pgMar w:left="1260" w:top="117" w:right="1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2024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94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20" w:type="dxa"/>
            <w:vAlign w:val="bottom"/>
            <w:gridSpan w:val="4"/>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238,291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682,615</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115,643</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219,565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156,797</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190,116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565,057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531,158</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151,457</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34,636</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144,355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124,276</w:t>
            </w: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29,003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29,776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29,248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30,138</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29,164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29,912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29,405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2024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40" w:type="dxa"/>
            <w:vAlign w:val="bottom"/>
          </w:tcPr>
          <w:p>
            <w:pPr>
              <w:spacing w:after="0"/>
              <w:rPr>
                <w:sz w:val="15"/>
                <w:szCs w:val="15"/>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263,584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0" w:type="dxa"/>
            <w:vAlign w:val="bottom"/>
          </w:tcPr>
          <w:p>
            <w:pPr>
              <w:spacing w:after="0"/>
              <w:rPr>
                <w:sz w:val="1"/>
                <w:szCs w:val="1"/>
                <w:color w:val="auto"/>
              </w:rPr>
            </w:pPr>
          </w:p>
        </w:tc>
      </w:tr>
      <w:tr>
        <w:trPr>
          <w:trHeight w:val="216"/>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78,811</w:t>
            </w:r>
          </w:p>
        </w:tc>
        <w:tc>
          <w:tcPr>
            <w:tcW w:w="0" w:type="dxa"/>
            <w:vAlign w:val="bottom"/>
          </w:tcPr>
          <w:p>
            <w:pPr>
              <w:spacing w:after="0"/>
              <w:rPr>
                <w:sz w:val="1"/>
                <w:szCs w:val="1"/>
                <w:color w:val="auto"/>
              </w:rPr>
            </w:pPr>
          </w:p>
        </w:tc>
      </w:tr>
      <w:tr>
        <w:trPr>
          <w:trHeight w:val="216"/>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0" w:type="dxa"/>
            <w:vAlign w:val="bottom"/>
          </w:tcPr>
          <w:p>
            <w:pPr>
              <w:spacing w:after="0"/>
              <w:rPr>
                <w:sz w:val="1"/>
                <w:szCs w:val="1"/>
                <w:color w:val="auto"/>
              </w:rPr>
            </w:pPr>
          </w:p>
        </w:tc>
      </w:tr>
      <w:tr>
        <w:trPr>
          <w:trHeight w:val="20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337,522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168,381</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992,926</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13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0" w:type="dxa"/>
            <w:vAlign w:val="bottom"/>
          </w:tcPr>
          <w:p>
            <w:pPr>
              <w:spacing w:after="0"/>
              <w:rPr>
                <w:sz w:val="1"/>
                <w:szCs w:val="1"/>
                <w:color w:val="auto"/>
              </w:rPr>
            </w:pPr>
          </w:p>
        </w:tc>
      </w:tr>
      <w:tr>
        <w:trPr>
          <w:trHeight w:val="216"/>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0" w:type="dxa"/>
            <w:vAlign w:val="bottom"/>
          </w:tcPr>
          <w:p>
            <w:pPr>
              <w:spacing w:after="0"/>
              <w:rPr>
                <w:sz w:val="1"/>
                <w:szCs w:val="1"/>
                <w:color w:val="auto"/>
              </w:rPr>
            </w:pPr>
          </w:p>
        </w:tc>
      </w:tr>
      <w:tr>
        <w:trPr>
          <w:trHeight w:val="216"/>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88,257</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2024 and December 31, 2023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54,090 and 53,970 shares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29,274 and 29,953 shares outstanding at September 30, 2024 and December 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24,816 and 24,017 shares of common stock at September 30, 2024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(1,958,837)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(1,849,693)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322,512</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2,389,067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2,244,712</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764,137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718,014</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992,926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2024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60" w:type="dxa"/>
            <w:vAlign w:val="bottom"/>
          </w:tcPr>
          <w:p>
            <w:pPr>
              <w:jc w:val="center"/>
              <w:ind w:left="21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including fixed asset disposals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from university partners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of amortizable content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shares and shares withheld in lieu of income taxes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263,584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ROU Asset and Liability recognition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Excise tax on treasury stock repurchases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7080" w:type="dxa"/>
            <w:vAlign w:val="bottom"/>
            <w:gridSpan w:val="2"/>
          </w:tcPr>
          <w:p>
            <w:pPr>
              <w:jc w:val="right"/>
              <w:ind w:right="227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17"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Third Quarter 2024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9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0" w:lineRule="exact"/>
        <w:rPr>
          <w:sz w:val="20"/>
          <w:szCs w:val="20"/>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225"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225" w:lineRule="exact"/>
        <w:rPr>
          <w:rFonts w:ascii="Times New Roman" w:cs="Times New Roman" w:eastAsia="Times New Roman" w:hAnsi="Times New Roman"/>
          <w:sz w:val="18"/>
          <w:szCs w:val="18"/>
          <w:color w:val="auto"/>
        </w:rPr>
      </w:pPr>
    </w:p>
    <w:p>
      <w:pPr>
        <w:ind w:left="640" w:right="60" w:hanging="323"/>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 which is a non-GAAP measure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6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tcPr>
          <w:p>
            <w:pPr>
              <w:jc w:val="right"/>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880" w:type="dxa"/>
            <w:vAlign w:val="bottom"/>
            <w:gridSpan w:val="2"/>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800" w:type="dxa"/>
            <w:vAlign w:val="bottom"/>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1240" w:type="dxa"/>
            <w:vAlign w:val="bottom"/>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(Unaudited,</w:t>
            </w:r>
          </w:p>
        </w:tc>
        <w:tc>
          <w:tcPr>
            <w:tcW w:w="160" w:type="dxa"/>
            <w:vAlign w:val="bottom"/>
            <w:vMerge w:val="continue"/>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176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$ 41,467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$ 35,739</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$ 144,355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43,008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20,707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EBITDA</w:t>
            </w:r>
          </w:p>
        </w:tc>
        <w:tc>
          <w:tcPr>
            <w:tcW w:w="1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202,394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174,766</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Plus: contributions in lieu of state income taxes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loss on fixed asset disposal</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Plus: litigation and regulatory reserves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severance costs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10,855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$ 66,325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$ 56,998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7"/>
              </w:rPr>
              <w:t>$ 223,441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Diluted Income Per Share</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presentation of non-GAAP net income and non-GAAP diluted income per share information that excludes amortization of intangible assets, loss on disposal of fixed assets and severance costs allows investors to develop a more meaningful understanding of the Company’s performance over time. Accordingly, for the nine-months ended September 30, 2024 and 2023, the table below provides reconciliations of these non-GAAP items to GAAP net income and GAAP diluted income per share,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140" w:type="dxa"/>
            <w:vAlign w:val="bottom"/>
            <w:gridSpan w:val="4"/>
          </w:tcPr>
          <w:p>
            <w:pPr>
              <w:ind w:left="540"/>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3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except per share data)</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144,355</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of adjustments(1)</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49"/>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Net income</w:t>
            </w:r>
          </w:p>
        </w:tc>
        <w:tc>
          <w:tcPr>
            <w:tcW w:w="7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150,148</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Diluted income per share</w:t>
            </w: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(2)</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fixed assets (3)</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 (4)</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Diluted income per share</w:t>
            </w:r>
          </w:p>
        </w:tc>
        <w:tc>
          <w:tcPr>
            <w:tcW w:w="7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right="340" w:hanging="323"/>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effects of adjustments are based on the effective income tax rate applicable to adjusted (non-GAAP) results.</w:t>
      </w:r>
    </w:p>
    <w:p>
      <w:pPr>
        <w:spacing w:after="0" w:line="134" w:lineRule="exact"/>
        <w:rPr>
          <w:rFonts w:ascii="Times New Roman" w:cs="Times New Roman" w:eastAsia="Times New Roman" w:hAnsi="Times New Roman"/>
          <w:sz w:val="18"/>
          <w:szCs w:val="18"/>
          <w:color w:val="auto"/>
        </w:rPr>
      </w:pPr>
    </w:p>
    <w:p>
      <w:pPr>
        <w:ind w:left="640" w:right="40" w:hanging="323"/>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acquired intangible assets per diluted share is net of an income tax benefit of $0.01 for both of the three months ended September 30, 2024 and 2023, and net of an income tax benefit of $0.05 for both of the nine months ended September 30, 2024 and 2023.</w:t>
      </w:r>
    </w:p>
    <w:p>
      <w:pPr>
        <w:spacing w:after="0" w:line="135" w:lineRule="exact"/>
        <w:rPr>
          <w:rFonts w:ascii="Times New Roman" w:cs="Times New Roman" w:eastAsia="Times New Roman" w:hAnsi="Times New Roman"/>
          <w:sz w:val="18"/>
          <w:szCs w:val="18"/>
          <w:color w:val="auto"/>
        </w:rPr>
      </w:pPr>
    </w:p>
    <w:p>
      <w:pPr>
        <w:ind w:left="640" w:right="220" w:hanging="323"/>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on disposal of fixed assets per diluted share is net of an income tax benefit of nil for both of the three months ended September 30, 2024 and 2023, and net of an income tax benefit of nil for both of the nine months ended September 30, 2024 and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5" w:name="page16"/>
    <w:bookmarkEnd w:id="15"/>
    <w:p>
      <w:pPr>
        <w:ind w:left="460" w:hanging="323"/>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costs per diluted share is net of an income tax benefit of $0.01 for the nine months ended September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360045</wp:posOffset>
            </wp:positionV>
            <wp:extent cx="59575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sectPr>
      <w:pgSz w:w="11900" w:h="16838" w:orient="portrait"/>
      <w:cols w:equalWidth="0" w:num="1">
        <w:col w:w="9020"/>
      </w:cols>
      <w:pgMar w:left="1440" w:top="121"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2024-11-06T15:24:10Z</dcterms:created>
  <dcterms:modified xsi:type="dcterms:W3CDTF">2024-11-06T15:24:10Z</dcterms:modified>
</cp:coreProperties>
</file>