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0" w:lineRule="exact"/>
        <w:rPr>
          <w:sz w:val="24"/>
          <w:szCs w:val="24"/>
          <w:color w:val="auto"/>
        </w:rPr>
      </w:pPr>
    </w:p>
    <w:p>
      <w:pPr>
        <w:ind w:left="806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4934585</wp:posOffset>
            </wp:positionH>
            <wp:positionV relativeFrom="paragraph">
              <wp:posOffset>-130175</wp:posOffset>
            </wp:positionV>
            <wp:extent cx="1235075"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5075" cy="986155"/>
                    </a:xfrm>
                    <a:prstGeom prst="rect">
                      <a:avLst/>
                    </a:prstGeom>
                    <a:noFill/>
                  </pic:spPr>
                </pic:pic>
              </a:graphicData>
            </a:graphic>
          </wp:anchor>
        </w:drawing>
      </w:r>
    </w:p>
    <w:p>
      <w:pPr>
        <w:spacing w:after="0" w:line="3"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OMB Number: 3235-</w:t>
      </w:r>
    </w:p>
    <w:p>
      <w:pPr>
        <w:spacing w:after="0" w:line="23"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0058</w:t>
      </w:r>
    </w:p>
    <w:p>
      <w:pPr>
        <w:spacing w:after="0" w:line="9"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Expires: April 30, 2012</w:t>
      </w:r>
    </w:p>
    <w:p>
      <w:pPr>
        <w:spacing w:after="0" w:line="9"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Estimated average</w:t>
      </w:r>
    </w:p>
    <w:p>
      <w:pPr>
        <w:spacing w:after="0" w:line="9"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burden hours per</w:t>
      </w:r>
    </w:p>
    <w:p>
      <w:pPr>
        <w:spacing w:after="0" w:line="9"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response ... 2.50</w:t>
      </w:r>
    </w:p>
    <w:p>
      <w:pPr>
        <w:spacing w:after="0" w:line="251" w:lineRule="exact"/>
        <w:rPr>
          <w:sz w:val="24"/>
          <w:szCs w:val="24"/>
          <w:color w:val="auto"/>
        </w:rPr>
      </w:pPr>
    </w:p>
    <w:p>
      <w:pPr>
        <w:ind w:left="7960"/>
        <w:spacing w:after="0"/>
        <w:rPr>
          <w:sz w:val="20"/>
          <w:szCs w:val="20"/>
          <w:color w:val="auto"/>
        </w:rPr>
      </w:pPr>
      <w:r>
        <w:rPr>
          <w:rFonts w:ascii="Arial" w:cs="Arial" w:eastAsia="Arial" w:hAnsi="Arial"/>
          <w:sz w:val="18"/>
          <w:szCs w:val="18"/>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4934585</wp:posOffset>
            </wp:positionH>
            <wp:positionV relativeFrom="paragraph">
              <wp:posOffset>-130175</wp:posOffset>
            </wp:positionV>
            <wp:extent cx="1235075"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291465"/>
                    </a:xfrm>
                    <a:prstGeom prst="rect">
                      <a:avLst/>
                    </a:prstGeom>
                    <a:noFill/>
                  </pic:spPr>
                </pic:pic>
              </a:graphicData>
            </a:graphic>
          </wp:anchor>
        </w:drawing>
      </w:r>
    </w:p>
    <w:p>
      <w:pPr>
        <w:spacing w:after="0" w:line="3"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001-34211</w:t>
      </w:r>
    </w:p>
    <w:p>
      <w:pPr>
        <w:spacing w:after="0" w:line="62" w:lineRule="exact"/>
        <w:rPr>
          <w:sz w:val="24"/>
          <w:szCs w:val="24"/>
          <w:color w:val="auto"/>
        </w:rPr>
      </w:pPr>
    </w:p>
    <w:p>
      <w:pPr>
        <w:ind w:left="808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4934585</wp:posOffset>
            </wp:positionH>
            <wp:positionV relativeFrom="paragraph">
              <wp:posOffset>-130175</wp:posOffset>
            </wp:positionV>
            <wp:extent cx="123507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291465"/>
                    </a:xfrm>
                    <a:prstGeom prst="rect">
                      <a:avLst/>
                    </a:prstGeom>
                    <a:noFill/>
                  </pic:spPr>
                </pic:pic>
              </a:graphicData>
            </a:graphic>
          </wp:anchor>
        </w:drawing>
      </w:r>
    </w:p>
    <w:p>
      <w:pPr>
        <w:spacing w:after="0" w:line="3"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38526M 106</w:t>
      </w:r>
    </w:p>
    <w:p>
      <w:pPr>
        <w:spacing w:after="0" w:line="22" w:lineRule="exact"/>
        <w:rPr>
          <w:sz w:val="24"/>
          <w:szCs w:val="24"/>
          <w:color w:val="auto"/>
        </w:rPr>
      </w:pPr>
    </w:p>
    <w:p>
      <w:pPr>
        <w:jc w:val="center"/>
        <w:ind w:right="20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12b-25</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NOTIFICATION OF LATE FILING</w:t>
      </w:r>
    </w:p>
    <w:p>
      <w:pPr>
        <w:spacing w:after="0" w:line="187" w:lineRule="exact"/>
        <w:rPr>
          <w:sz w:val="24"/>
          <w:szCs w:val="24"/>
          <w:color w:val="auto"/>
        </w:rPr>
      </w:pPr>
    </w:p>
    <w:p>
      <w:pPr>
        <w:spacing w:after="0" w:line="207" w:lineRule="exact"/>
        <w:tabs>
          <w:tab w:leader="none" w:pos="1100" w:val="left"/>
        </w:tabs>
        <w:rPr>
          <w:sz w:val="20"/>
          <w:szCs w:val="20"/>
          <w:color w:val="auto"/>
        </w:rPr>
      </w:pPr>
      <w:r>
        <w:rPr>
          <w:rFonts w:ascii="Arial" w:cs="Arial" w:eastAsia="Arial" w:hAnsi="Arial"/>
          <w:sz w:val="18"/>
          <w:szCs w:val="18"/>
          <w:i w:val="1"/>
          <w:iCs w:val="1"/>
          <w:color w:val="auto"/>
        </w:rPr>
        <w:t>(Check one):</w:t>
      </w:r>
      <w:r>
        <w:rPr>
          <w:sz w:val="20"/>
          <w:szCs w:val="20"/>
          <w:color w:val="auto"/>
        </w:rPr>
        <w:tab/>
      </w:r>
      <w:r>
        <w:rPr>
          <w:rFonts w:ascii="Arial" w:cs="Arial" w:eastAsia="Arial" w:hAnsi="Arial"/>
          <w:sz w:val="17"/>
          <w:szCs w:val="17"/>
          <w:color w:val="auto"/>
        </w:rPr>
        <w:t xml:space="preserve">o Form 10-K o Form 20-F o Form 11-K </w:t>
      </w:r>
      <w:r>
        <w:rPr>
          <w:rFonts w:ascii="MS PGothic" w:cs="MS PGothic" w:eastAsia="MS PGothic" w:hAnsi="MS PGothic"/>
          <w:sz w:val="17"/>
          <w:szCs w:val="17"/>
          <w:color w:val="auto"/>
        </w:rPr>
        <w:t>☑</w:t>
      </w:r>
      <w:r>
        <w:rPr>
          <w:rFonts w:ascii="Arial" w:cs="Arial" w:eastAsia="Arial" w:hAnsi="Arial"/>
          <w:sz w:val="17"/>
          <w:szCs w:val="17"/>
          <w:color w:val="auto"/>
        </w:rPr>
        <w:t xml:space="preserve"> Form 10-Q o Form 10-D o Form N-SAR o Form N-CSR</w:t>
      </w:r>
    </w:p>
    <w:p>
      <w:pPr>
        <w:spacing w:after="0" w:line="150" w:lineRule="exact"/>
        <w:rPr>
          <w:sz w:val="24"/>
          <w:szCs w:val="24"/>
          <w:color w:val="auto"/>
        </w:rPr>
      </w:pPr>
    </w:p>
    <w:p>
      <w:pPr>
        <w:ind w:left="1120"/>
        <w:spacing w:after="0"/>
        <w:tabs>
          <w:tab w:leader="none" w:pos="3560" w:val="left"/>
        </w:tabs>
        <w:rPr>
          <w:sz w:val="20"/>
          <w:szCs w:val="20"/>
          <w:color w:val="auto"/>
        </w:rPr>
      </w:pPr>
      <w:r>
        <w:rPr>
          <w:rFonts w:ascii="Arial" w:cs="Arial" w:eastAsia="Arial" w:hAnsi="Arial"/>
          <w:sz w:val="18"/>
          <w:szCs w:val="18"/>
          <w:color w:val="auto"/>
        </w:rPr>
        <w:t>For Period Ended:</w:t>
      </w:r>
      <w:r>
        <w:rPr>
          <w:sz w:val="20"/>
          <w:szCs w:val="20"/>
          <w:color w:val="auto"/>
        </w:rPr>
        <w:tab/>
      </w:r>
      <w:r>
        <w:rPr>
          <w:rFonts w:ascii="Arial" w:cs="Arial" w:eastAsia="Arial" w:hAnsi="Arial"/>
          <w:sz w:val="15"/>
          <w:szCs w:val="15"/>
          <w:color w:val="auto"/>
        </w:rPr>
        <w:t>September 30,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1581785</wp:posOffset>
            </wp:positionH>
            <wp:positionV relativeFrom="paragraph">
              <wp:posOffset>14605</wp:posOffset>
            </wp:positionV>
            <wp:extent cx="4553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70" w:lineRule="exact"/>
        <w:rPr>
          <w:sz w:val="24"/>
          <w:szCs w:val="24"/>
          <w:color w:val="auto"/>
        </w:rPr>
      </w:pPr>
    </w:p>
    <w:p>
      <w:pPr>
        <w:ind w:left="1360" w:hanging="233"/>
        <w:spacing w:after="0"/>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Transition Report on Form 10-K</w:t>
      </w:r>
    </w:p>
    <w:p>
      <w:pPr>
        <w:spacing w:after="0" w:line="63" w:lineRule="exact"/>
        <w:rPr>
          <w:rFonts w:ascii="Arial" w:cs="Arial" w:eastAsia="Arial" w:hAnsi="Arial"/>
          <w:sz w:val="18"/>
          <w:szCs w:val="18"/>
          <w:color w:val="auto"/>
        </w:rPr>
      </w:pPr>
    </w:p>
    <w:p>
      <w:pPr>
        <w:ind w:left="1360" w:hanging="233"/>
        <w:spacing w:after="0"/>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Transition Report on Form 20-F</w:t>
      </w:r>
    </w:p>
    <w:p>
      <w:pPr>
        <w:spacing w:after="0" w:line="63" w:lineRule="exact"/>
        <w:rPr>
          <w:rFonts w:ascii="Arial" w:cs="Arial" w:eastAsia="Arial" w:hAnsi="Arial"/>
          <w:sz w:val="18"/>
          <w:szCs w:val="18"/>
          <w:color w:val="auto"/>
        </w:rPr>
      </w:pPr>
    </w:p>
    <w:p>
      <w:pPr>
        <w:ind w:left="1360" w:hanging="233"/>
        <w:spacing w:after="0"/>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Transition Report on Form 11-K</w:t>
      </w:r>
    </w:p>
    <w:p>
      <w:pPr>
        <w:spacing w:after="0" w:line="63" w:lineRule="exact"/>
        <w:rPr>
          <w:rFonts w:ascii="Arial" w:cs="Arial" w:eastAsia="Arial" w:hAnsi="Arial"/>
          <w:sz w:val="18"/>
          <w:szCs w:val="18"/>
          <w:color w:val="auto"/>
        </w:rPr>
      </w:pPr>
    </w:p>
    <w:p>
      <w:pPr>
        <w:ind w:left="1360" w:hanging="233"/>
        <w:spacing w:after="0"/>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Transition Report on Form 10-Q</w:t>
      </w:r>
    </w:p>
    <w:p>
      <w:pPr>
        <w:spacing w:after="0" w:line="63" w:lineRule="exact"/>
        <w:rPr>
          <w:rFonts w:ascii="Arial" w:cs="Arial" w:eastAsia="Arial" w:hAnsi="Arial"/>
          <w:sz w:val="18"/>
          <w:szCs w:val="18"/>
          <w:color w:val="auto"/>
        </w:rPr>
      </w:pPr>
    </w:p>
    <w:p>
      <w:pPr>
        <w:ind w:left="1360" w:hanging="233"/>
        <w:spacing w:after="0"/>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Transition Report on Form N-SAR</w:t>
      </w:r>
    </w:p>
    <w:p>
      <w:pPr>
        <w:spacing w:after="0" w:line="117"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14605</wp:posOffset>
            </wp:positionV>
            <wp:extent cx="3858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588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167005</wp:posOffset>
            </wp:positionV>
            <wp:extent cx="6401435" cy="570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01435" cy="57023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80"/>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174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229235</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81"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3300 West Camelback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174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Phoenix, Arizona 85016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174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121" w:lineRule="exact"/>
        <w:rPr>
          <w:sz w:val="24"/>
          <w:szCs w:val="24"/>
          <w:color w:val="auto"/>
        </w:rPr>
      </w:pPr>
    </w:p>
    <w:p>
      <w:pPr>
        <w:ind w:right="539"/>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4"/>
          <w:szCs w:val="24"/>
          <w:color w:val="auto"/>
        </w:rPr>
      </w:pPr>
    </w:p>
    <w:p>
      <w:pPr>
        <w:ind w:left="1160" w:right="319" w:hanging="466"/>
        <w:spacing w:after="0" w:line="258" w:lineRule="auto"/>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41" w:lineRule="exact"/>
        <w:rPr>
          <w:rFonts w:ascii="Arial" w:cs="Arial" w:eastAsia="Arial" w:hAnsi="Arial"/>
          <w:sz w:val="18"/>
          <w:szCs w:val="18"/>
          <w:color w:val="auto"/>
        </w:rPr>
      </w:pPr>
    </w:p>
    <w:p>
      <w:pPr>
        <w:ind w:left="1160" w:right="299" w:hanging="965"/>
        <w:spacing w:after="0" w:line="245" w:lineRule="auto"/>
        <w:tabs>
          <w:tab w:leader="none" w:pos="687" w:val="left"/>
        </w:tabs>
        <w:numPr>
          <w:ilvl w:val="0"/>
          <w:numId w:val="2"/>
        </w:numPr>
        <w:rPr>
          <w:rFonts w:ascii="MS PGothic" w:cs="MS PGothic" w:eastAsia="MS PGothic" w:hAnsi="MS PGothic"/>
          <w:sz w:val="31"/>
          <w:szCs w:val="31"/>
          <w:color w:val="auto"/>
          <w:vertAlign w:val="subscript"/>
        </w:rPr>
      </w:pPr>
      <w:r>
        <w:rPr>
          <w:rFonts w:ascii="Arial" w:cs="Arial" w:eastAsia="Arial" w:hAnsi="Arial"/>
          <w:sz w:val="16"/>
          <w:szCs w:val="16"/>
          <w:color w:val="auto"/>
        </w:rPr>
        <w:t>(b) 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8" w:lineRule="exact"/>
        <w:rPr>
          <w:rFonts w:ascii="MS PGothic" w:cs="MS PGothic" w:eastAsia="MS PGothic" w:hAnsi="MS PGothic"/>
          <w:sz w:val="31"/>
          <w:szCs w:val="31"/>
          <w:color w:val="auto"/>
          <w:vertAlign w:val="subscript"/>
        </w:rPr>
      </w:pPr>
    </w:p>
    <w:p>
      <w:pPr>
        <w:ind w:left="1160" w:hanging="466"/>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wp:posOffset>
            </wp:positionH>
            <wp:positionV relativeFrom="paragraph">
              <wp:posOffset>-1013460</wp:posOffset>
            </wp:positionV>
            <wp:extent cx="8890" cy="1029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029335"/>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121" w:lineRule="exact"/>
        <w:rPr>
          <w:sz w:val="24"/>
          <w:szCs w:val="24"/>
          <w:color w:val="auto"/>
        </w:rPr>
      </w:pPr>
    </w:p>
    <w:p>
      <w:pPr>
        <w:ind w:right="219"/>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62" w:lineRule="exact"/>
        <w:rPr>
          <w:sz w:val="24"/>
          <w:szCs w:val="24"/>
          <w:color w:val="auto"/>
        </w:rPr>
      </w:pPr>
    </w:p>
    <w:p>
      <w:pPr>
        <w:ind w:right="439"/>
        <w:spacing w:after="0" w:line="342" w:lineRule="auto"/>
        <w:rPr>
          <w:sz w:val="20"/>
          <w:szCs w:val="20"/>
          <w:color w:val="auto"/>
        </w:rPr>
      </w:pPr>
      <w:r>
        <w:rPr>
          <w:rFonts w:ascii="Arial" w:cs="Arial" w:eastAsia="Arial" w:hAnsi="Arial"/>
          <w:sz w:val="16"/>
          <w:szCs w:val="16"/>
          <w:color w:val="auto"/>
        </w:rPr>
        <w:t>In its Current Report on Form 8-K filed on November 7, 2011 (the “8-K”), Grand Canyon Education, Inc. (the “Company”) announced that it had determined, as of November 3, 2011, after consultation with its independent registered public accountants, to</w:t>
      </w:r>
    </w:p>
    <w:p>
      <w:pPr>
        <w:sectPr>
          <w:pgSz w:w="11900" w:h="16948" w:orient="portrait"/>
          <w:cols w:equalWidth="0" w:num="1">
            <w:col w:w="9879"/>
          </w:cols>
          <w:pgMar w:left="580" w:top="463" w:right="1440" w:bottom="0" w:gutter="0" w:footer="0" w:header="0"/>
        </w:sectPr>
      </w:pPr>
    </w:p>
    <w:bookmarkStart w:id="1" w:name="page2"/>
    <w:bookmarkEnd w:id="1"/>
    <w:p>
      <w:pPr>
        <w:ind w:right="199"/>
        <w:spacing w:after="0" w:line="291" w:lineRule="auto"/>
        <w:rPr>
          <w:sz w:val="20"/>
          <w:szCs w:val="20"/>
          <w:color w:val="auto"/>
        </w:rPr>
      </w:pPr>
      <w:r>
        <w:rPr>
          <w:rFonts w:ascii="Arial" w:cs="Arial" w:eastAsia="Arial" w:hAnsi="Arial"/>
          <w:sz w:val="16"/>
          <w:szCs w:val="16"/>
          <w:color w:val="auto"/>
        </w:rPr>
        <w:t>restate its financial statements for the fiscal year ended December 31, 2010 and the fiscal quarters ended June 30, 2010, September 30, 2010, March 31, 2011 and June 30, 2011 to reflect a change in the methodology by which it calculates its allowance for doubtful accounts. Under its new methodology, which is given effect beginning in June 2010, the Company disaggregates its receivable balances due from students based on each student’s school status (active or inactive) and treats receivables due from former students as a separate pool that are fully reserved for and written off in a much more accelerated timeframe. The methodology for reserving for receivables due from current students remains similar to the prior methodology. As a result of this change, the Company concluded that it understated bad debt expense, and overstated operating income and net income, for the applicable periods.</w:t>
      </w:r>
    </w:p>
    <w:p>
      <w:pPr>
        <w:spacing w:after="0" w:line="127" w:lineRule="exact"/>
        <w:rPr>
          <w:sz w:val="20"/>
          <w:szCs w:val="20"/>
          <w:color w:val="auto"/>
        </w:rPr>
      </w:pPr>
    </w:p>
    <w:p>
      <w:pPr>
        <w:ind w:right="179"/>
        <w:spacing w:after="0" w:line="253" w:lineRule="auto"/>
        <w:rPr>
          <w:sz w:val="20"/>
          <w:szCs w:val="20"/>
          <w:color w:val="auto"/>
        </w:rPr>
      </w:pPr>
      <w:r>
        <w:rPr>
          <w:rFonts w:ascii="Arial" w:cs="Arial" w:eastAsia="Arial" w:hAnsi="Arial"/>
          <w:sz w:val="18"/>
          <w:szCs w:val="18"/>
          <w:color w:val="auto"/>
        </w:rPr>
        <w:t>While the effects of the restatement and related disclosures have been prepared, and the restated balances were included in the 8-K, the Company and its auditors are currently in the process of undertaking final reviews of the amendments and/or changes to the Company’s Annual Report on Form 10-K for the year ended December 31, 2010, its Quarterly Reports on Form 10-Q for the quarters ended March 31, 2011 and June 30, 2011 and its Quarterly Report on Form 10-Q for the quarter ended September 30, 2011 (the “Form 10-Q”) necessitated by the restatement. In addition, the Company is still working with its auditors to evaluate the level of internal control deficiency and any other issues that the restatement raises and expects to report on its conclusion in the Form 10-Q and in the amended filings referenced above, as applicable. Although management has been working diligently to complete and finalize these filings, the Company was unable, without unreasonable effort or expense, to complete this work on or before 5:30 p.m. on November 9, 2011.</w:t>
      </w:r>
    </w:p>
    <w:p>
      <w:pPr>
        <w:spacing w:after="0" w:line="170" w:lineRule="exact"/>
        <w:rPr>
          <w:sz w:val="20"/>
          <w:szCs w:val="20"/>
          <w:color w:val="auto"/>
        </w:rPr>
      </w:pPr>
    </w:p>
    <w:p>
      <w:pPr>
        <w:ind w:right="279"/>
        <w:spacing w:after="0" w:line="257" w:lineRule="auto"/>
        <w:rPr>
          <w:sz w:val="20"/>
          <w:szCs w:val="20"/>
          <w:color w:val="auto"/>
        </w:rPr>
      </w:pPr>
      <w:r>
        <w:rPr>
          <w:rFonts w:ascii="Arial" w:cs="Arial" w:eastAsia="Arial" w:hAnsi="Arial"/>
          <w:sz w:val="18"/>
          <w:szCs w:val="18"/>
          <w:color w:val="auto"/>
        </w:rPr>
        <w:t>The Company expects that it will be able to complete the work described above in time for the Company to file its Quarterly Report on Form 10-Q for the quarterly period ended September 30, 2011 within the five-day extension provided by Rule 12b-25. The Company is still working with its auditors to evaluate the level of internal control deficiency and any other issues that the restatement raises and expects to report on its conclusion in its Quarterly Report on Form 10-Q for the fiscal quarter ended September 30, 2011 and in the amended filings referenced above, as applicable.</w:t>
      </w:r>
    </w:p>
    <w:p>
      <w:pPr>
        <w:spacing w:after="0" w:line="184" w:lineRule="exact"/>
        <w:rPr>
          <w:sz w:val="20"/>
          <w:szCs w:val="20"/>
          <w:color w:val="auto"/>
        </w:rPr>
      </w:pPr>
    </w:p>
    <w:p>
      <w:pPr>
        <w:ind w:left="1540" w:right="579"/>
        <w:spacing w:after="0" w:line="282" w:lineRule="auto"/>
        <w:rPr>
          <w:sz w:val="20"/>
          <w:szCs w:val="20"/>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361315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 w:name="page3"/>
    <w:bookmarkEnd w:id="2"/>
    <w:p>
      <w:pPr>
        <w:jc w:val="center"/>
        <w:ind w:right="1040"/>
        <w:spacing w:after="0"/>
        <w:rPr>
          <w:sz w:val="20"/>
          <w:szCs w:val="20"/>
          <w:color w:val="auto"/>
        </w:rPr>
      </w:pPr>
      <w:r>
        <w:rPr>
          <w:rFonts w:ascii="Arial" w:cs="Arial" w:eastAsia="Arial" w:hAnsi="Arial"/>
          <w:sz w:val="18"/>
          <w:szCs w:val="18"/>
          <w:color w:val="auto"/>
        </w:rPr>
        <w:t>(Attach extra Sheets if Needed)</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PART IV — OTHER INFORMATION</w:t>
      </w:r>
    </w:p>
    <w:p>
      <w:pPr>
        <w:spacing w:after="0" w:line="103"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and telephone number of person to contact in regard to this notification</w:t>
      </w:r>
    </w:p>
    <w:p>
      <w:pPr>
        <w:spacing w:after="0" w:line="225"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4300" w:type="dxa"/>
            <w:vAlign w:val="bottom"/>
          </w:tcPr>
          <w:p>
            <w:pPr>
              <w:jc w:val="center"/>
              <w:spacing w:after="0"/>
              <w:rPr>
                <w:sz w:val="20"/>
                <w:szCs w:val="20"/>
                <w:color w:val="auto"/>
              </w:rPr>
            </w:pPr>
            <w:r>
              <w:rPr>
                <w:rFonts w:ascii="Arial" w:cs="Arial" w:eastAsia="Arial" w:hAnsi="Arial"/>
                <w:sz w:val="18"/>
                <w:szCs w:val="18"/>
                <w:color w:val="auto"/>
                <w:w w:val="91"/>
              </w:rPr>
              <w:t>Daniel E. Bachus</w:t>
            </w:r>
          </w:p>
        </w:tc>
        <w:tc>
          <w:tcPr>
            <w:tcW w:w="1360" w:type="dxa"/>
            <w:vAlign w:val="bottom"/>
            <w:gridSpan w:val="2"/>
          </w:tcPr>
          <w:p>
            <w:pPr>
              <w:jc w:val="right"/>
              <w:ind w:right="250"/>
              <w:spacing w:after="0"/>
              <w:rPr>
                <w:sz w:val="20"/>
                <w:szCs w:val="20"/>
                <w:color w:val="auto"/>
              </w:rPr>
            </w:pPr>
            <w:r>
              <w:rPr>
                <w:rFonts w:ascii="Arial" w:cs="Arial" w:eastAsia="Arial" w:hAnsi="Arial"/>
                <w:sz w:val="18"/>
                <w:szCs w:val="18"/>
                <w:color w:val="auto"/>
              </w:rPr>
              <w:t>602</w:t>
            </w:r>
          </w:p>
        </w:tc>
        <w:tc>
          <w:tcPr>
            <w:tcW w:w="3680" w:type="dxa"/>
            <w:vAlign w:val="bottom"/>
            <w:gridSpan w:val="2"/>
          </w:tcPr>
          <w:p>
            <w:pPr>
              <w:jc w:val="right"/>
              <w:ind w:right="1190"/>
              <w:spacing w:after="0"/>
              <w:rPr>
                <w:sz w:val="20"/>
                <w:szCs w:val="20"/>
                <w:color w:val="auto"/>
              </w:rPr>
            </w:pPr>
            <w:r>
              <w:rPr>
                <w:rFonts w:ascii="Arial" w:cs="Arial" w:eastAsia="Arial" w:hAnsi="Arial"/>
                <w:sz w:val="18"/>
                <w:szCs w:val="18"/>
                <w:color w:val="auto"/>
              </w:rPr>
              <w:t>639-6648</w:t>
            </w:r>
          </w:p>
        </w:tc>
      </w:tr>
      <w:tr>
        <w:trPr>
          <w:trHeight w:val="224"/>
        </w:trPr>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46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460" w:type="dxa"/>
            <w:vAlign w:val="bottom"/>
          </w:tcPr>
          <w:p>
            <w:pPr>
              <w:spacing w:after="0"/>
              <w:rPr>
                <w:sz w:val="19"/>
                <w:szCs w:val="19"/>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79" w:lineRule="exact"/>
        <w:rPr>
          <w:sz w:val="20"/>
          <w:szCs w:val="20"/>
          <w:color w:val="auto"/>
        </w:rPr>
      </w:pPr>
    </w:p>
    <w:p>
      <w:pPr>
        <w:jc w:val="both"/>
        <w:ind w:left="720" w:right="1600" w:hanging="388"/>
        <w:spacing w:after="0" w:line="25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jc w:val="right"/>
        <w:ind w:right="1360"/>
        <w:spacing w:after="0" w:line="207" w:lineRule="exact"/>
        <w:tabs>
          <w:tab w:leader="none" w:pos="17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86360</wp:posOffset>
            </wp:positionV>
            <wp:extent cx="5925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23" w:lineRule="exact"/>
        <w:rPr>
          <w:sz w:val="20"/>
          <w:szCs w:val="20"/>
          <w:color w:val="auto"/>
        </w:rPr>
      </w:pPr>
    </w:p>
    <w:p>
      <w:pPr>
        <w:ind w:left="720" w:right="1540" w:hanging="388"/>
        <w:spacing w:after="0" w:line="255"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 w:lineRule="exact"/>
        <w:rPr>
          <w:sz w:val="20"/>
          <w:szCs w:val="20"/>
          <w:color w:val="auto"/>
        </w:rPr>
      </w:pPr>
    </w:p>
    <w:p>
      <w:pPr>
        <w:jc w:val="right"/>
        <w:ind w:right="1360"/>
        <w:spacing w:after="0" w:line="207" w:lineRule="exact"/>
        <w:tabs>
          <w:tab w:leader="none" w:pos="17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86360</wp:posOffset>
            </wp:positionV>
            <wp:extent cx="5925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44" w:lineRule="exact"/>
        <w:rPr>
          <w:sz w:val="20"/>
          <w:szCs w:val="20"/>
          <w:color w:val="auto"/>
        </w:rPr>
      </w:pPr>
    </w:p>
    <w:p>
      <w:pPr>
        <w:ind w:left="720" w:right="16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203200</wp:posOffset>
            </wp:positionV>
            <wp:extent cx="617474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47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Grand Canyon Education,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4631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4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(Name of Registrant as Specified in Charter)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ind w:left="340"/>
              <w:spacing w:after="0"/>
              <w:rPr>
                <w:sz w:val="20"/>
                <w:szCs w:val="20"/>
                <w:color w:val="auto"/>
              </w:rPr>
            </w:pPr>
            <w:r>
              <w:rPr>
                <w:rFonts w:ascii="Arial" w:cs="Arial" w:eastAsia="Arial" w:hAnsi="Arial"/>
                <w:sz w:val="18"/>
                <w:szCs w:val="18"/>
                <w:color w:val="auto"/>
              </w:rPr>
              <w:t>Date  November 10, 2011</w:t>
            </w:r>
          </w:p>
        </w:tc>
        <w:tc>
          <w:tcPr>
            <w:tcW w:w="5380" w:type="dxa"/>
            <w:vAlign w:val="bottom"/>
            <w:gridSpan w:val="2"/>
          </w:tcPr>
          <w:p>
            <w:pPr>
              <w:ind w:left="1060"/>
              <w:spacing w:after="0"/>
              <w:rPr>
                <w:sz w:val="20"/>
                <w:szCs w:val="20"/>
                <w:color w:val="auto"/>
              </w:rPr>
            </w:pPr>
            <w:r>
              <w:rPr>
                <w:rFonts w:ascii="Arial" w:cs="Arial" w:eastAsia="Arial" w:hAnsi="Arial"/>
                <w:sz w:val="18"/>
                <w:szCs w:val="18"/>
                <w:color w:val="auto"/>
              </w:rPr>
              <w:t>By  /s/ Daniel E. Bachus</w:t>
            </w:r>
          </w:p>
        </w:tc>
        <w:tc>
          <w:tcPr>
            <w:tcW w:w="1360" w:type="dxa"/>
            <w:vAlign w:val="bottom"/>
          </w:tcPr>
          <w:p>
            <w:pPr>
              <w:spacing w:after="0"/>
              <w:rPr>
                <w:sz w:val="20"/>
                <w:szCs w:val="20"/>
                <w:color w:val="auto"/>
              </w:rPr>
            </w:pPr>
          </w:p>
        </w:tc>
      </w:tr>
      <w:tr>
        <w:trPr>
          <w:trHeight w:val="209"/>
        </w:trPr>
        <w:tc>
          <w:tcPr>
            <w:tcW w:w="800" w:type="dxa"/>
            <w:vAlign w:val="bottom"/>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E. Bachus</w:t>
            </w:r>
          </w:p>
        </w:tc>
        <w:tc>
          <w:tcPr>
            <w:tcW w:w="13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r>
      <w:tr>
        <w:trPr>
          <w:trHeight w:val="618"/>
        </w:trPr>
        <w:tc>
          <w:tcPr>
            <w:tcW w:w="80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Part IV Section (3)</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Explanation of Changes in Results of Operations</w:t>
      </w:r>
    </w:p>
    <w:p>
      <w:pPr>
        <w:spacing w:after="0" w:line="184" w:lineRule="exact"/>
        <w:rPr>
          <w:sz w:val="20"/>
          <w:szCs w:val="20"/>
          <w:color w:val="auto"/>
        </w:rPr>
      </w:pPr>
    </w:p>
    <w:p>
      <w:pPr>
        <w:ind w:right="259" w:firstLine="389"/>
        <w:spacing w:after="0" w:line="302" w:lineRule="auto"/>
        <w:rPr>
          <w:sz w:val="20"/>
          <w:szCs w:val="20"/>
          <w:color w:val="auto"/>
        </w:rPr>
      </w:pPr>
      <w:r>
        <w:rPr>
          <w:rFonts w:ascii="Arial" w:cs="Arial" w:eastAsia="Arial" w:hAnsi="Arial"/>
          <w:sz w:val="16"/>
          <w:szCs w:val="16"/>
          <w:color w:val="auto"/>
        </w:rPr>
        <w:t>As a result of the proposed restatement of the Company’s financial statements, the Company concluded that it understated bad debt expense, and overstated operating income and net income, for the applicable periods covered by the restatement, including the three-month and nine-month periods ended September 30, 2010, with related impacts on the Company’s statements of cash flows and stockholders’ equity. Accordingly, the Company will restate the September 2010 balances in the Form 10-Q, as set forth below.</w:t>
      </w:r>
    </w:p>
    <w:p>
      <w:pPr>
        <w:spacing w:after="0" w:line="114" w:lineRule="exact"/>
        <w:rPr>
          <w:sz w:val="20"/>
          <w:szCs w:val="20"/>
          <w:color w:val="auto"/>
        </w:rPr>
      </w:pPr>
    </w:p>
    <w:p>
      <w:pPr>
        <w:ind w:right="339" w:firstLine="389"/>
        <w:spacing w:after="0" w:line="264" w:lineRule="auto"/>
        <w:rPr>
          <w:sz w:val="20"/>
          <w:szCs w:val="20"/>
          <w:color w:val="auto"/>
        </w:rPr>
      </w:pPr>
      <w:r>
        <w:rPr>
          <w:rFonts w:ascii="Arial" w:cs="Arial" w:eastAsia="Arial" w:hAnsi="Arial"/>
          <w:sz w:val="18"/>
          <w:szCs w:val="18"/>
          <w:color w:val="auto"/>
        </w:rPr>
        <w:t>The following tables summarize the unaudited quarterly results of operations as originally reported and as restated for the three and nine months ended September 30, 2010 with the restated amounts reflecting amounts that would have been reported under the Company’s refined allowance methodology.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3720" w:type="dxa"/>
            <w:vAlign w:val="bottom"/>
            <w:gridSpan w:val="7"/>
          </w:tcPr>
          <w:p>
            <w:pPr>
              <w:ind w:left="380"/>
              <w:spacing w:after="0"/>
              <w:rPr>
                <w:sz w:val="20"/>
                <w:szCs w:val="20"/>
                <w:color w:val="auto"/>
              </w:rPr>
            </w:pPr>
            <w:r>
              <w:rPr>
                <w:rFonts w:ascii="Arial" w:cs="Arial" w:eastAsia="Arial" w:hAnsi="Arial"/>
                <w:sz w:val="18"/>
                <w:szCs w:val="18"/>
                <w:b w:val="1"/>
                <w:bCs w:val="1"/>
                <w:color w:val="auto"/>
                <w:w w:val="97"/>
              </w:rPr>
              <w:t>Three Month Ended September 30, 2010</w:t>
            </w:r>
          </w:p>
        </w:tc>
        <w:tc>
          <w:tcPr>
            <w:tcW w:w="3140" w:type="dxa"/>
            <w:vAlign w:val="bottom"/>
            <w:gridSpan w:val="6"/>
          </w:tcPr>
          <w:p>
            <w:pPr>
              <w:spacing w:after="0"/>
              <w:rPr>
                <w:sz w:val="20"/>
                <w:szCs w:val="20"/>
                <w:color w:val="auto"/>
              </w:rPr>
            </w:pPr>
            <w:r>
              <w:rPr>
                <w:rFonts w:ascii="Arial" w:cs="Arial" w:eastAsia="Arial" w:hAnsi="Arial"/>
                <w:sz w:val="18"/>
                <w:szCs w:val="18"/>
                <w:b w:val="1"/>
                <w:bCs w:val="1"/>
                <w:color w:val="auto"/>
                <w:w w:val="91"/>
              </w:rPr>
              <w:t>Nine Months Ended September 30, 2010</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As Reported</w:t>
            </w: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As Restated</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As Reported</w:t>
            </w: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As Restated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98,946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98,946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285,794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285,794</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42,070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45,717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133,609</w:t>
            </w: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28,103</w:t>
            </w: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28,103</w:t>
            </w:r>
          </w:p>
        </w:tc>
        <w:tc>
          <w:tcPr>
            <w:tcW w:w="12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83,955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83,955</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6,608</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18,888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18,888</w:t>
            </w: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rPr>
              <w:t>Exit costs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223,547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236,684</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22,138</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18,491</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62,247</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21,995</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18,348</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61,696</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7,606</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24,902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19,603</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12,918</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10,742</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0.28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0.80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Basic weighted average shares</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0"/>
              <w:spacing w:after="0"/>
              <w:rPr>
                <w:sz w:val="20"/>
                <w:szCs w:val="20"/>
                <w:color w:val="auto"/>
              </w:rPr>
            </w:pPr>
            <w:r>
              <w:rPr>
                <w:rFonts w:ascii="Arial" w:cs="Arial" w:eastAsia="Arial" w:hAnsi="Arial"/>
                <w:sz w:val="18"/>
                <w:szCs w:val="18"/>
                <w:b w:val="1"/>
                <w:bCs w:val="1"/>
                <w:color w:val="auto"/>
              </w:rPr>
              <w:t>outstanding</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45,746</w:t>
            </w:r>
          </w:p>
        </w:tc>
        <w:tc>
          <w:tcPr>
            <w:tcW w:w="1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45,746</w:t>
            </w:r>
          </w:p>
        </w:tc>
        <w:tc>
          <w:tcPr>
            <w:tcW w:w="12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45,715</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45,715</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Diluted weighted average shares</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46,351</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46,351</w:t>
            </w: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46,413</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on the Company’s statement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10"/>
        </w:trPr>
        <w:tc>
          <w:tcPr>
            <w:tcW w:w="6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September 30, 2010</w:t>
            </w:r>
          </w:p>
        </w:tc>
        <w:tc>
          <w:tcPr>
            <w:tcW w:w="100" w:type="dxa"/>
            <w:vAlign w:val="bottom"/>
          </w:tcPr>
          <w:p>
            <w:pPr>
              <w:spacing w:after="0"/>
              <w:rPr>
                <w:sz w:val="18"/>
                <w:szCs w:val="18"/>
                <w:color w:val="auto"/>
              </w:rPr>
            </w:pPr>
          </w:p>
        </w:tc>
      </w:tr>
      <w:tr>
        <w:trPr>
          <w:trHeight w:val="210"/>
        </w:trPr>
        <w:tc>
          <w:tcPr>
            <w:tcW w:w="6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As Reported</w:t>
            </w:r>
          </w:p>
        </w:tc>
        <w:tc>
          <w:tcPr>
            <w:tcW w:w="380" w:type="dxa"/>
            <w:vAlign w:val="bottom"/>
          </w:tcPr>
          <w:p>
            <w:pPr>
              <w:spacing w:after="0"/>
              <w:rPr>
                <w:sz w:val="18"/>
                <w:szCs w:val="18"/>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As Restated</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36,794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Provision for bad debts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16,347</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29,483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(9,461)</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80,534</w:t>
            </w:r>
          </w:p>
        </w:tc>
        <w:tc>
          <w:tcPr>
            <w:tcW w:w="2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80,534</w:t>
            </w:r>
          </w:p>
        </w:tc>
      </w:tr>
      <w:tr>
        <w:trPr>
          <w:trHeight w:val="391"/>
        </w:trPr>
        <w:tc>
          <w:tcPr>
            <w:tcW w:w="6400" w:type="dxa"/>
            <w:vAlign w:val="bottom"/>
          </w:tcPr>
          <w:p>
            <w:pPr>
              <w:spacing w:after="0"/>
              <w:rPr>
                <w:sz w:val="20"/>
                <w:szCs w:val="20"/>
                <w:color w:val="auto"/>
              </w:rPr>
            </w:pPr>
            <w:r>
              <w:rPr>
                <w:rFonts w:ascii="Arial" w:cs="Arial" w:eastAsia="Arial" w:hAnsi="Arial"/>
                <w:sz w:val="18"/>
                <w:szCs w:val="18"/>
                <w:color w:val="auto"/>
              </w:rPr>
              <w:t>The following is a summary of the changes on the Company’s balance sheet.</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As of September 30, 2010</w:t>
            </w:r>
          </w:p>
        </w:tc>
      </w:tr>
      <w:tr>
        <w:trPr>
          <w:trHeight w:val="210"/>
        </w:trPr>
        <w:tc>
          <w:tcPr>
            <w:tcW w:w="6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As Reported</w:t>
            </w: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As Restated</w:t>
            </w:r>
          </w:p>
        </w:tc>
        <w:tc>
          <w:tcPr>
            <w:tcW w:w="100" w:type="dxa"/>
            <w:vAlign w:val="bottom"/>
          </w:tcPr>
          <w:p>
            <w:pPr>
              <w:spacing w:after="0"/>
              <w:rPr>
                <w:sz w:val="18"/>
                <w:szCs w:val="18"/>
                <w:color w:val="auto"/>
              </w:rPr>
            </w:pPr>
          </w:p>
        </w:tc>
      </w:tr>
      <w:tr>
        <w:trPr>
          <w:trHeight w:val="195"/>
        </w:trPr>
        <w:tc>
          <w:tcPr>
            <w:tcW w:w="6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Accounts receivable, net of allowance for doubtful accounts of $11,412(As Reported) and</w:t>
            </w:r>
          </w:p>
        </w:tc>
        <w:tc>
          <w:tcPr>
            <w:tcW w:w="4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$24,548(As Restated)</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32,722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income taxes — current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9,204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14,502</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153,074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145,236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281,542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273,704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52,409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44,571</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127,105</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119,267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281,542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273,704</w:t>
            </w:r>
          </w:p>
        </w:tc>
      </w:tr>
    </w:tbl>
    <w:p>
      <w:pPr>
        <w:spacing w:after="0" w:line="1" w:lineRule="exact"/>
        <w:rPr>
          <w:sz w:val="20"/>
          <w:szCs w:val="20"/>
          <w:color w:val="auto"/>
        </w:rPr>
      </w:pP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2019-12-11T07:34:32Z</dcterms:created>
  <dcterms:modified xsi:type="dcterms:W3CDTF">2019-12-11T07:34:32Z</dcterms:modified>
</cp:coreProperties>
</file>