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5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363220</wp:posOffset>
            </wp:positionH>
            <wp:positionV relativeFrom="page">
              <wp:posOffset>166370</wp:posOffset>
            </wp:positionV>
            <wp:extent cx="59258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page">
              <wp:posOffset>363220</wp:posOffset>
            </wp:positionH>
            <wp:positionV relativeFrom="page">
              <wp:posOffset>200660</wp:posOffset>
            </wp:positionV>
            <wp:extent cx="59258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25820" cy="8890"/>
                    </a:xfrm>
                    <a:prstGeom prst="rect">
                      <a:avLst/>
                    </a:prstGeom>
                    <a:noFill/>
                  </pic:spPr>
                </pic:pic>
              </a:graphicData>
            </a:graphic>
          </wp:anchor>
        </w:drawing>
        <w:t>UNITED STATES</w:t>
      </w:r>
    </w:p>
    <w:p>
      <w:pPr>
        <w:spacing w:after="0" w:line="38" w:lineRule="exact"/>
        <w:rPr>
          <w:sz w:val="24"/>
          <w:szCs w:val="24"/>
          <w:color w:val="auto"/>
        </w:rPr>
      </w:pPr>
    </w:p>
    <w:p>
      <w:pPr>
        <w:jc w:val="center"/>
        <w:ind w:right="559"/>
        <w:spacing w:after="0"/>
        <w:rPr>
          <w:sz w:val="20"/>
          <w:szCs w:val="20"/>
          <w:color w:val="auto"/>
        </w:rPr>
      </w:pPr>
      <w:r>
        <w:rPr>
          <w:rFonts w:ascii="Arial" w:cs="Arial" w:eastAsia="Arial" w:hAnsi="Arial"/>
          <w:sz w:val="25"/>
          <w:szCs w:val="25"/>
          <w:b w:val="1"/>
          <w:bCs w:val="1"/>
          <w:color w:val="auto"/>
        </w:rPr>
        <w:t>SECURITIES AND EXCHANGE COMMISSION</w:t>
      </w:r>
    </w:p>
    <w:p>
      <w:pPr>
        <w:spacing w:after="0" w:line="1"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Washington, D.C. 20549</w:t>
      </w:r>
    </w:p>
    <w:p>
      <w:pPr>
        <w:spacing w:after="0" w:line="277" w:lineRule="exact"/>
        <w:rPr>
          <w:sz w:val="24"/>
          <w:szCs w:val="24"/>
          <w:color w:val="auto"/>
        </w:rPr>
      </w:pPr>
    </w:p>
    <w:p>
      <w:pPr>
        <w:ind w:left="3860"/>
        <w:spacing w:after="0"/>
        <w:rPr>
          <w:sz w:val="20"/>
          <w:szCs w:val="20"/>
          <w:color w:val="auto"/>
        </w:rPr>
      </w:pPr>
      <w:r>
        <w:rPr>
          <w:rFonts w:ascii="Arial" w:cs="Arial" w:eastAsia="Arial" w:hAnsi="Arial"/>
          <w:sz w:val="32"/>
          <w:szCs w:val="32"/>
          <w:b w:val="1"/>
          <w:bCs w:val="1"/>
          <w:color w:val="auto"/>
        </w:rPr>
        <w:t>FORM 8-K</w:t>
      </w:r>
    </w:p>
    <w:p>
      <w:pPr>
        <w:spacing w:after="0" w:line="335"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59"/>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191" w:lineRule="exact"/>
        <w:rPr>
          <w:sz w:val="24"/>
          <w:szCs w:val="24"/>
          <w:color w:val="auto"/>
        </w:rPr>
      </w:pPr>
    </w:p>
    <w:p>
      <w:pPr>
        <w:ind w:left="2180"/>
        <w:spacing w:after="0"/>
        <w:rPr>
          <w:sz w:val="20"/>
          <w:szCs w:val="20"/>
          <w:color w:val="auto"/>
        </w:rPr>
      </w:pPr>
      <w:r>
        <w:rPr>
          <w:rFonts w:ascii="Arial" w:cs="Arial" w:eastAsia="Arial" w:hAnsi="Arial"/>
          <w:sz w:val="18"/>
          <w:szCs w:val="18"/>
          <w:b w:val="1"/>
          <w:bCs w:val="1"/>
          <w:color w:val="auto"/>
        </w:rPr>
        <w:t>Date of Report (Date of earliest event reported): August 16, 2010</w:t>
      </w:r>
    </w:p>
    <w:p>
      <w:pPr>
        <w:spacing w:after="0" w:line="200" w:lineRule="exact"/>
        <w:rPr>
          <w:sz w:val="24"/>
          <w:szCs w:val="24"/>
          <w:color w:val="auto"/>
        </w:rPr>
      </w:pPr>
    </w:p>
    <w:p>
      <w:pPr>
        <w:spacing w:after="0" w:line="216" w:lineRule="exact"/>
        <w:rPr>
          <w:sz w:val="24"/>
          <w:szCs w:val="24"/>
          <w:color w:val="auto"/>
        </w:rPr>
      </w:pPr>
    </w:p>
    <w:p>
      <w:pPr>
        <w:jc w:val="center"/>
        <w:ind w:right="559"/>
        <w:spacing w:after="0"/>
        <w:rPr>
          <w:sz w:val="20"/>
          <w:szCs w:val="20"/>
          <w:color w:val="auto"/>
        </w:rPr>
      </w:pPr>
      <w:r>
        <w:rPr>
          <w:rFonts w:ascii="Arial" w:cs="Arial" w:eastAsia="Arial" w:hAnsi="Arial"/>
          <w:sz w:val="43"/>
          <w:szCs w:val="43"/>
          <w:b w:val="1"/>
          <w:bCs w:val="1"/>
          <w:color w:val="auto"/>
        </w:rPr>
        <w:t>Grand Canyon Education, Inc.</w:t>
      </w:r>
    </w:p>
    <w:p>
      <w:pPr>
        <w:spacing w:after="0" w:line="50" w:lineRule="exact"/>
        <w:rPr>
          <w:sz w:val="24"/>
          <w:szCs w:val="24"/>
          <w:color w:val="auto"/>
        </w:rPr>
      </w:pPr>
    </w:p>
    <w:p>
      <w:pPr>
        <w:ind w:left="2800"/>
        <w:spacing w:after="0"/>
        <w:rPr>
          <w:sz w:val="20"/>
          <w:szCs w:val="20"/>
          <w:color w:val="auto"/>
        </w:rPr>
      </w:pPr>
      <w:r>
        <w:rPr>
          <w:rFonts w:ascii="Arial" w:cs="Arial" w:eastAsia="Arial" w:hAnsi="Arial"/>
          <w:sz w:val="18"/>
          <w:szCs w:val="18"/>
          <w:color w:val="auto"/>
        </w:rPr>
        <w:t>(Exact name of registrant as specified in its charter)</w:t>
      </w:r>
    </w:p>
    <w:p>
      <w:pPr>
        <w:spacing w:after="0" w:line="205"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3480" w:type="dxa"/>
            <w:vAlign w:val="bottom"/>
            <w:gridSpan w:val="3"/>
          </w:tcPr>
          <w:p>
            <w:pPr>
              <w:jc w:val="center"/>
              <w:ind w:right="480"/>
              <w:spacing w:after="0"/>
              <w:rPr>
                <w:sz w:val="20"/>
                <w:szCs w:val="20"/>
                <w:color w:val="auto"/>
              </w:rPr>
            </w:pPr>
            <w:r>
              <w:rPr>
                <w:rFonts w:ascii="Arial" w:cs="Arial" w:eastAsia="Arial" w:hAnsi="Arial"/>
                <w:sz w:val="18"/>
                <w:szCs w:val="18"/>
                <w:b w:val="1"/>
                <w:bCs w:val="1"/>
                <w:color w:val="auto"/>
                <w:w w:val="91"/>
              </w:rPr>
              <w:t>Delaware</w:t>
            </w:r>
          </w:p>
        </w:tc>
        <w:tc>
          <w:tcPr>
            <w:tcW w:w="2720" w:type="dxa"/>
            <w:vAlign w:val="bottom"/>
            <w:gridSpan w:val="3"/>
          </w:tcPr>
          <w:p>
            <w:pPr>
              <w:jc w:val="right"/>
              <w:ind w:right="1160"/>
              <w:spacing w:after="0"/>
              <w:rPr>
                <w:sz w:val="20"/>
                <w:szCs w:val="20"/>
                <w:color w:val="auto"/>
              </w:rPr>
            </w:pPr>
            <w:r>
              <w:rPr>
                <w:rFonts w:ascii="Arial" w:cs="Arial" w:eastAsia="Arial" w:hAnsi="Arial"/>
                <w:sz w:val="18"/>
                <w:szCs w:val="18"/>
                <w:b w:val="1"/>
                <w:bCs w:val="1"/>
                <w:color w:val="auto"/>
              </w:rPr>
              <w:t>001-34211</w:t>
            </w:r>
          </w:p>
        </w:tc>
        <w:tc>
          <w:tcPr>
            <w:tcW w:w="3120" w:type="dxa"/>
            <w:vAlign w:val="bottom"/>
            <w:gridSpan w:val="2"/>
          </w:tcPr>
          <w:p>
            <w:pPr>
              <w:jc w:val="right"/>
              <w:ind w:right="990"/>
              <w:spacing w:after="0"/>
              <w:rPr>
                <w:sz w:val="20"/>
                <w:szCs w:val="20"/>
                <w:color w:val="auto"/>
              </w:rPr>
            </w:pPr>
            <w:r>
              <w:rPr>
                <w:rFonts w:ascii="Arial" w:cs="Arial" w:eastAsia="Arial" w:hAnsi="Arial"/>
                <w:sz w:val="18"/>
                <w:szCs w:val="18"/>
                <w:b w:val="1"/>
                <w:bCs w:val="1"/>
                <w:color w:val="auto"/>
              </w:rPr>
              <w:t>20-3356009</w:t>
            </w:r>
          </w:p>
        </w:tc>
      </w:tr>
      <w:tr>
        <w:trPr>
          <w:trHeight w:val="195"/>
        </w:trPr>
        <w:tc>
          <w:tcPr>
            <w:tcW w:w="300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2"/>
              </w:rPr>
              <w:t>(State or other Jurisdiction of</w:t>
            </w:r>
          </w:p>
        </w:tc>
        <w:tc>
          <w:tcPr>
            <w:tcW w:w="80" w:type="dxa"/>
            <w:vAlign w:val="bottom"/>
          </w:tcPr>
          <w:p>
            <w:pPr>
              <w:spacing w:after="0"/>
              <w:rPr>
                <w:sz w:val="16"/>
                <w:szCs w:val="16"/>
                <w:color w:val="auto"/>
              </w:rPr>
            </w:pPr>
          </w:p>
        </w:tc>
        <w:tc>
          <w:tcPr>
            <w:tcW w:w="400" w:type="dxa"/>
            <w:vAlign w:val="bottom"/>
            <w:tcBorders>
              <w:top w:val="single" w:sz="8" w:color="auto"/>
            </w:tcBorders>
          </w:tcPr>
          <w:p>
            <w:pPr>
              <w:spacing w:after="0"/>
              <w:rPr>
                <w:sz w:val="16"/>
                <w:szCs w:val="16"/>
                <w:color w:val="auto"/>
              </w:rPr>
            </w:pPr>
          </w:p>
        </w:tc>
        <w:tc>
          <w:tcPr>
            <w:tcW w:w="2720" w:type="dxa"/>
            <w:vAlign w:val="bottom"/>
            <w:tcBorders>
              <w:top w:val="single" w:sz="8" w:color="auto"/>
            </w:tcBorders>
            <w:gridSpan w:val="3"/>
          </w:tcPr>
          <w:p>
            <w:pPr>
              <w:jc w:val="center"/>
              <w:ind w:right="380"/>
              <w:spacing w:after="0" w:line="195" w:lineRule="exact"/>
              <w:rPr>
                <w:sz w:val="20"/>
                <w:szCs w:val="20"/>
                <w:color w:val="auto"/>
              </w:rPr>
            </w:pPr>
            <w:r>
              <w:rPr>
                <w:rFonts w:ascii="Arial" w:cs="Arial" w:eastAsia="Arial" w:hAnsi="Arial"/>
                <w:sz w:val="18"/>
                <w:szCs w:val="18"/>
                <w:color w:val="auto"/>
                <w:w w:val="92"/>
              </w:rPr>
              <w:t>(Commission File Number)</w:t>
            </w:r>
          </w:p>
        </w:tc>
        <w:tc>
          <w:tcPr>
            <w:tcW w:w="80" w:type="dxa"/>
            <w:vAlign w:val="bottom"/>
          </w:tcPr>
          <w:p>
            <w:pPr>
              <w:spacing w:after="0"/>
              <w:rPr>
                <w:sz w:val="16"/>
                <w:szCs w:val="16"/>
                <w:color w:val="auto"/>
              </w:rPr>
            </w:pPr>
          </w:p>
        </w:tc>
        <w:tc>
          <w:tcPr>
            <w:tcW w:w="30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94"/>
              </w:rPr>
              <w:t>(IRS Employer Identification No.)</w:t>
            </w:r>
          </w:p>
        </w:tc>
      </w:tr>
      <w:tr>
        <w:trPr>
          <w:trHeight w:val="230"/>
        </w:trPr>
        <w:tc>
          <w:tcPr>
            <w:tcW w:w="3480" w:type="dxa"/>
            <w:vAlign w:val="bottom"/>
            <w:gridSpan w:val="3"/>
          </w:tcPr>
          <w:p>
            <w:pPr>
              <w:jc w:val="center"/>
              <w:ind w:right="480"/>
              <w:spacing w:after="0"/>
              <w:rPr>
                <w:sz w:val="20"/>
                <w:szCs w:val="20"/>
                <w:color w:val="auto"/>
              </w:rPr>
            </w:pPr>
            <w:r>
              <w:rPr>
                <w:rFonts w:ascii="Arial" w:cs="Arial" w:eastAsia="Arial" w:hAnsi="Arial"/>
                <w:sz w:val="18"/>
                <w:szCs w:val="18"/>
                <w:color w:val="auto"/>
                <w:w w:val="93"/>
              </w:rPr>
              <w:t>Incorporation)</w:t>
            </w:r>
          </w:p>
        </w:tc>
        <w:tc>
          <w:tcPr>
            <w:tcW w:w="1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40" w:type="dxa"/>
            <w:vAlign w:val="bottom"/>
          </w:tcPr>
          <w:p>
            <w:pPr>
              <w:spacing w:after="0"/>
              <w:rPr>
                <w:sz w:val="20"/>
                <w:szCs w:val="20"/>
                <w:color w:val="auto"/>
              </w:rPr>
            </w:pPr>
          </w:p>
        </w:tc>
      </w:tr>
      <w:tr>
        <w:trPr>
          <w:trHeight w:val="414"/>
        </w:trPr>
        <w:tc>
          <w:tcPr>
            <w:tcW w:w="3480" w:type="dxa"/>
            <w:vAlign w:val="bottom"/>
            <w:gridSpan w:val="3"/>
          </w:tcPr>
          <w:p>
            <w:pPr>
              <w:jc w:val="center"/>
              <w:ind w:left="1050"/>
              <w:spacing w:after="0"/>
              <w:rPr>
                <w:sz w:val="20"/>
                <w:szCs w:val="20"/>
                <w:color w:val="auto"/>
              </w:rPr>
            </w:pPr>
            <w:r>
              <w:rPr>
                <w:rFonts w:ascii="Arial" w:cs="Arial" w:eastAsia="Arial" w:hAnsi="Arial"/>
                <w:sz w:val="18"/>
                <w:szCs w:val="18"/>
                <w:b w:val="1"/>
                <w:bCs w:val="1"/>
                <w:color w:val="auto"/>
                <w:w w:val="91"/>
              </w:rPr>
              <w:t>3300 W. Camelback Road</w:t>
            </w: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40" w:type="dxa"/>
            <w:vAlign w:val="bottom"/>
          </w:tcPr>
          <w:p>
            <w:pPr>
              <w:spacing w:after="0"/>
              <w:rPr>
                <w:sz w:val="24"/>
                <w:szCs w:val="24"/>
                <w:color w:val="auto"/>
              </w:rPr>
            </w:pPr>
          </w:p>
        </w:tc>
      </w:tr>
      <w:tr>
        <w:trPr>
          <w:trHeight w:val="234"/>
        </w:trPr>
        <w:tc>
          <w:tcPr>
            <w:tcW w:w="3480" w:type="dxa"/>
            <w:vAlign w:val="bottom"/>
            <w:tcBorders>
              <w:bottom w:val="single" w:sz="8" w:color="auto"/>
            </w:tcBorders>
            <w:gridSpan w:val="3"/>
          </w:tcPr>
          <w:p>
            <w:pPr>
              <w:jc w:val="center"/>
              <w:ind w:left="1030"/>
              <w:spacing w:after="0"/>
              <w:rPr>
                <w:sz w:val="20"/>
                <w:szCs w:val="20"/>
                <w:color w:val="auto"/>
              </w:rPr>
            </w:pPr>
            <w:r>
              <w:rPr>
                <w:rFonts w:ascii="Arial" w:cs="Arial" w:eastAsia="Arial" w:hAnsi="Arial"/>
                <w:sz w:val="18"/>
                <w:szCs w:val="18"/>
                <w:b w:val="1"/>
                <w:bCs w:val="1"/>
                <w:color w:val="auto"/>
                <w:w w:val="90"/>
              </w:rPr>
              <w:t>Phoenix, Arizona</w:t>
            </w:r>
          </w:p>
        </w:tc>
        <w:tc>
          <w:tcPr>
            <w:tcW w:w="114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500" w:type="dxa"/>
            <w:vAlign w:val="bottom"/>
            <w:tcBorders>
              <w:bottom w:val="single" w:sz="8" w:color="auto"/>
            </w:tcBorders>
          </w:tcPr>
          <w:p>
            <w:pPr>
              <w:spacing w:after="0"/>
              <w:rPr>
                <w:sz w:val="20"/>
                <w:szCs w:val="20"/>
                <w:color w:val="auto"/>
              </w:rPr>
            </w:pPr>
          </w:p>
        </w:tc>
        <w:tc>
          <w:tcPr>
            <w:tcW w:w="3120" w:type="dxa"/>
            <w:vAlign w:val="bottom"/>
            <w:tcBorders>
              <w:bottom w:val="single" w:sz="8" w:color="auto"/>
            </w:tcBorders>
            <w:gridSpan w:val="2"/>
          </w:tcPr>
          <w:p>
            <w:pPr>
              <w:jc w:val="right"/>
              <w:ind w:right="1990"/>
              <w:spacing w:after="0"/>
              <w:rPr>
                <w:sz w:val="20"/>
                <w:szCs w:val="20"/>
                <w:color w:val="auto"/>
              </w:rPr>
            </w:pPr>
            <w:r>
              <w:rPr>
                <w:rFonts w:ascii="Arial" w:cs="Arial" w:eastAsia="Arial" w:hAnsi="Arial"/>
                <w:sz w:val="18"/>
                <w:szCs w:val="18"/>
                <w:b w:val="1"/>
                <w:bCs w:val="1"/>
                <w:color w:val="auto"/>
              </w:rPr>
              <w:t>85017</w:t>
            </w:r>
          </w:p>
        </w:tc>
      </w:tr>
      <w:tr>
        <w:trPr>
          <w:trHeight w:val="224"/>
        </w:trPr>
        <w:tc>
          <w:tcPr>
            <w:tcW w:w="4620" w:type="dxa"/>
            <w:vAlign w:val="bottom"/>
            <w:gridSpan w:val="4"/>
          </w:tcPr>
          <w:p>
            <w:pPr>
              <w:jc w:val="center"/>
              <w:spacing w:after="0"/>
              <w:rPr>
                <w:sz w:val="20"/>
                <w:szCs w:val="20"/>
                <w:color w:val="auto"/>
              </w:rPr>
            </w:pPr>
            <w:r>
              <w:rPr>
                <w:rFonts w:ascii="Arial" w:cs="Arial" w:eastAsia="Arial" w:hAnsi="Arial"/>
                <w:sz w:val="18"/>
                <w:szCs w:val="18"/>
                <w:color w:val="auto"/>
                <w:w w:val="92"/>
              </w:rPr>
              <w:t>(Address of Principal Executive Offices)</w:t>
            </w:r>
          </w:p>
        </w:tc>
        <w:tc>
          <w:tcPr>
            <w:tcW w:w="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40" w:type="dxa"/>
            <w:vAlign w:val="bottom"/>
          </w:tcPr>
          <w:p>
            <w:pPr>
              <w:jc w:val="center"/>
              <w:ind w:right="1490"/>
              <w:spacing w:after="0"/>
              <w:rPr>
                <w:sz w:val="20"/>
                <w:szCs w:val="20"/>
                <w:color w:val="auto"/>
              </w:rPr>
            </w:pPr>
            <w:r>
              <w:rPr>
                <w:rFonts w:ascii="Arial" w:cs="Arial" w:eastAsia="Arial" w:hAnsi="Arial"/>
                <w:sz w:val="18"/>
                <w:szCs w:val="18"/>
                <w:color w:val="auto"/>
                <w:w w:val="91"/>
              </w:rPr>
              <w:t>(Zip Code)</w:t>
            </w:r>
          </w:p>
        </w:tc>
      </w:tr>
    </w:tbl>
    <w:p>
      <w:pPr>
        <w:spacing w:after="0" w:line="400" w:lineRule="exact"/>
        <w:rPr>
          <w:sz w:val="24"/>
          <w:szCs w:val="24"/>
          <w:color w:val="auto"/>
        </w:rPr>
      </w:pPr>
    </w:p>
    <w:p>
      <w:pPr>
        <w:ind w:left="220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(602) 639-7500</w:t>
      </w:r>
    </w:p>
    <w:p>
      <w:pPr>
        <w:spacing w:after="0" w:line="200" w:lineRule="exact"/>
        <w:rPr>
          <w:sz w:val="24"/>
          <w:szCs w:val="24"/>
          <w:color w:val="auto"/>
        </w:rPr>
      </w:pPr>
    </w:p>
    <w:p>
      <w:pPr>
        <w:spacing w:after="0" w:line="259" w:lineRule="exact"/>
        <w:rPr>
          <w:sz w:val="24"/>
          <w:szCs w:val="24"/>
          <w:color w:val="auto"/>
        </w:rPr>
      </w:pPr>
    </w:p>
    <w:p>
      <w:pPr>
        <w:jc w:val="center"/>
        <w:ind w:right="5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1555750</wp:posOffset>
            </wp:positionH>
            <wp:positionV relativeFrom="paragraph">
              <wp:posOffset>-130175</wp:posOffset>
            </wp:positionV>
            <wp:extent cx="28130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13050" cy="8890"/>
                    </a:xfrm>
                    <a:prstGeom prst="rect">
                      <a:avLst/>
                    </a:prstGeom>
                    <a:noFill/>
                  </pic:spPr>
                </pic:pic>
              </a:graphicData>
            </a:graphic>
          </wp:anchor>
        </w:drawing>
      </w:r>
    </w:p>
    <w:p>
      <w:pPr>
        <w:spacing w:after="0" w:line="165" w:lineRule="exact"/>
        <w:rPr>
          <w:sz w:val="24"/>
          <w:szCs w:val="24"/>
          <w:color w:val="auto"/>
        </w:rPr>
      </w:pPr>
    </w:p>
    <w:p>
      <w:pPr>
        <w:jc w:val="both"/>
        <w:ind w:right="559"/>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o Written communications pursuant to Rule 425 under the Securities Act (17 CFR 230.425)</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Soliciting material pursuant to Rule 14a-12 under the Exchange Act (17 CFR 240.14a-12)</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14d-2(b) under the Exchange Act (17 CFR 240.14d-2(b))</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o 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-4445</wp:posOffset>
            </wp:positionH>
            <wp:positionV relativeFrom="paragraph">
              <wp:posOffset>143510</wp:posOffset>
            </wp:positionV>
            <wp:extent cx="59258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25820" cy="8890"/>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160655</wp:posOffset>
            </wp:positionV>
            <wp:extent cx="59258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925820" cy="26035"/>
                    </a:xfrm>
                    <a:prstGeom prst="rect">
                      <a:avLst/>
                    </a:prstGeom>
                    <a:noFill/>
                  </pic:spPr>
                </pic:pic>
              </a:graphicData>
            </a:graphic>
          </wp:anchor>
        </w:drawing>
        <w:drawing>
          <wp:anchor simplePos="0" relativeHeight="251657728" behindDoc="1" locked="0" layoutInCell="0" allowOverlap="1">
            <wp:simplePos x="0" y="0"/>
            <wp:positionH relativeFrom="column">
              <wp:posOffset>-212090</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562" w:right="1440"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202" w:lineRule="exact"/>
        <w:rPr>
          <w:sz w:val="20"/>
          <w:szCs w:val="20"/>
          <w:color w:val="auto"/>
        </w:rPr>
      </w:pPr>
    </w:p>
    <w:p>
      <w:pPr>
        <w:ind w:right="1099" w:firstLine="373"/>
        <w:spacing w:after="0" w:line="264" w:lineRule="auto"/>
        <w:rPr>
          <w:sz w:val="20"/>
          <w:szCs w:val="20"/>
          <w:color w:val="auto"/>
        </w:rPr>
      </w:pPr>
      <w:r>
        <w:rPr>
          <w:rFonts w:ascii="Arial" w:cs="Arial" w:eastAsia="Arial" w:hAnsi="Arial"/>
          <w:sz w:val="18"/>
          <w:szCs w:val="18"/>
          <w:color w:val="auto"/>
        </w:rPr>
        <w:t>On August 16, 2010, Grand Canyon Education, Inc. issued a press release announcing that its Board of Directors has adopted a stock repurchase program, a copy of which is filed as Exhibit 99.1 to this Current Report on Form 8-K and is incorporated herein by reference.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89" w:lineRule="exact"/>
        <w:rPr>
          <w:sz w:val="20"/>
          <w:szCs w:val="20"/>
          <w:color w:val="auto"/>
        </w:rPr>
      </w:pPr>
    </w:p>
    <w:p>
      <w:pPr>
        <w:ind w:right="659" w:firstLine="373"/>
        <w:spacing w:after="0" w:line="277" w:lineRule="auto"/>
        <w:rPr>
          <w:sz w:val="20"/>
          <w:szCs w:val="20"/>
          <w:color w:val="auto"/>
        </w:rPr>
      </w:pPr>
      <w:r>
        <w:rPr>
          <w:rFonts w:ascii="Arial" w:cs="Arial" w:eastAsia="Arial" w:hAnsi="Arial"/>
          <w:sz w:val="18"/>
          <w:szCs w:val="18"/>
          <w:color w:val="auto"/>
        </w:rPr>
        <w:t>As described in Item 8.01 of this Current Report on Form 8-K, the following Exhibit is filed as Exhibit 99.1 to this Current Report on Form 8-K.</w:t>
      </w:r>
    </w:p>
    <w:p>
      <w:pPr>
        <w:spacing w:after="0" w:line="143" w:lineRule="exact"/>
        <w:rPr>
          <w:sz w:val="20"/>
          <w:szCs w:val="20"/>
          <w:color w:val="auto"/>
        </w:rPr>
      </w:pPr>
    </w:p>
    <w:p>
      <w:pPr>
        <w:ind w:left="760" w:hanging="395"/>
        <w:spacing w:after="0"/>
        <w:tabs>
          <w:tab w:leader="none" w:pos="760" w:val="left"/>
        </w:tabs>
        <w:numPr>
          <w:ilvl w:val="0"/>
          <w:numId w:val="1"/>
        </w:numPr>
        <w:rPr>
          <w:rFonts w:ascii="Arial" w:cs="Arial" w:eastAsia="Arial" w:hAnsi="Arial"/>
          <w:sz w:val="18"/>
          <w:szCs w:val="18"/>
          <w:color w:val="auto"/>
        </w:rPr>
      </w:pPr>
      <w:r>
        <w:rPr>
          <w:rFonts w:ascii="Arial" w:cs="Arial" w:eastAsia="Arial" w:hAnsi="Arial"/>
          <w:sz w:val="18"/>
          <w:szCs w:val="18"/>
          <w:u w:val="single" w:color="auto"/>
          <w:color w:val="auto"/>
        </w:rPr>
        <w:t>Exhibits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ind w:left="1200" w:right="1259" w:hanging="459"/>
        <w:spacing w:after="0" w:line="277" w:lineRule="auto"/>
        <w:rPr>
          <w:rFonts w:ascii="Arial" w:cs="Arial" w:eastAsia="Arial" w:hAnsi="Arial"/>
          <w:sz w:val="18"/>
          <w:szCs w:val="18"/>
          <w:color w:val="auto"/>
        </w:rPr>
      </w:pPr>
      <w:r>
        <w:rPr>
          <w:rFonts w:ascii="Arial" w:cs="Arial" w:eastAsia="Arial" w:hAnsi="Arial"/>
          <w:sz w:val="18"/>
          <w:szCs w:val="18"/>
          <w:color w:val="auto"/>
        </w:rPr>
        <w:t>99.1 Grand Canyon Education, Inc. press release announcing that its Board of Directors has adopted a stock repurchase program, dated August 16,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363855</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2" w:name="page3"/>
    <w:bookmarkEnd w:id="2"/>
    <w:p>
      <w:pPr>
        <w:jc w:val="center"/>
        <w:ind w:right="559"/>
        <w:spacing w:after="0"/>
        <w:rPr>
          <w:sz w:val="20"/>
          <w:szCs w:val="20"/>
          <w:color w:val="auto"/>
        </w:rPr>
      </w:pPr>
      <w:r>
        <w:rPr>
          <w:rFonts w:ascii="Arial" w:cs="Arial" w:eastAsia="Arial" w:hAnsi="Arial"/>
          <w:sz w:val="18"/>
          <w:szCs w:val="18"/>
          <w:b w:val="1"/>
          <w:bCs w:val="1"/>
          <w:color w:val="auto"/>
        </w:rPr>
        <w:t>SIGNATURES</w:t>
      </w:r>
    </w:p>
    <w:p>
      <w:pPr>
        <w:spacing w:after="0" w:line="202" w:lineRule="exact"/>
        <w:rPr>
          <w:sz w:val="20"/>
          <w:szCs w:val="20"/>
          <w:color w:val="auto"/>
        </w:rPr>
      </w:pPr>
    </w:p>
    <w:p>
      <w:pPr>
        <w:ind w:right="659" w:firstLine="37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Date: August 16, 2010</w:t>
      </w:r>
    </w:p>
    <w:p>
      <w:pPr>
        <w:spacing w:after="0" w:line="200" w:lineRule="exact"/>
        <w:rPr>
          <w:sz w:val="20"/>
          <w:szCs w:val="20"/>
          <w:color w:val="auto"/>
        </w:rPr>
      </w:pPr>
    </w:p>
    <w:p>
      <w:pPr>
        <w:spacing w:after="0" w:line="201" w:lineRule="exact"/>
        <w:rPr>
          <w:sz w:val="20"/>
          <w:szCs w:val="20"/>
          <w:color w:val="auto"/>
        </w:rPr>
      </w:pPr>
    </w:p>
    <w:p>
      <w:pPr>
        <w:ind w:left="4100"/>
        <w:spacing w:after="0"/>
        <w:rPr>
          <w:sz w:val="20"/>
          <w:szCs w:val="20"/>
          <w:color w:val="auto"/>
        </w:rPr>
      </w:pPr>
      <w:r>
        <w:rPr>
          <w:rFonts w:ascii="Arial" w:cs="Arial" w:eastAsia="Arial" w:hAnsi="Arial"/>
          <w:sz w:val="18"/>
          <w:szCs w:val="18"/>
          <w:color w:val="auto"/>
        </w:rPr>
        <w:t>GRAND CANYON EDUCATION, INC.</w:t>
      </w:r>
    </w:p>
    <w:p>
      <w:pPr>
        <w:spacing w:after="0" w:line="225" w:lineRule="exact"/>
        <w:rPr>
          <w:sz w:val="20"/>
          <w:szCs w:val="20"/>
          <w:color w:val="auto"/>
        </w:rPr>
      </w:pPr>
    </w:p>
    <w:p>
      <w:pPr>
        <w:ind w:left="4100"/>
        <w:spacing w:after="0"/>
        <w:tabs>
          <w:tab w:leader="none" w:pos="4520" w:val="left"/>
        </w:tabs>
        <w:rPr>
          <w:sz w:val="20"/>
          <w:szCs w:val="20"/>
          <w:color w:val="auto"/>
        </w:rPr>
      </w:pPr>
      <w:r>
        <w:rPr>
          <w:rFonts w:ascii="Arial" w:cs="Arial" w:eastAsia="Arial" w:hAnsi="Arial"/>
          <w:sz w:val="18"/>
          <w:szCs w:val="18"/>
          <w:color w:val="auto"/>
        </w:rPr>
        <w:t>By:</w:t>
        <w:tab/>
        <w:t>/s/ Daniel E. Bachus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2884805</wp:posOffset>
            </wp:positionH>
            <wp:positionV relativeFrom="paragraph">
              <wp:posOffset>14605</wp:posOffset>
            </wp:positionV>
            <wp:extent cx="303593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035935" cy="8890"/>
                    </a:xfrm>
                    <a:prstGeom prst="rect">
                      <a:avLst/>
                    </a:prstGeom>
                    <a:noFill/>
                  </pic:spPr>
                </pic:pic>
              </a:graphicData>
            </a:graphic>
          </wp:anchor>
        </w:drawing>
      </w:r>
    </w:p>
    <w:p>
      <w:pPr>
        <w:spacing w:after="0" w:line="17"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Daniel E. Bachus</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(Principal Financial and Principal Accounting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-212090</wp:posOffset>
            </wp:positionH>
            <wp:positionV relativeFrom="paragraph">
              <wp:posOffset>398145</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879"/>
          </w:cols>
          <w:pgMar w:left="580" w:top="931" w:right="1440"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80" w:type="dxa"/>
            <w:vAlign w:val="bottom"/>
          </w:tcPr>
          <w:p>
            <w:pPr>
              <w:ind w:left="2920"/>
              <w:spacing w:after="0"/>
              <w:rPr>
                <w:sz w:val="20"/>
                <w:szCs w:val="20"/>
                <w:color w:val="auto"/>
              </w:rPr>
            </w:pPr>
            <w:r>
              <w:rPr>
                <w:rFonts w:ascii="Arial" w:cs="Arial" w:eastAsia="Arial" w:hAnsi="Arial"/>
                <w:sz w:val="18"/>
                <w:szCs w:val="18"/>
                <w:b w:val="1"/>
                <w:bCs w:val="1"/>
                <w:color w:val="auto"/>
              </w:rPr>
              <w:t>EXHIBIT INDEX</w:t>
            </w:r>
          </w:p>
        </w:tc>
      </w:tr>
      <w:tr>
        <w:trPr>
          <w:trHeight w:val="823"/>
        </w:trPr>
        <w:tc>
          <w:tcPr>
            <w:tcW w:w="580" w:type="dxa"/>
            <w:vAlign w:val="bottom"/>
          </w:tcPr>
          <w:p>
            <w:pPr>
              <w:spacing w:after="0"/>
              <w:rPr>
                <w:sz w:val="20"/>
                <w:szCs w:val="20"/>
                <w:color w:val="auto"/>
              </w:rPr>
            </w:pPr>
            <w:r>
              <w:rPr>
                <w:rFonts w:ascii="Arial" w:cs="Arial" w:eastAsia="Arial" w:hAnsi="Arial"/>
                <w:sz w:val="18"/>
                <w:szCs w:val="18"/>
                <w:color w:val="auto"/>
              </w:rPr>
              <w:t>Exhibit</w:t>
            </w:r>
          </w:p>
        </w:tc>
        <w:tc>
          <w:tcPr>
            <w:tcW w:w="460" w:type="dxa"/>
            <w:vAlign w:val="bottom"/>
          </w:tcPr>
          <w:p>
            <w:pPr>
              <w:spacing w:after="0"/>
              <w:rPr>
                <w:sz w:val="24"/>
                <w:szCs w:val="24"/>
                <w:color w:val="auto"/>
              </w:rPr>
            </w:pPr>
          </w:p>
        </w:tc>
        <w:tc>
          <w:tcPr>
            <w:tcW w:w="8280" w:type="dxa"/>
            <w:vAlign w:val="bottom"/>
          </w:tcPr>
          <w:p>
            <w:pPr>
              <w:spacing w:after="0"/>
              <w:rPr>
                <w:sz w:val="24"/>
                <w:szCs w:val="24"/>
                <w:color w:val="auto"/>
              </w:rPr>
            </w:pPr>
          </w:p>
        </w:tc>
      </w:tr>
      <w:tr>
        <w:trPr>
          <w:trHeight w:val="230"/>
        </w:trPr>
        <w:tc>
          <w:tcPr>
            <w:tcW w:w="58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7"/>
              </w:rPr>
              <w:t>Number</w:t>
            </w:r>
          </w:p>
        </w:tc>
        <w:tc>
          <w:tcPr>
            <w:tcW w:w="460" w:type="dxa"/>
            <w:vAlign w:val="bottom"/>
          </w:tcPr>
          <w:p>
            <w:pPr>
              <w:spacing w:after="0"/>
              <w:rPr>
                <w:sz w:val="20"/>
                <w:szCs w:val="20"/>
                <w:color w:val="auto"/>
              </w:rPr>
            </w:pPr>
          </w:p>
        </w:tc>
        <w:tc>
          <w:tcPr>
            <w:tcW w:w="82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Description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18"/>
                <w:szCs w:val="18"/>
                <w:color w:val="auto"/>
              </w:rPr>
            </w:pPr>
          </w:p>
        </w:tc>
        <w:tc>
          <w:tcPr>
            <w:tcW w:w="8280" w:type="dxa"/>
            <w:vAlign w:val="bottom"/>
          </w:tcPr>
          <w:p>
            <w:pPr>
              <w:spacing w:after="0"/>
              <w:rPr>
                <w:sz w:val="20"/>
                <w:szCs w:val="20"/>
                <w:color w:val="auto"/>
              </w:rPr>
            </w:pPr>
            <w:r>
              <w:rPr>
                <w:rFonts w:ascii="Arial" w:cs="Arial" w:eastAsia="Arial" w:hAnsi="Arial"/>
                <w:sz w:val="18"/>
                <w:szCs w:val="18"/>
                <w:color w:val="auto"/>
                <w:w w:val="93"/>
              </w:rPr>
              <w:t>Grand Canyon Education, Inc. press release announcing its Board of Directors has adopted a stock repurchase</w:t>
            </w:r>
          </w:p>
        </w:tc>
      </w:tr>
      <w:tr>
        <w:trPr>
          <w:trHeight w:val="230"/>
        </w:trPr>
        <w:tc>
          <w:tcPr>
            <w:tcW w:w="5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280" w:type="dxa"/>
            <w:vAlign w:val="bottom"/>
          </w:tcPr>
          <w:p>
            <w:pPr>
              <w:spacing w:after="0"/>
              <w:rPr>
                <w:sz w:val="20"/>
                <w:szCs w:val="20"/>
                <w:color w:val="auto"/>
              </w:rPr>
            </w:pPr>
            <w:r>
              <w:rPr>
                <w:rFonts w:ascii="Arial" w:cs="Arial" w:eastAsia="Arial" w:hAnsi="Arial"/>
                <w:sz w:val="18"/>
                <w:szCs w:val="18"/>
                <w:color w:val="auto"/>
              </w:rPr>
              <w:t>program, dated August 16, 2010.</w:t>
            </w:r>
          </w:p>
        </w:tc>
      </w:tr>
    </w:tbl>
    <w:p>
      <w:pPr>
        <w:sectPr>
          <w:pgSz w:w="11900" w:h="16838" w:orient="portrait"/>
          <w:cols w:equalWidth="0" w:num="1">
            <w:col w:w="9879"/>
          </w:cols>
          <w:pgMar w:left="580" w:top="931" w:right="1440" w:bottom="1440" w:gutter="0" w:footer="0" w:header="0"/>
        </w:sectPr>
      </w:pPr>
    </w:p>
    <w:bookmarkStart w:id="4" w:name="page5"/>
    <w:bookmarkEnd w:id="4"/>
    <w:p>
      <w:pPr>
        <w:jc w:val="right"/>
        <w:ind w:right="559"/>
        <w:spacing w:after="0"/>
        <w:rPr>
          <w:sz w:val="20"/>
          <w:szCs w:val="20"/>
          <w:color w:val="auto"/>
        </w:rPr>
      </w:pPr>
      <w:r>
        <w:rPr>
          <w:rFonts w:ascii="Arial" w:cs="Arial" w:eastAsia="Arial" w:hAnsi="Arial"/>
          <w:sz w:val="18"/>
          <w:szCs w:val="18"/>
          <w:b w:val="1"/>
          <w:bCs w:val="1"/>
          <w:color w:val="auto"/>
        </w:rPr>
        <w:t>Exhibit 99.1</w:t>
      </w:r>
    </w:p>
    <w:p>
      <w:pPr>
        <w:spacing w:after="0" w:line="185"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GRAND CANYON EDUCATION, INC.</w:t>
      </w:r>
    </w:p>
    <w:p>
      <w:pPr>
        <w:spacing w:after="0" w:line="27" w:lineRule="exact"/>
        <w:rPr>
          <w:sz w:val="20"/>
          <w:szCs w:val="20"/>
          <w:color w:val="auto"/>
        </w:rPr>
      </w:pPr>
    </w:p>
    <w:p>
      <w:pPr>
        <w:jc w:val="center"/>
        <w:ind w:right="559"/>
        <w:spacing w:after="0"/>
        <w:rPr>
          <w:sz w:val="20"/>
          <w:szCs w:val="20"/>
          <w:color w:val="auto"/>
        </w:rPr>
      </w:pPr>
      <w:r>
        <w:rPr>
          <w:rFonts w:ascii="Arial" w:cs="Arial" w:eastAsia="Arial" w:hAnsi="Arial"/>
          <w:sz w:val="18"/>
          <w:szCs w:val="18"/>
          <w:b w:val="1"/>
          <w:bCs w:val="1"/>
          <w:color w:val="auto"/>
        </w:rPr>
        <w:t>ANNOUNCES STOCK REPURCHASE PROGRAM</w:t>
      </w:r>
    </w:p>
    <w:p>
      <w:pPr>
        <w:spacing w:after="0" w:line="184" w:lineRule="exact"/>
        <w:rPr>
          <w:sz w:val="20"/>
          <w:szCs w:val="20"/>
          <w:color w:val="auto"/>
        </w:rPr>
      </w:pPr>
    </w:p>
    <w:p>
      <w:pPr>
        <w:ind w:right="639"/>
        <w:spacing w:after="0" w:line="302" w:lineRule="auto"/>
        <w:rPr>
          <w:sz w:val="20"/>
          <w:szCs w:val="20"/>
          <w:color w:val="auto"/>
        </w:rPr>
      </w:pPr>
      <w:r>
        <w:rPr>
          <w:rFonts w:ascii="Arial" w:cs="Arial" w:eastAsia="Arial" w:hAnsi="Arial"/>
          <w:sz w:val="16"/>
          <w:szCs w:val="16"/>
          <w:color w:val="auto"/>
        </w:rPr>
        <w:t>Phoenix, AZ, August 16, 2010 – Grand Canyon Education, Inc. (NASDAQ: LOPE) announced today that the Company’s Board of Directors has adopted a program to repurchase from time to time at management’s discretion up to $25.0 million of the Company’s common stock during the period ending September 30, 2011, unless such period is extended or shortened by the Board of Directors. As of August 5, 2010, the Company had 45.8 million shares of common stock outstanding.</w:t>
      </w:r>
    </w:p>
    <w:p>
      <w:pPr>
        <w:spacing w:after="0" w:line="114" w:lineRule="exact"/>
        <w:rPr>
          <w:sz w:val="20"/>
          <w:szCs w:val="20"/>
          <w:color w:val="auto"/>
        </w:rPr>
      </w:pPr>
    </w:p>
    <w:p>
      <w:pPr>
        <w:ind w:right="559"/>
        <w:spacing w:after="0" w:line="293" w:lineRule="auto"/>
        <w:rPr>
          <w:sz w:val="20"/>
          <w:szCs w:val="20"/>
          <w:color w:val="auto"/>
        </w:rPr>
      </w:pPr>
      <w:r>
        <w:rPr>
          <w:rFonts w:ascii="Arial" w:cs="Arial" w:eastAsia="Arial" w:hAnsi="Arial"/>
          <w:sz w:val="16"/>
          <w:szCs w:val="16"/>
          <w:color w:val="auto"/>
        </w:rPr>
        <w:t>The purchases may be made in the open market at prevailing market prices or in privately negotiated transactions in compliance with applicable securities laws and other legal requirements. The level of purchase activity is subject to market conditions and other investment opportunities. The plan does not obligate Grand Canyon Education to acquire any particular amount of common stock and may be suspended or discontinued at any time. The repurchase program will be funded using the Company’s available cash and short-term investments. As of June 30, 2010, the Company had unrestricted cash, cash equivalents and marketable securities of $43.4 million and restricted cash, cash equivalents and investments of $30.7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Grand Canyon Education, Inc.</w:t>
      </w:r>
    </w:p>
    <w:p>
      <w:pPr>
        <w:spacing w:after="0" w:line="202" w:lineRule="exact"/>
        <w:rPr>
          <w:sz w:val="20"/>
          <w:szCs w:val="20"/>
          <w:color w:val="auto"/>
        </w:rPr>
      </w:pPr>
    </w:p>
    <w:p>
      <w:pPr>
        <w:ind w:right="599"/>
        <w:spacing w:after="0" w:line="257" w:lineRule="auto"/>
        <w:rPr>
          <w:sz w:val="20"/>
          <w:szCs w:val="20"/>
          <w:color w:val="auto"/>
        </w:rPr>
      </w:pPr>
      <w:r>
        <w:rPr>
          <w:rFonts w:ascii="Arial" w:cs="Arial" w:eastAsia="Arial" w:hAnsi="Arial"/>
          <w:sz w:val="18"/>
          <w:szCs w:val="18"/>
          <w:color w:val="auto"/>
        </w:rPr>
        <w:t xml:space="preserve">Grand Canyon Education, Inc. is a regionally accredited provider of online postsecondary education services focused on offering graduate and undergraduate degree programs in its core disciplines of education, business, and healthcare. In addition to its online programs, it offers programs at its traditional campus in Phoenix, Arizona and onsite at the facilities of employers. Approximately 36,300 students were enrolled as of June 30, 2010. For more information about Grand Canyon Education, Inc., please visit </w:t>
      </w:r>
      <w:r>
        <w:rPr>
          <w:rFonts w:ascii="Arial" w:cs="Arial" w:eastAsia="Arial" w:hAnsi="Arial"/>
          <w:sz w:val="18"/>
          <w:szCs w:val="18"/>
          <w:u w:val="single" w:color="auto"/>
          <w:color w:val="auto"/>
        </w:rPr>
        <w:t>http://www.gcu.edu</w:t>
      </w:r>
      <w:r>
        <w:rPr>
          <w:rFonts w:ascii="Arial" w:cs="Arial" w:eastAsia="Arial" w:hAnsi="Arial"/>
          <w:sz w:val="18"/>
          <w:szCs w:val="18"/>
          <w:color w:val="auto"/>
        </w:rPr>
        <w:t>.</w:t>
      </w:r>
    </w:p>
    <w:sectPr>
      <w:pgSz w:w="11900" w:h="16838" w:orient="portrait"/>
      <w:cols w:equalWidth="0" w:num="1">
        <w:col w:w="9879"/>
      </w:cols>
      <w:pgMar w:left="58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4"/>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2019-12-11T06:29:52Z</dcterms:created>
  <dcterms:modified xsi:type="dcterms:W3CDTF">2019-12-11T06:29:52Z</dcterms:modified>
</cp:coreProperties>
</file>