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22.jpeg" ContentType="image/jpeg"/>
  <Override PartName="/word/media/image4.jpeg" ContentType="image/jpeg"/>
  <Override PartName="/word/media/image10.jpeg" ContentType="image/jpeg"/>
  <Override PartName="/word/media/image21.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lope-20230620xdef14a.htm"/>
        <w:bookmarkStart w:id="1" w:name="kslope20230620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 w:space="1" w:color="000000"/>
        </w:pBdr>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6"/>
        </w:rPr>
      </w:pPr>
      <w:bookmarkStart w:id="2" w:name="_a5def4a3_e6ba_4278_81b3_6810bf576da7"/>
      <w:bookmarkEnd w:id="2"/>
      <w:r>
        <w:rPr>
          <w:rFonts w:ascii="Times New Roman;Times;serif" w:hAnsi="Times New Roman;Times;serif"/>
          <w:b/>
          <w:sz w:val="26"/>
        </w:rPr>
        <w:t>UNITED STATES</w:t>
      </w:r>
    </w:p>
    <w:p>
      <w:pPr>
        <w:pStyle w:val="TextBody"/>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SCHEDULE 14A</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Pursuant to Section 14(a) of the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(Amendment No.    )</w:t>
      </w:r>
    </w:p>
    <w:p>
      <w:pPr>
        <w:pStyle w:val="TextBody"/>
        <w:spacing w:before="0" w:after="0"/>
        <w:ind w:left="0" w:right="0" w:hanging="0"/>
        <w:jc w:val="center"/>
        <w:rPr/>
      </w:pPr>
      <w:r>
        <w:rPr/>
        <w:t>​</w:t>
      </w:r>
    </w:p>
    <w:p>
      <w:pPr>
        <w:pStyle w:val="TextBody"/>
        <w:pBdr>
          <w:top w:val="single" w:sz="2" w:space="1" w:color="000000"/>
        </w:pBdr>
        <w:spacing w:before="0" w:after="0"/>
        <w:ind w:left="0" w:right="0" w:hanging="0"/>
        <w:jc w:val="center"/>
        <w:rPr/>
      </w:pPr>
      <w:r>
        <w:rPr/>
        <w:t>​</w:t>
      </w:r>
    </w:p>
    <w:tbl>
      <w:tblPr>
        <w:tblW w:w="7277" w:type="dxa"/>
        <w:jc w:val="left"/>
        <w:tblInd w:w="0" w:type="dxa"/>
        <w:tblCellMar>
          <w:top w:w="0" w:type="dxa"/>
          <w:left w:w="0" w:type="dxa"/>
          <w:bottom w:w="0" w:type="dxa"/>
          <w:right w:w="0" w:type="dxa"/>
        </w:tblCellMar>
      </w:tblPr>
      <w:tblGrid>
        <w:gridCol w:w="391"/>
        <w:gridCol w:w="6886"/>
      </w:tblGrid>
      <w:tr>
        <w:trPr/>
        <w:tc>
          <w:tcPr>
            <w:tcW w:w="391" w:type="dxa"/>
            <w:tcBorders/>
            <w:shd w:fill="auto" w:val="clear"/>
            <w:vAlign w:val="center"/>
          </w:tcPr>
          <w:p>
            <w:pPr>
              <w:pStyle w:val="TableContents"/>
              <w:spacing w:before="0" w:after="283"/>
              <w:ind w:left="0" w:right="0" w:hanging="0"/>
              <w:rPr>
                <w:sz w:val="4"/>
                <w:szCs w:val="4"/>
              </w:rPr>
            </w:pPr>
            <w:r>
              <w:rPr>
                <w:sz w:val="4"/>
                <w:szCs w:val="4"/>
              </w:rPr>
            </w:r>
          </w:p>
        </w:tc>
        <w:tc>
          <w:tcPr>
            <w:tcW w:w="6886" w:type="dxa"/>
            <w:tcBorders/>
            <w:shd w:fill="auto" w:val="clear"/>
            <w:vAlign w:val="center"/>
          </w:tcPr>
          <w:p>
            <w:pPr>
              <w:pStyle w:val="TableContents"/>
              <w:spacing w:before="0" w:after="283"/>
              <w:ind w:left="0" w:right="0" w:hanging="0"/>
              <w:rPr>
                <w:sz w:val="4"/>
                <w:szCs w:val="4"/>
              </w:rPr>
            </w:pPr>
            <w:r>
              <w:rPr>
                <w:sz w:val="4"/>
                <w:szCs w:val="4"/>
              </w:rPr>
            </w:r>
          </w:p>
        </w:tc>
      </w:tr>
      <w:tr>
        <w:trPr/>
        <w:tc>
          <w:tcPr>
            <w:tcW w:w="7277"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by the Registrant  ⌧</w:t>
            </w:r>
          </w:p>
        </w:tc>
      </w:tr>
      <w:tr>
        <w:trPr/>
        <w:tc>
          <w:tcPr>
            <w:tcW w:w="7277" w:type="dxa"/>
            <w:gridSpan w:val="2"/>
            <w:tcBorders/>
            <w:shd w:fill="auto" w:val="clear"/>
            <w:vAlign w:val="center"/>
          </w:tcPr>
          <w:p>
            <w:pPr>
              <w:pStyle w:val="TableContents"/>
              <w:spacing w:before="0" w:after="0"/>
              <w:ind w:left="0" w:right="0" w:hanging="0"/>
              <w:rPr/>
            </w:pPr>
            <w:r>
              <w:rPr/>
              <w:t>​</w:t>
            </w:r>
          </w:p>
        </w:tc>
      </w:tr>
      <w:tr>
        <w:trPr/>
        <w:tc>
          <w:tcPr>
            <w:tcW w:w="7277"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7277" w:type="dxa"/>
            <w:gridSpan w:val="2"/>
            <w:tcBorders/>
            <w:shd w:fill="auto" w:val="clear"/>
            <w:vAlign w:val="center"/>
          </w:tcPr>
          <w:p>
            <w:pPr>
              <w:pStyle w:val="TableContents"/>
              <w:spacing w:before="0" w:after="0"/>
              <w:ind w:left="0" w:right="0" w:hanging="0"/>
              <w:rPr/>
            </w:pPr>
            <w:r>
              <w:rPr/>
              <w:t>​</w:t>
            </w:r>
          </w:p>
        </w:tc>
      </w:tr>
      <w:tr>
        <w:trPr/>
        <w:tc>
          <w:tcPr>
            <w:tcW w:w="7277" w:type="dxa"/>
            <w:gridSpan w:val="2"/>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Check the appropriate box:</w:t>
            </w:r>
          </w:p>
        </w:tc>
      </w:tr>
      <w:tr>
        <w:trPr/>
        <w:tc>
          <w:tcPr>
            <w:tcW w:w="391" w:type="dxa"/>
            <w:tcBorders/>
            <w:shd w:fill="auto" w:val="clear"/>
            <w:vAlign w:val="center"/>
          </w:tcPr>
          <w:p>
            <w:pPr>
              <w:pStyle w:val="TableContents"/>
              <w:spacing w:before="0" w:after="20"/>
              <w:ind w:left="0" w:right="0" w:hanging="0"/>
              <w:rPr/>
            </w:pPr>
            <w:r>
              <w:rPr/>
              <w:t>☐</w:t>
            </w:r>
          </w:p>
        </w:tc>
        <w:tc>
          <w:tcPr>
            <w:tcW w:w="6886"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Preliminary Proxy Statement</w:t>
            </w:r>
          </w:p>
        </w:tc>
      </w:tr>
      <w:tr>
        <w:trPr/>
        <w:tc>
          <w:tcPr>
            <w:tcW w:w="391" w:type="dxa"/>
            <w:tcBorders/>
            <w:shd w:fill="auto" w:val="clear"/>
            <w:vAlign w:val="center"/>
          </w:tcPr>
          <w:p>
            <w:pPr>
              <w:pStyle w:val="TableContents"/>
              <w:spacing w:before="0" w:after="20"/>
              <w:ind w:left="0" w:right="0" w:hanging="0"/>
              <w:rPr/>
            </w:pPr>
            <w:r>
              <w:rPr/>
              <w:t xml:space="preserve">☐ </w:t>
            </w:r>
          </w:p>
        </w:tc>
        <w:tc>
          <w:tcPr>
            <w:tcW w:w="6886" w:type="dxa"/>
            <w:tcBorders/>
            <w:shd w:fill="auto" w:val="clear"/>
            <w:vAlign w:val="center"/>
          </w:tcPr>
          <w:p>
            <w:pPr>
              <w:pStyle w:val="TableContents"/>
              <w:spacing w:before="0" w:after="20"/>
              <w:ind w:left="0" w:right="0" w:hanging="0"/>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91" w:type="dxa"/>
            <w:tcBorders/>
            <w:shd w:fill="auto" w:val="clear"/>
            <w:vAlign w:val="center"/>
          </w:tcPr>
          <w:p>
            <w:pPr>
              <w:pStyle w:val="TableContents"/>
              <w:spacing w:before="0" w:after="20"/>
              <w:ind w:left="0" w:right="0" w:hanging="0"/>
              <w:rPr/>
            </w:pPr>
            <w:r>
              <w:rPr/>
              <w:t>⌧</w:t>
            </w:r>
          </w:p>
        </w:tc>
        <w:tc>
          <w:tcPr>
            <w:tcW w:w="6886"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Definitive Proxy Statement</w:t>
            </w:r>
          </w:p>
        </w:tc>
      </w:tr>
      <w:tr>
        <w:trPr/>
        <w:tc>
          <w:tcPr>
            <w:tcW w:w="391" w:type="dxa"/>
            <w:tcBorders/>
            <w:shd w:fill="auto" w:val="clear"/>
            <w:vAlign w:val="center"/>
          </w:tcPr>
          <w:p>
            <w:pPr>
              <w:pStyle w:val="TableContents"/>
              <w:spacing w:before="0" w:after="20"/>
              <w:ind w:left="0" w:right="0" w:hanging="0"/>
              <w:rPr/>
            </w:pPr>
            <w:r>
              <w:rPr/>
              <w:t>☐</w:t>
            </w:r>
          </w:p>
        </w:tc>
        <w:tc>
          <w:tcPr>
            <w:tcW w:w="6886"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Definitive Additional Materials</w:t>
            </w:r>
          </w:p>
        </w:tc>
      </w:tr>
      <w:tr>
        <w:trPr/>
        <w:tc>
          <w:tcPr>
            <w:tcW w:w="391" w:type="dxa"/>
            <w:tcBorders/>
            <w:shd w:fill="auto" w:val="clear"/>
            <w:vAlign w:val="center"/>
          </w:tcPr>
          <w:p>
            <w:pPr>
              <w:pStyle w:val="TableContents"/>
              <w:spacing w:before="0" w:after="20"/>
              <w:ind w:left="0" w:right="0" w:hanging="0"/>
              <w:rPr/>
            </w:pPr>
            <w:r>
              <w:rPr/>
              <w:t>☐</w:t>
            </w:r>
          </w:p>
        </w:tc>
        <w:tc>
          <w:tcPr>
            <w:tcW w:w="6886"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052"/>
        <w:gridCol w:w="2995"/>
        <w:gridCol w:w="4158"/>
      </w:tblGrid>
      <w:tr>
        <w:trPr/>
        <w:tc>
          <w:tcPr>
            <w:tcW w:w="3052" w:type="dxa"/>
            <w:tcBorders/>
            <w:shd w:fill="auto" w:val="clear"/>
            <w:vAlign w:val="center"/>
          </w:tcPr>
          <w:p>
            <w:pPr>
              <w:pStyle w:val="TableContents"/>
              <w:spacing w:before="0" w:after="0"/>
              <w:ind w:left="0" w:right="0" w:hanging="0"/>
              <w:rPr/>
            </w:pPr>
            <w:r>
              <w:rPr/>
              <w:t>​</w:t>
            </w:r>
          </w:p>
        </w:tc>
        <w:tc>
          <w:tcPr>
            <w:tcW w:w="2995" w:type="dxa"/>
            <w:tcBorders/>
            <w:shd w:fill="auto" w:val="clear"/>
            <w:vAlign w:val="center"/>
          </w:tcPr>
          <w:p>
            <w:pPr>
              <w:pStyle w:val="TableContents"/>
              <w:spacing w:before="0" w:after="0"/>
              <w:ind w:left="0" w:right="0" w:hanging="0"/>
              <w:rPr/>
            </w:pPr>
            <w:r>
              <w:rPr/>
              <w:t>​</w:t>
            </w:r>
          </w:p>
        </w:tc>
        <w:tc>
          <w:tcPr>
            <w:tcW w:w="4158" w:type="dxa"/>
            <w:tcBorders/>
            <w:shd w:fill="auto" w:val="clear"/>
            <w:vAlign w:val="center"/>
          </w:tcPr>
          <w:p>
            <w:pPr>
              <w:pStyle w:val="TableContents"/>
              <w:spacing w:before="0" w:after="0"/>
              <w:ind w:left="0" w:right="0" w:hanging="0"/>
              <w:rPr/>
            </w:pPr>
            <w:r>
              <w:rPr/>
              <w:t>​</w:t>
            </w:r>
          </w:p>
        </w:tc>
      </w:tr>
      <w:tr>
        <w:trPr/>
        <w:tc>
          <w:tcPr>
            <w:tcW w:w="1020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6"/>
              </w:rPr>
            </w:pPr>
            <w:r>
              <w:rPr>
                <w:rFonts w:ascii="Times New Roman;Times;serif" w:hAnsi="Times New Roman;Times;serif"/>
                <w:b/>
                <w:sz w:val="26"/>
              </w:rPr>
              <w:t>Grand Canyon Education, Inc.</w:t>
            </w:r>
          </w:p>
        </w:tc>
      </w:tr>
      <w:tr>
        <w:trPr/>
        <w:tc>
          <w:tcPr>
            <w:tcW w:w="1020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Registrant as Specified in Its Charter)</w:t>
            </w:r>
          </w:p>
        </w:tc>
      </w:tr>
      <w:tr>
        <w:trPr/>
        <w:tc>
          <w:tcPr>
            <w:tcW w:w="10205" w:type="dxa"/>
            <w:gridSpan w:val="3"/>
            <w:tcBorders/>
            <w:shd w:fill="auto" w:val="clear"/>
            <w:vAlign w:val="center"/>
          </w:tcPr>
          <w:p>
            <w:pPr>
              <w:pStyle w:val="TableContents"/>
              <w:spacing w:before="0" w:after="0"/>
              <w:ind w:left="0" w:right="0" w:hanging="0"/>
              <w:jc w:val="center"/>
              <w:rPr/>
            </w:pPr>
            <w:r>
              <w:rPr/>
              <w:t>​</w:t>
            </w:r>
          </w:p>
        </w:tc>
      </w:tr>
      <w:tr>
        <w:trPr/>
        <w:tc>
          <w:tcPr>
            <w:tcW w:w="1020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10205" w:type="dxa"/>
            <w:gridSpan w:val="3"/>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Person(s) Filing Proxy Statement, if Other Than the Registrant)</w:t>
            </w:r>
          </w:p>
        </w:tc>
      </w:tr>
      <w:tr>
        <w:trPr/>
        <w:tc>
          <w:tcPr>
            <w:tcW w:w="10205" w:type="dxa"/>
            <w:gridSpan w:val="3"/>
            <w:tcBorders/>
            <w:shd w:fill="auto" w:val="clear"/>
            <w:vAlign w:val="center"/>
          </w:tcPr>
          <w:p>
            <w:pPr>
              <w:pStyle w:val="TableContents"/>
              <w:spacing w:before="0" w:after="0"/>
              <w:ind w:left="0" w:right="0" w:hanging="0"/>
              <w:jc w:val="center"/>
              <w:rPr/>
            </w:pPr>
            <w:r>
              <w:rPr/>
              <w:t>​</w:t>
            </w:r>
          </w:p>
        </w:tc>
      </w:tr>
      <w:tr>
        <w:trPr/>
        <w:tc>
          <w:tcPr>
            <w:tcW w:w="10205"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3052" w:type="dxa"/>
            <w:tcBorders/>
            <w:shd w:fill="auto" w:val="clear"/>
            <w:vAlign w:val="center"/>
          </w:tcPr>
          <w:p>
            <w:pPr>
              <w:pStyle w:val="TableContents"/>
              <w:spacing w:before="0" w:after="0"/>
              <w:ind w:left="0" w:right="0" w:hanging="0"/>
              <w:rPr/>
            </w:pPr>
            <w:r>
              <w:rPr/>
              <w:t>☒</w:t>
            </w:r>
          </w:p>
        </w:tc>
        <w:tc>
          <w:tcPr>
            <w:tcW w:w="7153"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 fee required.</w:t>
            </w:r>
          </w:p>
        </w:tc>
      </w:tr>
      <w:tr>
        <w:trPr/>
        <w:tc>
          <w:tcPr>
            <w:tcW w:w="3052" w:type="dxa"/>
            <w:tcBorders/>
            <w:shd w:fill="auto" w:val="clear"/>
            <w:vAlign w:val="center"/>
          </w:tcPr>
          <w:p>
            <w:pPr>
              <w:pStyle w:val="TableContents"/>
              <w:spacing w:before="0" w:after="0"/>
              <w:ind w:left="0" w:right="0" w:hanging="0"/>
              <w:rPr/>
            </w:pPr>
            <w:r>
              <w:rPr/>
              <w:t>​</w:t>
            </w:r>
          </w:p>
        </w:tc>
        <w:tc>
          <w:tcPr>
            <w:tcW w:w="7153" w:type="dxa"/>
            <w:gridSpan w:val="2"/>
            <w:tcBorders/>
            <w:shd w:fill="auto" w:val="clear"/>
            <w:vAlign w:val="center"/>
          </w:tcPr>
          <w:p>
            <w:pPr>
              <w:pStyle w:val="TableContents"/>
              <w:spacing w:before="0" w:after="0"/>
              <w:ind w:left="0" w:right="0" w:hanging="0"/>
              <w:rPr/>
            </w:pPr>
            <w:r>
              <w:rPr/>
              <w:t>​</w:t>
            </w:r>
          </w:p>
        </w:tc>
      </w:tr>
      <w:tr>
        <w:trPr/>
        <w:tc>
          <w:tcPr>
            <w:tcW w:w="3052" w:type="dxa"/>
            <w:tcBorders/>
            <w:shd w:fill="auto" w:val="clear"/>
            <w:vAlign w:val="center"/>
          </w:tcPr>
          <w:p>
            <w:pPr>
              <w:pStyle w:val="TableContents"/>
              <w:spacing w:before="0" w:after="0"/>
              <w:ind w:left="0" w:right="0" w:hanging="0"/>
              <w:rPr/>
            </w:pPr>
            <w:r>
              <w:rPr/>
              <w:t>​</w:t>
            </w:r>
          </w:p>
        </w:tc>
        <w:tc>
          <w:tcPr>
            <w:tcW w:w="7153" w:type="dxa"/>
            <w:gridSpan w:val="2"/>
            <w:tcBorders/>
            <w:shd w:fill="auto" w:val="clear"/>
            <w:vAlign w:val="center"/>
          </w:tcPr>
          <w:p>
            <w:pPr>
              <w:pStyle w:val="TableContents"/>
              <w:spacing w:before="0" w:after="0"/>
              <w:ind w:left="0" w:right="0" w:hanging="0"/>
              <w:rPr/>
            </w:pPr>
            <w:r>
              <w:rPr/>
              <w:t>​</w:t>
            </w:r>
          </w:p>
        </w:tc>
      </w:tr>
      <w:tr>
        <w:trPr/>
        <w:tc>
          <w:tcPr>
            <w:tcW w:w="3052" w:type="dxa"/>
            <w:tcBorders/>
            <w:shd w:fill="auto" w:val="clear"/>
            <w:vAlign w:val="center"/>
          </w:tcPr>
          <w:p>
            <w:pPr>
              <w:pStyle w:val="TableContents"/>
              <w:spacing w:before="0" w:after="0"/>
              <w:ind w:left="0" w:right="0" w:hanging="0"/>
              <w:rPr/>
            </w:pPr>
            <w:r>
              <w:rPr/>
              <w:t>☐</w:t>
            </w:r>
          </w:p>
        </w:tc>
        <w:tc>
          <w:tcPr>
            <w:tcW w:w="7153"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Fee paid previously with preliminary material.</w:t>
            </w:r>
          </w:p>
        </w:tc>
      </w:tr>
      <w:tr>
        <w:trPr/>
        <w:tc>
          <w:tcPr>
            <w:tcW w:w="3052" w:type="dxa"/>
            <w:tcBorders/>
            <w:shd w:fill="auto" w:val="clear"/>
            <w:vAlign w:val="center"/>
          </w:tcPr>
          <w:p>
            <w:pPr>
              <w:pStyle w:val="TableContents"/>
              <w:spacing w:before="0" w:after="0"/>
              <w:ind w:left="0" w:right="0" w:hanging="0"/>
              <w:rPr/>
            </w:pPr>
            <w:r>
              <w:rPr/>
              <w:t>​</w:t>
            </w:r>
          </w:p>
        </w:tc>
        <w:tc>
          <w:tcPr>
            <w:tcW w:w="7153" w:type="dxa"/>
            <w:gridSpan w:val="2"/>
            <w:tcBorders/>
            <w:shd w:fill="auto" w:val="clear"/>
            <w:vAlign w:val="center"/>
          </w:tcPr>
          <w:p>
            <w:pPr>
              <w:pStyle w:val="TableContents"/>
              <w:spacing w:before="0" w:after="0"/>
              <w:ind w:left="0" w:right="0" w:hanging="0"/>
              <w:rPr/>
            </w:pPr>
            <w:r>
              <w:rPr/>
              <w:t>​</w:t>
            </w:r>
          </w:p>
        </w:tc>
      </w:tr>
      <w:tr>
        <w:trPr/>
        <w:tc>
          <w:tcPr>
            <w:tcW w:w="3052" w:type="dxa"/>
            <w:tcBorders/>
            <w:shd w:fill="auto" w:val="clear"/>
            <w:vAlign w:val="center"/>
          </w:tcPr>
          <w:p>
            <w:pPr>
              <w:pStyle w:val="TableContents"/>
              <w:spacing w:before="0" w:after="0"/>
              <w:ind w:left="0" w:right="0" w:hanging="0"/>
              <w:rPr/>
            </w:pPr>
            <w:r>
              <w:rPr/>
              <w:t xml:space="preserve">☐ </w:t>
            </w:r>
          </w:p>
        </w:tc>
        <w:tc>
          <w:tcPr>
            <w:tcW w:w="7153"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r>
        <w:trPr/>
        <w:tc>
          <w:tcPr>
            <w:tcW w:w="3052" w:type="dxa"/>
            <w:tcBorders/>
            <w:shd w:fill="auto" w:val="clear"/>
            <w:vAlign w:val="center"/>
          </w:tcPr>
          <w:p>
            <w:pPr>
              <w:pStyle w:val="TableContents"/>
              <w:spacing w:before="0" w:after="0"/>
              <w:ind w:left="0" w:right="0" w:hanging="0"/>
              <w:rPr/>
            </w:pPr>
            <w:r>
              <w:rPr/>
              <w:t>​</w:t>
            </w:r>
          </w:p>
        </w:tc>
        <w:tc>
          <w:tcPr>
            <w:tcW w:w="7153" w:type="dxa"/>
            <w:gridSpan w:val="2"/>
            <w:tcBorders/>
            <w:shd w:fill="auto" w:val="clear"/>
            <w:vAlign w:val="center"/>
          </w:tcPr>
          <w:p>
            <w:pPr>
              <w:pStyle w:val="TableContents"/>
              <w:spacing w:before="0" w:after="0"/>
              <w:ind w:left="0" w:right="0" w:hanging="0"/>
              <w:rPr/>
            </w:pPr>
            <w:r>
              <w:rPr/>
              <w:t>​</w:t>
            </w:r>
          </w:p>
        </w:tc>
      </w:tr>
    </w:tbl>
    <w:p>
      <w:pPr>
        <w:pStyle w:val="TextBody"/>
        <w:pBdr/>
        <w:spacing w:before="0" w:after="0"/>
        <w:ind w:left="0" w:right="0" w:hanging="0"/>
        <w:rPr/>
      </w:pPr>
      <w:r>
        <w:rPr/>
        <w:t>​</w:t>
      </w:r>
    </w:p>
    <w:p>
      <w:pPr>
        <w:pStyle w:val="TextBody"/>
        <w:pBdr>
          <w:bottom w:val="single" w:sz="2"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pPr>
      <w:bookmarkStart w:id="3" w:name="_ce4ca160_21b5_48d8_9989_8d2a9f0a4005"/>
      <w:bookmarkEnd w:id="3"/>
      <w:r>
        <w:rPr/>
        <w:drawing>
          <wp:inline distT="0" distB="0" distL="0" distR="0">
            <wp:extent cx="6163310" cy="9328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63310" cy="932815"/>
                    </a:xfrm>
                    <a:prstGeom prst="rect">
                      <a:avLst/>
                    </a:prstGeom>
                  </pic:spPr>
                </pic:pic>
              </a:graphicData>
            </a:graphic>
          </wp:inline>
        </w:drawing>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2600 W. Camelback Road</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Phoenix, Arizona 85017</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(602) 247-4400</w:t>
      </w:r>
    </w:p>
    <w:p>
      <w:pPr>
        <w:pStyle w:val="TextBody"/>
        <w:spacing w:before="0" w:after="200"/>
        <w:ind w:left="0" w:right="0" w:hanging="0"/>
        <w:jc w:val="right"/>
        <w:rPr>
          <w:rFonts w:ascii="Times New Roman;Times;serif" w:hAnsi="Times New Roman;Times;serif"/>
          <w:sz w:val="20"/>
        </w:rPr>
      </w:pPr>
      <w:r>
        <w:rPr>
          <w:rFonts w:ascii="Times New Roman;Times;serif" w:hAnsi="Times New Roman;Times;serif"/>
          <w:sz w:val="20"/>
        </w:rPr>
        <w:t>April 26, 2023</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Dear Stockholder:</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You are cordially invited to attend the 2023 Annual Meeting of Stockholders (the “Annual Meeting”) of Grand Canyon Education, Inc. (the “Company” or “GCE”) to be held at the offices of GCE located at 2600 W. Camelback Road, Phoenix, Arizona 85017, commencing at 10:30 a.m., Arizona time, on Tuesday, June 20, 2023.</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notice of annual meeting and the proxy statement that follow describe the matters to come before the Annual Meeting. Each holder of record of shares of the Company’s common stock (Nasdaq GM: LOPE) at the close of business on April 24, 2023 is entitled to receive notice of and to vote at the Annual Meeting, and any adjournment or postponement of the Annual Meeting. Shares of our common stock can be voted at the Annual Meeting only if the holder is present in person or by valid proxy.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tbl>
      <w:tblPr>
        <w:tblW w:w="3301" w:type="dxa"/>
        <w:jc w:val="left"/>
        <w:tblInd w:w="0" w:type="dxa"/>
        <w:tblCellMar>
          <w:top w:w="0" w:type="dxa"/>
          <w:left w:w="0" w:type="dxa"/>
          <w:bottom w:w="0" w:type="dxa"/>
          <w:right w:w="0" w:type="dxa"/>
        </w:tblCellMar>
      </w:tblPr>
      <w:tblGrid>
        <w:gridCol w:w="3301"/>
      </w:tblGrid>
      <w:tr>
        <w:trPr/>
        <w:tc>
          <w:tcPr>
            <w:tcW w:w="3301" w:type="dxa"/>
            <w:tcBorders/>
            <w:shd w:fill="auto" w:val="clear"/>
            <w:vAlign w:val="center"/>
          </w:tcPr>
          <w:p>
            <w:pPr>
              <w:pStyle w:val="TableContents"/>
              <w:spacing w:before="0" w:after="283"/>
              <w:ind w:left="0" w:right="0" w:hanging="0"/>
              <w:rPr>
                <w:sz w:val="4"/>
                <w:szCs w:val="4"/>
              </w:rPr>
            </w:pPr>
            <w:r>
              <w:rPr>
                <w:sz w:val="4"/>
                <w:szCs w:val="4"/>
              </w:rPr>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20"/>
              </w:rPr>
              <w:t>Sincerely,</w:t>
            </w:r>
            <w:r>
              <w:rPr>
                <w:rFonts w:ascii="Times New Roman;Times;serif" w:hAnsi="Times New Roman;Times;serif"/>
                <w:sz w:val="16"/>
              </w:rPr>
              <w:t> </w:t>
            </w:r>
          </w:p>
        </w:tc>
      </w:tr>
      <w:tr>
        <w:trPr/>
        <w:tc>
          <w:tcPr>
            <w:tcW w:w="3301" w:type="dxa"/>
            <w:tcBorders/>
            <w:shd w:fill="auto" w:val="clear"/>
            <w:vAlign w:val="center"/>
          </w:tcPr>
          <w:p>
            <w:pPr>
              <w:pStyle w:val="TableContents"/>
              <w:spacing w:before="0" w:after="240"/>
              <w:ind w:left="0" w:right="0" w:hanging="0"/>
              <w:rPr/>
            </w:pPr>
            <w:r>
              <w:rPr/>
              <w:t>​</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Chief Executive Officer and Chairman</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This proxy statement is dated April 26, 2023 and is first being sent or made available to stockholders on or about May 8, 2023.</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Notice of Annual Meeting of Stockholders</w:t>
      </w:r>
      <w:r>
        <w:rPr>
          <w:rFonts w:ascii="Times New Roman;Times;serif" w:hAnsi="Times New Roman;Times;serif"/>
          <w:sz w:val="20"/>
        </w:rPr>
        <w:t xml:space="preserve"> </w:t>
        <w:br/>
      </w:r>
      <w:r>
        <w:rPr>
          <w:rFonts w:ascii="Times New Roman;Times;serif" w:hAnsi="Times New Roman;Times;serif"/>
          <w:b/>
          <w:sz w:val="20"/>
        </w:rPr>
        <w:t>to be held on June 20, 2023</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1444"/>
        <w:gridCol w:w="326"/>
        <w:gridCol w:w="8435"/>
      </w:tblGrid>
      <w:tr>
        <w:trPr/>
        <w:tc>
          <w:tcPr>
            <w:tcW w:w="14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Date and Time:</w:t>
            </w:r>
          </w:p>
        </w:tc>
        <w:tc>
          <w:tcPr>
            <w:tcW w:w="326" w:type="dxa"/>
            <w:tcBorders/>
            <w:shd w:fill="auto" w:val="clear"/>
            <w:vAlign w:val="center"/>
          </w:tcPr>
          <w:p>
            <w:pPr>
              <w:pStyle w:val="TableContents"/>
              <w:spacing w:before="0" w:after="0"/>
              <w:ind w:left="0" w:right="0" w:hanging="0"/>
              <w:rPr/>
            </w:pPr>
            <w:r>
              <w:rPr/>
              <w:t>    </w:t>
            </w:r>
          </w:p>
        </w:tc>
        <w:tc>
          <w:tcPr>
            <w:tcW w:w="84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Tuesday, June 20, 2023, at 10:30 a.m., Arizona time</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pPr>
            <w:r>
              <w:rPr/>
              <w:t>​</w:t>
            </w:r>
          </w:p>
        </w:tc>
      </w:tr>
      <w:tr>
        <w:trPr/>
        <w:tc>
          <w:tcPr>
            <w:tcW w:w="14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Place:</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Grand Canyon Education, Inc. at 2600 W. Camelback Road, Phoenix, Arizona 85017.</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pPr>
            <w:r>
              <w:rPr/>
              <w:t>​</w:t>
            </w:r>
          </w:p>
        </w:tc>
      </w:tr>
      <w:tr>
        <w:trPr/>
        <w:tc>
          <w:tcPr>
            <w:tcW w:w="14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Items of Business:</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At the Annual Meeting, holders of our common stock will be asked to consider and vote upon the following proposals, all of which are discussed in greater detail in the accompanying proxy statement:</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pPr>
            <w:r>
              <w:rPr/>
              <w:t>​</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    To elect a Board of Directors of six directors, each to serve until the 2024 annual meeting of stockholders or until his or her successor has been duly elected and qualified or until his or her earlier resignation or removal;</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    To approve, on an advisory basis, the compensation of our named executive officers as disclosed in the enclosed Proxy Statement;</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    To approve, on an advisory basis, the frequency of future advisory votes on the compensation of the Company’s named executive officers; and</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4.    To ratify the appointment of KPMG LLP as our independent registered public accounting firm for the fiscal year ending December 31, 2023; and</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5.    To transact such other business as may properly be brought before the meeting or any adjournments or postponements thereof.</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pBdr/>
              <w:spacing w:before="0" w:after="0"/>
              <w:ind w:left="0" w:right="0" w:hanging="0"/>
              <w:rPr/>
            </w:pPr>
            <w:r>
              <w:rPr/>
              <w:t>​</w:t>
            </w:r>
          </w:p>
        </w:tc>
      </w:tr>
      <w:tr>
        <w:trPr/>
        <w:tc>
          <w:tcPr>
            <w:tcW w:w="14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Record Date:</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Only stockholders of record at the close of business on April 24, 2023, the record date for the Annual Meeting, will be entitled to notice of and to vote at the Annual Meeting and any adjournments or postponements thereof.</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pPr>
            <w:r>
              <w:rPr/>
              <w:t>​</w:t>
            </w:r>
          </w:p>
        </w:tc>
      </w:tr>
      <w:tr>
        <w:trPr/>
        <w:tc>
          <w:tcPr>
            <w:tcW w:w="14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Delivery of Proxy Materials:</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on May 8, 2023, we began mailing a Notice of Internet Availability of Proxy Materials to our stockholders rather than a full paper set of the proxy materials. The Notice of Internet Availability of Proxy Materials contains instructions on how to access our proxy materials over the Internet, as well as instructions on how stockholders may obtain a paper copy of our proxy materials.</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pPr>
            <w:r>
              <w:rPr/>
              <w:t>​</w:t>
            </w:r>
          </w:p>
        </w:tc>
      </w:tr>
      <w:tr>
        <w:trPr/>
        <w:tc>
          <w:tcPr>
            <w:tcW w:w="14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Internet Availability of Proxy Materials:</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0"/>
              </w:rPr>
              <w:t>Important Notice Regarding the Availability of Proxy Materials for the Annual Meeting of Stockholders to be Held on June 20, 2023</w:t>
            </w:r>
            <w:r>
              <w:rPr>
                <w:rFonts w:ascii="Times New Roman;Times;serif" w:hAnsi="Times New Roman;Times;serif"/>
                <w:sz w:val="20"/>
              </w:rPr>
              <w:t xml:space="preserve">. Our Proxy Statement is attached. Financial and other information concerning Grand Canyon Education, Inc. is contained in our Annual Report to Stockholders for the fiscal year ended December 31, 2022. A complete set of proxy materials relating to our Annual Meeting is available on the Internet. These materials, consisting of the Notice of Annual Meeting, Proxy Statement, Proxy Card and Annual Report to Stockholders, are available and may be viewed at </w:t>
            </w:r>
            <w:r>
              <w:rPr>
                <w:rFonts w:ascii="Times New Roman;Times;serif" w:hAnsi="Times New Roman;Times;serif"/>
                <w:i/>
                <w:sz w:val="20"/>
              </w:rPr>
              <w:t>www.edocumentview.com/LOPE</w:t>
            </w:r>
            <w:r>
              <w:rPr>
                <w:rFonts w:ascii="Times New Roman;Times;serif" w:hAnsi="Times New Roman;Times;serif"/>
                <w:sz w:val="20"/>
              </w:rPr>
              <w:t>.</w:t>
            </w:r>
          </w:p>
        </w:tc>
      </w:tr>
      <w:tr>
        <w:trPr/>
        <w:tc>
          <w:tcPr>
            <w:tcW w:w="14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pPr>
            <w:r>
              <w:rPr/>
              <w:t>​</w:t>
            </w:r>
          </w:p>
        </w:tc>
      </w:tr>
      <w:tr>
        <w:trPr/>
        <w:tc>
          <w:tcPr>
            <w:tcW w:w="14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Voting:</w:t>
            </w:r>
          </w:p>
        </w:tc>
        <w:tc>
          <w:tcPr>
            <w:tcW w:w="326" w:type="dxa"/>
            <w:tcBorders/>
            <w:shd w:fill="auto" w:val="clear"/>
            <w:vAlign w:val="center"/>
          </w:tcPr>
          <w:p>
            <w:pPr>
              <w:pStyle w:val="TableContents"/>
              <w:spacing w:before="0" w:after="0"/>
              <w:ind w:left="0" w:right="0" w:hanging="0"/>
              <w:rPr/>
            </w:pPr>
            <w:r>
              <w:rPr/>
              <w:t>​</w:t>
            </w:r>
          </w:p>
        </w:tc>
        <w:tc>
          <w:tcPr>
            <w:tcW w:w="84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 make it easier for you to vote, Internet and telephone voting are available. The instructions on the Notice of Internet Availability of Proxy Materials or, if you received a paper copy of the proxy materials, the proxy card describe how to use these convenient services.</w:t>
            </w:r>
          </w:p>
        </w:tc>
      </w:tr>
    </w:tbl>
    <w:p>
      <w:pPr>
        <w:pStyle w:val="TextBody"/>
        <w:spacing w:before="0" w:after="0"/>
        <w:ind w:left="0" w:right="0" w:hanging="0"/>
        <w:rPr/>
      </w:pPr>
      <w:r>
        <w:rPr/>
        <w:t>​</w:t>
      </w:r>
    </w:p>
    <w:tbl>
      <w:tblPr>
        <w:tblW w:w="5492" w:type="dxa"/>
        <w:jc w:val="left"/>
        <w:tblInd w:w="0" w:type="dxa"/>
        <w:tblCellMar>
          <w:top w:w="0" w:type="dxa"/>
          <w:left w:w="0" w:type="dxa"/>
          <w:bottom w:w="0" w:type="dxa"/>
          <w:right w:w="0" w:type="dxa"/>
        </w:tblCellMar>
      </w:tblPr>
      <w:tblGrid>
        <w:gridCol w:w="1531"/>
        <w:gridCol w:w="3961"/>
      </w:tblGrid>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3961" w:type="dxa"/>
            <w:tcBorders/>
            <w:shd w:fill="auto" w:val="clear"/>
            <w:vAlign w:val="center"/>
          </w:tcPr>
          <w:p>
            <w:pPr>
              <w:pStyle w:val="TableContents"/>
              <w:spacing w:before="0" w:after="283"/>
              <w:ind w:left="0" w:right="0" w:hanging="0"/>
              <w:rPr>
                <w:sz w:val="4"/>
                <w:szCs w:val="4"/>
              </w:rPr>
            </w:pPr>
            <w:r>
              <w:rPr>
                <w:sz w:val="4"/>
                <w:szCs w:val="4"/>
              </w:rPr>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 ORDER OF THE BOARD OF DIRECTORS</w:t>
            </w:r>
          </w:p>
        </w:tc>
      </w:tr>
      <w:tr>
        <w:trPr/>
        <w:tc>
          <w:tcPr>
            <w:tcW w:w="1531" w:type="dxa"/>
            <w:tcBorders/>
            <w:shd w:fill="auto" w:val="clear"/>
            <w:vAlign w:val="center"/>
          </w:tcPr>
          <w:p>
            <w:pPr>
              <w:pStyle w:val="TableContents"/>
              <w:spacing w:before="0" w:after="0"/>
              <w:ind w:left="0" w:right="0" w:hanging="0"/>
              <w:rPr/>
            </w:pPr>
            <w:r>
              <w:rPr/>
              <w:t>​</w:t>
            </w:r>
          </w:p>
        </w:tc>
        <w:tc>
          <w:tcPr>
            <w:tcW w:w="3961" w:type="dxa"/>
            <w:tcBorders/>
            <w:shd w:fill="auto" w:val="clear"/>
            <w:vAlign w:val="center"/>
          </w:tcPr>
          <w:p>
            <w:pPr>
              <w:pStyle w:val="TableContents"/>
              <w:spacing w:before="0" w:after="0"/>
              <w:ind w:left="0" w:right="0" w:hanging="0"/>
              <w:rPr/>
            </w:pPr>
            <w:r>
              <w:rPr/>
              <w:t>​</w:t>
            </w:r>
          </w:p>
        </w:tc>
      </w:tr>
      <w:tr>
        <w:trPr/>
        <w:tc>
          <w:tcPr>
            <w:tcW w:w="1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Phoenix, Arizona</w:t>
            </w:r>
          </w:p>
        </w:tc>
        <w:tc>
          <w:tcPr>
            <w:tcW w:w="3961" w:type="dxa"/>
            <w:tcBorders>
              <w:bottom w:val="single" w:sz="2" w:space="0" w:color="000000"/>
            </w:tcBorders>
            <w:shd w:fill="auto" w:val="clear"/>
            <w:tcMar>
              <w:bottom w:w="28"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/s/ BRIAN E. MUELLER </w:t>
            </w:r>
          </w:p>
        </w:tc>
      </w:tr>
      <w:tr>
        <w:trPr/>
        <w:tc>
          <w:tcPr>
            <w:tcW w:w="1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26, 2023</w:t>
            </w:r>
          </w:p>
        </w:tc>
        <w:tc>
          <w:tcPr>
            <w:tcW w:w="396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r>
      <w:tr>
        <w:trPr/>
        <w:tc>
          <w:tcPr>
            <w:tcW w:w="1531" w:type="dxa"/>
            <w:tcBorders/>
            <w:shd w:fill="auto" w:val="clear"/>
            <w:vAlign w:val="center"/>
          </w:tcPr>
          <w:p>
            <w:pPr>
              <w:pStyle w:val="TableContents"/>
              <w:spacing w:before="0" w:after="283"/>
              <w:ind w:left="0" w:right="0" w:hanging="0"/>
              <w:rPr>
                <w:sz w:val="4"/>
                <w:szCs w:val="4"/>
              </w:rPr>
            </w:pPr>
            <w:r>
              <w:rPr>
                <w:sz w:val="4"/>
                <w:szCs w:val="4"/>
              </w:rPr>
            </w:r>
          </w:p>
        </w:tc>
        <w:tc>
          <w:tcPr>
            <w:tcW w:w="396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Chief Executive Officer and Chairman</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4" w:name="TOC"/>
      <w:bookmarkEnd w:id="4"/>
      <w:r>
        <w:rPr/>
        <w:t>​</w:t>
      </w:r>
    </w:p>
    <w:p>
      <w:pPr>
        <w:pStyle w:val="TextBody"/>
        <w:spacing w:before="0" w:after="0"/>
        <w:ind w:left="0" w:right="0" w:hanging="0"/>
        <w:rPr/>
      </w:pPr>
      <w:r>
        <w:rPr/>
        <w:t>​</w:t>
      </w:r>
    </w:p>
    <w:p>
      <w:pPr>
        <w:pStyle w:val="TextBody"/>
        <w:spacing w:before="0" w:after="0"/>
        <w:ind w:left="0" w:right="0" w:hanging="0"/>
        <w:rPr/>
      </w:pPr>
      <w:bookmarkStart w:id="5" w:name="_eed3c607_1817_45d7_870b_993684e70095"/>
      <w:bookmarkEnd w:id="5"/>
      <w:r>
        <w:rPr/>
        <w:t>​</w:t>
      </w:r>
    </w:p>
    <w:tbl>
      <w:tblPr>
        <w:tblW w:w="10205" w:type="dxa"/>
        <w:jc w:val="left"/>
        <w:tblInd w:w="0" w:type="dxa"/>
        <w:tblCellMar>
          <w:top w:w="0" w:type="dxa"/>
          <w:left w:w="0" w:type="dxa"/>
          <w:bottom w:w="0" w:type="dxa"/>
          <w:right w:w="0" w:type="dxa"/>
        </w:tblCellMar>
      </w:tblPr>
      <w:tblGrid>
        <w:gridCol w:w="9844"/>
        <w:gridCol w:w="361"/>
      </w:tblGrid>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9844" w:type="dxa"/>
            <w:tcBorders/>
            <w:shd w:fill="auto" w:val="clear"/>
            <w:vAlign w:val="center"/>
          </w:tcPr>
          <w:p>
            <w:pPr>
              <w:pStyle w:val="TableContents"/>
              <w:spacing w:before="0" w:after="0"/>
              <w:ind w:left="0" w:right="0" w:hanging="0"/>
              <w:rPr/>
            </w:pPr>
            <w:hyperlink w:anchor="GENERALINFORMATION_318309">
              <w:r>
                <w:rPr>
                  <w:rStyle w:val="InternetLink"/>
                  <w:rFonts w:ascii="Times New Roman;Times;serif" w:hAnsi="Times New Roman;Times;serif"/>
                  <w:b w:val="false"/>
                  <w:i w:val="false"/>
                  <w:caps w:val="false"/>
                  <w:smallCaps w:val="false"/>
                  <w:sz w:val="20"/>
                </w:rPr>
                <w:t>GENERAL INFORMATION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NoticeofInternetAvailability_475776">
              <w:r>
                <w:rPr>
                  <w:rStyle w:val="InternetLink"/>
                  <w:rFonts w:ascii="Times New Roman;Times;serif" w:hAnsi="Times New Roman;Times;serif"/>
                  <w:b w:val="false"/>
                  <w:i w:val="false"/>
                  <w:caps w:val="false"/>
                  <w:smallCaps w:val="false"/>
                  <w:sz w:val="20"/>
                </w:rPr>
                <w:t>Notice of Internet Availability</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shd w:fill="auto" w:val="clear"/>
            <w:vAlign w:val="center"/>
          </w:tcPr>
          <w:p>
            <w:pPr>
              <w:pStyle w:val="TableContents"/>
              <w:spacing w:before="0" w:after="0"/>
              <w:ind w:left="0" w:right="0" w:hanging="0"/>
              <w:rPr/>
            </w:pPr>
            <w:hyperlink w:anchor="RecordDateandQuorum_527272">
              <w:r>
                <w:rPr>
                  <w:rStyle w:val="InternetLink"/>
                  <w:rFonts w:ascii="Times New Roman;Times;serif" w:hAnsi="Times New Roman;Times;serif"/>
                  <w:b w:val="false"/>
                  <w:i w:val="false"/>
                  <w:caps w:val="false"/>
                  <w:smallCaps w:val="false"/>
                  <w:sz w:val="20"/>
                </w:rPr>
                <w:t>Record Date and Quorum</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shd w:fill="auto" w:val="clear"/>
            <w:vAlign w:val="center"/>
          </w:tcPr>
          <w:p>
            <w:pPr>
              <w:pStyle w:val="TableContents"/>
              <w:spacing w:before="0" w:after="0"/>
              <w:ind w:left="0" w:right="0" w:hanging="0"/>
              <w:rPr/>
            </w:pPr>
            <w:hyperlink w:anchor="SubmissionofProxiesRevocation_394726">
              <w:r>
                <w:rPr>
                  <w:rStyle w:val="InternetLink"/>
                  <w:rFonts w:ascii="Times New Roman;Times;serif" w:hAnsi="Times New Roman;Times;serif"/>
                  <w:b w:val="false"/>
                  <w:i w:val="false"/>
                  <w:caps w:val="false"/>
                  <w:smallCaps w:val="false"/>
                  <w:sz w:val="20"/>
                </w:rPr>
                <w:t>Submission of Proxies; Revocation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shd w:fill="auto" w:val="clear"/>
            <w:vAlign w:val="center"/>
          </w:tcPr>
          <w:p>
            <w:pPr>
              <w:pStyle w:val="TableContents"/>
              <w:spacing w:before="0" w:after="0"/>
              <w:ind w:left="0" w:right="0" w:hanging="0"/>
              <w:rPr/>
            </w:pPr>
            <w:hyperlink w:anchor="DeadlinesforStockholderProposals_758155">
              <w:r>
                <w:rPr>
                  <w:rStyle w:val="InternetLink"/>
                  <w:rFonts w:ascii="Times New Roman;Times;serif" w:hAnsi="Times New Roman;Times;serif"/>
                  <w:b w:val="false"/>
                  <w:i w:val="false"/>
                  <w:caps w:val="false"/>
                  <w:smallCaps w:val="false"/>
                  <w:sz w:val="20"/>
                </w:rPr>
                <w:t>Deadlines for Stockholder Proposals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844" w:type="dxa"/>
            <w:tcBorders/>
            <w:shd w:fill="auto" w:val="clear"/>
            <w:vAlign w:val="center"/>
          </w:tcPr>
          <w:p>
            <w:pPr>
              <w:pStyle w:val="TableContents"/>
              <w:spacing w:before="0" w:after="0"/>
              <w:ind w:left="0" w:right="0" w:hanging="0"/>
              <w:rPr/>
            </w:pPr>
            <w:hyperlink w:anchor="Quorum_108022">
              <w:r>
                <w:rPr>
                  <w:rStyle w:val="InternetLink"/>
                  <w:rFonts w:ascii="Times New Roman;Times;serif" w:hAnsi="Times New Roman;Times;serif"/>
                  <w:b w:val="false"/>
                  <w:i w:val="false"/>
                  <w:caps w:val="false"/>
                  <w:smallCaps w:val="false"/>
                  <w:sz w:val="20"/>
                </w:rPr>
                <w:t>Quorum</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844" w:type="dxa"/>
            <w:tcBorders/>
            <w:shd w:fill="auto" w:val="clear"/>
            <w:vAlign w:val="center"/>
          </w:tcPr>
          <w:p>
            <w:pPr>
              <w:pStyle w:val="TableContents"/>
              <w:spacing w:before="0" w:after="0"/>
              <w:ind w:left="0" w:right="0" w:hanging="0"/>
              <w:rPr/>
            </w:pPr>
            <w:hyperlink w:anchor="VoteRequired_679041">
              <w:r>
                <w:rPr>
                  <w:rStyle w:val="InternetLink"/>
                  <w:rFonts w:ascii="Times New Roman;Times;serif" w:hAnsi="Times New Roman;Times;serif"/>
                  <w:b w:val="false"/>
                  <w:i w:val="false"/>
                  <w:caps w:val="false"/>
                  <w:smallCaps w:val="false"/>
                  <w:sz w:val="20"/>
                </w:rPr>
                <w:t>Vote Required</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844" w:type="dxa"/>
            <w:tcBorders/>
            <w:shd w:fill="auto" w:val="clear"/>
            <w:vAlign w:val="center"/>
          </w:tcPr>
          <w:p>
            <w:pPr>
              <w:pStyle w:val="TableContents"/>
              <w:spacing w:before="0" w:after="0"/>
              <w:ind w:left="0" w:right="0" w:hanging="0"/>
              <w:rPr/>
            </w:pPr>
            <w:hyperlink w:anchor="AdjournmentorPostponementofMeeting_42992">
              <w:r>
                <w:rPr>
                  <w:rStyle w:val="InternetLink"/>
                  <w:rFonts w:ascii="Times New Roman;Times;serif" w:hAnsi="Times New Roman;Times;serif"/>
                  <w:b w:val="false"/>
                  <w:i w:val="false"/>
                  <w:caps w:val="false"/>
                  <w:smallCaps w:val="false"/>
                  <w:sz w:val="20"/>
                </w:rPr>
                <w:t>Adjournment or Postponement of Meeting</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844" w:type="dxa"/>
            <w:tcBorders/>
            <w:shd w:fill="auto" w:val="clear"/>
            <w:vAlign w:val="center"/>
          </w:tcPr>
          <w:p>
            <w:pPr>
              <w:pStyle w:val="TableContents"/>
              <w:spacing w:before="0" w:after="0"/>
              <w:ind w:left="0" w:right="0" w:hanging="0"/>
              <w:rPr/>
            </w:pPr>
            <w:hyperlink w:anchor="ExpensesofSolicitingProxies_791359">
              <w:r>
                <w:rPr>
                  <w:rStyle w:val="InternetLink"/>
                  <w:rFonts w:ascii="Times New Roman;Times;serif" w:hAnsi="Times New Roman;Times;serif"/>
                  <w:b w:val="false"/>
                  <w:i w:val="false"/>
                  <w:caps w:val="false"/>
                  <w:smallCaps w:val="false"/>
                  <w:sz w:val="20"/>
                </w:rPr>
                <w:t>Expenses of Soliciting Proxies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CORPORATEGOVERNANCEANDBOARDMATTERS_15037">
              <w:r>
                <w:rPr>
                  <w:rStyle w:val="InternetLink"/>
                  <w:rFonts w:ascii="Times New Roman;Times;serif" w:hAnsi="Times New Roman;Times;serif"/>
                  <w:b w:val="false"/>
                  <w:i w:val="false"/>
                  <w:caps w:val="false"/>
                  <w:smallCaps w:val="false"/>
                  <w:sz w:val="20"/>
                </w:rPr>
                <w:t>CORPORATE GOVERNANCE AND BOARD MATTERS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CorporateGovernancePhilosophy_919937">
              <w:r>
                <w:rPr>
                  <w:rStyle w:val="InternetLink"/>
                  <w:rFonts w:ascii="Times New Roman;Times;serif" w:hAnsi="Times New Roman;Times;serif"/>
                  <w:b w:val="false"/>
                  <w:i w:val="false"/>
                  <w:caps w:val="false"/>
                  <w:smallCaps w:val="false"/>
                  <w:sz w:val="20"/>
                </w:rPr>
                <w:t>Corporate Governance Philosophy</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844" w:type="dxa"/>
            <w:tcBorders/>
            <w:shd w:fill="auto" w:val="clear"/>
            <w:vAlign w:val="center"/>
          </w:tcPr>
          <w:p>
            <w:pPr>
              <w:pStyle w:val="TableContents"/>
              <w:spacing w:before="0" w:after="0"/>
              <w:ind w:left="0" w:right="0" w:hanging="0"/>
              <w:rPr/>
            </w:pPr>
            <w:hyperlink w:anchor="BoardofDirectorsMeetingsandAttendance_64">
              <w:r>
                <w:rPr>
                  <w:rStyle w:val="InternetLink"/>
                  <w:rFonts w:ascii="Times New Roman;Times;serif" w:hAnsi="Times New Roman;Times;serif"/>
                  <w:b w:val="false"/>
                  <w:i w:val="false"/>
                  <w:caps w:val="false"/>
                  <w:smallCaps w:val="false"/>
                  <w:sz w:val="20"/>
                </w:rPr>
                <w:t>Board of Directors Meetings and Attendance</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844" w:type="dxa"/>
            <w:tcBorders/>
            <w:shd w:fill="auto" w:val="clear"/>
            <w:vAlign w:val="center"/>
          </w:tcPr>
          <w:p>
            <w:pPr>
              <w:pStyle w:val="TableContents"/>
              <w:spacing w:before="0" w:after="0"/>
              <w:ind w:left="0" w:right="0" w:hanging="0"/>
              <w:rPr/>
            </w:pPr>
            <w:hyperlink w:anchor="DirectorIndependence_194731">
              <w:r>
                <w:rPr>
                  <w:rStyle w:val="InternetLink"/>
                  <w:rFonts w:ascii="Times New Roman;Times;serif" w:hAnsi="Times New Roman;Times;serif"/>
                  <w:b w:val="false"/>
                  <w:i w:val="false"/>
                  <w:caps w:val="false"/>
                  <w:smallCaps w:val="false"/>
                  <w:sz w:val="20"/>
                </w:rPr>
                <w:t>Director Independence</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844" w:type="dxa"/>
            <w:tcBorders/>
            <w:shd w:fill="auto" w:val="clear"/>
            <w:vAlign w:val="center"/>
          </w:tcPr>
          <w:p>
            <w:pPr>
              <w:pStyle w:val="TableContents"/>
              <w:spacing w:before="0" w:after="0"/>
              <w:ind w:left="0" w:right="0" w:hanging="0"/>
              <w:rPr/>
            </w:pPr>
            <w:hyperlink w:anchor="BoardLeadershipStructure_134430">
              <w:r>
                <w:rPr>
                  <w:rStyle w:val="InternetLink"/>
                  <w:rFonts w:ascii="Times New Roman;Times;serif" w:hAnsi="Times New Roman;Times;serif"/>
                  <w:b w:val="false"/>
                  <w:i w:val="false"/>
                  <w:caps w:val="false"/>
                  <w:smallCaps w:val="false"/>
                  <w:sz w:val="20"/>
                </w:rPr>
                <w:t>Board Leadership Structure</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844" w:type="dxa"/>
            <w:tcBorders/>
            <w:shd w:fill="auto" w:val="clear"/>
            <w:vAlign w:val="center"/>
          </w:tcPr>
          <w:p>
            <w:pPr>
              <w:pStyle w:val="TableContents"/>
              <w:spacing w:before="0" w:after="0"/>
              <w:ind w:left="0" w:right="0" w:hanging="0"/>
              <w:rPr/>
            </w:pPr>
            <w:hyperlink w:anchor="CommitteesofOurBoardofDirectors_11162">
              <w:r>
                <w:rPr>
                  <w:rStyle w:val="InternetLink"/>
                  <w:rFonts w:ascii="Times New Roman;Times;serif" w:hAnsi="Times New Roman;Times;serif"/>
                  <w:b w:val="false"/>
                  <w:i w:val="false"/>
                  <w:caps w:val="false"/>
                  <w:smallCaps w:val="false"/>
                  <w:sz w:val="20"/>
                </w:rPr>
                <w:t>Committees of Our Board of Directors During 202</w:t>
              </w:r>
            </w:hyperlink>
            <w:r>
              <w:rPr>
                <w:rFonts w:ascii="Times New Roman;Times;serif" w:hAnsi="Times New Roman;Times;serif"/>
                <w:sz w:val="20"/>
              </w:rPr>
              <w:t>2</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844" w:type="dxa"/>
            <w:tcBorders/>
            <w:shd w:fill="auto" w:val="clear"/>
            <w:vAlign w:val="center"/>
          </w:tcPr>
          <w:p>
            <w:pPr>
              <w:pStyle w:val="TableContents"/>
              <w:spacing w:before="0" w:after="0"/>
              <w:ind w:left="0" w:right="0" w:hanging="0"/>
              <w:rPr/>
            </w:pPr>
            <w:hyperlink w:anchor="InformationAbouttheBoardofDirectors">
              <w:r>
                <w:rPr>
                  <w:rStyle w:val="InternetLink"/>
                  <w:rFonts w:ascii="Times New Roman;Times;serif" w:hAnsi="Times New Roman;Times;serif"/>
                  <w:b w:val="false"/>
                  <w:i w:val="false"/>
                  <w:caps w:val="false"/>
                  <w:smallCaps w:val="false"/>
                  <w:sz w:val="20"/>
                </w:rPr>
                <w:t>Information About the Board of Directors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844" w:type="dxa"/>
            <w:tcBorders/>
            <w:shd w:fill="auto" w:val="clear"/>
            <w:vAlign w:val="center"/>
          </w:tcPr>
          <w:p>
            <w:pPr>
              <w:pStyle w:val="TableContents"/>
              <w:spacing w:before="0" w:after="0"/>
              <w:ind w:left="0" w:right="0" w:hanging="0"/>
              <w:rPr/>
            </w:pPr>
            <w:hyperlink w:anchor="CodeofConduct_324280">
              <w:r>
                <w:rPr>
                  <w:rStyle w:val="InternetLink"/>
                  <w:rFonts w:ascii="Times New Roman;Times;serif" w:hAnsi="Times New Roman;Times;serif"/>
                  <w:b w:val="false"/>
                  <w:i w:val="false"/>
                  <w:caps w:val="false"/>
                  <w:smallCaps w:val="false"/>
                  <w:sz w:val="20"/>
                </w:rPr>
                <w:t>Code of Conduct</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844" w:type="dxa"/>
            <w:tcBorders/>
            <w:shd w:fill="auto" w:val="clear"/>
            <w:vAlign w:val="center"/>
          </w:tcPr>
          <w:p>
            <w:pPr>
              <w:pStyle w:val="TableContents"/>
              <w:spacing w:before="0" w:after="0"/>
              <w:ind w:left="0" w:right="0" w:hanging="0"/>
              <w:rPr/>
            </w:pPr>
            <w:hyperlink w:anchor="RiskOversight_316826">
              <w:r>
                <w:rPr>
                  <w:rStyle w:val="InternetLink"/>
                  <w:rFonts w:ascii="Times New Roman;Times;serif" w:hAnsi="Times New Roman;Times;serif"/>
                  <w:b w:val="false"/>
                  <w:i w:val="false"/>
                  <w:caps w:val="false"/>
                  <w:smallCaps w:val="false"/>
                  <w:sz w:val="20"/>
                </w:rPr>
                <w:t>Risk Oversight</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844" w:type="dxa"/>
            <w:tcBorders/>
            <w:shd w:fill="auto" w:val="clear"/>
            <w:vAlign w:val="center"/>
          </w:tcPr>
          <w:p>
            <w:pPr>
              <w:pStyle w:val="TableContents"/>
              <w:spacing w:before="0" w:after="0"/>
              <w:ind w:left="0" w:right="0" w:hanging="0"/>
              <w:rPr/>
            </w:pPr>
            <w:hyperlink w:anchor="DirectorNominationProcess_851198">
              <w:r>
                <w:rPr>
                  <w:rStyle w:val="InternetLink"/>
                  <w:rFonts w:ascii="Times New Roman;Times;serif" w:hAnsi="Times New Roman;Times;serif"/>
                  <w:b w:val="false"/>
                  <w:i w:val="false"/>
                  <w:caps w:val="false"/>
                  <w:smallCaps w:val="false"/>
                  <w:sz w:val="20"/>
                </w:rPr>
                <w:t>Director Nomination Process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844" w:type="dxa"/>
            <w:tcBorders/>
            <w:shd w:fill="auto" w:val="clear"/>
            <w:vAlign w:val="center"/>
          </w:tcPr>
          <w:p>
            <w:pPr>
              <w:pStyle w:val="TableContents"/>
              <w:spacing w:before="0" w:after="0"/>
              <w:ind w:left="0" w:right="0" w:hanging="0"/>
              <w:rPr/>
            </w:pPr>
            <w:hyperlink w:anchor="AnnualElectionsandMajorityVoting_526265">
              <w:r>
                <w:rPr>
                  <w:rStyle w:val="InternetLink"/>
                  <w:rFonts w:ascii="Times New Roman;Times;serif" w:hAnsi="Times New Roman;Times;serif"/>
                  <w:b w:val="false"/>
                  <w:i w:val="false"/>
                  <w:caps w:val="false"/>
                  <w:smallCaps w:val="false"/>
                  <w:sz w:val="20"/>
                </w:rPr>
                <w:t>Annual Elections of Directors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844" w:type="dxa"/>
            <w:tcBorders/>
            <w:shd w:fill="auto" w:val="clear"/>
            <w:vAlign w:val="center"/>
          </w:tcPr>
          <w:p>
            <w:pPr>
              <w:pStyle w:val="TableContents"/>
              <w:spacing w:before="0" w:after="0"/>
              <w:ind w:left="0" w:right="0" w:hanging="0"/>
              <w:rPr/>
            </w:pPr>
            <w:hyperlink w:anchor="PolicyonMajorityVoting_412273">
              <w:r>
                <w:rPr>
                  <w:rStyle w:val="InternetLink"/>
                  <w:rFonts w:ascii="Times New Roman;Times;serif" w:hAnsi="Times New Roman;Times;serif"/>
                  <w:b w:val="false"/>
                  <w:i w:val="false"/>
                  <w:caps w:val="false"/>
                  <w:smallCaps w:val="false"/>
                  <w:sz w:val="20"/>
                </w:rPr>
                <w:t>Policy on Majority Voting</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844" w:type="dxa"/>
            <w:tcBorders/>
            <w:shd w:fill="auto" w:val="clear"/>
            <w:vAlign w:val="center"/>
          </w:tcPr>
          <w:p>
            <w:pPr>
              <w:pStyle w:val="TableContents"/>
              <w:spacing w:before="0" w:after="0"/>
              <w:ind w:left="0" w:right="0" w:hanging="0"/>
              <w:rPr/>
            </w:pPr>
            <w:hyperlink w:anchor="CompensationCommitteeInterlocksandInside">
              <w:r>
                <w:rPr>
                  <w:rStyle w:val="InternetLink"/>
                  <w:rFonts w:ascii="Times New Roman;Times;serif" w:hAnsi="Times New Roman;Times;serif"/>
                  <w:b w:val="false"/>
                  <w:i w:val="false"/>
                  <w:caps w:val="false"/>
                  <w:smallCaps w:val="false"/>
                  <w:sz w:val="20"/>
                </w:rPr>
                <w:t>Compensation Committee Interlocks and Insider Participation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844" w:type="dxa"/>
            <w:tcBorders/>
            <w:shd w:fill="auto" w:val="clear"/>
            <w:vAlign w:val="center"/>
          </w:tcPr>
          <w:p>
            <w:pPr>
              <w:pStyle w:val="TableContents"/>
              <w:spacing w:before="0" w:after="0"/>
              <w:ind w:left="0" w:right="0" w:hanging="0"/>
              <w:rPr/>
            </w:pPr>
            <w:hyperlink w:anchor="StockholderCommunicationswiththeBoardofD">
              <w:r>
                <w:rPr>
                  <w:rStyle w:val="InternetLink"/>
                  <w:rFonts w:ascii="Times New Roman;Times;serif" w:hAnsi="Times New Roman;Times;serif"/>
                  <w:b w:val="false"/>
                  <w:i w:val="false"/>
                  <w:caps w:val="false"/>
                  <w:smallCaps w:val="false"/>
                  <w:sz w:val="20"/>
                </w:rPr>
                <w:t>Stockholder Communications with the Board of Directors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844" w:type="dxa"/>
            <w:tcBorders/>
            <w:shd w:fill="auto" w:val="clear"/>
            <w:vAlign w:val="center"/>
          </w:tcPr>
          <w:p>
            <w:pPr>
              <w:pStyle w:val="TableContents"/>
              <w:spacing w:before="0" w:after="0"/>
              <w:ind w:left="0" w:right="0" w:hanging="0"/>
              <w:rPr/>
            </w:pPr>
            <w:hyperlink w:anchor="StockOwnershipPolicy_662559">
              <w:r>
                <w:rPr>
                  <w:rStyle w:val="InternetLink"/>
                  <w:rFonts w:ascii="Times New Roman;Times;serif" w:hAnsi="Times New Roman;Times;serif"/>
                  <w:b w:val="false"/>
                  <w:i w:val="false"/>
                  <w:caps w:val="false"/>
                  <w:smallCaps w:val="false"/>
                  <w:sz w:val="20"/>
                </w:rPr>
                <w:t>Stock Ownership Policy</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844" w:type="dxa"/>
            <w:tcBorders/>
            <w:shd w:fill="auto" w:val="clear"/>
            <w:vAlign w:val="center"/>
          </w:tcPr>
          <w:p>
            <w:pPr>
              <w:pStyle w:val="TableContents"/>
              <w:spacing w:before="0" w:after="0"/>
              <w:ind w:left="0" w:right="0" w:hanging="0"/>
              <w:rPr/>
            </w:pPr>
            <w:hyperlink w:anchor="AntiHedgingAntiPledgingPolicy_353047">
              <w:r>
                <w:rPr>
                  <w:rStyle w:val="InternetLink"/>
                  <w:rFonts w:ascii="Times New Roman;Times;serif" w:hAnsi="Times New Roman;Times;serif"/>
                  <w:b w:val="false"/>
                  <w:i w:val="false"/>
                  <w:caps w:val="false"/>
                  <w:smallCaps w:val="false"/>
                  <w:sz w:val="20"/>
                </w:rPr>
                <w:t>Anti-Hedging and Anti-Pledging Policy</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844" w:type="dxa"/>
            <w:tcBorders/>
            <w:shd w:fill="auto" w:val="clear"/>
            <w:vAlign w:val="center"/>
          </w:tcPr>
          <w:p>
            <w:pPr>
              <w:pStyle w:val="TableContents"/>
              <w:spacing w:before="0" w:after="0"/>
              <w:ind w:left="0" w:right="0" w:hanging="0"/>
              <w:rPr/>
            </w:pPr>
            <w:hyperlink w:anchor="CompensationofDirectors_544198">
              <w:r>
                <w:rPr>
                  <w:rStyle w:val="InternetLink"/>
                  <w:rFonts w:ascii="Times New Roman;Times;serif" w:hAnsi="Times New Roman;Times;serif"/>
                  <w:b w:val="false"/>
                  <w:i w:val="false"/>
                  <w:caps w:val="false"/>
                  <w:smallCaps w:val="false"/>
                  <w:sz w:val="20"/>
                </w:rPr>
                <w:t>Compensation of Directors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844" w:type="dxa"/>
            <w:tcBorders/>
            <w:shd w:fill="auto" w:val="clear"/>
            <w:vAlign w:val="center"/>
          </w:tcPr>
          <w:p>
            <w:pPr>
              <w:pStyle w:val="TableContents"/>
              <w:spacing w:before="0" w:after="0"/>
              <w:ind w:left="0" w:right="0" w:hanging="0"/>
              <w:rPr/>
            </w:pPr>
            <w:hyperlink w:anchor="a2018DirectorCompensation_609781">
              <w:r>
                <w:rPr>
                  <w:rStyle w:val="InternetLink"/>
                  <w:rFonts w:ascii="Times New Roman;Times;serif" w:hAnsi="Times New Roman;Times;serif"/>
                  <w:b w:val="false"/>
                  <w:i w:val="false"/>
                  <w:caps w:val="false"/>
                  <w:smallCaps w:val="false"/>
                  <w:sz w:val="20"/>
                </w:rPr>
                <w:t>2022 Director Compensation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PROPOSALNO1_762246">
              <w:r>
                <w:rPr>
                  <w:rStyle w:val="InternetLink"/>
                  <w:rFonts w:ascii="Times New Roman;Times;serif" w:hAnsi="Times New Roman;Times;serif"/>
                  <w:b w:val="false"/>
                  <w:i w:val="false"/>
                  <w:caps w:val="false"/>
                  <w:smallCaps w:val="false"/>
                  <w:sz w:val="20"/>
                </w:rPr>
                <w:t>PROPOSAL NO. 1 ELECTION OF DIRECTORS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CompositionofourBoardofDirectors_504912">
              <w:r>
                <w:rPr>
                  <w:rStyle w:val="InternetLink"/>
                  <w:rFonts w:ascii="Times New Roman;Times;serif" w:hAnsi="Times New Roman;Times;serif"/>
                  <w:b w:val="false"/>
                  <w:i w:val="false"/>
                  <w:caps w:val="false"/>
                  <w:smallCaps w:val="false"/>
                  <w:sz w:val="20"/>
                </w:rPr>
                <w:t>Composition of our Board of Directors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844" w:type="dxa"/>
            <w:tcBorders/>
            <w:shd w:fill="auto" w:val="clear"/>
            <w:vAlign w:val="center"/>
          </w:tcPr>
          <w:p>
            <w:pPr>
              <w:pStyle w:val="TableContents"/>
              <w:spacing w:before="0" w:after="0"/>
              <w:ind w:left="0" w:right="0" w:hanging="0"/>
              <w:rPr/>
            </w:pPr>
            <w:hyperlink w:anchor="DirectorsandDirectorNominees_647261">
              <w:r>
                <w:rPr>
                  <w:rStyle w:val="InternetLink"/>
                  <w:rFonts w:ascii="Times New Roman;Times;serif" w:hAnsi="Times New Roman;Times;serif"/>
                  <w:b w:val="false"/>
                  <w:i w:val="false"/>
                  <w:caps w:val="false"/>
                  <w:smallCaps w:val="false"/>
                  <w:sz w:val="20"/>
                </w:rPr>
                <w:t>Directors and Director Nominees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PROPOSALNO2_534055">
              <w:r>
                <w:rPr>
                  <w:rStyle w:val="InternetLink"/>
                  <w:rFonts w:ascii="Times New Roman;Times;serif" w:hAnsi="Times New Roman;Times;serif"/>
                  <w:b w:val="false"/>
                  <w:i w:val="false"/>
                  <w:caps w:val="false"/>
                  <w:smallCaps w:val="false"/>
                  <w:sz w:val="20"/>
                </w:rPr>
                <w:t>PROPOSAL NO. 2 ADVISORY VOTE TO APPROVE NAMED EXECUTIVE OFFICER COMPENSATION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EXECUTIVEOFFICERS_363481">
              <w:r>
                <w:rPr>
                  <w:rStyle w:val="InternetLink"/>
                  <w:rFonts w:ascii="Times New Roman;Times;serif" w:hAnsi="Times New Roman;Times;serif"/>
                  <w:b w:val="false"/>
                  <w:i w:val="false"/>
                  <w:caps w:val="false"/>
                  <w:smallCaps w:val="false"/>
                  <w:sz w:val="20"/>
                </w:rPr>
                <w:t>EXECUTIVE OFFICERS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EXECUTIVECOMPENSATION_7528">
              <w:r>
                <w:rPr>
                  <w:rStyle w:val="InternetLink"/>
                  <w:rFonts w:ascii="Times New Roman;Times;serif" w:hAnsi="Times New Roman;Times;serif"/>
                  <w:b w:val="false"/>
                  <w:i w:val="false"/>
                  <w:caps w:val="false"/>
                  <w:smallCaps w:val="false"/>
                  <w:sz w:val="20"/>
                </w:rPr>
                <w:t>EXECUTIVE COMPENSATION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CompensationDiscussionandAnalysis_353723">
              <w:r>
                <w:rPr>
                  <w:rStyle w:val="InternetLink"/>
                  <w:rFonts w:ascii="Times New Roman;Times;serif" w:hAnsi="Times New Roman;Times;serif"/>
                  <w:b w:val="false"/>
                  <w:i w:val="false"/>
                  <w:caps w:val="false"/>
                  <w:smallCaps w:val="false"/>
                  <w:sz w:val="20"/>
                </w:rPr>
                <w:t>Compensation Discussion and Analysis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844" w:type="dxa"/>
            <w:tcBorders/>
            <w:shd w:fill="auto" w:val="clear"/>
            <w:vAlign w:val="center"/>
          </w:tcPr>
          <w:p>
            <w:pPr>
              <w:pStyle w:val="TableContents"/>
              <w:spacing w:before="0" w:after="0"/>
              <w:ind w:left="0" w:right="0" w:hanging="0"/>
              <w:rPr/>
            </w:pPr>
            <w:hyperlink w:anchor="ClawbackPolicy_864375">
              <w:r>
                <w:rPr>
                  <w:rStyle w:val="InternetLink"/>
                  <w:rFonts w:ascii="Times New Roman;Times;serif" w:hAnsi="Times New Roman;Times;serif"/>
                  <w:b w:val="false"/>
                  <w:i w:val="false"/>
                  <w:caps w:val="false"/>
                  <w:smallCaps w:val="false"/>
                  <w:sz w:val="20"/>
                </w:rPr>
                <w:t>Clawback Policy</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844" w:type="dxa"/>
            <w:tcBorders/>
            <w:shd w:fill="auto" w:val="clear"/>
            <w:vAlign w:val="center"/>
          </w:tcPr>
          <w:p>
            <w:pPr>
              <w:pStyle w:val="TableContents"/>
              <w:spacing w:before="0" w:after="0"/>
              <w:ind w:left="0" w:right="0" w:hanging="0"/>
              <w:rPr/>
            </w:pPr>
            <w:hyperlink w:anchor="CompensationofNamedExecutiveOfficers_915">
              <w:r>
                <w:rPr>
                  <w:rStyle w:val="InternetLink"/>
                  <w:rFonts w:ascii="Times New Roman;Times;serif" w:hAnsi="Times New Roman;Times;serif"/>
                  <w:b w:val="false"/>
                  <w:i w:val="false"/>
                  <w:caps w:val="false"/>
                  <w:smallCaps w:val="false"/>
                  <w:sz w:val="20"/>
                </w:rPr>
                <w:t>Compensation of Named Executive Officers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9844" w:type="dxa"/>
            <w:tcBorders/>
            <w:shd w:fill="auto" w:val="clear"/>
            <w:vAlign w:val="center"/>
          </w:tcPr>
          <w:p>
            <w:pPr>
              <w:pStyle w:val="TableContents"/>
              <w:spacing w:before="0" w:after="0"/>
              <w:ind w:left="0" w:right="0" w:hanging="0"/>
              <w:rPr/>
            </w:pPr>
            <w:hyperlink w:anchor="ExecutiveEmploymentAgreements_118897">
              <w:r>
                <w:rPr>
                  <w:rStyle w:val="InternetLink"/>
                  <w:rFonts w:ascii="Times New Roman;Times;serif" w:hAnsi="Times New Roman;Times;serif"/>
                  <w:b w:val="false"/>
                  <w:i w:val="false"/>
                  <w:caps w:val="false"/>
                  <w:smallCaps w:val="false"/>
                  <w:sz w:val="20"/>
                </w:rPr>
                <w:t>Executive Employment Agreements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844" w:type="dxa"/>
            <w:tcBorders/>
            <w:shd w:fill="auto" w:val="clear"/>
            <w:vAlign w:val="center"/>
          </w:tcPr>
          <w:p>
            <w:pPr>
              <w:pStyle w:val="TableContents"/>
              <w:spacing w:before="0" w:after="0"/>
              <w:ind w:left="0" w:right="0" w:hanging="0"/>
              <w:rPr/>
            </w:pPr>
            <w:hyperlink w:anchor="PotentialPaymentsuponTerminationorChange">
              <w:r>
                <w:rPr>
                  <w:rStyle w:val="InternetLink"/>
                  <w:rFonts w:ascii="Times New Roman;Times;serif" w:hAnsi="Times New Roman;Times;serif"/>
                  <w:b w:val="false"/>
                  <w:i w:val="false"/>
                  <w:caps w:val="false"/>
                  <w:smallCaps w:val="false"/>
                  <w:sz w:val="20"/>
                </w:rPr>
                <w:t>Potential Payments upon Termination or Change in Control</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844" w:type="dxa"/>
            <w:tcBorders/>
            <w:shd w:fill="auto" w:val="clear"/>
            <w:vAlign w:val="center"/>
          </w:tcPr>
          <w:p>
            <w:pPr>
              <w:pStyle w:val="TableContents"/>
              <w:spacing w:before="0" w:after="0"/>
              <w:ind w:left="0" w:right="0" w:hanging="0"/>
              <w:rPr/>
            </w:pPr>
            <w:hyperlink w:anchor="PAYVSPERFORMANCE">
              <w:r>
                <w:rPr>
                  <w:rStyle w:val="InternetLink"/>
                  <w:rFonts w:ascii="Times New Roman;Times;serif" w:hAnsi="Times New Roman;Times;serif"/>
                  <w:b w:val="false"/>
                  <w:i w:val="false"/>
                  <w:caps w:val="false"/>
                  <w:smallCaps w:val="false"/>
                  <w:sz w:val="20"/>
                </w:rPr>
                <w:t>Pay vs. Performance Comparison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844" w:type="dxa"/>
            <w:tcBorders/>
            <w:shd w:fill="auto" w:val="clear"/>
            <w:vAlign w:val="center"/>
          </w:tcPr>
          <w:p>
            <w:pPr>
              <w:pStyle w:val="TableContents"/>
              <w:spacing w:before="0" w:after="0"/>
              <w:ind w:left="0" w:right="0" w:hanging="0"/>
              <w:rPr/>
            </w:pPr>
            <w:hyperlink w:anchor="CompensationCommitteeReport_99522">
              <w:r>
                <w:rPr>
                  <w:rStyle w:val="InternetLink"/>
                  <w:rFonts w:ascii="Times New Roman;Times;serif" w:hAnsi="Times New Roman;Times;serif"/>
                  <w:b w:val="false"/>
                  <w:i w:val="false"/>
                  <w:caps w:val="false"/>
                  <w:smallCaps w:val="false"/>
                  <w:sz w:val="20"/>
                </w:rPr>
                <w:t>Compensation Committee Report</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pBdr/>
              <w:spacing w:before="0" w:after="0"/>
              <w:ind w:left="0" w:right="0" w:hanging="0"/>
              <w:rPr/>
            </w:pPr>
            <w:hyperlink w:anchor="ProposalNO3_new">
              <w:r>
                <w:rPr>
                  <w:rStyle w:val="InternetLink"/>
                  <w:rFonts w:ascii="Times New Roman;Times;serif" w:hAnsi="Times New Roman;Times;serif"/>
                  <w:b w:val="false"/>
                  <w:i w:val="false"/>
                  <w:caps w:val="false"/>
                  <w:smallCaps w:val="false"/>
                  <w:sz w:val="20"/>
                </w:rPr>
                <w:t>PROPOSAL NO. 3 ADVISORY (NON-BINDING) VOTE ON THE FREQUENCY OF FUTURE ADIVSORY VOTES ON EXECUTIVE COMPENSATION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pBdr/>
              <w:spacing w:before="0" w:after="0"/>
              <w:ind w:left="0" w:right="0" w:hanging="0"/>
              <w:rPr/>
            </w:pPr>
            <w:hyperlink w:anchor="PROPOSALNO3_912565">
              <w:r>
                <w:rPr>
                  <w:rStyle w:val="InternetLink"/>
                  <w:rFonts w:ascii="Times New Roman;Times;serif" w:hAnsi="Times New Roman;Times;serif"/>
                  <w:b w:val="false"/>
                  <w:i w:val="false"/>
                  <w:caps w:val="false"/>
                  <w:smallCaps w:val="false"/>
                  <w:sz w:val="20"/>
                </w:rPr>
                <w:t>PROPOSAL NO. 4 RATIFICATION OF INDEPENDENT REGISTERED PUBLIC ACCOUNTING FIRM</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8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844" w:type="dxa"/>
            <w:tcBorders/>
            <w:shd w:fill="auto" w:val="clear"/>
            <w:vAlign w:val="center"/>
          </w:tcPr>
          <w:p>
            <w:pPr>
              <w:pStyle w:val="TableContents"/>
              <w:spacing w:before="0" w:after="0"/>
              <w:ind w:left="0" w:right="0" w:hanging="0"/>
              <w:rPr/>
            </w:pPr>
            <w:hyperlink w:anchor="Fees_464615">
              <w:r>
                <w:rPr>
                  <w:rStyle w:val="InternetLink"/>
                  <w:rFonts w:ascii="Times New Roman;Times;serif" w:hAnsi="Times New Roman;Times;serif"/>
                  <w:b w:val="false"/>
                  <w:i w:val="false"/>
                  <w:caps w:val="false"/>
                  <w:smallCaps w:val="false"/>
                  <w:sz w:val="20"/>
                </w:rPr>
                <w:t>Fees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844" w:type="dxa"/>
            <w:tcBorders/>
            <w:shd w:fill="auto" w:val="clear"/>
            <w:vAlign w:val="center"/>
          </w:tcPr>
          <w:p>
            <w:pPr>
              <w:pStyle w:val="TableContents"/>
              <w:spacing w:before="0" w:after="0"/>
              <w:ind w:left="0" w:right="0" w:hanging="0"/>
              <w:rPr/>
            </w:pPr>
            <w:hyperlink w:anchor="ApprovalofIndependentRegisteredPublicAcc">
              <w:r>
                <w:rPr>
                  <w:rStyle w:val="InternetLink"/>
                  <w:rFonts w:ascii="Times New Roman;Times;serif" w:hAnsi="Times New Roman;Times;serif"/>
                  <w:b w:val="false"/>
                  <w:i w:val="false"/>
                  <w:caps w:val="false"/>
                  <w:smallCaps w:val="false"/>
                  <w:sz w:val="20"/>
                </w:rPr>
                <w:t>Approval of Independent Registered Public Accounting Firm Services and Fees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8192" w:type="dxa"/>
        <w:jc w:val="left"/>
        <w:tblInd w:w="0" w:type="dxa"/>
        <w:tblCellMar>
          <w:top w:w="0" w:type="dxa"/>
          <w:left w:w="0" w:type="dxa"/>
          <w:bottom w:w="0" w:type="dxa"/>
          <w:right w:w="0" w:type="dxa"/>
        </w:tblCellMar>
      </w:tblPr>
      <w:tblGrid>
        <w:gridCol w:w="7831"/>
        <w:gridCol w:w="361"/>
      </w:tblGrid>
      <w:tr>
        <w:trPr/>
        <w:tc>
          <w:tcPr>
            <w:tcW w:w="783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7831" w:type="dxa"/>
            <w:tcBorders/>
            <w:shd w:fill="auto" w:val="clear"/>
            <w:vAlign w:val="center"/>
          </w:tcPr>
          <w:p>
            <w:pPr>
              <w:pStyle w:val="TableContents"/>
              <w:spacing w:before="0" w:after="0"/>
              <w:ind w:left="0" w:right="0" w:hanging="0"/>
              <w:rPr/>
            </w:pPr>
            <w:hyperlink w:anchor="AUDITCOMMITTEEREPORT_52457">
              <w:r>
                <w:rPr>
                  <w:rStyle w:val="InternetLink"/>
                  <w:rFonts w:ascii="Times New Roman;Times;serif" w:hAnsi="Times New Roman;Times;serif"/>
                  <w:b w:val="false"/>
                  <w:i w:val="false"/>
                  <w:caps w:val="false"/>
                  <w:smallCaps w:val="false"/>
                  <w:sz w:val="20"/>
                </w:rPr>
                <w:t>AUDIT COMMITTEE REPORT</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831" w:type="dxa"/>
            <w:tcBorders/>
            <w:shd w:fill="auto" w:val="clear"/>
            <w:vAlign w:val="center"/>
          </w:tcPr>
          <w:p>
            <w:pPr>
              <w:pStyle w:val="TableContents"/>
              <w:spacing w:before="0" w:after="0"/>
              <w:ind w:left="0" w:right="0" w:hanging="0"/>
              <w:rPr/>
            </w:pPr>
            <w:hyperlink w:anchor="PrimaryResponsibilitiesoftheAuditCommitt">
              <w:r>
                <w:rPr>
                  <w:rStyle w:val="InternetLink"/>
                  <w:rFonts w:ascii="Times New Roman;Times;serif" w:hAnsi="Times New Roman;Times;serif"/>
                  <w:b w:val="false"/>
                  <w:i w:val="false"/>
                  <w:caps w:val="false"/>
                  <w:smallCaps w:val="false"/>
                  <w:sz w:val="20"/>
                </w:rPr>
                <w:t>Primary Responsibilities of the Audit Committee and the Audit Committee’s Activities in 202</w:t>
              </w:r>
            </w:hyperlink>
            <w:r>
              <w:rPr>
                <w:rFonts w:ascii="Times New Roman;Times;serif" w:hAnsi="Times New Roman;Times;serif"/>
                <w:sz w:val="20"/>
              </w:rPr>
              <w:t>2</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831" w:type="dxa"/>
            <w:tcBorders/>
            <w:shd w:fill="auto" w:val="clear"/>
            <w:vAlign w:val="center"/>
          </w:tcPr>
          <w:p>
            <w:pPr>
              <w:pStyle w:val="TableContents"/>
              <w:spacing w:before="0" w:after="0"/>
              <w:ind w:left="0" w:right="0" w:hanging="0"/>
              <w:rPr/>
            </w:pPr>
            <w:hyperlink w:anchor="a2019AuditedFinancialStatements_445903">
              <w:r>
                <w:rPr>
                  <w:rStyle w:val="InternetLink"/>
                  <w:rFonts w:ascii="Times New Roman;Times;serif" w:hAnsi="Times New Roman;Times;serif"/>
                  <w:b w:val="false"/>
                  <w:i w:val="false"/>
                  <w:caps w:val="false"/>
                  <w:smallCaps w:val="false"/>
                  <w:sz w:val="20"/>
                </w:rPr>
                <w:t>2022 Audited Financial Statements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83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7831" w:type="dxa"/>
            <w:tcBorders/>
            <w:shd w:fill="auto" w:val="clear"/>
            <w:vAlign w:val="center"/>
          </w:tcPr>
          <w:p>
            <w:pPr>
              <w:pStyle w:val="TableContents"/>
              <w:spacing w:before="0" w:after="0"/>
              <w:ind w:left="0" w:right="0" w:hanging="0"/>
              <w:rPr/>
            </w:pPr>
            <w:hyperlink w:anchor="BENEFICIALOWNERSHIPOFCOMMONSTOCK_351108">
              <w:r>
                <w:rPr>
                  <w:rStyle w:val="InternetLink"/>
                  <w:rFonts w:ascii="Times New Roman;Times;serif" w:hAnsi="Times New Roman;Times;serif"/>
                  <w:b w:val="false"/>
                  <w:i w:val="false"/>
                  <w:caps w:val="false"/>
                  <w:smallCaps w:val="false"/>
                  <w:sz w:val="20"/>
                </w:rPr>
                <w:t>BENEFICIAL OWNERSHIP OF COMMON STOCK</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83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7831" w:type="dxa"/>
            <w:tcBorders/>
            <w:shd w:fill="auto" w:val="clear"/>
            <w:vAlign w:val="center"/>
          </w:tcPr>
          <w:p>
            <w:pPr>
              <w:pStyle w:val="TableContents"/>
              <w:spacing w:before="0" w:after="0"/>
              <w:ind w:left="0" w:right="0" w:hanging="0"/>
              <w:rPr/>
            </w:pPr>
            <w:hyperlink w:anchor="CERTAINRELATIONSHIPSANDRELATEDTRANSACTIO">
              <w:r>
                <w:rPr>
                  <w:rStyle w:val="InternetLink"/>
                  <w:rFonts w:ascii="Times New Roman;Times;serif" w:hAnsi="Times New Roman;Times;serif"/>
                  <w:b w:val="false"/>
                  <w:i w:val="false"/>
                  <w:caps w:val="false"/>
                  <w:smallCaps w:val="false"/>
                  <w:sz w:val="20"/>
                </w:rPr>
                <w:t>CERTAIN RELATIONSHIPS AND RELATED TRANSACTIONS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783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7831" w:type="dxa"/>
            <w:tcBorders/>
            <w:shd w:fill="auto" w:val="clear"/>
            <w:vAlign w:val="center"/>
          </w:tcPr>
          <w:p>
            <w:pPr>
              <w:pStyle w:val="TableContents"/>
              <w:spacing w:before="0" w:after="0"/>
              <w:ind w:left="0" w:right="0" w:hanging="0"/>
              <w:rPr/>
            </w:pPr>
            <w:hyperlink w:anchor="PoliciesandProceduresforRelatedPartyTran">
              <w:r>
                <w:rPr>
                  <w:rStyle w:val="InternetLink"/>
                  <w:rFonts w:ascii="Times New Roman;Times;serif" w:hAnsi="Times New Roman;Times;serif"/>
                  <w:b w:val="false"/>
                  <w:i w:val="false"/>
                  <w:caps w:val="false"/>
                  <w:smallCaps w:val="false"/>
                  <w:sz w:val="20"/>
                </w:rPr>
                <w:t>Policies and Procedures for Related Party Transactions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7831" w:type="dxa"/>
            <w:tcBorders/>
            <w:shd w:fill="auto" w:val="clear"/>
            <w:vAlign w:val="center"/>
          </w:tcPr>
          <w:p>
            <w:pPr>
              <w:pStyle w:val="TableContents"/>
              <w:spacing w:before="0" w:after="0"/>
              <w:ind w:left="0" w:right="0" w:hanging="0"/>
              <w:rPr/>
            </w:pPr>
            <w:hyperlink w:anchor="CertainTransactions_743659">
              <w:r>
                <w:rPr>
                  <w:rStyle w:val="InternetLink"/>
                  <w:rFonts w:ascii="Times New Roman;Times;serif" w:hAnsi="Times New Roman;Times;serif"/>
                  <w:b w:val="false"/>
                  <w:i w:val="false"/>
                  <w:caps w:val="false"/>
                  <w:smallCaps w:val="false"/>
                  <w:sz w:val="20"/>
                </w:rPr>
                <w:t>Certain Transactions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83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7831" w:type="dxa"/>
            <w:tcBorders/>
            <w:shd w:fill="auto" w:val="clear"/>
            <w:vAlign w:val="center"/>
          </w:tcPr>
          <w:p>
            <w:pPr>
              <w:pStyle w:val="TableContents"/>
              <w:spacing w:before="0" w:after="0"/>
              <w:ind w:left="0" w:right="0" w:hanging="0"/>
              <w:rPr/>
            </w:pPr>
            <w:hyperlink w:anchor="HOUSEHOLDINGOFPROXYMATERIALS_178462">
              <w:r>
                <w:rPr>
                  <w:rStyle w:val="InternetLink"/>
                  <w:rFonts w:ascii="Times New Roman;Times;serif" w:hAnsi="Times New Roman;Times;serif"/>
                  <w:b w:val="false"/>
                  <w:i w:val="false"/>
                  <w:caps w:val="false"/>
                  <w:smallCaps w:val="false"/>
                  <w:sz w:val="20"/>
                </w:rPr>
                <w:t>HOUSEHOLDING OF PROXY MATERIALS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83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7831" w:type="dxa"/>
            <w:tcBorders/>
            <w:shd w:fill="auto" w:val="clear"/>
            <w:vAlign w:val="center"/>
          </w:tcPr>
          <w:p>
            <w:pPr>
              <w:pStyle w:val="TableContents"/>
              <w:spacing w:before="0" w:after="0"/>
              <w:ind w:left="0" w:right="0" w:hanging="0"/>
              <w:rPr/>
            </w:pPr>
            <w:hyperlink w:anchor="ADDITIONALINFORMATION_301982">
              <w:r>
                <w:rPr>
                  <w:rStyle w:val="InternetLink"/>
                  <w:rFonts w:ascii="Times New Roman;Times;serif" w:hAnsi="Times New Roman;Times;serif"/>
                  <w:b w:val="false"/>
                  <w:i w:val="false"/>
                  <w:caps w:val="false"/>
                  <w:smallCaps w:val="false"/>
                  <w:sz w:val="20"/>
                </w:rPr>
                <w:t>ADDITIONAL INFORMATION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pPr>
      <w:bookmarkStart w:id="6" w:name="_3b97f095_c50d_45c1_932e_6ccd5280acc9"/>
      <w:bookmarkEnd w:id="6"/>
      <w:r>
        <w:rPr/>
        <w:drawing>
          <wp:inline distT="0" distB="0" distL="0" distR="0">
            <wp:extent cx="6163310" cy="9328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63310" cy="932815"/>
                    </a:xfrm>
                    <a:prstGeom prst="rect">
                      <a:avLst/>
                    </a:prstGeom>
                  </pic:spPr>
                </pic:pic>
              </a:graphicData>
            </a:graphic>
          </wp:inline>
        </w:drawing>
      </w:r>
    </w:p>
    <w:tbl>
      <w:tblPr>
        <w:tblW w:w="2461" w:type="dxa"/>
        <w:jc w:val="left"/>
        <w:tblInd w:w="0" w:type="dxa"/>
        <w:tblCellMar>
          <w:top w:w="28" w:type="dxa"/>
          <w:left w:w="0" w:type="dxa"/>
          <w:bottom w:w="0" w:type="dxa"/>
          <w:right w:w="0" w:type="dxa"/>
        </w:tblCellMar>
      </w:tblPr>
      <w:tblGrid>
        <w:gridCol w:w="2461"/>
      </w:tblGrid>
      <w:tr>
        <w:trPr/>
        <w:tc>
          <w:tcPr>
            <w:tcW w:w="2461" w:type="dxa"/>
            <w:tcBorders>
              <w:top w:val="single" w:sz="2" w:space="0" w:color="000000"/>
            </w:tcBorders>
            <w:shd w:fill="auto" w:val="clear"/>
            <w:vAlign w:val="center"/>
          </w:tcPr>
          <w:p>
            <w:pPr>
              <w:pStyle w:val="TableContents"/>
              <w:spacing w:before="0" w:after="0"/>
              <w:ind w:left="0" w:right="0" w:hanging="0"/>
              <w:rPr/>
            </w:pPr>
            <w:r>
              <w:rPr/>
              <w:t>​</w:t>
            </w:r>
          </w:p>
        </w:tc>
      </w:tr>
      <w:tr>
        <w:trPr/>
        <w:tc>
          <w:tcPr>
            <w:tcW w:w="2461" w:type="dxa"/>
            <w:tcBorders>
              <w:bottom w:val="single" w:sz="2" w:space="0" w:color="000000"/>
            </w:tcBorders>
            <w:shd w:fill="auto" w:val="clear"/>
            <w:tcMar>
              <w:top w:w="0" w:type="dxa"/>
              <w:bottom w:w="28" w:type="dxa"/>
            </w:tcMar>
            <w:vAlign w:val="center"/>
          </w:tcPr>
          <w:p>
            <w:pPr>
              <w:pStyle w:val="TableContents"/>
              <w:spacing w:before="200" w:after="200"/>
              <w:ind w:left="0" w:right="0" w:hanging="0"/>
              <w:jc w:val="center"/>
              <w:rPr>
                <w:rFonts w:ascii="Times New Roman;Times;serif" w:hAnsi="Times New Roman;Times;serif"/>
                <w:b/>
                <w:sz w:val="20"/>
              </w:rPr>
            </w:pPr>
            <w:r>
              <w:rPr>
                <w:rFonts w:ascii="Times New Roman;Times;serif" w:hAnsi="Times New Roman;Times;serif"/>
                <w:b/>
                <w:sz w:val="20"/>
              </w:rPr>
              <w:t>Proxy Statement Summary</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This summary highlights information contained elsewhere in the Proxy Statement. This summary does not contain all of the information that you should consider, and you should read the entire Proxy Statement before voting. For more complete information regarding the Company’s 2022 performance, please review the Company’s Annual Report on Form 10-K for the year ended December 31, 2022.</w:t>
      </w:r>
    </w:p>
    <w:p>
      <w:pPr>
        <w:pStyle w:val="Normal"/>
        <w:spacing w:before="0" w:after="0"/>
        <w:rPr>
          <w:sz w:val="4"/>
          <w:szCs w:val="4"/>
        </w:rPr>
      </w:pPr>
      <w:r>
        <w:rPr>
          <w:sz w:val="4"/>
          <w:szCs w:val="4"/>
        </w:rPr>
      </w:r>
      <w:bookmarkStart w:id="7" w:name="_Hlk3270227"/>
      <w:bookmarkStart w:id="8" w:name="_Hlk3270227"/>
      <w:bookmarkEnd w:id="8"/>
    </w:p>
    <w:tbl>
      <w:tblPr>
        <w:tblW w:w="10205" w:type="dxa"/>
        <w:jc w:val="left"/>
        <w:tblInd w:w="0" w:type="dxa"/>
        <w:tblCellMar>
          <w:top w:w="0" w:type="dxa"/>
          <w:left w:w="0" w:type="dxa"/>
          <w:bottom w:w="0" w:type="dxa"/>
          <w:right w:w="0" w:type="dxa"/>
        </w:tblCellMar>
      </w:tblPr>
      <w:tblGrid>
        <w:gridCol w:w="1546"/>
        <w:gridCol w:w="8659"/>
      </w:tblGrid>
      <w:tr>
        <w:trPr/>
        <w:tc>
          <w:tcPr>
            <w:tcW w:w="1546" w:type="dxa"/>
            <w:tcBorders/>
            <w:shd w:fill="auto" w:val="clear"/>
            <w:vAlign w:val="center"/>
          </w:tcPr>
          <w:p>
            <w:pPr>
              <w:pStyle w:val="TableContents"/>
              <w:spacing w:before="0" w:after="0"/>
              <w:ind w:left="0" w:right="0" w:hanging="0"/>
              <w:rPr/>
            </w:pPr>
            <w:r>
              <w:rPr/>
              <w:t>​</w:t>
            </w:r>
          </w:p>
        </w:tc>
        <w:tc>
          <w:tcPr>
            <w:tcW w:w="8659" w:type="dxa"/>
            <w:tcBorders/>
            <w:shd w:fill="auto" w:val="clear"/>
            <w:vAlign w:val="center"/>
          </w:tcPr>
          <w:p>
            <w:pPr>
              <w:pStyle w:val="TableContents"/>
              <w:spacing w:before="0" w:after="0"/>
              <w:ind w:left="0" w:right="0" w:hanging="0"/>
              <w:rPr/>
            </w:pPr>
            <w:r>
              <w:rPr/>
              <w:t>​</w:t>
            </w:r>
          </w:p>
        </w:tc>
      </w:tr>
      <w:tr>
        <w:trPr/>
        <w:tc>
          <w:tcPr>
            <w:tcW w:w="154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GENERAL</w:t>
              <w:br/>
              <w:t>INFORMATION</w:t>
            </w:r>
          </w:p>
        </w:tc>
        <w:tc>
          <w:tcPr>
            <w:tcW w:w="865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54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5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54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Date and Time:</w:t>
            </w:r>
          </w:p>
        </w:tc>
        <w:tc>
          <w:tcPr>
            <w:tcW w:w="8659"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Tuesday, June 20, 2023 10:30 a.m., Arizona time</w:t>
            </w:r>
          </w:p>
        </w:tc>
      </w:tr>
      <w:tr>
        <w:trPr/>
        <w:tc>
          <w:tcPr>
            <w:tcW w:w="1546" w:type="dxa"/>
            <w:tcBorders/>
            <w:shd w:fill="auto" w:val="clear"/>
            <w:vAlign w:val="center"/>
          </w:tcPr>
          <w:p>
            <w:pPr>
              <w:pStyle w:val="TableContents"/>
              <w:spacing w:before="0" w:after="0"/>
              <w:ind w:left="0" w:right="0" w:hanging="0"/>
              <w:rPr/>
            </w:pPr>
            <w:r>
              <w:rPr/>
              <w:t>​</w:t>
            </w:r>
          </w:p>
        </w:tc>
        <w:tc>
          <w:tcPr>
            <w:tcW w:w="8659"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Record Date:</w:t>
            </w:r>
          </w:p>
        </w:tc>
        <w:tc>
          <w:tcPr>
            <w:tcW w:w="86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24, 2023</w:t>
            </w:r>
          </w:p>
        </w:tc>
      </w:tr>
      <w:tr>
        <w:trPr/>
        <w:tc>
          <w:tcPr>
            <w:tcW w:w="1546" w:type="dxa"/>
            <w:tcBorders/>
            <w:shd w:fill="auto" w:val="clear"/>
            <w:vAlign w:val="center"/>
          </w:tcPr>
          <w:p>
            <w:pPr>
              <w:pStyle w:val="TableContents"/>
              <w:spacing w:before="0" w:after="0"/>
              <w:ind w:left="0" w:right="0" w:hanging="0"/>
              <w:rPr/>
            </w:pPr>
            <w:r>
              <w:rPr/>
              <w:t>​</w:t>
            </w:r>
          </w:p>
        </w:tc>
        <w:tc>
          <w:tcPr>
            <w:tcW w:w="8659"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Place:</w:t>
            </w:r>
          </w:p>
        </w:tc>
        <w:tc>
          <w:tcPr>
            <w:tcW w:w="86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Grand Canyon Education, Inc.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2600 W. Camelback Road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Phoenix, Arizona 85017</w:t>
            </w:r>
          </w:p>
        </w:tc>
      </w:tr>
      <w:tr>
        <w:trPr/>
        <w:tc>
          <w:tcPr>
            <w:tcW w:w="1546" w:type="dxa"/>
            <w:tcBorders/>
            <w:shd w:fill="auto" w:val="clear"/>
            <w:vAlign w:val="center"/>
          </w:tcPr>
          <w:p>
            <w:pPr>
              <w:pStyle w:val="TableContents"/>
              <w:spacing w:before="0" w:after="0"/>
              <w:ind w:left="0" w:right="0" w:hanging="0"/>
              <w:rPr/>
            </w:pPr>
            <w:r>
              <w:rPr/>
              <w:t>​</w:t>
            </w:r>
          </w:p>
        </w:tc>
        <w:tc>
          <w:tcPr>
            <w:tcW w:w="8659" w:type="dxa"/>
            <w:tcBorders/>
            <w:shd w:fill="auto" w:val="clear"/>
            <w:vAlign w:val="center"/>
          </w:tcPr>
          <w:p>
            <w:pPr>
              <w:pStyle w:val="TableContents"/>
              <w:spacing w:before="0" w:after="0"/>
              <w:ind w:left="0" w:right="0" w:hanging="0"/>
              <w:rPr/>
            </w:pPr>
            <w:r>
              <w:rPr/>
              <w:t>​</w:t>
            </w:r>
          </w:p>
        </w:tc>
      </w:tr>
      <w:tr>
        <w:trPr/>
        <w:tc>
          <w:tcPr>
            <w:tcW w:w="15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Voting:</w:t>
            </w:r>
          </w:p>
        </w:tc>
        <w:tc>
          <w:tcPr>
            <w:tcW w:w="86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accompanying proxy statement describes important issues affecting Grand Canyon Education, Inc. If you are a stockholder of record as of the record date, you have the right to submit your proxy through the Internet, by telephone or by mail. Please help us save time and administrative costs by submitting your proxy through the Internet or by telephone. Each method is generally available 24 hours a day and will ensure that your voting instructions are confirmed and posted immediately. Stockholders of record as of April 24, 2023 may cast their votes in any of the following ways:</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2990"/>
        <w:gridCol w:w="326"/>
        <w:gridCol w:w="2267"/>
        <w:gridCol w:w="326"/>
        <w:gridCol w:w="1544"/>
        <w:gridCol w:w="326"/>
        <w:gridCol w:w="2426"/>
      </w:tblGrid>
      <w:tr>
        <w:trPr/>
        <w:tc>
          <w:tcPr>
            <w:tcW w:w="2990"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2267"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1544"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2426" w:type="dxa"/>
            <w:tcBorders/>
            <w:shd w:fill="auto" w:val="clear"/>
            <w:vAlign w:val="center"/>
          </w:tcPr>
          <w:p>
            <w:pPr>
              <w:pStyle w:val="TableContents"/>
              <w:spacing w:before="0" w:after="283"/>
              <w:ind w:left="0" w:right="0" w:hanging="0"/>
              <w:rPr>
                <w:sz w:val="4"/>
                <w:szCs w:val="4"/>
              </w:rPr>
            </w:pPr>
            <w:r>
              <w:rPr>
                <w:sz w:val="4"/>
                <w:szCs w:val="4"/>
              </w:rPr>
            </w:r>
          </w:p>
        </w:tc>
      </w:tr>
      <w:tr>
        <w:trPr/>
        <w:tc>
          <w:tcPr>
            <w:tcW w:w="2990" w:type="dxa"/>
            <w:tcBorders/>
            <w:shd w:fill="auto" w:val="clear"/>
            <w:vAlign w:val="center"/>
          </w:tcPr>
          <w:p>
            <w:pPr>
              <w:pStyle w:val="TableContents"/>
              <w:spacing w:before="0" w:after="0"/>
              <w:ind w:left="0" w:right="0" w:hanging="0"/>
              <w:jc w:val="center"/>
              <w:rPr/>
            </w:pPr>
            <w:r>
              <w:rPr/>
              <w:drawing>
                <wp:inline distT="0" distB="0" distL="0" distR="0">
                  <wp:extent cx="66675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 cy="619125"/>
                          </a:xfrm>
                          <a:prstGeom prst="rect">
                            <a:avLst/>
                          </a:prstGeom>
                        </pic:spPr>
                      </pic:pic>
                    </a:graphicData>
                  </a:graphic>
                </wp:inline>
              </w:drawing>
            </w:r>
          </w:p>
        </w:tc>
        <w:tc>
          <w:tcPr>
            <w:tcW w:w="326" w:type="dxa"/>
            <w:tcBorders/>
            <w:shd w:fill="auto" w:val="clear"/>
            <w:vAlign w:val="center"/>
          </w:tcPr>
          <w:p>
            <w:pPr>
              <w:pStyle w:val="TableContents"/>
              <w:spacing w:before="0" w:after="0"/>
              <w:ind w:left="0" w:right="0" w:hanging="0"/>
              <w:jc w:val="center"/>
              <w:rPr/>
            </w:pPr>
            <w:r>
              <w:rPr/>
              <w:t>    </w:t>
            </w:r>
          </w:p>
        </w:tc>
        <w:tc>
          <w:tcPr>
            <w:tcW w:w="2267" w:type="dxa"/>
            <w:tcBorders/>
            <w:shd w:fill="auto" w:val="clear"/>
            <w:vAlign w:val="center"/>
          </w:tcPr>
          <w:p>
            <w:pPr>
              <w:pStyle w:val="TableContents"/>
              <w:spacing w:before="0" w:after="0"/>
              <w:ind w:left="0" w:right="0" w:hanging="0"/>
              <w:jc w:val="center"/>
              <w:rPr/>
            </w:pPr>
            <w:r>
              <w:rPr/>
              <w:drawing>
                <wp:inline distT="0" distB="0" distL="0" distR="0">
                  <wp:extent cx="333375" cy="58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3375" cy="581025"/>
                          </a:xfrm>
                          <a:prstGeom prst="rect">
                            <a:avLst/>
                          </a:prstGeom>
                        </pic:spPr>
                      </pic:pic>
                    </a:graphicData>
                  </a:graphic>
                </wp:inline>
              </w:drawing>
            </w:r>
          </w:p>
        </w:tc>
        <w:tc>
          <w:tcPr>
            <w:tcW w:w="326" w:type="dxa"/>
            <w:tcBorders/>
            <w:shd w:fill="auto" w:val="clear"/>
            <w:vAlign w:val="center"/>
          </w:tcPr>
          <w:p>
            <w:pPr>
              <w:pStyle w:val="TableContents"/>
              <w:spacing w:before="0" w:after="0"/>
              <w:ind w:left="0" w:right="0" w:hanging="0"/>
              <w:jc w:val="center"/>
              <w:rPr/>
            </w:pPr>
            <w:r>
              <w:rPr/>
              <w:t>    </w:t>
            </w:r>
          </w:p>
        </w:tc>
        <w:tc>
          <w:tcPr>
            <w:tcW w:w="1544" w:type="dxa"/>
            <w:tcBorders/>
            <w:shd w:fill="auto" w:val="clear"/>
            <w:vAlign w:val="center"/>
          </w:tcPr>
          <w:p>
            <w:pPr>
              <w:pStyle w:val="TableContents"/>
              <w:spacing w:before="0" w:after="0"/>
              <w:ind w:left="0" w:right="0" w:hanging="0"/>
              <w:jc w:val="center"/>
              <w:rPr/>
            </w:pPr>
            <w:r>
              <w:rPr/>
              <w:drawing>
                <wp:inline distT="0" distB="0" distL="0" distR="0">
                  <wp:extent cx="495300" cy="552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95300" cy="552450"/>
                          </a:xfrm>
                          <a:prstGeom prst="rect">
                            <a:avLst/>
                          </a:prstGeom>
                        </pic:spPr>
                      </pic:pic>
                    </a:graphicData>
                  </a:graphic>
                </wp:inline>
              </w:drawing>
            </w:r>
          </w:p>
        </w:tc>
        <w:tc>
          <w:tcPr>
            <w:tcW w:w="326" w:type="dxa"/>
            <w:tcBorders/>
            <w:shd w:fill="auto" w:val="clear"/>
            <w:vAlign w:val="center"/>
          </w:tcPr>
          <w:p>
            <w:pPr>
              <w:pStyle w:val="TableContents"/>
              <w:spacing w:before="0" w:after="0"/>
              <w:ind w:left="0" w:right="0" w:hanging="0"/>
              <w:jc w:val="center"/>
              <w:rPr/>
            </w:pPr>
            <w:r>
              <w:rPr/>
              <w:t>    </w:t>
            </w:r>
          </w:p>
        </w:tc>
        <w:tc>
          <w:tcPr>
            <w:tcW w:w="2426" w:type="dxa"/>
            <w:tcBorders/>
            <w:shd w:fill="auto" w:val="clear"/>
            <w:vAlign w:val="center"/>
          </w:tcPr>
          <w:p>
            <w:pPr>
              <w:pStyle w:val="TableContents"/>
              <w:spacing w:before="0" w:after="0"/>
              <w:ind w:left="0" w:right="0" w:hanging="0"/>
              <w:jc w:val="center"/>
              <w:rPr/>
            </w:pPr>
            <w:r>
              <w:rPr/>
              <w:drawing>
                <wp:inline distT="0" distB="0" distL="0" distR="0">
                  <wp:extent cx="609600" cy="790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9600" cy="790575"/>
                          </a:xfrm>
                          <a:prstGeom prst="rect">
                            <a:avLst/>
                          </a:prstGeom>
                        </pic:spPr>
                      </pic:pic>
                    </a:graphicData>
                  </a:graphic>
                </wp:inline>
              </w:drawing>
            </w:r>
          </w:p>
        </w:tc>
      </w:tr>
      <w:tr>
        <w:trPr/>
        <w:tc>
          <w:tcPr>
            <w:tcW w:w="2990" w:type="dxa"/>
            <w:tcBorders/>
            <w:shd w:fill="auto" w:val="clear"/>
            <w:vAlign w:val="center"/>
          </w:tcPr>
          <w:p>
            <w:pPr>
              <w:pStyle w:val="TableContents"/>
              <w:spacing w:before="0" w:after="0"/>
              <w:ind w:left="0" w:right="0" w:hanging="0"/>
              <w:jc w:val="center"/>
              <w:rPr>
                <w:rFonts w:ascii="Times New Roman;Times;serif" w:hAnsi="Times New Roman;Times;serif"/>
                <w:b/>
                <w:color w:val="3C5F52"/>
                <w:sz w:val="17"/>
              </w:rPr>
            </w:pPr>
            <w:r>
              <w:rPr>
                <w:rFonts w:ascii="Times New Roman;Times;serif" w:hAnsi="Times New Roman;Times;serif"/>
                <w:b/>
                <w:color w:val="3C5F52"/>
                <w:sz w:val="17"/>
              </w:rPr>
              <w:t>Internet</w:t>
            </w:r>
          </w:p>
        </w:tc>
        <w:tc>
          <w:tcPr>
            <w:tcW w:w="326" w:type="dxa"/>
            <w:tcBorders/>
            <w:shd w:fill="auto" w:val="clear"/>
            <w:vAlign w:val="center"/>
          </w:tcPr>
          <w:p>
            <w:pPr>
              <w:pStyle w:val="TableContents"/>
              <w:spacing w:before="0" w:after="0"/>
              <w:ind w:left="0" w:right="0" w:hanging="0"/>
              <w:jc w:val="center"/>
              <w:rPr>
                <w:color w:val="3C5F52"/>
              </w:rPr>
            </w:pPr>
            <w:r>
              <w:rPr>
                <w:color w:val="3C5F52"/>
              </w:rPr>
              <w:t>​</w:t>
            </w:r>
          </w:p>
        </w:tc>
        <w:tc>
          <w:tcPr>
            <w:tcW w:w="2267" w:type="dxa"/>
            <w:tcBorders/>
            <w:shd w:fill="auto" w:val="clear"/>
            <w:vAlign w:val="center"/>
          </w:tcPr>
          <w:p>
            <w:pPr>
              <w:pStyle w:val="TableContents"/>
              <w:spacing w:before="0" w:after="0"/>
              <w:ind w:left="0" w:right="0" w:hanging="0"/>
              <w:jc w:val="center"/>
              <w:rPr>
                <w:rFonts w:ascii="Times New Roman;Times;serif" w:hAnsi="Times New Roman;Times;serif"/>
                <w:b/>
                <w:color w:val="3C5F52"/>
                <w:sz w:val="17"/>
              </w:rPr>
            </w:pPr>
            <w:r>
              <w:rPr>
                <w:rFonts w:ascii="Times New Roman;Times;serif" w:hAnsi="Times New Roman;Times;serif"/>
                <w:b/>
                <w:color w:val="3C5F52"/>
                <w:sz w:val="17"/>
              </w:rPr>
              <w:t>Phone</w:t>
            </w:r>
          </w:p>
        </w:tc>
        <w:tc>
          <w:tcPr>
            <w:tcW w:w="326" w:type="dxa"/>
            <w:tcBorders/>
            <w:shd w:fill="auto" w:val="clear"/>
            <w:vAlign w:val="center"/>
          </w:tcPr>
          <w:p>
            <w:pPr>
              <w:pStyle w:val="TableContents"/>
              <w:spacing w:before="0" w:after="0"/>
              <w:ind w:left="0" w:right="0" w:hanging="0"/>
              <w:jc w:val="center"/>
              <w:rPr>
                <w:color w:val="3C5F52"/>
              </w:rPr>
            </w:pPr>
            <w:r>
              <w:rPr>
                <w:color w:val="3C5F52"/>
              </w:rPr>
              <w:t>​</w:t>
            </w:r>
          </w:p>
        </w:tc>
        <w:tc>
          <w:tcPr>
            <w:tcW w:w="1544" w:type="dxa"/>
            <w:tcBorders/>
            <w:shd w:fill="auto" w:val="clear"/>
            <w:vAlign w:val="center"/>
          </w:tcPr>
          <w:p>
            <w:pPr>
              <w:pStyle w:val="TableContents"/>
              <w:spacing w:before="0" w:after="0"/>
              <w:ind w:left="0" w:right="0" w:hanging="0"/>
              <w:jc w:val="center"/>
              <w:rPr>
                <w:rFonts w:ascii="Times New Roman;Times;serif" w:hAnsi="Times New Roman;Times;serif"/>
                <w:b/>
                <w:color w:val="3C5F52"/>
                <w:sz w:val="17"/>
              </w:rPr>
            </w:pPr>
            <w:r>
              <w:rPr>
                <w:rFonts w:ascii="Times New Roman;Times;serif" w:hAnsi="Times New Roman;Times;serif"/>
                <w:b/>
                <w:color w:val="3C5F52"/>
                <w:sz w:val="17"/>
              </w:rPr>
              <w:t>Mail</w:t>
            </w:r>
          </w:p>
        </w:tc>
        <w:tc>
          <w:tcPr>
            <w:tcW w:w="326" w:type="dxa"/>
            <w:tcBorders/>
            <w:shd w:fill="auto" w:val="clear"/>
            <w:vAlign w:val="center"/>
          </w:tcPr>
          <w:p>
            <w:pPr>
              <w:pStyle w:val="TableContents"/>
              <w:spacing w:before="0" w:after="0"/>
              <w:ind w:left="0" w:right="0" w:hanging="0"/>
              <w:jc w:val="center"/>
              <w:rPr>
                <w:color w:val="3C5F52"/>
              </w:rPr>
            </w:pPr>
            <w:r>
              <w:rPr>
                <w:color w:val="3C5F52"/>
              </w:rPr>
              <w:t>​</w:t>
            </w:r>
          </w:p>
        </w:tc>
        <w:tc>
          <w:tcPr>
            <w:tcW w:w="2426" w:type="dxa"/>
            <w:tcBorders/>
            <w:shd w:fill="auto" w:val="clear"/>
            <w:vAlign w:val="center"/>
          </w:tcPr>
          <w:p>
            <w:pPr>
              <w:pStyle w:val="TableContents"/>
              <w:spacing w:before="0" w:after="0"/>
              <w:ind w:left="0" w:right="0" w:hanging="0"/>
              <w:jc w:val="center"/>
              <w:rPr>
                <w:rFonts w:ascii="Times New Roman;Times;serif" w:hAnsi="Times New Roman;Times;serif"/>
                <w:b/>
                <w:color w:val="3C5F52"/>
                <w:sz w:val="17"/>
              </w:rPr>
            </w:pPr>
            <w:r>
              <w:rPr>
                <w:rFonts w:ascii="Times New Roman;Times;serif" w:hAnsi="Times New Roman;Times;serif"/>
                <w:b/>
                <w:color w:val="3C5F52"/>
                <w:sz w:val="17"/>
              </w:rPr>
              <w:t>In Person</w:t>
            </w:r>
          </w:p>
        </w:tc>
      </w:tr>
      <w:tr>
        <w:trPr/>
        <w:tc>
          <w:tcPr>
            <w:tcW w:w="2990"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7"/>
              </w:rPr>
              <w:t xml:space="preserve">Visit </w:t>
            </w:r>
            <w:r>
              <w:rPr>
                <w:rFonts w:ascii="Times New Roman;Times;serif" w:hAnsi="Times New Roman;Times;serif"/>
                <w:i/>
                <w:sz w:val="17"/>
              </w:rPr>
              <w:t>www.investorvote.com/LOPE</w:t>
            </w:r>
            <w:r>
              <w:rPr>
                <w:rFonts w:ascii="Times New Roman;Times;serif" w:hAnsi="Times New Roman;Times;serif"/>
                <w:sz w:val="17"/>
              </w:rPr>
              <w:t>, 24 hours a day, seven days a week, through 11:00 p.m. (PT) on June 19, 2023. Please have available your notice card. Follow the simple instructions provided.</w:t>
            </w:r>
          </w:p>
        </w:tc>
        <w:tc>
          <w:tcPr>
            <w:tcW w:w="326" w:type="dxa"/>
            <w:tcBorders/>
            <w:shd w:fill="auto" w:val="clear"/>
            <w:vAlign w:val="center"/>
          </w:tcPr>
          <w:p>
            <w:pPr>
              <w:pStyle w:val="TableContents"/>
              <w:spacing w:before="0" w:after="0"/>
              <w:ind w:left="0" w:right="0" w:hanging="0"/>
              <w:jc w:val="both"/>
              <w:rPr/>
            </w:pPr>
            <w:r>
              <w:rPr/>
              <w:t>​</w:t>
            </w:r>
          </w:p>
        </w:tc>
        <w:tc>
          <w:tcPr>
            <w:tcW w:w="2267" w:type="dxa"/>
            <w:tcBorders/>
            <w:shd w:fill="auto" w:val="clear"/>
            <w:vAlign w:val="center"/>
          </w:tcPr>
          <w:p>
            <w:pPr>
              <w:pStyle w:val="TableContents"/>
              <w:spacing w:before="0" w:after="0"/>
              <w:ind w:left="0" w:right="0" w:hanging="0"/>
              <w:jc w:val="both"/>
              <w:rPr>
                <w:rFonts w:ascii="Times New Roman;Times;serif" w:hAnsi="Times New Roman;Times;serif"/>
                <w:sz w:val="17"/>
              </w:rPr>
            </w:pPr>
            <w:r>
              <w:rPr>
                <w:rFonts w:ascii="Times New Roman;Times;serif" w:hAnsi="Times New Roman;Times;serif"/>
                <w:sz w:val="17"/>
              </w:rPr>
              <w:t>Call 1-800-652-VOTE (8683), 24 hours a day, seven days a week, through 11:00 p.m. (PT) on June 19, 2023. Please have available your notice card. Follow the simple instructions provided.</w:t>
            </w:r>
          </w:p>
        </w:tc>
        <w:tc>
          <w:tcPr>
            <w:tcW w:w="326" w:type="dxa"/>
            <w:tcBorders/>
            <w:shd w:fill="auto" w:val="clear"/>
            <w:vAlign w:val="center"/>
          </w:tcPr>
          <w:p>
            <w:pPr>
              <w:pStyle w:val="TableContents"/>
              <w:spacing w:before="0" w:after="0"/>
              <w:ind w:left="0" w:right="0" w:hanging="0"/>
              <w:jc w:val="both"/>
              <w:rPr/>
            </w:pPr>
            <w:r>
              <w:rPr/>
              <w:t>​</w:t>
            </w:r>
          </w:p>
        </w:tc>
        <w:tc>
          <w:tcPr>
            <w:tcW w:w="1544" w:type="dxa"/>
            <w:tcBorders/>
            <w:shd w:fill="auto" w:val="clear"/>
            <w:vAlign w:val="center"/>
          </w:tcPr>
          <w:p>
            <w:pPr>
              <w:pStyle w:val="TableContents"/>
              <w:spacing w:before="0" w:after="0"/>
              <w:ind w:left="0" w:right="0" w:hanging="0"/>
              <w:jc w:val="both"/>
              <w:rPr>
                <w:rFonts w:ascii="Times New Roman;Times;serif" w:hAnsi="Times New Roman;Times;serif"/>
                <w:sz w:val="17"/>
              </w:rPr>
            </w:pPr>
            <w:r>
              <w:rPr>
                <w:rFonts w:ascii="Times New Roman;Times;serif" w:hAnsi="Times New Roman;Times;serif"/>
                <w:sz w:val="17"/>
              </w:rPr>
              <w:t>Mark, sign and date your proxy card. Return it in the enclosed postage-paid envelope</w:t>
            </w:r>
          </w:p>
        </w:tc>
        <w:tc>
          <w:tcPr>
            <w:tcW w:w="326" w:type="dxa"/>
            <w:tcBorders/>
            <w:shd w:fill="auto" w:val="clear"/>
            <w:vAlign w:val="center"/>
          </w:tcPr>
          <w:p>
            <w:pPr>
              <w:pStyle w:val="TableContents"/>
              <w:spacing w:before="0" w:after="0"/>
              <w:ind w:left="0" w:right="0" w:hanging="0"/>
              <w:jc w:val="both"/>
              <w:rPr/>
            </w:pPr>
            <w:r>
              <w:rPr/>
              <w:t>​</w:t>
            </w:r>
          </w:p>
        </w:tc>
        <w:tc>
          <w:tcPr>
            <w:tcW w:w="2426" w:type="dxa"/>
            <w:tcBorders/>
            <w:shd w:fill="auto" w:val="clear"/>
            <w:vAlign w:val="center"/>
          </w:tcPr>
          <w:p>
            <w:pPr>
              <w:pStyle w:val="TableContents"/>
              <w:spacing w:before="0" w:after="0"/>
              <w:ind w:left="0" w:right="0" w:hanging="0"/>
              <w:jc w:val="both"/>
              <w:rPr>
                <w:rFonts w:ascii="Times New Roman;Times;serif" w:hAnsi="Times New Roman;Times;serif"/>
                <w:sz w:val="17"/>
              </w:rPr>
            </w:pPr>
            <w:r>
              <w:rPr>
                <w:rFonts w:ascii="Times New Roman;Times;serif" w:hAnsi="Times New Roman;Times;serif"/>
                <w:sz w:val="17"/>
              </w:rPr>
              <w:t>If you plan to attend the meeting in person, you will need to bring a picture ID and proof of ownership of Grand Canyon Education, Inc. common stock as of the record date.</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2" w:space="1" w:color="000000"/>
        </w:pBdr>
        <w:spacing w:before="0" w:after="0"/>
        <w:ind w:left="0" w:right="0" w:hanging="0"/>
        <w:rPr>
          <w:rFonts w:ascii="Times New Roman;Times;serif" w:hAnsi="Times New Roman;Times;serif"/>
          <w:b/>
          <w:sz w:val="20"/>
        </w:rPr>
      </w:pPr>
      <w:r>
        <w:rPr>
          <w:rFonts w:ascii="Times New Roman;Times;serif" w:hAnsi="Times New Roman;Times;serif"/>
          <w:b/>
          <w:sz w:val="20"/>
        </w:rPr>
        <w:t>SUMMARY OF MATTERS TO BE VOTED UPON AND BOARD RECOMMENDATIONS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Stockholders are being asked to vote on the following matters at the Annual Meeting:</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37"/>
        <w:gridCol w:w="326"/>
        <w:gridCol w:w="4000"/>
        <w:gridCol w:w="326"/>
        <w:gridCol w:w="1471"/>
        <w:gridCol w:w="326"/>
        <w:gridCol w:w="1719"/>
      </w:tblGrid>
      <w:tr>
        <w:trPr/>
        <w:tc>
          <w:tcPr>
            <w:tcW w:w="2037"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4000"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1719" w:type="dxa"/>
            <w:tcBorders/>
            <w:shd w:fill="auto" w:val="clear"/>
            <w:vAlign w:val="center"/>
          </w:tcPr>
          <w:p>
            <w:pPr>
              <w:pStyle w:val="TableContents"/>
              <w:spacing w:before="0" w:after="283"/>
              <w:ind w:left="0" w:right="0" w:hanging="0"/>
              <w:rPr>
                <w:sz w:val="4"/>
                <w:szCs w:val="4"/>
              </w:rPr>
            </w:pPr>
            <w:r>
              <w:rPr>
                <w:sz w:val="4"/>
                <w:szCs w:val="4"/>
              </w:rPr>
            </w:r>
          </w:p>
        </w:tc>
      </w:tr>
      <w:tr>
        <w:trPr/>
        <w:tc>
          <w:tcPr>
            <w:tcW w:w="203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0"/>
              <w:ind w:left="0" w:right="0" w:hanging="0"/>
              <w:rPr>
                <w:rFonts w:ascii="Times New Roman;Times;serif" w:hAnsi="Times New Roman;Times;serif"/>
                <w:b/>
                <w:i/>
                <w:sz w:val="18"/>
              </w:rPr>
            </w:pPr>
            <w:r>
              <w:rPr>
                <w:rFonts w:ascii="Times New Roman;Times;serif" w:hAnsi="Times New Roman;Times;serif"/>
                <w:b/>
                <w:i/>
                <w:sz w:val="18"/>
              </w:rPr>
              <w:t>Proposal</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400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b/>
                <w:i/>
                <w:sz w:val="18"/>
              </w:rPr>
            </w:pPr>
            <w:r>
              <w:rPr>
                <w:rFonts w:ascii="Times New Roman;Times;serif" w:hAnsi="Times New Roman;Times;serif"/>
                <w:b/>
                <w:i/>
                <w:sz w:val="18"/>
              </w:rPr>
              <w:t>Description</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47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b/>
                <w:i/>
                <w:sz w:val="18"/>
              </w:rPr>
            </w:pPr>
            <w:r>
              <w:rPr>
                <w:rFonts w:ascii="Times New Roman;Times;serif" w:hAnsi="Times New Roman;Times;serif"/>
                <w:b/>
                <w:i/>
                <w:sz w:val="18"/>
              </w:rPr>
              <w:t>Board</w:t>
              <w:br/>
              <w:t>Recommendation</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71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b/>
                <w:i/>
                <w:sz w:val="18"/>
              </w:rPr>
            </w:pPr>
            <w:r>
              <w:rPr>
                <w:rFonts w:ascii="Times New Roman;Times;serif" w:hAnsi="Times New Roman;Times;serif"/>
                <w:b/>
                <w:i/>
                <w:sz w:val="18"/>
              </w:rPr>
              <w:t>Page Reference for</w:t>
              <w:br/>
              <w:t>Further Information:</w:t>
            </w:r>
          </w:p>
        </w:tc>
      </w:tr>
      <w:tr>
        <w:trPr/>
        <w:tc>
          <w:tcPr>
            <w:tcW w:w="2037"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b/>
                <w:sz w:val="18"/>
              </w:rPr>
              <w:t>1</w:t>
            </w:r>
            <w:r>
              <w:rPr>
                <w:rFonts w:ascii="Times New Roman;Times;serif" w:hAnsi="Times New Roman;Times;serif"/>
                <w:sz w:val="18"/>
              </w:rPr>
              <w:t>   </w:t>
            </w:r>
            <w:r>
              <w:rPr>
                <w:rFonts w:ascii="Times New Roman;Times;serif" w:hAnsi="Times New Roman;Times;serif"/>
                <w:i/>
                <w:sz w:val="18"/>
              </w:rPr>
              <w:t>To elect six directors to our Board of Directors</w:t>
            </w: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400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The Board and the Nominating and Corporate Governance Committee believe that the six director nominees possess the necessary qualifications, attributes, skills and experiences to provide quality advice and counsel to the Company’s management and effectively oversee the business and long-term interests of our stockholders.</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r>
              <w:rPr>
                <w:rFonts w:ascii="Times New Roman;Times;serif" w:hAnsi="Times New Roman;Times;serif"/>
                <w:b/>
                <w:sz w:val="18"/>
              </w:rPr>
              <w:t>FOR”</w:t>
            </w:r>
            <w:r>
              <w:rPr>
                <w:rFonts w:ascii="Times New Roman;Times;serif" w:hAnsi="Times New Roman;Times;serif"/>
                <w:sz w:val="18"/>
              </w:rPr>
              <w:t xml:space="preserve"> each director nominee</w:t>
            </w:r>
          </w:p>
        </w:tc>
        <w:tc>
          <w:tcPr>
            <w:tcW w:w="326" w:type="dxa"/>
            <w:tcBorders/>
            <w:shd w:fill="auto" w:val="clear"/>
            <w:vAlign w:val="center"/>
          </w:tcPr>
          <w:p>
            <w:pPr>
              <w:pStyle w:val="TableContents"/>
              <w:spacing w:before="0" w:after="0"/>
              <w:ind w:left="0" w:right="0" w:hanging="0"/>
              <w:rPr/>
            </w:pPr>
            <w:r>
              <w:rPr/>
              <w:t>​</w:t>
            </w:r>
          </w:p>
        </w:tc>
        <w:tc>
          <w:tcPr>
            <w:tcW w:w="1719"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28</w:t>
            </w:r>
          </w:p>
        </w:tc>
      </w:tr>
      <w:tr>
        <w:trPr/>
        <w:tc>
          <w:tcPr>
            <w:tcW w:w="2037"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19" w:type="dxa"/>
            <w:tcBorders/>
            <w:shd w:fill="auto" w:val="clear"/>
            <w:vAlign w:val="center"/>
          </w:tcPr>
          <w:p>
            <w:pPr>
              <w:pStyle w:val="TableContents"/>
              <w:spacing w:before="0" w:after="0"/>
              <w:ind w:left="0" w:right="0" w:hanging="0"/>
              <w:rPr/>
            </w:pPr>
            <w:r>
              <w:rPr/>
              <w:t>​</w:t>
            </w:r>
          </w:p>
        </w:tc>
      </w:tr>
      <w:tr>
        <w:trPr/>
        <w:tc>
          <w:tcPr>
            <w:tcW w:w="2037"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b/>
                <w:sz w:val="18"/>
              </w:rPr>
              <w:t>2 </w:t>
            </w:r>
            <w:r>
              <w:rPr>
                <w:rFonts w:ascii="Times New Roman;Times;serif" w:hAnsi="Times New Roman;Times;serif"/>
                <w:sz w:val="18"/>
              </w:rPr>
              <w:t>  </w:t>
            </w:r>
            <w:r>
              <w:rPr>
                <w:rFonts w:ascii="Times New Roman;Times;serif" w:hAnsi="Times New Roman;Times;serif"/>
                <w:i/>
                <w:sz w:val="18"/>
              </w:rPr>
              <w:t>To approve, on an advisory basis, the compensation of our named executive officers.</w:t>
            </w:r>
          </w:p>
        </w:tc>
        <w:tc>
          <w:tcPr>
            <w:tcW w:w="326" w:type="dxa"/>
            <w:tcBorders/>
            <w:shd w:fill="auto" w:val="clear"/>
            <w:vAlign w:val="center"/>
          </w:tcPr>
          <w:p>
            <w:pPr>
              <w:pStyle w:val="TableContents"/>
              <w:spacing w:before="0" w:after="0"/>
              <w:ind w:left="0" w:right="0" w:hanging="0"/>
              <w:rPr/>
            </w:pPr>
            <w:r>
              <w:rPr/>
              <w:t>​</w:t>
            </w:r>
          </w:p>
        </w:tc>
        <w:tc>
          <w:tcPr>
            <w:tcW w:w="400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The Company seeks the approval, on an advisory, basis, of the compensation of its named executive officers as described in the </w:t>
            </w:r>
            <w:r>
              <w:rPr>
                <w:rFonts w:ascii="Times New Roman;Times;serif" w:hAnsi="Times New Roman;Times;serif"/>
                <w:i/>
                <w:sz w:val="18"/>
              </w:rPr>
              <w:t>Compensation Discussion and Analysis</w:t>
            </w:r>
            <w:r>
              <w:rPr>
                <w:rFonts w:ascii="Times New Roman;Times;serif" w:hAnsi="Times New Roman;Times;serif"/>
                <w:sz w:val="18"/>
              </w:rPr>
              <w:t xml:space="preserve"> section and the related tables.</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r>
              <w:rPr>
                <w:rFonts w:ascii="Times New Roman;Times;serif" w:hAnsi="Times New Roman;Times;serif"/>
                <w:b/>
                <w:sz w:val="18"/>
              </w:rPr>
              <w:t>FOR”</w:t>
            </w:r>
          </w:p>
        </w:tc>
        <w:tc>
          <w:tcPr>
            <w:tcW w:w="326" w:type="dxa"/>
            <w:tcBorders/>
            <w:shd w:fill="auto" w:val="clear"/>
            <w:vAlign w:val="center"/>
          </w:tcPr>
          <w:p>
            <w:pPr>
              <w:pStyle w:val="TableContents"/>
              <w:spacing w:before="0" w:after="0"/>
              <w:ind w:left="0" w:right="0" w:hanging="0"/>
              <w:rPr/>
            </w:pPr>
            <w:r>
              <w:rPr/>
              <w:t>​</w:t>
            </w:r>
          </w:p>
        </w:tc>
        <w:tc>
          <w:tcPr>
            <w:tcW w:w="1719"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32</w:t>
            </w:r>
          </w:p>
        </w:tc>
      </w:tr>
      <w:tr>
        <w:trPr/>
        <w:tc>
          <w:tcPr>
            <w:tcW w:w="2037"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19" w:type="dxa"/>
            <w:tcBorders/>
            <w:shd w:fill="auto" w:val="clear"/>
            <w:vAlign w:val="center"/>
          </w:tcPr>
          <w:p>
            <w:pPr>
              <w:pStyle w:val="TableContents"/>
              <w:spacing w:before="0" w:after="0"/>
              <w:ind w:left="0" w:right="0" w:hanging="0"/>
              <w:rPr/>
            </w:pPr>
            <w:r>
              <w:rPr/>
              <w:t>​</w:t>
            </w:r>
          </w:p>
        </w:tc>
      </w:tr>
      <w:tr>
        <w:trPr/>
        <w:tc>
          <w:tcPr>
            <w:tcW w:w="2037"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b/>
                <w:sz w:val="18"/>
              </w:rPr>
              <w:t>3</w:t>
            </w:r>
            <w:r>
              <w:rPr>
                <w:rFonts w:ascii="Times New Roman;Times;serif" w:hAnsi="Times New Roman;Times;serif"/>
                <w:sz w:val="18"/>
              </w:rPr>
              <w:t>   </w:t>
            </w:r>
            <w:r>
              <w:rPr>
                <w:rFonts w:ascii="Times New Roman;Times;serif" w:hAnsi="Times New Roman;Times;serif"/>
                <w:i/>
                <w:sz w:val="18"/>
              </w:rPr>
              <w:t>To approve, on an advisory basis, the frequency of future advisory votes on the compensation of the Company’s named executive officers.</w:t>
            </w:r>
          </w:p>
        </w:tc>
        <w:tc>
          <w:tcPr>
            <w:tcW w:w="326" w:type="dxa"/>
            <w:tcBorders/>
            <w:shd w:fill="auto" w:val="clear"/>
            <w:vAlign w:val="center"/>
          </w:tcPr>
          <w:p>
            <w:pPr>
              <w:pStyle w:val="TableContents"/>
              <w:spacing w:before="0" w:after="0"/>
              <w:ind w:left="0" w:right="0" w:hanging="0"/>
              <w:rPr/>
            </w:pPr>
            <w:r>
              <w:rPr/>
              <w:t>​</w:t>
            </w:r>
          </w:p>
        </w:tc>
        <w:tc>
          <w:tcPr>
            <w:tcW w:w="400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 addition to holding an advisory say-on-pay vote on executive compensation, we are required to conduct a separate advisory vote on the frequency of future say-on-pay votes. Stockholders may cast a non-binding advisory vote on whether they would prefer that we hold the advisory say-on-pay vote every year, every two years or every three years. Stockholders may also abstain from voting on this matter.</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r>
              <w:rPr>
                <w:rFonts w:ascii="Times New Roman;Times;serif" w:hAnsi="Times New Roman;Times;serif"/>
                <w:b/>
                <w:sz w:val="18"/>
              </w:rPr>
              <w:t>EVERY YEAR”</w:t>
            </w:r>
          </w:p>
        </w:tc>
        <w:tc>
          <w:tcPr>
            <w:tcW w:w="326" w:type="dxa"/>
            <w:tcBorders/>
            <w:shd w:fill="auto" w:val="clear"/>
            <w:vAlign w:val="center"/>
          </w:tcPr>
          <w:p>
            <w:pPr>
              <w:pStyle w:val="TableContents"/>
              <w:spacing w:before="0" w:after="0"/>
              <w:ind w:left="0" w:right="0" w:hanging="0"/>
              <w:rPr/>
            </w:pPr>
            <w:r>
              <w:rPr/>
              <w:t>​</w:t>
            </w:r>
          </w:p>
        </w:tc>
        <w:tc>
          <w:tcPr>
            <w:tcW w:w="1719"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60</w:t>
            </w:r>
          </w:p>
        </w:tc>
      </w:tr>
      <w:tr>
        <w:trPr/>
        <w:tc>
          <w:tcPr>
            <w:tcW w:w="2037"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0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19" w:type="dxa"/>
            <w:tcBorders/>
            <w:shd w:fill="auto" w:val="clear"/>
            <w:vAlign w:val="center"/>
          </w:tcPr>
          <w:p>
            <w:pPr>
              <w:pStyle w:val="TableContents"/>
              <w:spacing w:before="0" w:after="0"/>
              <w:ind w:left="0" w:right="0" w:hanging="0"/>
              <w:rPr/>
            </w:pPr>
            <w:r>
              <w:rPr/>
              <w:t>​</w:t>
            </w:r>
          </w:p>
        </w:tc>
      </w:tr>
      <w:tr>
        <w:trPr/>
        <w:tc>
          <w:tcPr>
            <w:tcW w:w="2037"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b/>
                <w:sz w:val="18"/>
              </w:rPr>
              <w:t>3</w:t>
            </w:r>
            <w:r>
              <w:rPr>
                <w:rFonts w:ascii="Times New Roman;Times;serif" w:hAnsi="Times New Roman;Times;serif"/>
                <w:sz w:val="18"/>
              </w:rPr>
              <w:t>   </w:t>
            </w:r>
            <w:r>
              <w:rPr>
                <w:rFonts w:ascii="Times New Roman;Times;serif" w:hAnsi="Times New Roman;Times;serif"/>
                <w:i/>
                <w:sz w:val="18"/>
              </w:rPr>
              <w:t>To ratify the appointment of KPMG LLP as our independent registered public accounting firm.</w:t>
            </w:r>
          </w:p>
        </w:tc>
        <w:tc>
          <w:tcPr>
            <w:tcW w:w="326" w:type="dxa"/>
            <w:tcBorders/>
            <w:shd w:fill="auto" w:val="clear"/>
            <w:vAlign w:val="center"/>
          </w:tcPr>
          <w:p>
            <w:pPr>
              <w:pStyle w:val="TableContents"/>
              <w:spacing w:before="0" w:after="0"/>
              <w:ind w:left="0" w:right="0" w:hanging="0"/>
              <w:rPr/>
            </w:pPr>
            <w:r>
              <w:rPr/>
              <w:t>​</w:t>
            </w:r>
          </w:p>
        </w:tc>
        <w:tc>
          <w:tcPr>
            <w:tcW w:w="400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The Audit Committee and the Board believe that the retention of KPMG LLP to serve as our independent registered public accounting firm for the fiscal year ending December 31, 2023 is in the best interests of the Company and its stockholders and we are asking our stockholders to ratify the Audit Committee’s selection of KPMG LLP to serve in that capacity.</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r>
              <w:rPr>
                <w:rFonts w:ascii="Times New Roman;Times;serif" w:hAnsi="Times New Roman;Times;serif"/>
                <w:b/>
                <w:sz w:val="18"/>
              </w:rPr>
              <w:t>FOR”</w:t>
            </w:r>
          </w:p>
        </w:tc>
        <w:tc>
          <w:tcPr>
            <w:tcW w:w="326" w:type="dxa"/>
            <w:tcBorders/>
            <w:shd w:fill="auto" w:val="clear"/>
            <w:vAlign w:val="center"/>
          </w:tcPr>
          <w:p>
            <w:pPr>
              <w:pStyle w:val="TableContents"/>
              <w:spacing w:before="0" w:after="0"/>
              <w:ind w:left="0" w:right="0" w:hanging="0"/>
              <w:rPr/>
            </w:pPr>
            <w:r>
              <w:rPr/>
              <w:t>​</w:t>
            </w:r>
          </w:p>
        </w:tc>
        <w:tc>
          <w:tcPr>
            <w:tcW w:w="1719"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62</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2" w:space="1" w:color="000000"/>
        </w:pBdr>
        <w:spacing w:before="0" w:after="120"/>
        <w:ind w:left="0" w:right="0" w:hanging="0"/>
        <w:rPr>
          <w:rFonts w:ascii="Times New Roman;Times;serif" w:hAnsi="Times New Roman;Times;serif"/>
          <w:b/>
          <w:sz w:val="20"/>
        </w:rPr>
      </w:pPr>
      <w:r>
        <w:rPr>
          <w:rFonts w:ascii="Times New Roman;Times;serif" w:hAnsi="Times New Roman;Times;serif"/>
          <w:b/>
          <w:sz w:val="20"/>
        </w:rPr>
        <w:t>DIRECTOR NOMINEES</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The following provides summary information regarding our director nominees:</w:t>
      </w:r>
    </w:p>
    <w:tbl>
      <w:tblPr>
        <w:tblW w:w="10205" w:type="dxa"/>
        <w:jc w:val="left"/>
        <w:tblInd w:w="0" w:type="dxa"/>
        <w:tblCellMar>
          <w:top w:w="28" w:type="dxa"/>
          <w:left w:w="0" w:type="dxa"/>
          <w:bottom w:w="28" w:type="dxa"/>
          <w:right w:w="0" w:type="dxa"/>
        </w:tblCellMar>
      </w:tblPr>
      <w:tblGrid>
        <w:gridCol w:w="1078"/>
        <w:gridCol w:w="326"/>
        <w:gridCol w:w="391"/>
        <w:gridCol w:w="326"/>
        <w:gridCol w:w="721"/>
        <w:gridCol w:w="326"/>
        <w:gridCol w:w="2866"/>
        <w:gridCol w:w="326"/>
        <w:gridCol w:w="336"/>
        <w:gridCol w:w="370"/>
        <w:gridCol w:w="336"/>
        <w:gridCol w:w="370"/>
        <w:gridCol w:w="548"/>
        <w:gridCol w:w="326"/>
        <w:gridCol w:w="1366"/>
        <w:gridCol w:w="193"/>
      </w:tblGrid>
      <w:tr>
        <w:trPr/>
        <w:tc>
          <w:tcPr>
            <w:tcW w:w="1078" w:type="dxa"/>
            <w:tcBorders>
              <w:top w:val="single" w:sz="2" w:space="0" w:color="000000"/>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top w:val="single" w:sz="2" w:space="0" w:color="000000"/>
              <w:bottom w:val="single" w:sz="2" w:space="0" w:color="000000"/>
            </w:tcBorders>
            <w:shd w:fill="auto" w:val="clear"/>
            <w:vAlign w:val="center"/>
          </w:tcPr>
          <w:p>
            <w:pPr>
              <w:pStyle w:val="TableContents"/>
              <w:spacing w:before="0" w:after="0"/>
              <w:ind w:left="0" w:right="0" w:hanging="0"/>
              <w:rPr/>
            </w:pPr>
            <w:r>
              <w:rPr/>
              <w:t>​</w:t>
            </w:r>
          </w:p>
        </w:tc>
        <w:tc>
          <w:tcPr>
            <w:tcW w:w="391" w:type="dxa"/>
            <w:tcBorders>
              <w:top w:val="single" w:sz="2" w:space="0" w:color="000000"/>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Age</w:t>
            </w:r>
          </w:p>
        </w:tc>
        <w:tc>
          <w:tcPr>
            <w:tcW w:w="326" w:type="dxa"/>
            <w:tcBorders>
              <w:top w:val="single" w:sz="2" w:space="0" w:color="000000"/>
              <w:bottom w:val="single" w:sz="2" w:space="0" w:color="000000"/>
            </w:tcBorders>
            <w:shd w:fill="auto" w:val="clear"/>
            <w:vAlign w:val="center"/>
          </w:tcPr>
          <w:p>
            <w:pPr>
              <w:pStyle w:val="TableContents"/>
              <w:spacing w:before="0" w:after="0"/>
              <w:ind w:left="0" w:right="0" w:hanging="0"/>
              <w:rPr/>
            </w:pPr>
            <w:r>
              <w:rPr/>
              <w:t>​</w:t>
            </w:r>
          </w:p>
        </w:tc>
        <w:tc>
          <w:tcPr>
            <w:tcW w:w="721" w:type="dxa"/>
            <w:tcBorders>
              <w:top w:val="single" w:sz="2" w:space="0" w:color="000000"/>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b/>
                <w:sz w:val="16"/>
              </w:rPr>
              <w:t>Director</w:t>
            </w:r>
            <w:r>
              <w:rPr>
                <w:rFonts w:ascii="Times New Roman;Times;serif" w:hAnsi="Times New Roman;Times;serif"/>
                <w:sz w:val="16"/>
              </w:rPr>
              <w:br/>
            </w:r>
            <w:r>
              <w:rPr>
                <w:rFonts w:ascii="Times New Roman;Times;serif" w:hAnsi="Times New Roman;Times;serif"/>
                <w:b/>
                <w:sz w:val="16"/>
              </w:rPr>
              <w:t>Since</w:t>
            </w:r>
          </w:p>
        </w:tc>
        <w:tc>
          <w:tcPr>
            <w:tcW w:w="326" w:type="dxa"/>
            <w:tcBorders>
              <w:top w:val="single" w:sz="2" w:space="0" w:color="000000"/>
              <w:bottom w:val="single" w:sz="2" w:space="0" w:color="000000"/>
            </w:tcBorders>
            <w:shd w:fill="auto" w:val="clear"/>
            <w:vAlign w:val="center"/>
          </w:tcPr>
          <w:p>
            <w:pPr>
              <w:pStyle w:val="TableContents"/>
              <w:spacing w:before="0" w:after="0"/>
              <w:ind w:left="0" w:right="0" w:hanging="0"/>
              <w:rPr/>
            </w:pPr>
            <w:r>
              <w:rPr/>
              <w:t>​</w:t>
            </w:r>
          </w:p>
        </w:tc>
        <w:tc>
          <w:tcPr>
            <w:tcW w:w="2866" w:type="dxa"/>
            <w:tcBorders>
              <w:top w:val="single" w:sz="2" w:space="0" w:color="000000"/>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Primary Occupation</w:t>
            </w:r>
          </w:p>
        </w:tc>
        <w:tc>
          <w:tcPr>
            <w:tcW w:w="326" w:type="dxa"/>
            <w:tcBorders>
              <w:top w:val="single" w:sz="2" w:space="0" w:color="000000"/>
              <w:bottom w:val="single" w:sz="2" w:space="0" w:color="000000"/>
            </w:tcBorders>
            <w:shd w:fill="auto" w:val="clear"/>
            <w:vAlign w:val="center"/>
          </w:tcPr>
          <w:p>
            <w:pPr>
              <w:pStyle w:val="TableContents"/>
              <w:spacing w:before="0" w:after="0"/>
              <w:ind w:left="0" w:right="0" w:hanging="0"/>
              <w:rPr/>
            </w:pPr>
            <w:r>
              <w:rPr/>
              <w:t>​</w:t>
            </w:r>
          </w:p>
        </w:tc>
        <w:tc>
          <w:tcPr>
            <w:tcW w:w="1960" w:type="dxa"/>
            <w:gridSpan w:val="5"/>
            <w:tcBorders>
              <w:top w:val="single" w:sz="2" w:space="0" w:color="000000"/>
              <w:bottom w:val="single" w:sz="2" w:space="0" w:color="000000"/>
            </w:tcBorders>
            <w:shd w:fill="auto" w:val="cle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Committee Memberships</w:t>
            </w:r>
            <w:r>
              <w:rPr>
                <w:rFonts w:ascii="Times New Roman;Times;serif" w:hAnsi="Times New Roman;Times;serif"/>
                <w:b/>
                <w:sz w:val="12"/>
              </w:rPr>
              <w:t>(1)</w:t>
            </w:r>
          </w:p>
        </w:tc>
        <w:tc>
          <w:tcPr>
            <w:tcW w:w="326" w:type="dxa"/>
            <w:tcBorders>
              <w:top w:val="single" w:sz="2" w:space="0" w:color="000000"/>
              <w:bottom w:val="single" w:sz="2" w:space="0" w:color="000000"/>
            </w:tcBorders>
            <w:shd w:fill="auto" w:val="clear"/>
            <w:vAlign w:val="center"/>
          </w:tcPr>
          <w:p>
            <w:pPr>
              <w:pStyle w:val="TableContents"/>
              <w:spacing w:before="0" w:after="0"/>
              <w:ind w:left="0" w:right="0" w:hanging="0"/>
              <w:rPr/>
            </w:pPr>
            <w:r>
              <w:rPr/>
              <w:t>​</w:t>
            </w:r>
          </w:p>
        </w:tc>
        <w:tc>
          <w:tcPr>
            <w:tcW w:w="1366" w:type="dxa"/>
            <w:tcBorders>
              <w:top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Other Public</w:t>
            </w:r>
            <w:r>
              <w:rPr>
                <w:rFonts w:ascii="Times New Roman;Times;serif" w:hAnsi="Times New Roman;Times;serif"/>
                <w:sz w:val="16"/>
              </w:rPr>
              <w:br/>
            </w:r>
            <w:r>
              <w:rPr>
                <w:rFonts w:ascii="Times New Roman;Times;serif" w:hAnsi="Times New Roman;Times;serif"/>
                <w:b/>
                <w:sz w:val="16"/>
              </w:rPr>
              <w:t>Company Boards</w:t>
            </w:r>
          </w:p>
        </w:tc>
        <w:tc>
          <w:tcPr>
            <w:tcW w:w="193"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w:t>
            </w:r>
          </w:p>
        </w:tc>
      </w:tr>
      <w:tr>
        <w:trPr/>
        <w:tc>
          <w:tcPr>
            <w:tcW w:w="1078"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w:t>
            </w:r>
          </w:p>
        </w:tc>
        <w:tc>
          <w:tcPr>
            <w:tcW w:w="326"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    </w:t>
            </w:r>
          </w:p>
        </w:tc>
        <w:tc>
          <w:tcPr>
            <w:tcW w:w="391"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w:t>
            </w:r>
          </w:p>
        </w:tc>
        <w:tc>
          <w:tcPr>
            <w:tcW w:w="326"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    </w:t>
            </w:r>
          </w:p>
        </w:tc>
        <w:tc>
          <w:tcPr>
            <w:tcW w:w="721"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w:t>
            </w:r>
          </w:p>
        </w:tc>
        <w:tc>
          <w:tcPr>
            <w:tcW w:w="326"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    </w:t>
            </w:r>
          </w:p>
        </w:tc>
        <w:tc>
          <w:tcPr>
            <w:tcW w:w="2866"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w:t>
            </w:r>
          </w:p>
        </w:tc>
        <w:tc>
          <w:tcPr>
            <w:tcW w:w="326"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    </w:t>
            </w:r>
          </w:p>
        </w:tc>
        <w:tc>
          <w:tcPr>
            <w:tcW w:w="336" w:type="dxa"/>
            <w:tcBorders>
              <w:top w:val="single" w:sz="2" w:space="0" w:color="000000"/>
              <w:bottom w:val="single" w:sz="2" w:space="0" w:color="000000"/>
            </w:tcBorders>
            <w:shd w:fill="auto" w:val="clear"/>
            <w:vAlign w:val="center"/>
          </w:tcPr>
          <w:p>
            <w:pPr>
              <w:pStyle w:val="TableContents"/>
              <w:spacing w:before="0" w:after="200"/>
              <w:ind w:left="0" w:right="0" w:hanging="0"/>
              <w:rPr>
                <w:rFonts w:ascii="Times New Roman;Times;serif" w:hAnsi="Times New Roman;Times;serif"/>
                <w:i/>
                <w:sz w:val="18"/>
              </w:rPr>
            </w:pPr>
            <w:r>
              <w:rPr>
                <w:rFonts w:ascii="Times New Roman;Times;serif" w:hAnsi="Times New Roman;Times;serif"/>
                <w:i/>
                <w:sz w:val="18"/>
              </w:rPr>
              <w:t>A</w:t>
            </w:r>
          </w:p>
        </w:tc>
        <w:tc>
          <w:tcPr>
            <w:tcW w:w="370"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    </w:t>
            </w:r>
          </w:p>
        </w:tc>
        <w:tc>
          <w:tcPr>
            <w:tcW w:w="336" w:type="dxa"/>
            <w:tcBorders>
              <w:top w:val="single" w:sz="2" w:space="0" w:color="000000"/>
              <w:bottom w:val="single" w:sz="2" w:space="0" w:color="000000"/>
            </w:tcBorders>
            <w:shd w:fill="auto" w:val="clear"/>
            <w:vAlign w:val="center"/>
          </w:tcPr>
          <w:p>
            <w:pPr>
              <w:pStyle w:val="TableContents"/>
              <w:spacing w:before="0" w:after="200"/>
              <w:ind w:left="0" w:right="0" w:hanging="0"/>
              <w:rPr>
                <w:rFonts w:ascii="Times New Roman;Times;serif" w:hAnsi="Times New Roman;Times;serif"/>
                <w:i/>
                <w:sz w:val="18"/>
              </w:rPr>
            </w:pPr>
            <w:r>
              <w:rPr>
                <w:rFonts w:ascii="Times New Roman;Times;serif" w:hAnsi="Times New Roman;Times;serif"/>
                <w:i/>
                <w:sz w:val="18"/>
              </w:rPr>
              <w:t>C</w:t>
            </w:r>
          </w:p>
        </w:tc>
        <w:tc>
          <w:tcPr>
            <w:tcW w:w="370"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    </w:t>
            </w:r>
          </w:p>
        </w:tc>
        <w:tc>
          <w:tcPr>
            <w:tcW w:w="548" w:type="dxa"/>
            <w:tcBorders>
              <w:top w:val="single" w:sz="2" w:space="0" w:color="000000"/>
              <w:bottom w:val="single" w:sz="2" w:space="0" w:color="000000"/>
            </w:tcBorders>
            <w:shd w:fill="auto" w:val="clear"/>
            <w:vAlign w:val="center"/>
          </w:tcPr>
          <w:p>
            <w:pPr>
              <w:pStyle w:val="TableContents"/>
              <w:spacing w:before="0" w:after="200"/>
              <w:ind w:left="0" w:right="0" w:hanging="0"/>
              <w:rPr>
                <w:rFonts w:ascii="Times New Roman;Times;serif" w:hAnsi="Times New Roman;Times;serif"/>
                <w:i/>
                <w:sz w:val="18"/>
              </w:rPr>
            </w:pPr>
            <w:r>
              <w:rPr>
                <w:rFonts w:ascii="Times New Roman;Times;serif" w:hAnsi="Times New Roman;Times;serif"/>
                <w:i/>
                <w:sz w:val="18"/>
              </w:rPr>
              <w:t>NCG</w:t>
            </w:r>
          </w:p>
        </w:tc>
        <w:tc>
          <w:tcPr>
            <w:tcW w:w="326"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    </w:t>
            </w:r>
          </w:p>
        </w:tc>
        <w:tc>
          <w:tcPr>
            <w:tcW w:w="1366" w:type="dxa"/>
            <w:tcBorders>
              <w:top w:val="single" w:sz="2" w:space="0" w:color="000000"/>
              <w:bottom w:val="single" w:sz="2" w:space="0" w:color="000000"/>
            </w:tcBorders>
            <w:shd w:fill="auto" w:val="clear"/>
            <w:vAlign w:val="center"/>
          </w:tcPr>
          <w:p>
            <w:pPr>
              <w:pStyle w:val="TableContents"/>
              <w:spacing w:before="0" w:after="200"/>
              <w:ind w:left="0" w:right="0" w:hanging="0"/>
              <w:jc w:val="center"/>
              <w:rPr/>
            </w:pPr>
            <w:r>
              <w:rPr/>
              <w:t>​</w:t>
            </w:r>
          </w:p>
        </w:tc>
        <w:tc>
          <w:tcPr>
            <w:tcW w:w="193" w:type="dxa"/>
            <w:tcBorders>
              <w:top w:val="single" w:sz="2" w:space="0" w:color="000000"/>
              <w:bottom w:val="single" w:sz="2" w:space="0" w:color="000000"/>
            </w:tcBorders>
            <w:shd w:fill="auto" w:val="clear"/>
            <w:vAlign w:val="center"/>
          </w:tcPr>
          <w:p>
            <w:pPr>
              <w:pStyle w:val="TableContents"/>
              <w:spacing w:before="0" w:after="200"/>
              <w:ind w:left="0" w:right="0" w:hanging="0"/>
              <w:rPr/>
            </w:pPr>
            <w:r>
              <w:rPr/>
              <w:t>​</w:t>
            </w:r>
          </w:p>
        </w:tc>
      </w:tr>
      <w:tr>
        <w:trPr/>
        <w:tc>
          <w:tcPr>
            <w:tcW w:w="1078" w:type="dxa"/>
            <w:tcBorders>
              <w:top w:val="single" w:sz="2" w:space="0" w:color="000000"/>
            </w:tcBorders>
            <w:shd w:fill="auto" w:val="clear"/>
            <w:tcMar>
              <w:bottom w:w="0" w:type="dxa"/>
            </w:tcM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Brian E. Mueller*</w:t>
            </w:r>
          </w:p>
        </w:tc>
        <w:tc>
          <w:tcPr>
            <w:tcW w:w="326"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391" w:type="dxa"/>
            <w:tcBorders>
              <w:top w:val="single" w:sz="2" w:space="0" w:color="000000"/>
            </w:tcBorders>
            <w:shd w:fill="auto" w:val="clear"/>
            <w:tcMar>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69 </w:t>
            </w:r>
          </w:p>
        </w:tc>
        <w:tc>
          <w:tcPr>
            <w:tcW w:w="326"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721" w:type="dxa"/>
            <w:tcBorders>
              <w:top w:val="single" w:sz="2" w:space="0" w:color="000000"/>
            </w:tcBorders>
            <w:shd w:fill="auto" w:val="clear"/>
            <w:tcMar>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2009 </w:t>
            </w:r>
          </w:p>
        </w:tc>
        <w:tc>
          <w:tcPr>
            <w:tcW w:w="326"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2866" w:type="dxa"/>
            <w:tcBorders>
              <w:top w:val="single" w:sz="2" w:space="0" w:color="000000"/>
            </w:tcBorders>
            <w:shd w:fill="auto" w:val="clear"/>
            <w:tcMar>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Chairman of the Board of Directors and Chief Executive Officer, Grand Canyon Education, Inc.</w:t>
            </w:r>
          </w:p>
        </w:tc>
        <w:tc>
          <w:tcPr>
            <w:tcW w:w="326"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336" w:type="dxa"/>
            <w:tcBorders>
              <w:top w:val="single" w:sz="2" w:space="0" w:color="000000"/>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70"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336" w:type="dxa"/>
            <w:tcBorders>
              <w:top w:val="single" w:sz="2" w:space="0" w:color="000000"/>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70"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548" w:type="dxa"/>
            <w:tcBorders>
              <w:top w:val="single" w:sz="2" w:space="0" w:color="000000"/>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1366" w:type="dxa"/>
            <w:tcBorders>
              <w:top w:val="single" w:sz="2" w:space="0" w:color="000000"/>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c>
          <w:tcPr>
            <w:tcW w:w="193" w:type="dxa"/>
            <w:tcBorders>
              <w:top w:val="single" w:sz="2" w:space="0" w:color="000000"/>
            </w:tcBorders>
            <w:shd w:fill="auto" w:val="clear"/>
            <w:tcMar>
              <w:bottom w:w="0" w:type="dxa"/>
            </w:tcMar>
            <w:vAlign w:val="center"/>
          </w:tcPr>
          <w:p>
            <w:pPr>
              <w:pStyle w:val="TableContents"/>
              <w:spacing w:before="0" w:after="0"/>
              <w:ind w:left="0" w:right="0" w:hanging="0"/>
              <w:rPr/>
            </w:pPr>
            <w:r>
              <w:rPr/>
              <w:t> </w:t>
            </w:r>
          </w:p>
        </w:tc>
      </w:tr>
      <w:tr>
        <w:trPr/>
        <w:tc>
          <w:tcPr>
            <w:tcW w:w="107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rPr/>
            </w:pPr>
            <w:r>
              <w:rPr/>
              <w:t>​</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pBdr/>
              <w:spacing w:lineRule="auto" w:line="240" w:before="0" w:after="0"/>
              <w:ind w:left="0" w:right="0" w:hanging="0"/>
              <w:rPr>
                <w:rFonts w:ascii="Times New Roman;Times;serif" w:hAnsi="Times New Roman;Times;serif"/>
                <w:sz w:val="18"/>
              </w:rPr>
            </w:pPr>
            <w:r>
              <w:rPr>
                <w:rFonts w:ascii="Times New Roman;Times;serif" w:hAnsi="Times New Roman;Times;serif"/>
                <w:sz w:val="18"/>
              </w:rPr>
              <w:t>Sara R. Dial</w:t>
            </w:r>
            <w:r>
              <w:rPr>
                <w:rFonts w:ascii="Times New Roman;Times;serif" w:hAnsi="Times New Roman;Times;serif"/>
                <w:sz w:val="14"/>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59 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2013 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President and Chief Executive Officer, Sara Dial &amp; Associates</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1 </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pBdr/>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pBdr/>
              <w:spacing w:lineRule="auto" w:line="240" w:before="0" w:after="0"/>
              <w:ind w:left="0" w:right="0" w:hanging="0"/>
              <w:rPr>
                <w:rFonts w:ascii="Times New Roman;Times;serif" w:hAnsi="Times New Roman;Times;serif"/>
                <w:sz w:val="18"/>
              </w:rPr>
            </w:pPr>
            <w:r>
              <w:rPr>
                <w:rFonts w:ascii="Times New Roman;Times;serif" w:hAnsi="Times New Roman;Times;serif"/>
                <w:sz w:val="18"/>
              </w:rPr>
              <w:t>Jack A. Henry</w:t>
            </w:r>
            <w:r>
              <w:rPr>
                <w:rFonts w:ascii="Times New Roman;Times;serif" w:hAnsi="Times New Roman;Times;serif"/>
                <w:sz w:val="14"/>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79 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2008 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Managing Director, Sierra Blanca Ventures, LLC</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r>
              <w:rPr>
                <w:rFonts w:ascii="Times New Roman;Times;serif" w:hAnsi="Times New Roman;Times;serif"/>
                <w:sz w:val="18"/>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None </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rPr/>
            </w:pPr>
            <w:r>
              <w:rPr/>
              <w:t>​</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pBdr/>
              <w:spacing w:lineRule="auto" w:line="240" w:before="0" w:after="0"/>
              <w:ind w:left="0" w:right="0" w:hanging="0"/>
              <w:rPr>
                <w:rFonts w:ascii="Times New Roman;Times;serif" w:hAnsi="Times New Roman;Times;serif"/>
                <w:sz w:val="18"/>
              </w:rPr>
            </w:pPr>
            <w:r>
              <w:rPr>
                <w:rFonts w:ascii="Times New Roman;Times;serif" w:hAnsi="Times New Roman;Times;serif"/>
                <w:sz w:val="18"/>
              </w:rPr>
              <w:t>Lisa Graham Keegan</w:t>
            </w:r>
            <w:r>
              <w:rPr>
                <w:rFonts w:ascii="Times New Roman;Times;serif" w:hAnsi="Times New Roman;Times;serif"/>
                <w:sz w:val="14"/>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63 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2019 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Partner at The Keegan Company</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jc w:val="center"/>
              <w:rPr/>
            </w:pPr>
            <w:r>
              <w:rPr/>
              <w:t>⌧</w:t>
            </w:r>
            <w:r>
              <w:rPr>
                <w:rFonts w:ascii="Times New Roman;Times;serif" w:hAnsi="Times New Roman;Times;serif"/>
                <w:sz w:val="18"/>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None </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rPr/>
            </w:pPr>
            <w:r>
              <w:rPr/>
              <w:t>​</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pBdr/>
              <w:spacing w:lineRule="auto" w:line="240" w:before="0" w:after="0"/>
              <w:ind w:left="0" w:right="0" w:hanging="0"/>
              <w:rPr>
                <w:rFonts w:ascii="Times New Roman;Times;serif" w:hAnsi="Times New Roman;Times;serif"/>
                <w:sz w:val="18"/>
              </w:rPr>
            </w:pPr>
            <w:r>
              <w:rPr>
                <w:rFonts w:ascii="Times New Roman;Times;serif" w:hAnsi="Times New Roman;Times;serif"/>
                <w:sz w:val="18"/>
              </w:rPr>
              <w:t>Chevy Humphrey</w:t>
            </w:r>
            <w:r>
              <w:rPr>
                <w:rFonts w:ascii="Times New Roman;Times;serif" w:hAnsi="Times New Roman;Times;serif"/>
                <w:sz w:val="14"/>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58 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2019 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President and Chief Executive Officer, Museum of Science and Industry Chicago</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r>
              <w:rPr>
                <w:rFonts w:ascii="Times New Roman;Times;serif" w:hAnsi="Times New Roman;Times;serif"/>
                <w:sz w:val="18"/>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None </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rPr/>
            </w:pPr>
            <w:r>
              <w:rPr/>
              <w:t>​</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r>
        <w:trPr/>
        <w:tc>
          <w:tcPr>
            <w:tcW w:w="1078" w:type="dxa"/>
            <w:tcBorders/>
            <w:shd w:fill="auto" w:val="clear"/>
            <w:tcMar>
              <w:top w:w="0" w:type="dxa"/>
              <w:bottom w:w="0" w:type="dxa"/>
            </w:tcMar>
            <w:vAlign w:val="center"/>
          </w:tcPr>
          <w:p>
            <w:pPr>
              <w:pStyle w:val="TableContents"/>
              <w:pBdr/>
              <w:spacing w:lineRule="auto" w:line="240" w:before="0" w:after="0"/>
              <w:ind w:left="0" w:right="0" w:hanging="0"/>
              <w:rPr>
                <w:rFonts w:ascii="Times New Roman;Times;serif" w:hAnsi="Times New Roman;Times;serif"/>
                <w:sz w:val="18"/>
              </w:rPr>
            </w:pPr>
            <w:r>
              <w:rPr>
                <w:rFonts w:ascii="Times New Roman;Times;serif" w:hAnsi="Times New Roman;Times;serif"/>
                <w:sz w:val="18"/>
              </w:rPr>
              <w:t>David M. Adame</w:t>
            </w:r>
            <w:r>
              <w:rPr>
                <w:rFonts w:ascii="Times New Roman;Times;serif" w:hAnsi="Times New Roman;Times;serif"/>
                <w:sz w:val="14"/>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9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60</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721"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2021 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2866"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President and Chief Executive Officer, Chicanos Por La Causa</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336" w:type="dxa"/>
            <w:tcBorders/>
            <w:shd w:fill="auto" w:val="clear"/>
            <w:tcMar>
              <w:top w:w="0" w:type="dxa"/>
              <w:bottom w:w="0" w:type="dxa"/>
            </w:tcMar>
            <w:vAlign w:val="center"/>
          </w:tcPr>
          <w:p>
            <w:pPr>
              <w:pStyle w:val="TableContents"/>
              <w:spacing w:before="0" w:after="0"/>
              <w:ind w:left="0" w:right="0" w:hanging="0"/>
              <w:rPr/>
            </w:pPr>
            <w:r>
              <w:rPr/>
              <w:t>⌧</w:t>
            </w:r>
          </w:p>
        </w:tc>
        <w:tc>
          <w:tcPr>
            <w:tcW w:w="370" w:type="dxa"/>
            <w:tcBorders/>
            <w:shd w:fill="auto" w:val="clear"/>
            <w:tcMar>
              <w:top w:w="0" w:type="dxa"/>
              <w:bottom w:w="0" w:type="dxa"/>
            </w:tcMar>
            <w:vAlign w:val="center"/>
          </w:tcPr>
          <w:p>
            <w:pPr>
              <w:pStyle w:val="TableContents"/>
              <w:spacing w:before="0" w:after="0"/>
              <w:ind w:left="0" w:right="0" w:hanging="0"/>
              <w:rPr/>
            </w:pPr>
            <w:r>
              <w:rPr/>
              <w:t>​</w:t>
            </w:r>
          </w:p>
        </w:tc>
        <w:tc>
          <w:tcPr>
            <w:tcW w:w="548" w:type="dxa"/>
            <w:tcBorders/>
            <w:shd w:fill="auto" w:val="clear"/>
            <w:tcMar>
              <w:top w:w="0" w:type="dxa"/>
              <w:bottom w:w="0" w:type="dxa"/>
            </w:tcMar>
            <w:vAlign w:val="center"/>
          </w:tcPr>
          <w:p>
            <w:pPr>
              <w:pStyle w:val="TableContents"/>
              <w:spacing w:before="0" w:after="0"/>
              <w:ind w:left="0" w:right="0" w:hanging="0"/>
              <w:jc w:val="center"/>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1366" w:type="dxa"/>
            <w:tcBorders/>
            <w:shd w:fill="auto" w:val="clear"/>
            <w:tcMar>
              <w:top w:w="0"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None </w:t>
            </w:r>
          </w:p>
        </w:tc>
        <w:tc>
          <w:tcPr>
            <w:tcW w:w="193" w:type="dxa"/>
            <w:tcBorders/>
            <w:shd w:fill="auto" w:val="clear"/>
            <w:tcMar>
              <w:top w:w="0" w:type="dxa"/>
              <w:bottom w:w="0" w:type="dxa"/>
            </w:tcMar>
            <w:vAlign w:val="center"/>
          </w:tcPr>
          <w:p>
            <w:pPr>
              <w:pStyle w:val="TableContents"/>
              <w:spacing w:before="0" w:after="0"/>
              <w:ind w:left="0" w:right="0" w:hanging="0"/>
              <w:rPr/>
            </w:pPr>
            <w:r>
              <w:rPr/>
              <w:t>​</w:t>
            </w:r>
          </w:p>
        </w:tc>
      </w:tr>
    </w:tbl>
    <w:tbl>
      <w:tblPr>
        <w:tblW w:w="827" w:type="dxa"/>
        <w:jc w:val="left"/>
        <w:tblInd w:w="0" w:type="dxa"/>
        <w:tblCellMar>
          <w:top w:w="0" w:type="dxa"/>
          <w:left w:w="0" w:type="dxa"/>
          <w:bottom w:w="0" w:type="dxa"/>
          <w:right w:w="0" w:type="dxa"/>
        </w:tblCellMar>
      </w:tblPr>
      <w:tblGrid>
        <w:gridCol w:w="226"/>
        <w:gridCol w:w="601"/>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60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Chair</w:t>
            </w:r>
          </w:p>
        </w:tc>
      </w:tr>
    </w:tbl>
    <w:tbl>
      <w:tblPr>
        <w:tblW w:w="2072" w:type="dxa"/>
        <w:jc w:val="left"/>
        <w:tblInd w:w="0" w:type="dxa"/>
        <w:tblCellMar>
          <w:top w:w="0" w:type="dxa"/>
          <w:left w:w="0" w:type="dxa"/>
          <w:bottom w:w="0" w:type="dxa"/>
          <w:right w:w="0" w:type="dxa"/>
        </w:tblCellMar>
      </w:tblPr>
      <w:tblGrid>
        <w:gridCol w:w="226"/>
        <w:gridCol w:w="184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84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Independent director</w:t>
            </w:r>
          </w:p>
        </w:tc>
      </w:tr>
    </w:tbl>
    <w:tbl>
      <w:tblPr>
        <w:tblW w:w="2552" w:type="dxa"/>
        <w:jc w:val="left"/>
        <w:tblInd w:w="0" w:type="dxa"/>
        <w:tblCellMar>
          <w:top w:w="0" w:type="dxa"/>
          <w:left w:w="0" w:type="dxa"/>
          <w:bottom w:w="0" w:type="dxa"/>
          <w:right w:w="0" w:type="dxa"/>
        </w:tblCellMar>
      </w:tblPr>
      <w:tblGrid>
        <w:gridCol w:w="256"/>
        <w:gridCol w:w="2296"/>
      </w:tblGrid>
      <w:tr>
        <w:trPr/>
        <w:tc>
          <w:tcPr>
            <w:tcW w:w="256" w:type="dxa"/>
            <w:tcBorders/>
            <w:shd w:fill="auto" w:val="clear"/>
            <w:vAlign w:val="center"/>
          </w:tcPr>
          <w:p>
            <w:pPr>
              <w:pStyle w:val="TableContents"/>
              <w:spacing w:before="0" w:after="120"/>
              <w:rPr/>
            </w:pPr>
            <w:r>
              <w:rPr/>
              <w:t>≠</w:t>
            </w:r>
          </w:p>
        </w:tc>
        <w:tc>
          <w:tcPr>
            <w:tcW w:w="2296" w:type="dxa"/>
            <w:tcBorders/>
            <w:shd w:fill="auto" w:val="clear"/>
            <w:vAlign w:val="center"/>
          </w:tcPr>
          <w:p>
            <w:pPr>
              <w:pStyle w:val="TableContents"/>
              <w:spacing w:before="0" w:after="120"/>
              <w:rPr>
                <w:rFonts w:ascii="Times New Roman;Times;serif" w:hAnsi="Times New Roman;Times;serif"/>
                <w:sz w:val="20"/>
              </w:rPr>
            </w:pPr>
            <w:r>
              <w:rPr>
                <w:rFonts w:ascii="Times New Roman;Times;serif" w:hAnsi="Times New Roman;Times;serif"/>
                <w:sz w:val="20"/>
              </w:rPr>
              <w:t>Lead independent director</w:t>
            </w:r>
          </w:p>
        </w:tc>
      </w:tr>
    </w:tbl>
    <w:tbl>
      <w:tblPr>
        <w:tblW w:w="9782" w:type="dxa"/>
        <w:jc w:val="left"/>
        <w:tblInd w:w="0" w:type="dxa"/>
        <w:tblCellMar>
          <w:top w:w="0" w:type="dxa"/>
          <w:left w:w="0" w:type="dxa"/>
          <w:bottom w:w="0" w:type="dxa"/>
          <w:right w:w="0" w:type="dxa"/>
        </w:tblCellMar>
      </w:tblPr>
      <w:tblGrid>
        <w:gridCol w:w="346"/>
        <w:gridCol w:w="943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436" w:type="dxa"/>
            <w:tcBorders/>
            <w:shd w:fill="auto" w:val="clear"/>
            <w:vAlign w:val="center"/>
          </w:tcPr>
          <w:p>
            <w:pPr>
              <w:pStyle w:val="TableContents"/>
              <w:spacing w:before="0" w:after="283"/>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Audit Committee;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Compensation Committee; and </w:t>
            </w:r>
            <w:r>
              <w:rPr>
                <w:rFonts w:ascii="Times New Roman;Times;serif" w:hAnsi="Times New Roman;Times;serif"/>
                <w:b/>
                <w:i w:val="false"/>
                <w:caps w:val="false"/>
                <w:smallCaps w:val="false"/>
                <w:sz w:val="20"/>
              </w:rPr>
              <w:t>NCG</w:t>
            </w:r>
            <w:r>
              <w:rPr>
                <w:rFonts w:ascii="Times New Roman;Times;serif" w:hAnsi="Times New Roman;Times;serif"/>
                <w:b w:val="false"/>
                <w:i w:val="false"/>
                <w:caps w:val="false"/>
                <w:smallCaps w:val="false"/>
                <w:sz w:val="20"/>
              </w:rPr>
              <w:t>=Nominating and Corporate Governance Committee</w:t>
            </w:r>
          </w:p>
        </w:tc>
      </w:tr>
    </w:tbl>
    <w:p>
      <w:pPr>
        <w:pStyle w:val="TextBody"/>
        <w:spacing w:before="0" w:after="0"/>
        <w:ind w:left="0" w:right="0" w:hanging="0"/>
        <w:rPr/>
      </w:pPr>
      <w:r>
        <w:rPr/>
        <w:t>​</w:t>
      </w:r>
    </w:p>
    <w:p>
      <w:pPr>
        <w:pStyle w:val="TextBody"/>
        <w:pBdr>
          <w:top w:val="single" w:sz="2" w:space="1" w:color="000000"/>
        </w:pBdr>
        <w:spacing w:before="0" w:after="200"/>
        <w:ind w:left="0" w:right="0" w:hanging="0"/>
        <w:rPr>
          <w:rFonts w:ascii="Times New Roman;Times;serif" w:hAnsi="Times New Roman;Times;serif"/>
          <w:sz w:val="20"/>
        </w:rPr>
      </w:pPr>
      <w:r>
        <w:rPr>
          <w:rFonts w:ascii="Times New Roman;Times;serif" w:hAnsi="Times New Roman;Times;serif"/>
          <w:sz w:val="20"/>
        </w:rPr>
        <w:t>OUR CORPORATE GOVERNANCE HIGHLIGHTS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believe that effective corporate governance is critical to our ability to create long term value for our stockholders. The following highlights certain key aspects of our corporate governance framework:</w:t>
      </w:r>
    </w:p>
    <w:tbl>
      <w:tblPr>
        <w:tblW w:w="10205" w:type="dxa"/>
        <w:jc w:val="left"/>
        <w:tblInd w:w="0" w:type="dxa"/>
        <w:tblCellMar>
          <w:top w:w="0" w:type="dxa"/>
          <w:left w:w="0" w:type="dxa"/>
          <w:bottom w:w="0" w:type="dxa"/>
          <w:right w:w="0" w:type="dxa"/>
        </w:tblCellMar>
      </w:tblPr>
      <w:tblGrid>
        <w:gridCol w:w="341"/>
        <w:gridCol w:w="316"/>
        <w:gridCol w:w="4602"/>
        <w:gridCol w:w="326"/>
        <w:gridCol w:w="316"/>
        <w:gridCol w:w="4304"/>
      </w:tblGrid>
      <w:tr>
        <w:trPr/>
        <w:tc>
          <w:tcPr>
            <w:tcW w:w="341" w:type="dxa"/>
            <w:tcBorders/>
            <w:shd w:fill="auto" w:val="clear"/>
            <w:vAlign w:val="center"/>
          </w:tcPr>
          <w:p>
            <w:pPr>
              <w:pStyle w:val="TableContents"/>
              <w:spacing w:before="0" w:after="0"/>
              <w:ind w:left="0" w:right="0" w:hanging="0"/>
              <w:rPr/>
            </w:pPr>
            <w:r>
              <w:rPr/>
              <w:t>    </w:t>
            </w:r>
          </w:p>
        </w:tc>
        <w:tc>
          <w:tcPr>
            <w:tcW w:w="31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4602"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Have An Independent and Diverse Board</w:t>
            </w:r>
            <w:r>
              <w:rPr>
                <w:rFonts w:ascii="Times New Roman;Times;serif" w:hAnsi="Times New Roman;Times;serif"/>
                <w:sz w:val="18"/>
              </w:rPr>
              <w:t>. Five of our six directors are independent. Three of our six directors are women and two of our directors identify with an underrepresented diverse ethnicity.</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31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4304"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Our Independent Directors Meet Without Management</w:t>
            </w:r>
            <w:r>
              <w:rPr>
                <w:rFonts w:ascii="Times New Roman;Times;serif" w:hAnsi="Times New Roman;Times;serif"/>
                <w:sz w:val="18"/>
              </w:rPr>
              <w:t>. Our independent directors meet regularly in executive sessions without management present.</w:t>
            </w:r>
          </w:p>
        </w:tc>
      </w:tr>
      <w:tr>
        <w:trPr/>
        <w:tc>
          <w:tcPr>
            <w:tcW w:w="3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60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304" w:type="dxa"/>
            <w:tcBorders/>
            <w:shd w:fill="auto" w:val="clear"/>
            <w:vAlign w:val="center"/>
          </w:tcPr>
          <w:p>
            <w:pPr>
              <w:pStyle w:val="TableContents"/>
              <w:spacing w:before="0" w:after="0"/>
              <w:ind w:left="0" w:right="0" w:hanging="0"/>
              <w:rPr/>
            </w:pPr>
            <w:r>
              <w:rPr/>
              <w:t>​</w:t>
            </w:r>
          </w:p>
        </w:tc>
      </w:tr>
      <w:tr>
        <w:trPr/>
        <w:tc>
          <w:tcPr>
            <w:tcW w:w="3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60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Have Majority Voting for Directors</w:t>
            </w:r>
            <w:r>
              <w:rPr>
                <w:rFonts w:ascii="Times New Roman;Times;serif" w:hAnsi="Times New Roman;Times;serif"/>
                <w:sz w:val="18"/>
              </w:rPr>
              <w:t>. We have adopted majority voting for directors pursuant to which nominees who fail to achieve an affirmative majority of votes cast must submit their resignation.</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30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Have a Stock Ownership Policy</w:t>
            </w:r>
            <w:r>
              <w:rPr>
                <w:rFonts w:ascii="Times New Roman;Times;serif" w:hAnsi="Times New Roman;Times;serif"/>
                <w:sz w:val="18"/>
              </w:rPr>
              <w:t>. We require both our named executive officers and our directors to maintain a meaningful ownership stake at levels specified in our stock ownership policy.</w:t>
            </w:r>
          </w:p>
        </w:tc>
      </w:tr>
      <w:tr>
        <w:trPr/>
        <w:tc>
          <w:tcPr>
            <w:tcW w:w="3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60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304" w:type="dxa"/>
            <w:tcBorders/>
            <w:shd w:fill="auto" w:val="clear"/>
            <w:vAlign w:val="center"/>
          </w:tcPr>
          <w:p>
            <w:pPr>
              <w:pStyle w:val="TableContents"/>
              <w:spacing w:before="0" w:after="0"/>
              <w:ind w:left="0" w:right="0" w:hanging="0"/>
              <w:rPr/>
            </w:pPr>
            <w:r>
              <w:rPr/>
              <w:t>​</w:t>
            </w:r>
          </w:p>
        </w:tc>
      </w:tr>
      <w:tr>
        <w:trPr/>
        <w:tc>
          <w:tcPr>
            <w:tcW w:w="3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60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 xml:space="preserve">We Hold Annual Elections for Directors. </w:t>
            </w:r>
            <w:r>
              <w:rPr>
                <w:rFonts w:ascii="Times New Roman;Times;serif" w:hAnsi="Times New Roman;Times;serif"/>
                <w:sz w:val="18"/>
              </w:rPr>
              <w:t>We do not have a staggered board.</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30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Our Key Committees are Independent</w:t>
            </w:r>
            <w:r>
              <w:rPr>
                <w:rFonts w:ascii="Times New Roman;Times;serif" w:hAnsi="Times New Roman;Times;serif"/>
                <w:sz w:val="18"/>
              </w:rPr>
              <w:t>. We have fully independent Audit, Compensation and Nominating and Corporate Governance Committees.</w:t>
            </w:r>
          </w:p>
        </w:tc>
      </w:tr>
      <w:tr>
        <w:trPr/>
        <w:tc>
          <w:tcPr>
            <w:tcW w:w="3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60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304" w:type="dxa"/>
            <w:tcBorders/>
            <w:shd w:fill="auto" w:val="clear"/>
            <w:vAlign w:val="center"/>
          </w:tcPr>
          <w:p>
            <w:pPr>
              <w:pStyle w:val="TableContents"/>
              <w:spacing w:before="0" w:after="0"/>
              <w:ind w:left="0" w:right="0" w:hanging="0"/>
              <w:rPr/>
            </w:pPr>
            <w:r>
              <w:rPr/>
              <w:t>​</w:t>
            </w:r>
          </w:p>
        </w:tc>
      </w:tr>
      <w:tr>
        <w:trPr/>
        <w:tc>
          <w:tcPr>
            <w:tcW w:w="3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60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Assess Board Performance</w:t>
            </w:r>
            <w:r>
              <w:rPr>
                <w:rFonts w:ascii="Times New Roman;Times;serif" w:hAnsi="Times New Roman;Times;serif"/>
                <w:sz w:val="18"/>
              </w:rPr>
              <w:t>. We conduct regular evaluations of our Board and Committees.</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430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 xml:space="preserve">We Do Not Have a “Poison Pill.” </w:t>
            </w:r>
            <w:r>
              <w:rPr>
                <w:rFonts w:ascii="Times New Roman;Times;serif" w:hAnsi="Times New Roman;Times;serif"/>
                <w:sz w:val="18"/>
              </w:rPr>
              <w:t>We do not maintain a stockholder rights plan.</w:t>
            </w:r>
          </w:p>
        </w:tc>
      </w:tr>
      <w:tr>
        <w:trPr/>
        <w:tc>
          <w:tcPr>
            <w:tcW w:w="341" w:type="dxa"/>
            <w:tcBorders/>
            <w:shd w:fill="auto" w:val="clear"/>
            <w:vAlign w:val="center"/>
          </w:tcPr>
          <w:p>
            <w:pPr>
              <w:pStyle w:val="TableContents"/>
              <w:spacing w:before="0" w:after="0"/>
              <w:ind w:left="0" w:right="0" w:hanging="0"/>
              <w:rPr/>
            </w:pPr>
            <w:r>
              <w:rPr/>
              <w:t>​</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60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2"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30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SOCIAL RESPONSIBILITY AND HUMAN CAPITAL DEVELOPMENT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seeks to meet the needs of the local community in which we operate as well as those outside our community, particularly the education challenges that our country faces, and then works to find solutions to these challenges. We believe these challenges include: university education is too expensive; students are taking on too much debt to pay for their education; bachelor degrees are taking too long to complete; programs are not targeted enough toward careers; as tuition increases, diversity decreases; universities have inadequate counseling and support services, especially for distanced learners; most university professors have no formal training in teaching, learning or course design; and universities are under significant financial pressures. These challenges have been made more difficult during the last few years due to the COVID-19 pandemic and a declining number of high school graduates attending college.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believe we provide the capital, technology and expertise to our university partners to alleviate the challenges in each of the areas listed above.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We provide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Our business model has helped our university partners succeed through the various changes in the educational landscape and the pandemic impacts that have put pressure on their financial condition and operations.</w:t>
      </w:r>
    </w:p>
    <w:p>
      <w:pPr>
        <w:pStyle w:val="TextBody"/>
        <w:spacing w:before="0" w:after="0"/>
        <w:ind w:left="0" w:right="0" w:firstLine="720"/>
        <w:rPr/>
      </w:pPr>
      <w:r>
        <w:rPr/>
        <w:t>​</w:t>
      </w:r>
    </w:p>
    <w:p>
      <w:pPr>
        <w:pStyle w:val="TextBody"/>
        <w:spacing w:before="0" w:after="80"/>
        <w:ind w:left="0" w:right="0" w:firstLine="720"/>
        <w:rPr>
          <w:rFonts w:ascii="Times New Roman;Times;serif" w:hAnsi="Times New Roman;Times;serif"/>
          <w:sz w:val="20"/>
        </w:rPr>
      </w:pPr>
      <w:r>
        <w:rPr>
          <w:rFonts w:ascii="Times New Roman;Times;serif" w:hAnsi="Times New Roman;Times;serif"/>
          <w:sz w:val="20"/>
        </w:rPr>
        <w:t>We also participate with our employees in a number of activities to benefit our communities including:</w:t>
      </w:r>
    </w:p>
    <w:tbl>
      <w:tblPr>
        <w:tblW w:w="10205" w:type="dxa"/>
        <w:jc w:val="left"/>
        <w:tblInd w:w="0" w:type="dxa"/>
        <w:tblCellMar>
          <w:top w:w="28" w:type="dxa"/>
          <w:left w:w="0" w:type="dxa"/>
          <w:bottom w:w="0" w:type="dxa"/>
          <w:right w:w="0" w:type="dxa"/>
        </w:tblCellMar>
      </w:tblPr>
      <w:tblGrid>
        <w:gridCol w:w="124"/>
        <w:gridCol w:w="6021"/>
        <w:gridCol w:w="109"/>
        <w:gridCol w:w="3951"/>
      </w:tblGrid>
      <w:tr>
        <w:trPr/>
        <w:tc>
          <w:tcPr>
            <w:tcW w:w="124" w:type="dxa"/>
            <w:tcBorders>
              <w:top w:val="single" w:sz="2" w:space="0" w:color="000000"/>
            </w:tcBorders>
            <w:shd w:fill="auto" w:val="clear"/>
            <w:vAlign w:val="center"/>
          </w:tcPr>
          <w:p>
            <w:pPr>
              <w:pStyle w:val="TableContents"/>
              <w:spacing w:before="0" w:after="0"/>
              <w:ind w:left="0" w:right="0" w:hanging="0"/>
              <w:jc w:val="center"/>
              <w:rPr/>
            </w:pPr>
            <w:r>
              <w:rPr/>
              <w:t>​</w:t>
            </w:r>
          </w:p>
        </w:tc>
        <w:tc>
          <w:tcPr>
            <w:tcW w:w="6021" w:type="dxa"/>
            <w:tcBorders>
              <w:top w:val="single" w:sz="2" w:space="0" w:color="000000"/>
            </w:tcBorders>
            <w:shd w:fill="auto"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b/>
                <w:i/>
                <w:sz w:val="20"/>
              </w:rPr>
              <w:t>Improving Our Neighborhood and Increased Home Values</w:t>
            </w:r>
            <w:r>
              <w:rPr>
                <w:rFonts w:ascii="Times New Roman;Times;serif" w:hAnsi="Times New Roman;Times;serif"/>
                <w:b w:val="false"/>
                <w:i w:val="false"/>
                <w:caps w:val="false"/>
                <w:smallCaps w:val="false"/>
                <w:sz w:val="20"/>
              </w:rPr>
              <w:t>. Together with Habitat for Humanity and in concert with our largest university partner, we are participating in the largest home renovation project in the country in the West Phoenix area surrounding our most significant university partner’s campus. As of December 31, 2022, 1,109 projects have been completed in which 30,000 hours have been logged by volunteers. These efforts, combined with GCE and GCU’s expanded presence in the community, have contributed to a significant increase since 2011 in home values in the 85017 zip code.</w:t>
            </w:r>
          </w:p>
        </w:tc>
        <w:tc>
          <w:tcPr>
            <w:tcW w:w="109" w:type="dxa"/>
            <w:tcBorders>
              <w:top w:val="single" w:sz="2" w:space="0" w:color="000000"/>
            </w:tcBorders>
            <w:shd w:fill="auto" w:val="clear"/>
            <w:vAlign w:val="center"/>
          </w:tcPr>
          <w:p>
            <w:pPr>
              <w:pStyle w:val="TableContents"/>
              <w:spacing w:before="0" w:after="0"/>
              <w:ind w:left="0" w:right="0" w:hanging="0"/>
              <w:jc w:val="center"/>
              <w:rPr/>
            </w:pPr>
            <w:r>
              <w:rPr/>
              <w:t>​</w:t>
            </w:r>
          </w:p>
        </w:tc>
        <w:tc>
          <w:tcPr>
            <w:tcW w:w="3951" w:type="dxa"/>
            <w:tcBorders>
              <w:top w:val="single" w:sz="2" w:space="0" w:color="000000"/>
            </w:tcBorders>
            <w:shd w:fill="auto" w:val="clear"/>
            <w:vAlign w:val="center"/>
          </w:tcPr>
          <w:p>
            <w:pPr>
              <w:pStyle w:val="TableContents"/>
              <w:spacing w:before="0" w:after="0"/>
              <w:rPr/>
            </w:pPr>
            <w:r>
              <w:rPr/>
              <w:t>●</w:t>
            </w:r>
          </w:p>
          <w:p>
            <w:pPr>
              <w:pStyle w:val="TableContents"/>
              <w:spacing w:before="0" w:after="0"/>
              <w:rPr>
                <w:rFonts w:ascii="Times New Roman;Times;serif" w:hAnsi="Times New Roman;Times;serif"/>
                <w:sz w:val="20"/>
              </w:rPr>
            </w:pPr>
            <w:r>
              <w:rPr>
                <w:rFonts w:ascii="Times New Roman;Times;serif" w:hAnsi="Times New Roman;Times;serif"/>
                <w:b/>
                <w:i/>
                <w:sz w:val="20"/>
              </w:rPr>
              <w:t>Continuing Community Involvement</w:t>
            </w:r>
            <w:r>
              <w:rPr>
                <w:rFonts w:ascii="Times New Roman;Times;serif" w:hAnsi="Times New Roman;Times;serif"/>
                <w:b w:val="false"/>
                <w:i w:val="false"/>
                <w:caps w:val="false"/>
                <w:smallCaps w:val="false"/>
                <w:sz w:val="20"/>
              </w:rPr>
              <w:t>. GCE and our employees partner in countless community events and projects throughout the year. The Company offers its full-time employees a maximum of 16 hours of PTO annually for community service. This time is used to volunteer at more than 40 approved charitable organizations.</w:t>
            </w:r>
          </w:p>
          <w:p>
            <w:pPr>
              <w:pStyle w:val="TableContents"/>
              <w:spacing w:before="0" w:after="0"/>
              <w:rPr/>
            </w:pPr>
            <w:r>
              <w:rPr/>
              <w:t>●</w:t>
            </w:r>
          </w:p>
          <w:p>
            <w:pPr>
              <w:pStyle w:val="TableContents"/>
              <w:spacing w:before="0" w:after="0"/>
              <w:rPr>
                <w:rFonts w:ascii="Times New Roman;Times;serif" w:hAnsi="Times New Roman;Times;serif"/>
                <w:b/>
                <w:i/>
                <w:sz w:val="20"/>
              </w:rPr>
            </w:pPr>
            <w:r>
              <w:rPr>
                <w:rFonts w:ascii="Times New Roman;Times;serif" w:hAnsi="Times New Roman;Times;serif"/>
                <w:b/>
                <w:i/>
                <w:sz w:val="20"/>
              </w:rPr>
              <w:t>Special Olympics and Youth Opportunity Foundation.</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 participate in the annual Plane Pull Challenge, which benefits Special Olympics Indiana athletes. We donate time and funds to the Youth Opportunity Foundation which provides advocacy, clinical treatment, education and workforce development for at-risk young people in underprivileged areas.</w:t>
            </w:r>
          </w:p>
        </w:tc>
      </w:tr>
      <w:tr>
        <w:trPr/>
        <w:tc>
          <w:tcPr>
            <w:tcW w:w="124" w:type="dxa"/>
            <w:tcBorders/>
            <w:shd w:fill="auto" w:val="clear"/>
            <w:tcMar>
              <w:top w:w="0" w:type="dxa"/>
            </w:tcMar>
            <w:vAlign w:val="center"/>
          </w:tcPr>
          <w:p>
            <w:pPr>
              <w:pStyle w:val="TableContents"/>
              <w:spacing w:before="0" w:after="0"/>
              <w:ind w:left="0" w:right="0" w:hanging="0"/>
              <w:jc w:val="center"/>
              <w:rPr/>
            </w:pPr>
            <w:r>
              <w:rPr/>
              <w:t>​</w:t>
            </w:r>
          </w:p>
        </w:tc>
        <w:tc>
          <w:tcPr>
            <w:tcW w:w="6021" w:type="dxa"/>
            <w:tcBorders/>
            <w:shd w:fill="auto" w:val="clear"/>
            <w:tcMar>
              <w:top w:w="0" w:type="dxa"/>
            </w:tcM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b/>
                <w:i/>
                <w:sz w:val="20"/>
              </w:rPr>
              <w:t>Furthering Job Creation</w:t>
            </w:r>
            <w:r>
              <w:rPr>
                <w:rFonts w:ascii="Times New Roman;Times;serif" w:hAnsi="Times New Roman;Times;serif"/>
                <w:b w:val="false"/>
                <w:i w:val="false"/>
                <w:caps w:val="false"/>
                <w:smallCaps w:val="false"/>
                <w:sz w:val="20"/>
              </w:rPr>
              <w:t xml:space="preserve">. We, along with Grand Canyon University (“GCU”) have launched a number of new business enterprises that have reduced costs, provided management opportunities for recent graduates and employment opportunities for students and neighborhood residents, while spurring economic growth in the area. </w:t>
            </w:r>
          </w:p>
        </w:tc>
        <w:tc>
          <w:tcPr>
            <w:tcW w:w="109" w:type="dxa"/>
            <w:tcBorders/>
            <w:shd w:fill="auto" w:val="clear"/>
            <w:tcMar>
              <w:top w:w="0" w:type="dxa"/>
            </w:tcMar>
            <w:vAlign w:val="center"/>
          </w:tcPr>
          <w:p>
            <w:pPr>
              <w:pStyle w:val="TableContents"/>
              <w:spacing w:before="0" w:after="0"/>
              <w:ind w:left="0" w:right="0" w:hanging="0"/>
              <w:jc w:val="center"/>
              <w:rPr/>
            </w:pPr>
            <w:r>
              <w:rPr/>
              <w:t>​</w:t>
            </w:r>
          </w:p>
        </w:tc>
        <w:tc>
          <w:tcPr>
            <w:tcW w:w="3951" w:type="dxa"/>
            <w:tcBorders/>
            <w:shd w:fill="auto" w:val="clear"/>
            <w:tcMar>
              <w:top w:w="0" w:type="dxa"/>
            </w:tcMar>
            <w:vAlign w:val="center"/>
          </w:tcPr>
          <w:p>
            <w:pPr>
              <w:pStyle w:val="TableContents"/>
              <w:spacing w:before="0" w:after="0"/>
              <w:rPr/>
            </w:pPr>
            <w:r>
              <w:rPr/>
              <w:t>●</w:t>
            </w:r>
          </w:p>
          <w:p>
            <w:pPr>
              <w:pStyle w:val="TableContents"/>
              <w:spacing w:before="0" w:after="0"/>
              <w:rPr>
                <w:rFonts w:ascii="Times New Roman;Times;serif" w:hAnsi="Times New Roman;Times;serif"/>
                <w:sz w:val="20"/>
              </w:rPr>
            </w:pPr>
            <w:r>
              <w:rPr>
                <w:rFonts w:ascii="Times New Roman;Times;serif" w:hAnsi="Times New Roman;Times;serif"/>
                <w:b/>
                <w:i/>
                <w:sz w:val="20"/>
              </w:rPr>
              <w:t>Encouraging Employee Giving</w:t>
            </w:r>
            <w:r>
              <w:rPr>
                <w:rFonts w:ascii="Times New Roman;Times;serif" w:hAnsi="Times New Roman;Times;serif"/>
                <w:b w:val="false"/>
                <w:i w:val="false"/>
                <w:caps w:val="false"/>
                <w:smallCaps w:val="false"/>
                <w:sz w:val="20"/>
              </w:rPr>
              <w:t>. We participate in Donate to Elevate, a program that encourages employees to contribute money in lieu of state income tax payments to benefit private schools in Arizona and the partnership with Habitat for Humanity and GCU CityServe, as well as local public schools and public charter schools.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4"/>
        <w:gridCol w:w="5685"/>
        <w:gridCol w:w="109"/>
        <w:gridCol w:w="4287"/>
      </w:tblGrid>
      <w:tr>
        <w:trPr/>
        <w:tc>
          <w:tcPr>
            <w:tcW w:w="124" w:type="dxa"/>
            <w:tcBorders>
              <w:bottom w:val="single" w:sz="2" w:space="0" w:color="000000"/>
            </w:tcBorders>
            <w:shd w:fill="auto" w:val="clear"/>
            <w:vAlign w:val="center"/>
          </w:tcPr>
          <w:p>
            <w:pPr>
              <w:pStyle w:val="TableContents"/>
              <w:spacing w:before="0" w:after="0"/>
              <w:ind w:left="0" w:right="0" w:hanging="0"/>
              <w:jc w:val="center"/>
              <w:rPr/>
            </w:pPr>
            <w:r>
              <w:rPr/>
              <w:t>​</w:t>
            </w:r>
          </w:p>
        </w:tc>
        <w:tc>
          <w:tcPr>
            <w:tcW w:w="5685" w:type="dxa"/>
            <w:tcBorders>
              <w:bottom w:val="single" w:sz="2" w:space="0" w:color="000000"/>
            </w:tcBorders>
            <w:shd w:fill="auto" w:val="cle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b/>
                <w:i/>
                <w:sz w:val="20"/>
              </w:rPr>
              <w:t>Sponsoring K-12 Educational Development.</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20"/>
              </w:rPr>
              <w:t>GCE supports GCU’s K-12 Educational Development Department through sponsorship of GCU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w:t>
            </w:r>
          </w:p>
        </w:tc>
        <w:tc>
          <w:tcPr>
            <w:tcW w:w="109" w:type="dxa"/>
            <w:tcBorders>
              <w:bottom w:val="single" w:sz="2" w:space="0" w:color="000000"/>
            </w:tcBorders>
            <w:shd w:fill="auto" w:val="clear"/>
            <w:vAlign w:val="center"/>
          </w:tcPr>
          <w:p>
            <w:pPr>
              <w:pStyle w:val="TableContents"/>
              <w:spacing w:before="0" w:after="0"/>
              <w:ind w:left="0" w:right="0" w:hanging="0"/>
              <w:jc w:val="center"/>
              <w:rPr/>
            </w:pPr>
            <w:r>
              <w:rPr/>
              <w:t>​</w:t>
            </w:r>
          </w:p>
        </w:tc>
        <w:tc>
          <w:tcPr>
            <w:tcW w:w="4287" w:type="dxa"/>
            <w:tcBorders>
              <w:bottom w:val="single" w:sz="2" w:space="0" w:color="000000"/>
            </w:tcBorders>
            <w:shd w:fill="auto" w:val="clear"/>
            <w:vAlign w:val="center"/>
          </w:tcPr>
          <w:p>
            <w:pPr>
              <w:pStyle w:val="TableContents"/>
              <w:spacing w:before="0" w:after="0"/>
              <w:rPr/>
            </w:pPr>
            <w:r>
              <w:rPr/>
              <w:t>●</w:t>
            </w:r>
          </w:p>
          <w:p>
            <w:pPr>
              <w:pStyle w:val="TableContents"/>
              <w:spacing w:before="0" w:after="0"/>
              <w:rPr>
                <w:rFonts w:ascii="Times New Roman;Times;serif" w:hAnsi="Times New Roman;Times;serif"/>
                <w:sz w:val="20"/>
              </w:rPr>
            </w:pPr>
            <w:r>
              <w:rPr>
                <w:rFonts w:ascii="Times New Roman;Times;serif" w:hAnsi="Times New Roman;Times;serif"/>
                <w:b/>
                <w:i/>
                <w:sz w:val="20"/>
              </w:rPr>
              <w:t>Funding of Student Tuition Organizations</w:t>
            </w:r>
            <w:r>
              <w:rPr>
                <w:rFonts w:ascii="Times New Roman;Times;serif" w:hAnsi="Times New Roman;Times;serif"/>
                <w:b w:val="false"/>
                <w:i w:val="false"/>
                <w:caps w:val="false"/>
                <w:smallCaps w:val="false"/>
                <w:sz w:val="20"/>
              </w:rPr>
              <w:t>. The Company contributes to private school tuition organizations and in 2022 its annual contribution was $5.0 million. Financial contributions are allocated toward tuition assistance and awarding low-income Arizona students with scholarships to attend Arizona private schools.</w:t>
            </w:r>
          </w:p>
          <w:p>
            <w:pPr>
              <w:pStyle w:val="TableContents"/>
              <w:spacing w:before="0" w:after="0"/>
              <w:ind w:left="0" w:right="0" w:hanging="0"/>
              <w:rPr/>
            </w:pPr>
            <w:r>
              <w:rPr/>
              <w:t>​</w:t>
            </w:r>
          </w:p>
          <w:p>
            <w:pPr>
              <w:pStyle w:val="TableContents"/>
              <w:spacing w:before="0" w:after="0"/>
              <w:rPr/>
            </w:pPr>
            <w:r>
              <w:rPr/>
              <w:t>●</w:t>
            </w:r>
          </w:p>
          <w:p>
            <w:pPr>
              <w:pStyle w:val="TableContents"/>
              <w:spacing w:before="0" w:after="0"/>
              <w:rPr>
                <w:rFonts w:ascii="Times New Roman;Times;serif" w:hAnsi="Times New Roman;Times;serif"/>
                <w:sz w:val="20"/>
              </w:rPr>
            </w:pPr>
            <w:r>
              <w:rPr>
                <w:rFonts w:ascii="Times New Roman;Times;serif" w:hAnsi="Times New Roman;Times;serif"/>
                <w:b/>
                <w:i/>
                <w:sz w:val="20"/>
              </w:rPr>
              <w:t>Students Inspiring Students.</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20"/>
              </w:rPr>
              <w:t>GCE continues to support GCU’s free tutoring/mentoring program that serves Phoenix-area K-12 schools. Students who seek academic assistance in the GCU Learning Lounge may become eligible to receive the Students Inspiring Students full-tuition scholarship. To serve our clients and community, GCE seeks donations to fund this neighborhood scholarship program.</w:t>
            </w:r>
          </w:p>
        </w:tc>
      </w:tr>
    </w:tbl>
    <w:p>
      <w:pPr>
        <w:pStyle w:val="TextBody"/>
        <w:spacing w:before="0" w:after="0"/>
        <w:ind w:left="0" w:right="0" w:hanging="0"/>
        <w:jc w:val="center"/>
        <w:rPr/>
      </w:pPr>
      <w:r>
        <w:rPr/>
        <w:t>​</w:t>
      </w:r>
    </w:p>
    <w:p>
      <w:pPr>
        <w:pStyle w:val="TextBody"/>
        <w:spacing w:before="0" w:after="120"/>
        <w:ind w:left="0" w:right="0" w:hanging="0"/>
        <w:jc w:val="center"/>
        <w:rPr>
          <w:rFonts w:ascii="Times New Roman;Times;serif" w:hAnsi="Times New Roman;Times;serif"/>
          <w:b/>
          <w:i/>
          <w:sz w:val="20"/>
        </w:rPr>
      </w:pPr>
      <w:r>
        <w:rPr>
          <w:rFonts w:ascii="Times New Roman;Times;serif" w:hAnsi="Times New Roman;Times;serif"/>
          <w:b/>
          <w:i/>
          <w:sz w:val="20"/>
        </w:rPr>
        <w:t>Our Diverse Workforce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believes that it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the Company’s culture.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growing body of evidence suggests that diverse teams improve financial outcomes and support innovation, resiliency, and productivity. GCE’s commitment to fostering diversity among its workforce in its community is evident in the following:</w:t>
      </w:r>
    </w:p>
    <w:p>
      <w:pPr>
        <w:pStyle w:val="TextBody"/>
        <w:spacing w:before="0" w:after="0"/>
        <w:ind w:left="0" w:right="0" w:firstLine="720"/>
        <w:rPr/>
      </w:pPr>
      <w:r>
        <w:rPr/>
        <w:t>​</w:t>
      </w:r>
    </w:p>
    <w:p>
      <w:pPr>
        <w:pStyle w:val="Normal"/>
        <w:spacing w:before="0" w:after="0"/>
        <w:rPr>
          <w:sz w:val="4"/>
          <w:szCs w:val="4"/>
        </w:rPr>
      </w:pPr>
      <w:r>
        <w:rPr>
          <w:sz w:val="4"/>
          <w:szCs w:val="4"/>
        </w:rPr>
      </w:r>
      <w:bookmarkStart w:id="9" w:name="_cp_text_1_131"/>
      <w:bookmarkStart w:id="10" w:name="_cp_text_1_128"/>
      <w:bookmarkStart w:id="11" w:name="_cp_text_1_127"/>
      <w:bookmarkStart w:id="12" w:name="_cp_text_1_131"/>
      <w:bookmarkStart w:id="13" w:name="_cp_text_1_128"/>
      <w:bookmarkStart w:id="14" w:name="_cp_text_1_127"/>
      <w:bookmarkEnd w:id="12"/>
      <w:bookmarkEnd w:id="13"/>
      <w:bookmarkEnd w:id="14"/>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Our ability to attract, develop and retain diverse talent is reflected at both the Board and management levels.</w:t>
            </w:r>
            <w:r>
              <w:rPr/>
              <w:t> </w:t>
            </w:r>
            <w:r>
              <w:rPr>
                <w:rFonts w:ascii="Times New Roman;Times;serif" w:hAnsi="Times New Roman;Times;serif"/>
                <w:b w:val="false"/>
                <w:i w:val="false"/>
                <w:caps w:val="false"/>
                <w:smallCaps w:val="false"/>
                <w:sz w:val="20"/>
              </w:rPr>
              <w:t>Three of our six directors are women, and two of our directors identify with an underrepresented diverse ethnicity. In addition, as of December 31, 2022, 68.8% of the positions at the Company at the level of manager and above, totaling 605 persons, are held by women and other diverse persons, collectively, an increase of 1.2% over 2021; and 79.8% of our 5,500 total employees were women and other diverse persons, collectively, an increase of 1.5% over 2021.</w:t>
            </w:r>
          </w:p>
        </w:tc>
      </w:tr>
    </w:tbl>
    <w:p>
      <w:pPr>
        <w:pStyle w:val="TextBody"/>
        <w:spacing w:before="0" w:after="0"/>
        <w:ind w:left="0" w:right="0" w:firstLine="72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maintains hiring policies and practices that support diversity such as an Equal Employment Opportunity Policy, Nondiscrimination and Anti-Harassment Policy and Complaint Procedure, and a Disability Accommodation Policy. We post all open positions to a variety of diversity-related job boards to ensure we attract a wide pool of candidates. We also collect and analyze employee demographic data to identify current trends and areas of opportunity in regard to our diversity efforts.</w:t>
            </w:r>
          </w:p>
        </w:tc>
      </w:tr>
    </w:tbl>
    <w:p>
      <w:pPr>
        <w:pStyle w:val="TextBody"/>
        <w:spacing w:before="0" w:after="0"/>
        <w:ind w:left="0" w:right="0" w:firstLine="72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provides employees and management with regular diversity training. New hires all complete anti-discrimination and harassment training within three months of starting at GCE. Thereafter, all employees complete the training every other year, while management undertakes it annually. We have also provided Implicit Bias Training to all employees.</w:t>
            </w:r>
          </w:p>
        </w:tc>
      </w:tr>
    </w:tbl>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provides learning and development support to our employees through numerous Employee Learning and Development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employees stay current with regulatory and other compliance requirements. These programs and curricula are offered virtually on both a synchronous and self-paced basis.</w:t>
            </w:r>
          </w:p>
        </w:tc>
      </w:tr>
    </w:tbl>
    <w:p>
      <w:pPr>
        <w:pStyle w:val="TextBody"/>
        <w:spacing w:before="0" w:after="0"/>
        <w:ind w:left="0" w:right="0" w:firstLine="72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promotes the concept of lifelong learning and supports this concept by offering its employees a generous Tuition Benefit program through its most significant university partner, GCU. After three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monitors employee engagement and satisfaction through an annual survey. GCE received responses from 1,835 employees on the 2022 survey. The survey asked a number of questions regarding employee engagement and satisfaction including whether employees are actively engaged with their work, whether they have a sense of pride in what they do and whether they enjoy the type of work assigned to them. The responses to each question were overwhelmingly positive. To the prompt, “Overall I am satisfied with GCE as an employer,” fewer than 10% of the responders disagreed with that statement. 92% of those responses confirmed GCE enables a culture of diversity. This survey also inquired about the importance of Environmental, Social and Governance topics that employees feel are important to GCE business performance and financial success. The top five selected in the survey by employees were Employee Health and Wellbeing (56%), Community Engagement (55%), Human Capital Management (51%), Workforce Diversity and Engagement (33%) and Professional Integrity (32%).</w:t>
            </w:r>
          </w:p>
        </w:tc>
      </w:tr>
    </w:tbl>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bookmarkStart w:id="15" w:name="_cp_text_1_22"/>
      <w:bookmarkEnd w:id="15"/>
      <w:r>
        <w:rPr>
          <w:rFonts w:ascii="Times New Roman;Times;serif" w:hAnsi="Times New Roman;Times;serif"/>
          <w:b/>
          <w:sz w:val="20"/>
        </w:rPr>
        <w:t>ENVIRONMENTAL AWARENESS</w:t>
      </w:r>
    </w:p>
    <w:p>
      <w:pPr>
        <w:pStyle w:val="TextBody"/>
        <w:spacing w:before="0" w:after="0"/>
        <w:ind w:left="0" w:right="0" w:firstLine="720"/>
        <w:rPr>
          <w:rFonts w:ascii="Times New Roman;Times;serif" w:hAnsi="Times New Roman;Times;serif"/>
          <w:sz w:val="20"/>
        </w:rPr>
      </w:pPr>
      <w:bookmarkStart w:id="16" w:name="_cp_text_4_24"/>
      <w:bookmarkEnd w:id="16"/>
      <w:r>
        <w:rPr>
          <w:rFonts w:ascii="Times New Roman;Times;serif" w:hAnsi="Times New Roman;Times;serif"/>
          <w:sz w:val="20"/>
        </w:rPr>
        <w:t>Online education is inherently more environmentally friendly than traditional campus education due to a reduction in greenhouse gas production caused by avoiding traveling to and from a brick-and-mortar campus. It also increases student capacity while eliminating the need for construction of a physical campus. In addition, a significant number of our university partners’ students utilize an ebook format versus paper textbooks, which is more environmentally friendly in that it saves paper and other material and there is no shipment required.</w:t>
      </w:r>
    </w:p>
    <w:p>
      <w:pPr>
        <w:pStyle w:val="TextBody"/>
        <w:spacing w:before="0" w:after="0"/>
        <w:ind w:left="0" w:right="0" w:firstLine="720"/>
        <w:rPr/>
      </w:pPr>
      <w:r>
        <w:rPr/>
        <w:t>​</w:t>
      </w:r>
    </w:p>
    <w:p>
      <w:pPr>
        <w:pStyle w:val="TextBody"/>
        <w:spacing w:before="0" w:after="80"/>
        <w:ind w:left="0" w:right="0" w:firstLine="720"/>
        <w:rPr>
          <w:rFonts w:ascii="Times New Roman;Times;serif" w:hAnsi="Times New Roman;Times;serif"/>
          <w:sz w:val="20"/>
        </w:rPr>
      </w:pPr>
      <w:bookmarkStart w:id="17" w:name="_cp_text_4_28"/>
      <w:bookmarkStart w:id="18" w:name="_cp_text_1_27"/>
      <w:bookmarkStart w:id="19" w:name="_cp_text_4_26"/>
      <w:bookmarkStart w:id="20" w:name="_cp_text_1_25"/>
      <w:bookmarkEnd w:id="17"/>
      <w:bookmarkEnd w:id="18"/>
      <w:bookmarkEnd w:id="19"/>
      <w:bookmarkEnd w:id="20"/>
      <w:r>
        <w:rPr>
          <w:rFonts w:ascii="Times New Roman;Times;serif" w:hAnsi="Times New Roman;Times;serif"/>
          <w:sz w:val="20"/>
        </w:rPr>
        <w:t>The Company owns, and operates its business from, a four-story 325,000 square foot administrative building, which includes office space for approximately 2,700 employees and a parking garage. We constructed these facilities in 2016 and, as with every one of our projects over the past ten years, we designed them to maximize energy efficiency and minimize electricity usage and environmental impact. Our headquarters building includes the following design features:</w:t>
      </w:r>
    </w:p>
    <w:tbl>
      <w:tblPr>
        <w:tblW w:w="10205" w:type="dxa"/>
        <w:jc w:val="left"/>
        <w:tblInd w:w="0" w:type="dxa"/>
        <w:tblCellMar>
          <w:top w:w="28" w:type="dxa"/>
          <w:left w:w="0" w:type="dxa"/>
          <w:bottom w:w="28" w:type="dxa"/>
          <w:right w:w="0" w:type="dxa"/>
        </w:tblCellMar>
      </w:tblPr>
      <w:tblGrid>
        <w:gridCol w:w="331"/>
        <w:gridCol w:w="4298"/>
        <w:gridCol w:w="316"/>
        <w:gridCol w:w="5260"/>
      </w:tblGrid>
      <w:tr>
        <w:trPr/>
        <w:tc>
          <w:tcPr>
            <w:tcW w:w="331" w:type="dxa"/>
            <w:tcBorders>
              <w:top w:val="single" w:sz="2" w:space="0" w:color="000000"/>
              <w:bottom w:val="single" w:sz="2" w:space="0" w:color="000000"/>
            </w:tcBorders>
            <w:shd w:fill="auto" w:val="clear"/>
            <w:vAlign w:val="center"/>
          </w:tcPr>
          <w:p>
            <w:pPr>
              <w:pStyle w:val="TableContents"/>
              <w:spacing w:before="0" w:after="120"/>
              <w:ind w:left="0" w:right="0" w:hanging="0"/>
              <w:jc w:val="right"/>
              <w:rPr/>
            </w:pPr>
            <w:r>
              <w:rPr/>
              <w:t>☐</w:t>
            </w:r>
          </w:p>
        </w:tc>
        <w:tc>
          <w:tcPr>
            <w:tcW w:w="4298" w:type="dxa"/>
            <w:tcBorders>
              <w:top w:val="single" w:sz="2" w:space="0" w:color="000000"/>
              <w:bottom w:val="single" w:sz="2" w:space="0" w:color="000000"/>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b/>
                <w:i/>
                <w:sz w:val="20"/>
              </w:rPr>
              <w:t>North/South Building Orientation</w:t>
            </w:r>
            <w:r>
              <w:rPr>
                <w:rFonts w:ascii="Times New Roman;Times;serif" w:hAnsi="Times New Roman;Times;serif"/>
                <w:sz w:val="20"/>
              </w:rPr>
              <w:t>. The Company’s office building is orientated with north/south exposure in order to minimize direct sun and thereby reduce power usage. Exterior courtyards were arranged to ensure summer shade thus creating outdoor areas that can be used by our employees throughout the year.</w:t>
            </w:r>
          </w:p>
        </w:tc>
        <w:tc>
          <w:tcPr>
            <w:tcW w:w="316" w:type="dxa"/>
            <w:tcBorders>
              <w:top w:val="single" w:sz="2" w:space="0" w:color="000000"/>
              <w:bottom w:val="single" w:sz="2" w:space="0" w:color="000000"/>
            </w:tcBorders>
            <w:shd w:fill="auto" w:val="clear"/>
            <w:vAlign w:val="center"/>
          </w:tcPr>
          <w:p>
            <w:pPr>
              <w:pStyle w:val="TableContents"/>
              <w:spacing w:before="0" w:after="120"/>
              <w:ind w:left="0" w:right="0" w:hanging="0"/>
              <w:jc w:val="right"/>
              <w:rPr/>
            </w:pPr>
            <w:r>
              <w:rPr/>
              <w:t>☐</w:t>
            </w:r>
          </w:p>
        </w:tc>
        <w:tc>
          <w:tcPr>
            <w:tcW w:w="5260" w:type="dxa"/>
            <w:tcBorders>
              <w:top w:val="single" w:sz="2" w:space="0" w:color="000000"/>
              <w:bottom w:val="single" w:sz="2" w:space="0" w:color="000000"/>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b/>
                <w:i/>
                <w:sz w:val="20"/>
              </w:rPr>
              <w:t>Reducing Water Consumption</w:t>
            </w:r>
            <w:r>
              <w:rPr>
                <w:rFonts w:ascii="Times New Roman;Times;serif" w:hAnsi="Times New Roman;Times;serif"/>
                <w:sz w:val="20"/>
              </w:rPr>
              <w:t>. Water usage is another environmental factor for office space that is magnified by the Arizona sun. The Company’s office building utilizes numerous water conservation methods including push-tap faucets, waterless urinals, and a rooftop rain water collection system for irrigating the landscaping below, which significantly reduces our water consumption.</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0" w:type="dxa"/>
          <w:bottom w:w="28" w:type="dxa"/>
          <w:right w:w="0" w:type="dxa"/>
        </w:tblCellMar>
      </w:tblPr>
      <w:tblGrid>
        <w:gridCol w:w="331"/>
        <w:gridCol w:w="4985"/>
        <w:gridCol w:w="316"/>
        <w:gridCol w:w="4573"/>
      </w:tblGrid>
      <w:tr>
        <w:trPr/>
        <w:tc>
          <w:tcPr>
            <w:tcW w:w="331" w:type="dxa"/>
            <w:tcBorders>
              <w:top w:val="single" w:sz="2" w:space="0" w:color="000000"/>
              <w:bottom w:val="single" w:sz="2" w:space="0" w:color="000000"/>
            </w:tcBorders>
            <w:shd w:fill="auto" w:val="clear"/>
            <w:vAlign w:val="center"/>
          </w:tcPr>
          <w:p>
            <w:pPr>
              <w:pStyle w:val="TableContents"/>
              <w:spacing w:before="0" w:after="0"/>
              <w:ind w:left="0" w:right="0" w:hanging="0"/>
              <w:jc w:val="right"/>
              <w:rPr/>
            </w:pPr>
            <w:r>
              <w:rPr/>
              <w:t>☐</w:t>
            </w:r>
          </w:p>
        </w:tc>
        <w:tc>
          <w:tcPr>
            <w:tcW w:w="4985" w:type="dxa"/>
            <w:tcBorders>
              <w:top w:val="single" w:sz="2" w:space="0" w:color="000000"/>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i/>
                <w:sz w:val="20"/>
              </w:rPr>
              <w:t>Use of Window Glazing</w:t>
            </w:r>
            <w:r>
              <w:rPr>
                <w:rFonts w:ascii="Times New Roman;Times;serif" w:hAnsi="Times New Roman;Times;serif"/>
                <w:sz w:val="20"/>
              </w:rPr>
              <w:t>. Our building utilizes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w:t>
            </w:r>
          </w:p>
        </w:tc>
        <w:tc>
          <w:tcPr>
            <w:tcW w:w="316" w:type="dxa"/>
            <w:tcBorders>
              <w:top w:val="single" w:sz="2" w:space="0" w:color="000000"/>
              <w:bottom w:val="single" w:sz="2" w:space="0" w:color="000000"/>
            </w:tcBorders>
            <w:shd w:fill="auto" w:val="clear"/>
            <w:vAlign w:val="center"/>
          </w:tcPr>
          <w:p>
            <w:pPr>
              <w:pStyle w:val="TableContents"/>
              <w:spacing w:before="0" w:after="0"/>
              <w:ind w:left="0" w:right="0" w:hanging="0"/>
              <w:jc w:val="right"/>
              <w:rPr/>
            </w:pPr>
            <w:r>
              <w:rPr/>
              <w:t>☐</w:t>
            </w:r>
          </w:p>
        </w:tc>
        <w:tc>
          <w:tcPr>
            <w:tcW w:w="4573" w:type="dxa"/>
            <w:tcBorders>
              <w:top w:val="single" w:sz="2" w:space="0" w:color="000000"/>
              <w:bottom w:val="single" w:sz="2" w:space="0" w:color="000000"/>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b/>
                <w:i/>
                <w:sz w:val="20"/>
              </w:rPr>
              <w:t>Other Design Features</w:t>
            </w:r>
            <w:r>
              <w:rPr>
                <w:rFonts w:ascii="Times New Roman;Times;serif" w:hAnsi="Times New Roman;Times;serif"/>
                <w:sz w:val="20"/>
              </w:rPr>
              <w:t xml:space="preserve">. Additional environment-friendly design features include low VOC paints, use of recycled building materials, interior and exterior LED light bulbs, motion sensor lighting and implementation of an energy-efficient VRF mechanical system. </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to its efficient facilities, the Company has undertaken other measures to minimize its environmental impact, including, among others:</w:t>
      </w:r>
    </w:p>
    <w:p>
      <w:pPr>
        <w:pStyle w:val="TextBody"/>
        <w:spacing w:before="0" w:after="0"/>
        <w:ind w:left="0" w:right="0" w:firstLine="72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 Trip Reduction Program, which provides incentives to employees who participate in carpooling or take public transportation to work;</w:t>
            </w:r>
          </w:p>
        </w:tc>
      </w:tr>
    </w:tbl>
    <w:tbl>
      <w:tblPr>
        <w:tblW w:w="6591" w:type="dxa"/>
        <w:jc w:val="left"/>
        <w:tblInd w:w="0" w:type="dxa"/>
        <w:tblCellMar>
          <w:top w:w="28" w:type="dxa"/>
          <w:left w:w="28" w:type="dxa"/>
          <w:bottom w:w="28" w:type="dxa"/>
          <w:right w:w="28" w:type="dxa"/>
        </w:tblCellMar>
      </w:tblPr>
      <w:tblGrid>
        <w:gridCol w:w="124"/>
        <w:gridCol w:w="256"/>
        <w:gridCol w:w="6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providing a telecommute option for a significant number of positions; and </w:t>
            </w:r>
          </w:p>
        </w:tc>
      </w:tr>
    </w:tbl>
    <w:tbl>
      <w:tblPr>
        <w:tblW w:w="9966" w:type="dxa"/>
        <w:jc w:val="left"/>
        <w:tblInd w:w="0" w:type="dxa"/>
        <w:tblCellMar>
          <w:top w:w="28" w:type="dxa"/>
          <w:left w:w="28" w:type="dxa"/>
          <w:bottom w:w="28" w:type="dxa"/>
          <w:right w:w="28" w:type="dxa"/>
        </w:tblCellMar>
      </w:tblPr>
      <w:tblGrid>
        <w:gridCol w:w="124"/>
        <w:gridCol w:w="256"/>
        <w:gridCol w:w="9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participating in a recycling program aimed at minimizing the volume of waste products generated by the Company.  </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Due to our significant investment in technology and infrastructure, since March 2020, when the World Health Organization declared COVID-19 a global pandemic, a significant portion of our diverse workforce is continuing to work remotely. This has not only allowed our employees to remain physically safe, but has also resulted in savings in the areas of waste, janitorial costs, and travel costs related to business travel and commuting. </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Climate Disclosures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do not operate in a high-risk industry for climate risks. We believe that we have low climate risk with respect to our physical environment (e.g. fires, drought, hailstorms, increasing weather pattern changes). Approximately 90% of our workforce is continuing to work remotely. We have insurance policies in place to cover any damage for our property, plant and equipment. Our Audit Committee is tasked with oversight of climate-related risks for the Company.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do not have significant risk from a transition to a low-carbon economy, which could result in changing customer behavior. Our customers are university partners located in the United States.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Cybersecurity Controls</w:t>
      </w:r>
    </w:p>
    <w:p>
      <w:pPr>
        <w:pStyle w:val="TextBody"/>
        <w:spacing w:before="0" w:after="0"/>
        <w:ind w:left="0" w:right="0" w:hanging="0"/>
        <w:rPr/>
      </w:pPr>
      <w:r>
        <w:rPr/>
        <w:t>​</w:t>
      </w:r>
    </w:p>
    <w:tbl>
      <w:tblPr>
        <w:tblW w:w="8676" w:type="dxa"/>
        <w:jc w:val="left"/>
        <w:tblInd w:w="0" w:type="dxa"/>
        <w:tblCellMar>
          <w:top w:w="28" w:type="dxa"/>
          <w:left w:w="28" w:type="dxa"/>
          <w:bottom w:w="28" w:type="dxa"/>
          <w:right w:w="28" w:type="dxa"/>
        </w:tblCellMar>
      </w:tblPr>
      <w:tblGrid>
        <w:gridCol w:w="124"/>
        <w:gridCol w:w="256"/>
        <w:gridCol w:w="82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tasked with oversight of the cybersecurity controls in place at the Company.</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employs a dedicated Chief Information Security Officer, with an experienced and competent security team, and works closely with the Chief Risk Officer to provide risk reporting and ensure security and compliance. The Company regularly engages third party experts to perform cybersecurity assessments. These assessments are normally performed on an annual basis. Reports are sent to the Audit Committee monthly, and Security, Risk and Compliance updates are provided quarterly.</w:t>
            </w:r>
          </w:p>
        </w:tc>
      </w:tr>
    </w:tbl>
    <w:p>
      <w:pPr>
        <w:pStyle w:val="TextBody"/>
        <w:spacing w:before="0" w:after="0"/>
        <w:ind w:left="0" w:right="0" w:hanging="0"/>
        <w:rPr/>
      </w:pPr>
      <w:r>
        <w:rPr/>
        <w:t>​</w:t>
      </w:r>
    </w:p>
    <w:tbl>
      <w:tblPr>
        <w:tblW w:w="7416" w:type="dxa"/>
        <w:jc w:val="left"/>
        <w:tblInd w:w="0" w:type="dxa"/>
        <w:tblCellMar>
          <w:top w:w="28" w:type="dxa"/>
          <w:left w:w="28" w:type="dxa"/>
          <w:bottom w:w="28" w:type="dxa"/>
          <w:right w:w="28" w:type="dxa"/>
        </w:tblCellMar>
      </w:tblPr>
      <w:tblGrid>
        <w:gridCol w:w="124"/>
        <w:gridCol w:w="256"/>
        <w:gridCol w:w="7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policies and procedures for all employees including:</w:t>
            </w:r>
          </w:p>
        </w:tc>
      </w:tr>
    </w:tbl>
    <w:tbl>
      <w:tblPr>
        <w:tblW w:w="8031" w:type="dxa"/>
        <w:jc w:val="left"/>
        <w:tblInd w:w="0" w:type="dxa"/>
        <w:tblCellMar>
          <w:top w:w="28" w:type="dxa"/>
          <w:left w:w="28" w:type="dxa"/>
          <w:bottom w:w="28" w:type="dxa"/>
          <w:right w:w="28" w:type="dxa"/>
        </w:tblCellMar>
      </w:tblPr>
      <w:tblGrid>
        <w:gridCol w:w="124"/>
        <w:gridCol w:w="256"/>
        <w:gridCol w:w="7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security/cybersecurity policies, which are internally available for all employees;</w:t>
            </w:r>
          </w:p>
        </w:tc>
      </w:tr>
    </w:tbl>
    <w:tbl>
      <w:tblPr>
        <w:tblW w:w="4941" w:type="dxa"/>
        <w:jc w:val="left"/>
        <w:tblInd w:w="0" w:type="dxa"/>
        <w:tblCellMar>
          <w:top w:w="28" w:type="dxa"/>
          <w:left w:w="28" w:type="dxa"/>
          <w:bottom w:w="28" w:type="dxa"/>
          <w:right w:w="28" w:type="dxa"/>
        </w:tblCellMar>
      </w:tblPr>
      <w:tblGrid>
        <w:gridCol w:w="124"/>
        <w:gridCol w:w="256"/>
        <w:gridCol w:w="4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security/cybersecurity awareness training;</w:t>
            </w:r>
          </w:p>
        </w:tc>
      </w:tr>
    </w:tbl>
    <w:tbl>
      <w:tblPr>
        <w:tblW w:w="9891" w:type="dxa"/>
        <w:jc w:val="left"/>
        <w:tblInd w:w="0" w:type="dxa"/>
        <w:tblCellMar>
          <w:top w:w="28" w:type="dxa"/>
          <w:left w:w="28" w:type="dxa"/>
          <w:bottom w:w="28" w:type="dxa"/>
          <w:right w:w="28" w:type="dxa"/>
        </w:tblCellMar>
      </w:tblPr>
      <w:tblGrid>
        <w:gridCol w:w="124"/>
        <w:gridCol w:w="256"/>
        <w:gridCol w:w="95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clear escalation process which employees can follow in the event an employee notices something suspicious;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information security/cybersecurity is part of the employee performance evaluations and/or disciplinary actions.</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cyber insurance policy. The Company has not had a security breach and has not incurred any expenses for a security breach in the past three years.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Other Corporate Policy Matters</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whistleblower hotline available to both internal and external parties. The whistleblower policy is disclosed on the GCE intranet for employees and disclosed on the GCE investor relations website for external parties. Hotline activity is managed by a third party and all calls are reviewed and monitored by the Chief Risk Officer and General Counsel and discussed at the quarterly Audit Committee meetings.</w:t>
            </w:r>
          </w:p>
        </w:tc>
      </w:tr>
    </w:tbl>
    <w:p>
      <w:pPr>
        <w:pStyle w:val="TextBody"/>
        <w:spacing w:before="0" w:after="0"/>
        <w:ind w:left="0" w:right="0" w:hanging="0"/>
        <w:rPr/>
      </w:pPr>
      <w:r>
        <w:rPr/>
        <w:t>​</w:t>
      </w:r>
    </w:p>
    <w:p>
      <w:pPr>
        <w:pStyle w:val="TextBody"/>
        <w:pBdr>
          <w:top w:val="single" w:sz="2" w:space="1" w:color="000000"/>
        </w:pBdr>
        <w:spacing w:before="0" w:after="240"/>
        <w:ind w:left="0" w:right="0" w:hanging="0"/>
        <w:rPr>
          <w:rFonts w:ascii="Times New Roman;Times;serif" w:hAnsi="Times New Roman;Times;serif"/>
          <w:b/>
          <w:sz w:val="20"/>
        </w:rPr>
      </w:pPr>
      <w:r>
        <w:rPr>
          <w:rFonts w:ascii="Times New Roman;Times;serif" w:hAnsi="Times New Roman;Times;serif"/>
          <w:b/>
          <w:sz w:val="20"/>
        </w:rPr>
        <w:t>Questions and Answers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Please see the </w:t>
      </w:r>
      <w:r>
        <w:rPr>
          <w:rFonts w:ascii="Times New Roman;Times;serif" w:hAnsi="Times New Roman;Times;serif"/>
          <w:i/>
          <w:sz w:val="20"/>
        </w:rPr>
        <w:t xml:space="preserve">General Information </w:t>
      </w:r>
      <w:r>
        <w:rPr>
          <w:rFonts w:ascii="Times New Roman;Times;serif" w:hAnsi="Times New Roman;Times;serif"/>
          <w:sz w:val="20"/>
        </w:rPr>
        <w:t>section for important information about the proxy materials, voting, the annual meeting, Company documents, communications and the deadlines to submit stockholder proposals and director nominees for the 2023 Annual Meeting of Stockholders. Additional questions may be directed to our General Counsel, Grand Canyon Education, Inc., 2600 W. Camelback Road, Phoenix, Arizona 85017.</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Learn More About Our Company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You can learn more about the Company, view our governance materials and much more by visiting our website, </w:t>
      </w:r>
      <w:r>
        <w:rPr>
          <w:rFonts w:ascii="Times New Roman;Times;serif" w:hAnsi="Times New Roman;Times;serif"/>
          <w:i/>
          <w:sz w:val="20"/>
        </w:rPr>
        <w:t>www.gce.com</w:t>
      </w:r>
      <w:r>
        <w:rPr>
          <w:rFonts w:ascii="Times New Roman;Times;serif" w:hAnsi="Times New Roman;Times;serif"/>
          <w:sz w:val="20"/>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1" w:name="_298bde57_ebda_4823_8f3a_c20798b1c5fb"/>
      <w:bookmarkEnd w:id="21"/>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West Camelback Road</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Phoenix, Arizona 85017</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PROXY STATEMENT</w:t>
      </w:r>
    </w:p>
    <w:p>
      <w:pPr>
        <w:pStyle w:val="TextBody"/>
        <w:spacing w:before="0" w:after="240"/>
        <w:ind w:left="0" w:right="0" w:hanging="0"/>
        <w:jc w:val="center"/>
        <w:rPr>
          <w:rFonts w:ascii="Times New Roman;Times;serif" w:hAnsi="Times New Roman;Times;serif"/>
          <w:b/>
          <w:sz w:val="20"/>
        </w:rPr>
      </w:pPr>
      <w:bookmarkStart w:id="22" w:name="GENERALINFORMATION_318309"/>
      <w:bookmarkEnd w:id="22"/>
      <w:r>
        <w:rPr>
          <w:rFonts w:ascii="Times New Roman;Times;serif" w:hAnsi="Times New Roman;Times;serif"/>
          <w:b/>
          <w:sz w:val="20"/>
        </w:rPr>
        <w:t>GENERAL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enclosed proxy is being solicited by our Board of Directors for use in connection with the Annual Meeting to be held on Tuesday, June 20, 2023, at the offices of Grand Canyon Education, Inc. located at 2600 W. Camelback Road, Phoenix, Arizona 85017, commencing at 10:30 a.m., Arizona time, and at any adjournment or postponement thereof.</w:t>
      </w:r>
    </w:p>
    <w:p>
      <w:pPr>
        <w:pStyle w:val="TextBody"/>
        <w:spacing w:before="0" w:after="240"/>
        <w:ind w:left="0" w:right="0" w:hanging="0"/>
        <w:rPr>
          <w:rFonts w:ascii="Times New Roman;Times;serif" w:hAnsi="Times New Roman;Times;serif"/>
          <w:b/>
          <w:sz w:val="20"/>
        </w:rPr>
      </w:pPr>
      <w:bookmarkStart w:id="23" w:name="NoticeofInternetAvailability_475776"/>
      <w:bookmarkEnd w:id="23"/>
      <w:r>
        <w:rPr>
          <w:rFonts w:ascii="Times New Roman;Times;serif" w:hAnsi="Times New Roman;Times;serif"/>
          <w:b/>
          <w:sz w:val="20"/>
        </w:rPr>
        <w:t>Notice of Internet Availability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May 8, 2023,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Times New Roman;Times;serif" w:hAnsi="Times New Roman;Times;serif"/>
          <w:i/>
          <w:sz w:val="20"/>
        </w:rPr>
        <w:t>www.edocumentview.com/LOPE</w:t>
      </w:r>
      <w:r>
        <w:rPr>
          <w:rFonts w:ascii="Times New Roman;Times;serif" w:hAnsi="Times New Roman;Times;serif"/>
          <w:sz w:val="20"/>
        </w:rPr>
        <w:t xml:space="preserve"> or the Company’s Investor Relations website at </w:t>
      </w:r>
      <w:r>
        <w:rPr>
          <w:rFonts w:ascii="Times New Roman;Times;serif" w:hAnsi="Times New Roman;Times;serif"/>
          <w:i/>
          <w:sz w:val="20"/>
        </w:rPr>
        <w:t>www.gce.com</w:t>
      </w:r>
      <w:r>
        <w:rPr>
          <w:rFonts w:ascii="Times New Roman;Times;serif" w:hAnsi="Times New Roman;Times;serif"/>
          <w:sz w:val="20"/>
        </w:rPr>
        <w:t>.</w:t>
      </w:r>
    </w:p>
    <w:p>
      <w:pPr>
        <w:pStyle w:val="TextBody"/>
        <w:spacing w:before="0" w:after="240"/>
        <w:ind w:left="0" w:right="0" w:hanging="0"/>
        <w:rPr>
          <w:rFonts w:ascii="Times New Roman;Times;serif" w:hAnsi="Times New Roman;Times;serif"/>
          <w:b/>
          <w:sz w:val="20"/>
        </w:rPr>
      </w:pPr>
      <w:bookmarkStart w:id="24" w:name="RecordDateandQuorum_527272"/>
      <w:bookmarkEnd w:id="24"/>
      <w:r>
        <w:rPr>
          <w:rFonts w:ascii="Times New Roman;Times;serif" w:hAnsi="Times New Roman;Times;serif"/>
          <w:b/>
          <w:sz w:val="20"/>
        </w:rPr>
        <w:t>Record Date and Quorum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Only stockholders of record at the close of business on April 24, 2023, will be entitled to notice of and to vote at the Annual Meeting and any adjournment or postponement thereof. At the close of business on the record date, we had approximately 30,750,457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pStyle w:val="TextBody"/>
        <w:spacing w:before="0" w:after="240"/>
        <w:ind w:left="0" w:right="0" w:hanging="0"/>
        <w:rPr>
          <w:rFonts w:ascii="Times New Roman;Times;serif" w:hAnsi="Times New Roman;Times;serif"/>
          <w:b/>
          <w:sz w:val="20"/>
        </w:rPr>
      </w:pPr>
      <w:bookmarkStart w:id="25" w:name="SubmissionofProxiesRevocation_394726"/>
      <w:bookmarkEnd w:id="25"/>
      <w:r>
        <w:rPr>
          <w:rFonts w:ascii="Times New Roman;Times;serif" w:hAnsi="Times New Roman;Times;serif"/>
          <w:b/>
          <w:sz w:val="20"/>
        </w:rPr>
        <w:t>Submission of Proxies; Revocation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26" w:name="DeadlinesforStockholderProposals_758155"/>
      <w:bookmarkEnd w:id="26"/>
      <w:r>
        <w:rPr>
          <w:rFonts w:ascii="Times New Roman;Times;serif" w:hAnsi="Times New Roman;Times;serif"/>
          <w:b/>
          <w:sz w:val="20"/>
        </w:rPr>
        <w:t>Deadlines for Stockholder Proposals</w:t>
      </w:r>
    </w:p>
    <w:p>
      <w:pPr>
        <w:pStyle w:val="TextBody"/>
        <w:spacing w:lineRule="auto" w:line="240" w:before="0" w:after="240"/>
        <w:ind w:left="0" w:right="0" w:firstLine="720"/>
        <w:rPr>
          <w:rFonts w:ascii="Times New Roman;Times;serif" w:hAnsi="Times New Roman;Times;serif"/>
          <w:sz w:val="20"/>
        </w:rPr>
      </w:pPr>
      <w:r>
        <w:rPr>
          <w:rFonts w:ascii="Times New Roman;Times;serif" w:hAnsi="Times New Roman;Times;serif"/>
          <w:sz w:val="20"/>
        </w:rPr>
        <w:t>Stockholder proposals may be included in our proxy materials for an annual meeting so long as they are provided to us on a timely basis and satisfy certain other conditions established by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2024 Annual Meeting of Stockholders, the proposal must be received at our principal executive offices, addressed to our Secretary, not later than the close of business on Thursday, December 28, 2023.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w:t>
      </w:r>
      <w:r>
        <w:rPr>
          <w:rFonts w:ascii="Times New Roman;Times;serif" w:hAnsi="Times New Roman;Times;serif"/>
          <w:sz w:val="15"/>
        </w:rPr>
        <w:t xml:space="preserve">th </w:t>
      </w:r>
      <w:r>
        <w:rPr>
          <w:rFonts w:ascii="Times New Roman;Times;serif" w:hAnsi="Times New Roman;Times;serif"/>
          <w:sz w:val="20"/>
        </w:rPr>
        <w:t>day, nor later than the close of business on the 90</w:t>
      </w:r>
      <w:r>
        <w:rPr>
          <w:rFonts w:ascii="Times New Roman;Times;serif" w:hAnsi="Times New Roman;Times;serif"/>
          <w:sz w:val="15"/>
        </w:rPr>
        <w:t xml:space="preserve">th </w:t>
      </w:r>
      <w:r>
        <w:rPr>
          <w:rFonts w:ascii="Times New Roman;Times;serif" w:hAnsi="Times New Roman;Times;serif"/>
          <w:sz w:val="20"/>
        </w:rPr>
        <w:t>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90</w:t>
      </w:r>
      <w:r>
        <w:rPr>
          <w:rFonts w:ascii="Times New Roman;Times;serif" w:hAnsi="Times New Roman;Times;serif"/>
          <w:sz w:val="15"/>
        </w:rPr>
        <w:t xml:space="preserve">th </w:t>
      </w:r>
      <w:r>
        <w:rPr>
          <w:rFonts w:ascii="Times New Roman;Times;serif" w:hAnsi="Times New Roman;Times;serif"/>
          <w:sz w:val="20"/>
        </w:rPr>
        <w:t>day prior to the annual meeting or the 10</w:t>
      </w:r>
      <w:r>
        <w:rPr>
          <w:rFonts w:ascii="Times New Roman;Times;serif" w:hAnsi="Times New Roman;Times;serif"/>
          <w:sz w:val="15"/>
        </w:rPr>
        <w:t>th</w:t>
      </w:r>
      <w:r>
        <w:rPr>
          <w:rFonts w:ascii="Times New Roman;Times;serif" w:hAnsi="Times New Roman;Times;serif"/>
          <w:sz w:val="20"/>
        </w:rPr>
        <w:t xml:space="preserve"> day following the date on which public announcement of the date of such meeting is first made. For our 2024 Annual Meeting of Stockholders, proper notice of business that is not intended for inclusion in our proxy statement must be received not earlier than the close of business on Wednesday, February 21, 2024, nor later than the close of business on Friday, March 22, 2024.</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Times New Roman;Times;serif" w:hAnsi="Times New Roman;Times;serif"/>
          <w:b/>
          <w:sz w:val="20"/>
        </w:rPr>
        <w:t xml:space="preserve">; </w:t>
      </w:r>
      <w:r>
        <w:rPr>
          <w:rFonts w:ascii="Times New Roman;Times;serif" w:hAnsi="Times New Roman;Times;serif"/>
          <w:sz w:val="20"/>
        </w:rPr>
        <w:t>(B)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27" w:name="Quorum_108022"/>
      <w:bookmarkEnd w:id="27"/>
      <w:r>
        <w:rPr>
          <w:rFonts w:ascii="Times New Roman;Times;serif" w:hAnsi="Times New Roman;Times;serif"/>
          <w:b/>
          <w:sz w:val="20"/>
        </w:rPr>
        <w:t>Quorum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pStyle w:val="TextBody"/>
        <w:spacing w:before="0" w:after="240"/>
        <w:ind w:left="0" w:right="0" w:hanging="0"/>
        <w:rPr>
          <w:rFonts w:ascii="Times New Roman;Times;serif" w:hAnsi="Times New Roman;Times;serif"/>
          <w:b/>
          <w:sz w:val="20"/>
        </w:rPr>
      </w:pPr>
      <w:bookmarkStart w:id="28" w:name="VoteRequired_679041"/>
      <w:bookmarkEnd w:id="28"/>
      <w:r>
        <w:rPr>
          <w:rFonts w:ascii="Times New Roman;Times;serif" w:hAnsi="Times New Roman;Times;serif"/>
          <w:b/>
          <w:sz w:val="20"/>
        </w:rPr>
        <w:t>Vote Required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4). However, your record holder cannot vote your shares without your specific instructions on the election of directors (Proposal No. 1), or on matters related to executive compensation, including the advisory votes described below on the compensation of our named executive officers and the frequency with which we hold advisory votes on the compensation of our named executive officers (Proposals Nos. 2 and 3).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Times New Roman;Times;serif" w:hAnsi="Times New Roman;Times;serif"/>
          <w:b/>
          <w:sz w:val="20"/>
        </w:rPr>
        <w:t>We encourage you to provide instructions to your bank, broker or other holder of record regarding the voting of your shares.</w:t>
      </w:r>
      <w:r>
        <w:rPr>
          <w:rFonts w:ascii="Times New Roman;Times;serif" w:hAnsi="Times New Roman;Times;serif"/>
          <w:sz w:val="20"/>
        </w:rPr>
        <w:t xml:space="preserve"> Our stockholders have no dissenter’s or appraisal rights in connection with any of the proposals described herein.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vote required to approve each of the proposals presented in this Proxy Statement is set forth below:</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Election of Directors (Proposal No. 1)</w:t>
            </w:r>
            <w:r>
              <w:rPr>
                <w:rFonts w:ascii="Times New Roman;Times;serif" w:hAnsi="Times New Roman;Times;serif"/>
                <w:b w:val="false"/>
                <w:i w:val="false"/>
                <w:caps w:val="false"/>
                <w:smallCaps w:val="false"/>
                <w:sz w:val="20"/>
              </w:rPr>
              <w:t>. The affirmative vote of a majority of the votes cast with respect to a nominee is required for the 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Approval, on an advisory basis, of the compensation of our named executive officers (Proposal No. 2).</w:t>
            </w:r>
            <w:r>
              <w:rPr>
                <w:caps w:val="false"/>
                <w:smallCaps w:val="false"/>
              </w:rPr>
              <w:t xml:space="preserve"> </w:t>
            </w:r>
            <w:r>
              <w:rPr>
                <w:rFonts w:ascii="Times New Roman;Times;serif" w:hAnsi="Times New Roman;Times;serif"/>
                <w:b w:val="false"/>
                <w:i w:val="false"/>
                <w:caps w:val="false"/>
                <w:smallCaps w:val="false"/>
                <w:sz w:val="20"/>
              </w:rPr>
              <w:t>Approval, on an advisory basis, of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Approval, on an advisory basis, of the frequency of future advisory votes on the compensation of our named executive officers (Proposal No.</w:t>
            </w:r>
            <w:r>
              <w:rPr>
                <w:caps w:val="false"/>
                <w:smallCaps w:val="false"/>
              </w:rPr>
              <w:t xml:space="preserve"> </w:t>
            </w:r>
            <w:r>
              <w:rPr>
                <w:rFonts w:ascii="Times New Roman;Times;serif" w:hAnsi="Times New Roman;Times;serif"/>
                <w:b w:val="false"/>
                <w:i/>
                <w:sz w:val="20"/>
              </w:rPr>
              <w:t>3).</w:t>
            </w:r>
            <w:r>
              <w:rPr>
                <w:caps w:val="false"/>
                <w:smallCaps w:val="false"/>
              </w:rPr>
              <w:t xml:space="preserve"> </w:t>
            </w:r>
            <w:r>
              <w:rPr>
                <w:rFonts w:ascii="Times New Roman;Times;serif" w:hAnsi="Times New Roman;Times;serif"/>
                <w:b w:val="false"/>
                <w:i w:val="false"/>
                <w:caps w:val="false"/>
                <w:smallCaps w:val="false"/>
                <w:sz w:val="20"/>
              </w:rPr>
              <w:t xml:space="preserve">This matter is being submitted to enable stockholders to express a preference, on an advisory basis, as to whether future advisory votes on named executive officer compensation should be held every year, every two years, or every three years. Stockholders are not voting to approve or disapprove of the Board’s recommendation. Rather, stockholders are being asked to express their preference regarding the frequency of future advisory votes to approve named executive officer compensation. If none of the frequency options receives majority support, the option receiving the greatest number of votes cast will be considered the frequency recommended by the Company’s stockholders. Although this vote is advisory and is not binding on our Board of Directors or Compensation Committee, the Board of Directors and the Compensation Committee will consider the voting results, along with other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factors, in connection with their determination of the frequency of future advisory votes on the compensation of our names executive officers.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Ratification of the appointment of the Independent Registered Public Accounting Firm (Proposal No. 4).</w:t>
            </w:r>
            <w:r>
              <w:rPr>
                <w:caps w:val="false"/>
                <w:smallCaps w:val="false"/>
              </w:rPr>
              <w:t> </w:t>
            </w:r>
            <w:r>
              <w:rPr>
                <w:rFonts w:ascii="Times New Roman;Times;serif" w:hAnsi="Times New Roman;Times;serif"/>
                <w:b w:val="false"/>
                <w:i w:val="false"/>
                <w:caps w:val="false"/>
                <w:smallCaps w:val="false"/>
                <w:sz w:val="20"/>
              </w:rPr>
              <w:t>Approval of the proposal to ratify the Audit Committee’s appointment of KPMG LLP as our independent registered public accounting firm for the fiscal year ending December 31, 2023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tc>
      </w:tr>
    </w:tbl>
    <w:p>
      <w:pPr>
        <w:pStyle w:val="TextBody"/>
        <w:spacing w:before="0" w:after="240"/>
        <w:ind w:left="0" w:right="0" w:hanging="0"/>
        <w:rPr>
          <w:rFonts w:ascii="Times New Roman;Times;serif" w:hAnsi="Times New Roman;Times;serif"/>
          <w:b/>
          <w:sz w:val="20"/>
        </w:rPr>
      </w:pPr>
      <w:bookmarkStart w:id="29" w:name="AdjournmentorPostponementofMeeting_42992"/>
      <w:bookmarkEnd w:id="29"/>
      <w:r>
        <w:rPr>
          <w:rFonts w:ascii="Times New Roman;Times;serif" w:hAnsi="Times New Roman;Times;serif"/>
          <w:b/>
          <w:sz w:val="20"/>
        </w:rPr>
        <w:t>Adjournment or Postponement of Meeting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pStyle w:val="TextBody"/>
        <w:spacing w:before="0" w:after="240"/>
        <w:ind w:left="0" w:right="0" w:hanging="0"/>
        <w:rPr>
          <w:rFonts w:ascii="Times New Roman;Times;serif" w:hAnsi="Times New Roman;Times;serif"/>
          <w:b/>
          <w:sz w:val="20"/>
        </w:rPr>
      </w:pPr>
      <w:bookmarkStart w:id="30" w:name="ExpensesofSolicitingProxies_791359"/>
      <w:bookmarkEnd w:id="30"/>
      <w:r>
        <w:rPr>
          <w:rFonts w:ascii="Times New Roman;Times;serif" w:hAnsi="Times New Roman;Times;serif"/>
          <w:b/>
          <w:sz w:val="20"/>
        </w:rPr>
        <w:t>Expenses of Soliciting Proxies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pStyle w:val="TextBody"/>
        <w:spacing w:before="0" w:after="240"/>
        <w:ind w:left="0" w:right="0" w:hanging="0"/>
        <w:jc w:val="center"/>
        <w:rPr>
          <w:rFonts w:ascii="Times New Roman;Times;serif" w:hAnsi="Times New Roman;Times;serif"/>
          <w:b/>
          <w:sz w:val="20"/>
        </w:rPr>
      </w:pPr>
      <w:bookmarkStart w:id="31" w:name="CORPORATEGOVERNANCEANDBOARDMATTERS_15037"/>
      <w:bookmarkStart w:id="32" w:name="_5adedf1d_98e8_43cb_a4e7_b752424eaa26"/>
      <w:bookmarkEnd w:id="31"/>
      <w:bookmarkEnd w:id="32"/>
      <w:r>
        <w:rPr>
          <w:rFonts w:ascii="Times New Roman;Times;serif" w:hAnsi="Times New Roman;Times;serif"/>
          <w:b/>
          <w:sz w:val="20"/>
        </w:rPr>
        <w:t>CORPORATE GOVERNANCE AND BOARD MATTERS</w:t>
      </w:r>
    </w:p>
    <w:p>
      <w:pPr>
        <w:pStyle w:val="TextBody"/>
        <w:spacing w:before="0" w:after="240"/>
        <w:ind w:left="0" w:right="0" w:hanging="0"/>
        <w:rPr>
          <w:rFonts w:ascii="Times New Roman;Times;serif" w:hAnsi="Times New Roman;Times;serif"/>
          <w:b/>
          <w:sz w:val="20"/>
        </w:rPr>
      </w:pPr>
      <w:bookmarkStart w:id="33" w:name="CorporateGovernancePhilosophy_919937"/>
      <w:bookmarkEnd w:id="33"/>
      <w:r>
        <w:rPr>
          <w:rFonts w:ascii="Times New Roman;Times;serif" w:hAnsi="Times New Roman;Times;serif"/>
          <w:b/>
          <w:sz w:val="20"/>
        </w:rPr>
        <w:t>Corporate Governance Philosophy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pStyle w:val="TextBody"/>
        <w:spacing w:before="0" w:after="240"/>
        <w:ind w:left="0" w:right="0" w:hanging="0"/>
        <w:rPr>
          <w:rFonts w:ascii="Times New Roman;Times;serif" w:hAnsi="Times New Roman;Times;serif"/>
          <w:b/>
          <w:sz w:val="20"/>
        </w:rPr>
      </w:pPr>
      <w:bookmarkStart w:id="34" w:name="BoardofDirectorsMeetingsandAttendance_64"/>
      <w:bookmarkStart w:id="35" w:name="Changes_to_the_Board"/>
      <w:bookmarkEnd w:id="34"/>
      <w:bookmarkEnd w:id="35"/>
      <w:r>
        <w:rPr>
          <w:rFonts w:ascii="Times New Roman;Times;serif" w:hAnsi="Times New Roman;Times;serif"/>
          <w:b/>
          <w:sz w:val="20"/>
        </w:rPr>
        <w:t>Board of Directors Meetings and Attendance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our 2022 fiscal year, our Board of Directors held five meetings. All of our directors attended 100% of such meetings. We do not have a formal policy regarding attendance of our directors at annual meetings of our stockholders, but we do encourage each of our directors to attend. All of our current directors attended our 2022 annual meeting in person or telephonically.</w:t>
      </w:r>
    </w:p>
    <w:p>
      <w:pPr>
        <w:pStyle w:val="TextBody"/>
        <w:spacing w:before="0" w:after="240"/>
        <w:ind w:left="0" w:right="0" w:hanging="0"/>
        <w:rPr>
          <w:rFonts w:ascii="Times New Roman;Times;serif" w:hAnsi="Times New Roman;Times;serif"/>
          <w:b/>
          <w:sz w:val="20"/>
        </w:rPr>
      </w:pPr>
      <w:bookmarkStart w:id="36" w:name="DirectorIndependence_194731"/>
      <w:bookmarkEnd w:id="36"/>
      <w:r>
        <w:rPr>
          <w:rFonts w:ascii="Times New Roman;Times;serif" w:hAnsi="Times New Roman;Times;serif"/>
          <w:b/>
          <w:sz w:val="20"/>
        </w:rPr>
        <w:t>Director Independence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Brian E. Mueller, who serves as our Chief Executive Officer, is “independent,” as defined by the rules of the Nasdaq Stock Market. Under the Nasdaq Stock Market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7" w:name="BoardLeadershipStructure_134430"/>
      <w:bookmarkEnd w:id="37"/>
      <w:r>
        <w:rPr>
          <w:rFonts w:ascii="Times New Roman;Times;serif" w:hAnsi="Times New Roman;Times;serif"/>
          <w:b/>
          <w:sz w:val="20"/>
        </w:rPr>
        <w:t>Board Leadership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pStyle w:val="TextBody"/>
        <w:spacing w:before="0" w:after="240"/>
        <w:ind w:left="0" w:right="0" w:firstLine="720"/>
        <w:rPr>
          <w:rFonts w:ascii="Times New Roman;Times;serif" w:hAnsi="Times New Roman;Times;serif"/>
          <w:sz w:val="20"/>
        </w:rPr>
      </w:pPr>
      <w:bookmarkStart w:id="38" w:name="_cp_text_1_5"/>
      <w:bookmarkEnd w:id="38"/>
      <w:r>
        <w:rPr>
          <w:rFonts w:ascii="Times New Roman;Times;serif" w:hAnsi="Times New Roman;Times;serif"/>
          <w:sz w:val="20"/>
        </w:rPr>
        <w:t>In accordance with our Corporate Governance Principles and Practices, in the event the positions of Chairman and Chief Executive Officer are held by the same person, or if the position of Chairman is also held by a non-independent person, a lead independent director is appointed annually by the affirmative vote of a majority of those directors who have been determined to be “independent” under applicable Nasdaq guidelines. The lead independent director, a position currently held by Ms. Sara Dial, has the following duties:</w:t>
      </w:r>
    </w:p>
    <w:p>
      <w:pPr>
        <w:pStyle w:val="Normal"/>
        <w:spacing w:before="0" w:after="0"/>
        <w:rPr>
          <w:sz w:val="4"/>
          <w:szCs w:val="4"/>
        </w:rPr>
      </w:pPr>
      <w:r>
        <w:rPr>
          <w:sz w:val="4"/>
          <w:szCs w:val="4"/>
        </w:rPr>
      </w:r>
      <w:bookmarkStart w:id="39" w:name="_cp_text_1_7"/>
      <w:bookmarkStart w:id="40" w:name="_cp_blt_1_6"/>
      <w:bookmarkStart w:id="41" w:name="_cp_text_1_7"/>
      <w:bookmarkStart w:id="42" w:name="_cp_blt_1_6"/>
      <w:bookmarkEnd w:id="41"/>
      <w:bookmarkEnd w:id="42"/>
    </w:p>
    <w:tbl>
      <w:tblPr>
        <w:tblW w:w="8571" w:type="dxa"/>
        <w:jc w:val="left"/>
        <w:tblInd w:w="0" w:type="dxa"/>
        <w:tblCellMar>
          <w:top w:w="28" w:type="dxa"/>
          <w:left w:w="28" w:type="dxa"/>
          <w:bottom w:w="28" w:type="dxa"/>
          <w:right w:w="28" w:type="dxa"/>
        </w:tblCellMar>
      </w:tblPr>
      <w:tblGrid>
        <w:gridCol w:w="124"/>
        <w:gridCol w:w="256"/>
        <w:gridCol w:w="8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Setting the agenda and serving as chairman for the executive sessions of the independent directors. </w:t>
            </w:r>
          </w:p>
        </w:tc>
      </w:tr>
    </w:tbl>
    <w:p>
      <w:pPr>
        <w:pStyle w:val="Normal"/>
        <w:spacing w:before="0" w:after="0"/>
        <w:rPr>
          <w:sz w:val="4"/>
          <w:szCs w:val="4"/>
        </w:rPr>
      </w:pPr>
      <w:r>
        <w:rPr>
          <w:sz w:val="4"/>
          <w:szCs w:val="4"/>
        </w:rPr>
      </w:r>
      <w:bookmarkStart w:id="43" w:name="_cp_text_1_9"/>
      <w:bookmarkStart w:id="44" w:name="_cp_blt_1_8"/>
      <w:bookmarkStart w:id="45" w:name="_cp_text_1_9"/>
      <w:bookmarkStart w:id="46" w:name="_cp_blt_1_8"/>
      <w:bookmarkEnd w:id="45"/>
      <w:bookmarkEnd w:id="46"/>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Serving as liaison between the Chairman and the independent directors, including, communicating to the Chairman, as appropriate, the results of executive sessions of the independent directors.</w:t>
            </w:r>
          </w:p>
        </w:tc>
      </w:tr>
    </w:tbl>
    <w:p>
      <w:pPr>
        <w:pStyle w:val="Normal"/>
        <w:spacing w:before="0" w:after="0"/>
        <w:rPr>
          <w:sz w:val="4"/>
          <w:szCs w:val="4"/>
        </w:rPr>
      </w:pPr>
      <w:r>
        <w:rPr>
          <w:sz w:val="4"/>
          <w:szCs w:val="4"/>
        </w:rPr>
      </w:r>
      <w:bookmarkStart w:id="47" w:name="_cp_text_1_11"/>
      <w:bookmarkStart w:id="48" w:name="_cp_blt_1_10"/>
      <w:bookmarkStart w:id="49" w:name="_cp_text_1_11"/>
      <w:bookmarkStart w:id="50" w:name="_cp_blt_1_10"/>
      <w:bookmarkEnd w:id="49"/>
      <w:bookmarkEnd w:id="50"/>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independent directors have adequate opportunities to meet without management present, including authority to call meetings of the independent directors.</w:t>
            </w:r>
          </w:p>
        </w:tc>
      </w:tr>
    </w:tbl>
    <w:p>
      <w:pPr>
        <w:pStyle w:val="Normal"/>
        <w:spacing w:before="0" w:after="0"/>
        <w:rPr>
          <w:sz w:val="4"/>
          <w:szCs w:val="4"/>
        </w:rPr>
      </w:pPr>
      <w:r>
        <w:rPr>
          <w:sz w:val="4"/>
          <w:szCs w:val="4"/>
        </w:rPr>
      </w:r>
      <w:bookmarkStart w:id="51" w:name="_cp_text_1_13"/>
      <w:bookmarkStart w:id="52" w:name="_cp_blt_1_12"/>
      <w:bookmarkStart w:id="53" w:name="_cp_text_1_13"/>
      <w:bookmarkStart w:id="54" w:name="_cp_blt_1_12"/>
      <w:bookmarkEnd w:id="53"/>
      <w:bookmarkEnd w:id="54"/>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Serving as designated contact for communication to independent directors as required by the Securities and Exchange Commission and the Nasdaq Stock Market’s listing standards, including being available for consultation and direct communication with major stockholders.</w:t>
            </w:r>
          </w:p>
        </w:tc>
      </w:tr>
    </w:tbl>
    <w:p>
      <w:pPr>
        <w:pStyle w:val="Normal"/>
        <w:spacing w:before="0" w:after="0"/>
        <w:rPr>
          <w:sz w:val="4"/>
          <w:szCs w:val="4"/>
        </w:rPr>
      </w:pPr>
      <w:r>
        <w:rPr>
          <w:sz w:val="4"/>
          <w:szCs w:val="4"/>
        </w:rPr>
      </w:r>
      <w:bookmarkStart w:id="55" w:name="_cp_text_1_15"/>
      <w:bookmarkStart w:id="56" w:name="_cp_blt_1_14"/>
      <w:bookmarkStart w:id="57" w:name="_cp_text_1_15"/>
      <w:bookmarkStart w:id="58" w:name="_cp_blt_1_14"/>
      <w:bookmarkEnd w:id="57"/>
      <w:bookmarkEnd w:id="58"/>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agenda and information sent in connection with Board meetings and ensuring that the other independent directors also have an opportunity to provide input on the agenda.</w:t>
            </w:r>
          </w:p>
        </w:tc>
      </w:tr>
    </w:tbl>
    <w:p>
      <w:pPr>
        <w:pStyle w:val="Normal"/>
        <w:spacing w:before="0" w:after="0"/>
        <w:rPr>
          <w:sz w:val="4"/>
          <w:szCs w:val="4"/>
        </w:rPr>
      </w:pPr>
      <w:r>
        <w:rPr>
          <w:sz w:val="4"/>
          <w:szCs w:val="4"/>
        </w:rPr>
      </w:r>
      <w:bookmarkStart w:id="59" w:name="_cp_text_1_17"/>
      <w:bookmarkStart w:id="60" w:name="_cp_blt_1_16"/>
      <w:bookmarkStart w:id="61" w:name="_cp_text_1_17"/>
      <w:bookmarkStart w:id="62" w:name="_cp_blt_1_16"/>
      <w:bookmarkEnd w:id="61"/>
      <w:bookmarkEnd w:id="62"/>
    </w:p>
    <w:tbl>
      <w:tblPr>
        <w:tblW w:w="8706" w:type="dxa"/>
        <w:jc w:val="left"/>
        <w:tblInd w:w="0" w:type="dxa"/>
        <w:tblCellMar>
          <w:top w:w="28" w:type="dxa"/>
          <w:left w:w="28" w:type="dxa"/>
          <w:bottom w:w="28" w:type="dxa"/>
          <w:right w:w="28" w:type="dxa"/>
        </w:tblCellMar>
      </w:tblPr>
      <w:tblGrid>
        <w:gridCol w:w="124"/>
        <w:gridCol w:w="256"/>
        <w:gridCol w:w="8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meeting schedules to assure that there is sufficient time for discussion of all agenda items.</w:t>
            </w:r>
          </w:p>
        </w:tc>
      </w:tr>
    </w:tbl>
    <w:p>
      <w:pPr>
        <w:pStyle w:val="Normal"/>
        <w:spacing w:before="0" w:after="0"/>
        <w:rPr>
          <w:sz w:val="4"/>
          <w:szCs w:val="4"/>
        </w:rPr>
      </w:pPr>
      <w:r>
        <w:rPr>
          <w:sz w:val="4"/>
          <w:szCs w:val="4"/>
        </w:rPr>
      </w:r>
      <w:bookmarkStart w:id="63" w:name="_cp_text_1_19"/>
      <w:bookmarkStart w:id="64" w:name="_cp_blt_1_18"/>
      <w:bookmarkStart w:id="65" w:name="_cp_text_1_19"/>
      <w:bookmarkStart w:id="66" w:name="_cp_blt_1_18"/>
      <w:bookmarkEnd w:id="65"/>
      <w:bookmarkEnd w:id="66"/>
    </w:p>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Chairing Board meetings if the Chairman is unable to attend.</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Importantly, all of our directors play an active role in overseeing the Company’s business both at the Board and committee levels. As part of each regularly scheduled Board meeting,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7" w:name="CommitteesofOurBoardofDirectors_11162"/>
      <w:bookmarkEnd w:id="67"/>
      <w:r>
        <w:rPr>
          <w:rFonts w:ascii="Times New Roman;Times;serif" w:hAnsi="Times New Roman;Times;serif"/>
          <w:b/>
          <w:sz w:val="20"/>
        </w:rPr>
        <w:t>Committees of Our Board of Directors During 2022</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2022, each director attended more than 75% of the meetings of the Board committees on which he or she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 each of the standing committees, which are available in the Corporate Governance section of the Investor Relations page on our website at </w:t>
      </w:r>
      <w:r>
        <w:rPr>
          <w:rFonts w:ascii="Times New Roman;Times;serif" w:hAnsi="Times New Roman;Times;serif"/>
          <w:i/>
          <w:sz w:val="20"/>
        </w:rPr>
        <w:t>www.gce.com.</w:t>
      </w:r>
    </w:p>
    <w:p>
      <w:pPr>
        <w:pStyle w:val="TextBody"/>
        <w:spacing w:before="0" w:after="200"/>
        <w:ind w:left="0" w:right="0" w:firstLine="720"/>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xml:space="preserve"> </w:t>
      </w:r>
      <w:r>
        <w:rPr>
          <w:rFonts w:ascii="Times New Roman;Times;serif" w:hAnsi="Times New Roman;Times;serif"/>
          <w:i/>
          <w:sz w:val="20"/>
        </w:rPr>
        <w:t>(Number of meetings held during 2022: Six</w:t>
      </w:r>
      <w:r>
        <w:rPr>
          <w:rFonts w:ascii="Times New Roman;Times;serif" w:hAnsi="Times New Roman;Times;serif"/>
          <w:sz w:val="20"/>
        </w:rPr>
        <w:t>). During 2022, our Audit Committee consisted of Mr. Henry (chair), Mr. Adame, Ms. Dial, Ms. Keegan and Ms. Humphrey, each of whom our Board of Directors determined to be “independent,” as defined under and required by the rules of the Nasdaq Stock Market and the federal securities laws. In addition, our Board has determined that each of Mr. Henry, Mr. Adame and Ms. Humphrey qualify as an “audit committee financial expert,” as defined under applicable federal securities laws. Our Audit Committee is directly responsible for, among other things, the appointment, compensation and related audit fee negotiations, retention, and oversight, including selection of the lead engagement partner, and tenure of our independent registered public accounting firm. The oversight includes reviewing the plans and results of the audit engagement with the firm, approving and negotiating any additional professional services provided by the firm and reviewing the independence of the firm. In addition, the Audit Committee is responsible for discussing the effectiveness of the internal controls over financial reporting, review of significant accounting policies, and discussion of significant judgements or accounting estimates during the audit with the firm and relevant financial management.</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The Audit Committee is also tasked with oversight of the cybersecurity controls in place at the Company. The Company employs a dedicated Chief Information Security Officer, with an experienced and competent security team, and works closely with the Chief Risk Officer to provide risk reporting and ensure security and compliance. The Company regularly engages third party experts to perform cybersecurity assessments. These assessments are normally performed on an annual basis. Cybersecurity reports are sent to the Audit Committee monthly, and Security, Risk and Compliance updates are provided quarterly. The Company has implemented policies and procedures for all employees including; information security/cybersecurity policies, which are internally available for all employees; information security/cybersecurity awareness training; a clear escalation process which employees can follow in the event an employee notices something suspicious; and information security/cybersecurity is part of the employee performance evaluation and/or disciplinary actions. The Company maintains a cyber insurance policy. The Company has not had a security breach and has not incurred any expenses for a security breach in the past three years.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The Audit Committee also provides oversight of the climate related risks at the Company. We do not operate in a high-risk industry for climate risks. We believe that we have low climate risk with respect to our physical environment (e.g. fires, drought, hailstorms, increasing weather pattern changes). Approximately 90% of our workforce is continuing to work remotely. We have insurance policies in place to cover any damage for our property, plant and equipment. We currently do not have any regulatory emissions reporting obligations. We do not have significant risk from a transition to a low-carbon economy, which could result in changing customer behavior.</w:t>
      </w:r>
    </w:p>
    <w:p>
      <w:pPr>
        <w:pStyle w:val="TextBody"/>
        <w:spacing w:before="0" w:after="200"/>
        <w:ind w:left="0" w:right="0" w:firstLine="720"/>
        <w:rPr>
          <w:rFonts w:ascii="Times New Roman;Times;serif" w:hAnsi="Times New Roman;Times;serif"/>
          <w:sz w:val="20"/>
        </w:rPr>
      </w:pPr>
      <w:r>
        <w:rPr>
          <w:rFonts w:ascii="Times New Roman;Times;serif" w:hAnsi="Times New Roman;Times;serif"/>
          <w:i/>
          <w:sz w:val="20"/>
        </w:rPr>
        <w:t>Compensation Committee (Number of meetings held during 2022: Five).</w:t>
      </w:r>
      <w:r>
        <w:rPr>
          <w:rFonts w:ascii="Times New Roman;Times;serif" w:hAnsi="Times New Roman;Times;serif"/>
          <w:sz w:val="20"/>
        </w:rPr>
        <w:t> During 2022, our Compensation Committee consisted of Ms. Humphrey (chair), Mr. Henry, Mr. Adame, Ms. Dial, and Ms. Keegan, each of whom the Board of Directors determined to be “independent,” as defined under and required by the rules of the Nasdaq Stock Market. The Compensation Committee is responsible for, among other things, supervising and reviewing our affairs as they relate to the compensation and benefits of our executive officers and directors, as well as overseeing succession planning for executive officers. In carrying out these responsibilities, the Compensation Committee reviews all components of executive compensation for consistency with our compensation philosophy and with the interests of our stockholders</w:t>
      </w:r>
      <w:r>
        <w:rPr>
          <w:rFonts w:ascii="Times New Roman;Times;serif" w:hAnsi="Times New Roman;Times;serif"/>
          <w:i/>
          <w:sz w:val="20"/>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Compensation Committee’s charter allows it to delegate any matters within its authority to individuals or subcommittees as it deems appropriate. In addition, the Compensation Committee has the authority under its charter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rPr>
          <w:rFonts w:ascii="Times New Roman;Times;serif" w:hAnsi="Times New Roman;Times;serif"/>
          <w:sz w:val="20"/>
        </w:rPr>
      </w:pPr>
      <w:r>
        <w:rPr>
          <w:rFonts w:ascii="Times New Roman;Times;serif" w:hAnsi="Times New Roman;Times;serif"/>
          <w:sz w:val="20"/>
        </w:rPr>
        <w:t>retain outside advisors to assist it in the performance of its duties. The Compensation Committee periodically engages an independent compensation consultant and advisor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recommendations regarding executive compensation consistent with the Company’s business needs, pay philosophy, market trends and latest legal and regulatory considerations;</w:t>
            </w:r>
          </w:p>
        </w:tc>
      </w:tr>
    </w:tbl>
    <w:tbl>
      <w:tblPr>
        <w:tblW w:w="8286" w:type="dxa"/>
        <w:jc w:val="left"/>
        <w:tblInd w:w="0" w:type="dxa"/>
        <w:tblCellMar>
          <w:top w:w="28" w:type="dxa"/>
          <w:left w:w="28" w:type="dxa"/>
          <w:bottom w:w="28" w:type="dxa"/>
          <w:right w:w="28" w:type="dxa"/>
        </w:tblCellMar>
      </w:tblPr>
      <w:tblGrid>
        <w:gridCol w:w="124"/>
        <w:gridCol w:w="256"/>
        <w:gridCol w:w="7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market data for base salary, short-term incentive and long-term incentive decisions; and</w:t>
            </w:r>
          </w:p>
        </w:tc>
      </w:tr>
    </w:tbl>
    <w:tbl>
      <w:tblPr>
        <w:tblW w:w="5181" w:type="dxa"/>
        <w:jc w:val="left"/>
        <w:tblInd w:w="0" w:type="dxa"/>
        <w:tblCellMar>
          <w:top w:w="28" w:type="dxa"/>
          <w:left w:w="28" w:type="dxa"/>
          <w:bottom w:w="28" w:type="dxa"/>
          <w:right w:w="28" w:type="dxa"/>
        </w:tblCellMar>
      </w:tblPr>
      <w:tblGrid>
        <w:gridCol w:w="124"/>
        <w:gridCol w:w="256"/>
        <w:gridCol w:w="4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the Compensation Committee as to best practices.</w:t>
            </w:r>
          </w:p>
        </w:tc>
      </w:tr>
    </w:tbl>
    <w:p>
      <w:pPr>
        <w:pStyle w:val="TextBody"/>
        <w:spacing w:before="0" w:after="200"/>
        <w:ind w:left="0" w:right="0" w:firstLine="720"/>
        <w:rPr>
          <w:rFonts w:ascii="Times New Roman;Times;serif" w:hAnsi="Times New Roman;Times;serif"/>
          <w:sz w:val="20"/>
        </w:rPr>
      </w:pPr>
      <w:r>
        <w:rPr>
          <w:rFonts w:ascii="Times New Roman;Times;serif" w:hAnsi="Times New Roman;Times;serif"/>
          <w:i/>
          <w:sz w:val="20"/>
        </w:rPr>
        <w:t>Nominating and Corporate Governance Committee (Number of meetings held during 2022: Five).</w:t>
      </w:r>
      <w:r>
        <w:rPr>
          <w:rFonts w:ascii="Times New Roman;Times;serif" w:hAnsi="Times New Roman;Times;serif"/>
          <w:sz w:val="20"/>
        </w:rPr>
        <w:t> During 2022, our Nominating and Corporate Governance Committee consisted of Ms. Keegan (chair), Ms. Dial, Ms. Humphrey, Mr. Henry, and Mr. Adame, each of whom our Board of Directors determined to be “independent,” as defined under and required by the rules of the Nasdaq Stock Market.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providing oversight in the annual evaluation of the Board of Directors and each committee; and overseeing the Company’s environmental and social sustainability initiatives.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68" w:name="InformationAbouttheBoardofDirectors"/>
      <w:bookmarkEnd w:id="68"/>
      <w:r>
        <w:rPr>
          <w:rFonts w:ascii="Times New Roman;Times;serif" w:hAnsi="Times New Roman;Times;serif"/>
          <w:b/>
          <w:sz w:val="20"/>
        </w:rPr>
        <w:t>Information About the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matrix provides information regarding the members of our Board of Directors, including certain types of knowledge, skills, experiences and attributes possessed by one or more of our directors which our Board of Directors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w:t>
      </w:r>
    </w:p>
    <w:tbl>
      <w:tblPr>
        <w:tblW w:w="10092" w:type="dxa"/>
        <w:jc w:val="left"/>
        <w:tblInd w:w="0" w:type="dxa"/>
        <w:tblCellMar>
          <w:top w:w="0" w:type="dxa"/>
          <w:left w:w="0" w:type="dxa"/>
          <w:bottom w:w="0" w:type="dxa"/>
          <w:right w:w="0" w:type="dxa"/>
        </w:tblCellMar>
      </w:tblPr>
      <w:tblGrid>
        <w:gridCol w:w="2716"/>
        <w:gridCol w:w="751"/>
        <w:gridCol w:w="109"/>
        <w:gridCol w:w="691"/>
        <w:gridCol w:w="109"/>
        <w:gridCol w:w="691"/>
        <w:gridCol w:w="109"/>
        <w:gridCol w:w="1741"/>
        <w:gridCol w:w="109"/>
        <w:gridCol w:w="1486"/>
        <w:gridCol w:w="109"/>
        <w:gridCol w:w="1471"/>
      </w:tblGrid>
      <w:tr>
        <w:trPr/>
        <w:tc>
          <w:tcPr>
            <w:tcW w:w="271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rPr/>
            </w:pPr>
            <w:r>
              <w:rPr/>
              <w:t>​</w:t>
            </w:r>
          </w:p>
        </w:tc>
      </w:tr>
      <w:tr>
        <w:trPr/>
        <w:tc>
          <w:tcPr>
            <w:tcW w:w="2716" w:type="dxa"/>
            <w:tcBorders/>
            <w:shd w:fill="auto" w:val="clear"/>
            <w:vAlign w:val="center"/>
          </w:tcPr>
          <w:p>
            <w:pPr>
              <w:pStyle w:val="TableContents"/>
              <w:spacing w:before="0" w:after="240"/>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Brian E.</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Mueller</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Sara R.</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Dial</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Jack A.</w:t>
              <w:br/>
              <w:t>Henry</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jc w:val="center"/>
              <w:rPr/>
            </w:pPr>
            <w:r>
              <w:rPr/>
              <w:t>​</w:t>
            </w:r>
          </w:p>
        </w:tc>
        <w:tc>
          <w:tcPr>
            <w:tcW w:w="17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Lisa Graham Keegan</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jc w:val="center"/>
              <w:rPr/>
            </w:pPr>
            <w:r>
              <w:rPr/>
              <w:t>​</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Chevy Humphrey</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jc w:val="center"/>
              <w:rPr/>
            </w:pPr>
            <w:r>
              <w:rPr/>
              <w:t>​</w:t>
            </w:r>
          </w:p>
        </w:tc>
        <w:tc>
          <w:tcPr>
            <w:tcW w:w="14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David M. Adame</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Knowledge, Skills and Experience</w:t>
            </w:r>
          </w:p>
        </w:tc>
        <w:tc>
          <w:tcPr>
            <w:tcW w:w="751" w:type="dxa"/>
            <w:tcBorders>
              <w:top w:val="single" w:sz="2" w:space="0" w:color="000000"/>
            </w:tcBorders>
            <w:shd w:fill="CCEEFF" w:val="clear"/>
            <w:tcMar>
              <w:top w:w="28" w:type="dxa"/>
            </w:tcM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top w:val="single" w:sz="2" w:space="0" w:color="000000"/>
            </w:tcBorders>
            <w:shd w:fill="CCEEFF" w:val="clear"/>
            <w:tcMar>
              <w:top w:w="28" w:type="dxa"/>
            </w:tcM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top w:val="single" w:sz="2" w:space="0" w:color="000000"/>
            </w:tcBorders>
            <w:shd w:fill="CCEEFF" w:val="clear"/>
            <w:tcMar>
              <w:top w:w="28" w:type="dxa"/>
            </w:tcM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top w:val="single" w:sz="2" w:space="0" w:color="000000"/>
            </w:tcBorders>
            <w:shd w:fill="CCEEFF" w:val="clear"/>
            <w:tcMar>
              <w:top w:w="28" w:type="dxa"/>
            </w:tcM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top w:val="single" w:sz="2" w:space="0" w:color="000000"/>
            </w:tcBorders>
            <w:shd w:fill="CCEEFF" w:val="clear"/>
            <w:tcMar>
              <w:top w:w="28" w:type="dxa"/>
            </w:tcM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top w:val="single" w:sz="2" w:space="0" w:color="000000"/>
            </w:tcBorders>
            <w:shd w:fill="CCEEFF" w:val="clear"/>
            <w:tcMar>
              <w:top w:w="28" w:type="dxa"/>
            </w:tcMar>
            <w:vAlign w:val="center"/>
          </w:tcPr>
          <w:p>
            <w:pPr>
              <w:pStyle w:val="TableContents"/>
              <w:spacing w:before="0" w:after="24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Public Company Board Experience</w:t>
            </w:r>
          </w:p>
        </w:tc>
        <w:tc>
          <w:tcPr>
            <w:tcW w:w="75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24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Financial</w:t>
            </w:r>
          </w:p>
        </w:tc>
        <w:tc>
          <w:tcPr>
            <w:tcW w:w="75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Risk Management</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Accounting</w:t>
            </w:r>
          </w:p>
        </w:tc>
        <w:tc>
          <w:tcPr>
            <w:tcW w:w="75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Corporate Governance/Ethics</w:t>
            </w:r>
          </w:p>
        </w:tc>
        <w:tc>
          <w:tcPr>
            <w:tcW w:w="75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Legal/Regulatory</w:t>
            </w:r>
          </w:p>
        </w:tc>
        <w:tc>
          <w:tcPr>
            <w:tcW w:w="75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HR/Compensation</w:t>
            </w:r>
          </w:p>
        </w:tc>
        <w:tc>
          <w:tcPr>
            <w:tcW w:w="75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Executive Experience</w:t>
            </w:r>
          </w:p>
        </w:tc>
        <w:tc>
          <w:tcPr>
            <w:tcW w:w="75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Operations</w:t>
            </w:r>
          </w:p>
        </w:tc>
        <w:tc>
          <w:tcPr>
            <w:tcW w:w="75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Strategic Planning/Oversight</w:t>
            </w:r>
          </w:p>
        </w:tc>
        <w:tc>
          <w:tcPr>
            <w:tcW w:w="75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Technology</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24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Mergers and Acquisitions</w:t>
            </w:r>
          </w:p>
        </w:tc>
        <w:tc>
          <w:tcPr>
            <w:tcW w:w="75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Cybersecurity</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24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Academia/Education</w:t>
            </w:r>
          </w:p>
        </w:tc>
        <w:tc>
          <w:tcPr>
            <w:tcW w:w="75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24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Demographics – Race/Ethnicity</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24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African American</w:t>
            </w:r>
          </w:p>
        </w:tc>
        <w:tc>
          <w:tcPr>
            <w:tcW w:w="75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24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Asian/Pacific Islander</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24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White/Caucasian</w:t>
            </w:r>
          </w:p>
        </w:tc>
        <w:tc>
          <w:tcPr>
            <w:tcW w:w="75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24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Hispanic/Latino</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Native American</w:t>
            </w:r>
          </w:p>
        </w:tc>
        <w:tc>
          <w:tcPr>
            <w:tcW w:w="75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24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Gender</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24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Male</w:t>
            </w:r>
          </w:p>
        </w:tc>
        <w:tc>
          <w:tcPr>
            <w:tcW w:w="75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240"/>
              <w:ind w:left="0" w:right="0" w:hanging="0"/>
              <w:jc w:val="center"/>
              <w:rPr/>
            </w:pPr>
            <w:r>
              <w:rPr/>
              <w:t>​</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Female</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24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Board Tenure</w:t>
            </w:r>
          </w:p>
        </w:tc>
        <w:tc>
          <w:tcPr>
            <w:tcW w:w="75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69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741"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86"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471" w:type="dxa"/>
            <w:tcBorders/>
            <w:shd w:fill="auto" w:val="clear"/>
            <w:vAlign w:val="center"/>
          </w:tcPr>
          <w:p>
            <w:pPr>
              <w:pStyle w:val="TableContents"/>
              <w:spacing w:before="0" w:after="24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Years</w:t>
            </w:r>
          </w:p>
        </w:tc>
        <w:tc>
          <w:tcPr>
            <w:tcW w:w="75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14</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10</w:t>
            </w:r>
          </w:p>
        </w:tc>
        <w:tc>
          <w:tcPr>
            <w:tcW w:w="109" w:type="dxa"/>
            <w:tcBorders/>
            <w:shd w:fill="CCEEFF" w:val="clear"/>
            <w:vAlign w:val="center"/>
          </w:tcPr>
          <w:p>
            <w:pPr>
              <w:pStyle w:val="TableContents"/>
              <w:spacing w:before="0" w:after="24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spacing w:before="0" w:after="240"/>
              <w:ind w:left="0" w:right="0" w:hanging="0"/>
              <w:jc w:val="center"/>
              <w:rPr/>
            </w:pPr>
            <w:r>
              <w:rPr/>
              <w:t>​</w:t>
            </w:r>
          </w:p>
        </w:tc>
        <w:tc>
          <w:tcPr>
            <w:tcW w:w="174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spacing w:before="0" w:after="240"/>
              <w:ind w:left="0" w:right="0" w:hanging="0"/>
              <w:jc w:val="center"/>
              <w:rPr/>
            </w:pPr>
            <w:r>
              <w:rPr/>
              <w:t>​</w:t>
            </w:r>
          </w:p>
        </w:tc>
        <w:tc>
          <w:tcPr>
            <w:tcW w:w="1486"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spacing w:before="0" w:after="240"/>
              <w:ind w:left="0" w:right="0" w:hanging="0"/>
              <w:jc w:val="center"/>
              <w:rPr/>
            </w:pPr>
            <w:r>
              <w:rPr/>
              <w:t>​</w:t>
            </w:r>
          </w:p>
        </w:tc>
        <w:tc>
          <w:tcPr>
            <w:tcW w:w="147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2</w:t>
            </w:r>
          </w:p>
        </w:tc>
      </w:tr>
    </w:tbl>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69" w:name="CodeofConduct_324280"/>
      <w:bookmarkEnd w:id="69"/>
      <w:r>
        <w:rPr>
          <w:rFonts w:ascii="Times New Roman;Times;serif" w:hAnsi="Times New Roman;Times;serif"/>
          <w:b/>
          <w:sz w:val="20"/>
        </w:rPr>
        <w:t>Code of Conduct</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other employees including our principal accounting officer, performing similar functions. A copy of our code of conduct is available on the Corporate Governance section of the Investor Relations page on our website at </w:t>
      </w:r>
      <w:r>
        <w:rPr>
          <w:rFonts w:ascii="Times New Roman;Times;serif" w:hAnsi="Times New Roman;Times;serif"/>
          <w:i/>
          <w:sz w:val="20"/>
        </w:rPr>
        <w:t>www.gce.com.</w:t>
      </w:r>
      <w:r>
        <w:rPr>
          <w:rFonts w:ascii="Times New Roman;Times;serif" w:hAnsi="Times New Roman;Times;serif"/>
          <w:sz w:val="20"/>
        </w:rPr>
        <w:t xml:space="preserve"> We intend to post on our website any amendment to, or waiver from, a provision of our code of conduct that applies to any director or officer, including our Chief Executive Officer, Chief Financial Officer, and other persons including our principal accounting officer performing similar functions, promptly following the date of such amendment or waiver.</w:t>
      </w:r>
    </w:p>
    <w:p>
      <w:pPr>
        <w:pStyle w:val="TextBody"/>
        <w:spacing w:before="0" w:after="200"/>
        <w:ind w:left="0" w:right="0" w:hanging="0"/>
        <w:rPr>
          <w:rFonts w:ascii="Times New Roman;Times;serif" w:hAnsi="Times New Roman;Times;serif"/>
          <w:b/>
          <w:sz w:val="20"/>
        </w:rPr>
      </w:pPr>
      <w:bookmarkStart w:id="70" w:name="RiskOversight_316826"/>
      <w:bookmarkEnd w:id="70"/>
      <w:r>
        <w:rPr>
          <w:rFonts w:ascii="Times New Roman;Times;serif" w:hAnsi="Times New Roman;Times;serif"/>
          <w:b/>
          <w:sz w:val="20"/>
        </w:rPr>
        <w:t>Risk Oversight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cyber security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pStyle w:val="TextBody"/>
        <w:spacing w:before="0" w:after="200"/>
        <w:ind w:left="0" w:right="0" w:hanging="0"/>
        <w:rPr>
          <w:rFonts w:ascii="Times New Roman;Times;serif" w:hAnsi="Times New Roman;Times;serif"/>
          <w:b/>
          <w:sz w:val="20"/>
        </w:rPr>
      </w:pPr>
      <w:bookmarkStart w:id="71" w:name="DirectorNominationProcess_851198"/>
      <w:bookmarkEnd w:id="71"/>
      <w:r>
        <w:rPr>
          <w:rFonts w:ascii="Times New Roman;Times;serif" w:hAnsi="Times New Roman;Times;serif"/>
          <w:b/>
          <w:sz w:val="20"/>
        </w:rPr>
        <w:t>Director Nomination Process</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When selecting nominees for appointment or election to our Board of Directors, our Nominating and Corporate Governance Committee makes such selections pursuant to the following process: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director candidates by our Nominating and Corporate Governance Committee based upon suggestions from current directors and senior management, recommendations by stockholders and/or use of a director search firm;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the candidates’ qualifications by our Nominating and Corporate Governance Committee to determine which candidates best meet our Board of Directors’ required and desired criteria;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Interviews of interested candidates who best meet these criteria by the chair of the Nominating and Corporate Governance Committee, the chair of our Board of Directors, and/or certain other directors and management;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tc>
      </w:tr>
    </w:tbl>
    <w:tbl>
      <w:tblPr>
        <w:tblW w:w="4236" w:type="dxa"/>
        <w:jc w:val="left"/>
        <w:tblInd w:w="0" w:type="dxa"/>
        <w:tblCellMar>
          <w:top w:w="28" w:type="dxa"/>
          <w:left w:w="28" w:type="dxa"/>
          <w:bottom w:w="28" w:type="dxa"/>
          <w:right w:w="28" w:type="dxa"/>
        </w:tblCellMar>
      </w:tblPr>
      <w:tblGrid>
        <w:gridCol w:w="124"/>
        <w:gridCol w:w="256"/>
        <w:gridCol w:w="3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Formal nomination by our Board of Directors.</w:t>
            </w:r>
          </w:p>
        </w:tc>
      </w:tr>
    </w:tbl>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director’s/proposed nominee’s educational, business, non-profit or professional acumen and experience;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assists in achieving a mix of members on our Board of Directors that represents a diversity of background, perspective and experience;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meets the independence requirements of the listing standards of the Nasdaq Stock Market;</w:t>
            </w:r>
          </w:p>
        </w:tc>
      </w:tr>
    </w:tbl>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has the business experience relevant to an understanding of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would be considered a “financial expert” or “financially literate” as defined in applicable listing standards or applicable law;</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by virtue of particular technical expertise, experience or specialized skill relevant to our current or future business, will add specific value as a Board member;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possesses a willingness to challenge and stimulate management and the ability to work as part of a team in an environment of trust.</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With respect to existing members of the Board of Directors, our Nominating and Corporate Governance Committee will reassess the qualifications of a director, including the director’s performance on our Board of Directors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pStyle w:val="TextBody"/>
        <w:spacing w:lineRule="auto" w:line="240" w:before="0" w:after="240"/>
        <w:ind w:left="0" w:right="0" w:firstLine="720"/>
        <w:rPr>
          <w:rFonts w:ascii="Times New Roman;Times;serif" w:hAnsi="Times New Roman;Times;serif"/>
          <w:sz w:val="20"/>
        </w:rPr>
      </w:pPr>
      <w:r>
        <w:rPr>
          <w:rFonts w:ascii="Times New Roman;Times;serif" w:hAnsi="Times New Roman;Times;serif"/>
          <w:sz w:val="20"/>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2600 W. Camelback Road, Phoenix, Arizona 85017. Submissions must be received at the Company’s principal executive offices not earlier than the close of business on the 120</w:t>
      </w:r>
      <w:r>
        <w:rPr>
          <w:rFonts w:ascii="Times New Roman;Times;serif" w:hAnsi="Times New Roman;Times;serif"/>
          <w:sz w:val="15"/>
        </w:rPr>
        <w:t>th</w:t>
      </w:r>
      <w:r>
        <w:rPr>
          <w:rFonts w:ascii="Times New Roman;Times;serif" w:hAnsi="Times New Roman;Times;serif"/>
          <w:sz w:val="20"/>
        </w:rPr>
        <w:t xml:space="preserve"> day, nor later than the close of business on the 90</w:t>
      </w:r>
      <w:r>
        <w:rPr>
          <w:rFonts w:ascii="Times New Roman;Times;serif" w:hAnsi="Times New Roman;Times;serif"/>
          <w:sz w:val="15"/>
        </w:rPr>
        <w:t>th</w:t>
      </w:r>
      <w:r>
        <w:rPr>
          <w:rFonts w:ascii="Times New Roman;Times;serif" w:hAnsi="Times New Roman;Times;serif"/>
          <w:sz w:val="20"/>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2024 Annual Meeting of Stockholders, stockholder nominations must be received not earlier than the close of business on Wednesday, February 21, 2024, and not later than the close of business on Friday, March 22, 2024.</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did not receive any director nominations from stockholders for the Annual Meeting.</w:t>
      </w:r>
    </w:p>
    <w:p>
      <w:pPr>
        <w:pStyle w:val="TextBody"/>
        <w:spacing w:before="0" w:after="240"/>
        <w:ind w:left="0" w:right="0" w:hanging="0"/>
        <w:rPr>
          <w:rFonts w:ascii="Times New Roman;Times;serif" w:hAnsi="Times New Roman;Times;serif"/>
          <w:b/>
          <w:sz w:val="20"/>
        </w:rPr>
      </w:pPr>
      <w:bookmarkStart w:id="72" w:name="AnnualElectionsandMajorityVoting_526265"/>
      <w:bookmarkEnd w:id="72"/>
      <w:r>
        <w:rPr>
          <w:rFonts w:ascii="Times New Roman;Times;serif" w:hAnsi="Times New Roman;Times;serif"/>
          <w:b/>
          <w:sz w:val="20"/>
        </w:rPr>
        <w:t>Annual Elections of Directors</w:t>
      </w:r>
    </w:p>
    <w:p>
      <w:pPr>
        <w:pStyle w:val="TextBody"/>
        <w:spacing w:before="240" w:after="240"/>
        <w:ind w:left="0" w:right="0" w:firstLine="720"/>
        <w:rPr>
          <w:rFonts w:ascii="Times New Roman;Times;serif" w:hAnsi="Times New Roman;Times;serif"/>
          <w:sz w:val="20"/>
        </w:rPr>
      </w:pPr>
      <w:bookmarkStart w:id="73" w:name="_cp_text_1_56"/>
      <w:bookmarkStart w:id="74" w:name="_cp_text_1_55"/>
      <w:bookmarkEnd w:id="73"/>
      <w:bookmarkEnd w:id="74"/>
      <w:r>
        <w:rPr>
          <w:rFonts w:ascii="Times New Roman;Times;serif" w:hAnsi="Times New Roman;Times;serif"/>
          <w:sz w:val="20"/>
        </w:rPr>
        <w:t>Our directors are elected each year at the annual meeting of stockholders to hold office until the next annual meeting of stockholders and until their successors are duly elected and qualified. Because term limits may cause the loss of experience and expertise important to the optimal operation of the Board, we currently do not impose limits on the number of terms a director may serve. The Nominating and Corporate Governance Committee, however, does evaluate the qualifications and performance of each incumbent director before recommending the nomination of that director for an additional term.</w:t>
      </w:r>
    </w:p>
    <w:p>
      <w:pPr>
        <w:pStyle w:val="TextBody"/>
        <w:spacing w:before="0" w:after="240"/>
        <w:ind w:left="0" w:right="0" w:hanging="0"/>
        <w:rPr>
          <w:rFonts w:ascii="Times New Roman;Times;serif" w:hAnsi="Times New Roman;Times;serif"/>
          <w:b/>
          <w:sz w:val="20"/>
        </w:rPr>
      </w:pPr>
      <w:bookmarkStart w:id="75" w:name="PolicyonMajorityVoting_412273"/>
      <w:bookmarkStart w:id="76" w:name="_cp_text_1_57"/>
      <w:bookmarkEnd w:id="75"/>
      <w:bookmarkEnd w:id="76"/>
      <w:r>
        <w:rPr>
          <w:rFonts w:ascii="Times New Roman;Times;serif" w:hAnsi="Times New Roman;Times;serif"/>
          <w:b/>
          <w:sz w:val="20"/>
        </w:rPr>
        <w:t>Policy on Majority Voting</w:t>
      </w:r>
    </w:p>
    <w:p>
      <w:pPr>
        <w:pStyle w:val="TextBody"/>
        <w:spacing w:before="0" w:after="240"/>
        <w:ind w:left="0" w:right="0" w:firstLine="720"/>
        <w:rPr>
          <w:rFonts w:ascii="Times New Roman;Times;serif" w:hAnsi="Times New Roman;Times;serif"/>
          <w:sz w:val="20"/>
        </w:rPr>
      </w:pPr>
      <w:bookmarkStart w:id="77" w:name="_cp_text_1_67"/>
      <w:bookmarkStart w:id="78" w:name="_cp_text_1_65"/>
      <w:bookmarkStart w:id="79" w:name="_cp_text_1_63"/>
      <w:bookmarkStart w:id="80" w:name="_cp_text_1_61"/>
      <w:bookmarkStart w:id="81" w:name="_cp_text_1_59"/>
      <w:bookmarkEnd w:id="77"/>
      <w:bookmarkEnd w:id="78"/>
      <w:bookmarkEnd w:id="79"/>
      <w:bookmarkEnd w:id="80"/>
      <w:bookmarkEnd w:id="81"/>
      <w:r>
        <w:rPr>
          <w:rFonts w:ascii="Times New Roman;Times;serif" w:hAnsi="Times New Roman;Times;serif"/>
          <w:sz w:val="20"/>
        </w:rPr>
        <w:t>Pursuant to our bylaws, at any meeting of stockholders for the election of one or more directors at which a quorum is present, each director must be elected by the vote of a majority of the votes cast with respect to the director, provided that if the number of nominees exceeds the number of directors to be elected, the directors will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may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vote, the director must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the committee’s recommendation and publicly disclose its decision and the rationale behind it.</w:t>
      </w:r>
    </w:p>
    <w:p>
      <w:pPr>
        <w:pStyle w:val="TextBody"/>
        <w:spacing w:before="0" w:after="240"/>
        <w:ind w:left="0" w:right="0" w:firstLine="720"/>
        <w:rPr>
          <w:rFonts w:ascii="Times New Roman;Times;serif" w:hAnsi="Times New Roman;Times;serif"/>
          <w:sz w:val="20"/>
        </w:rPr>
      </w:pPr>
      <w:bookmarkStart w:id="82" w:name="_cp_text_1_68"/>
      <w:bookmarkEnd w:id="82"/>
      <w:r>
        <w:rPr>
          <w:rFonts w:ascii="Times New Roman;Times;serif" w:hAnsi="Times New Roman;Times;serif"/>
          <w:sz w:val="20"/>
        </w:rPr>
        <w:t xml:space="preserve">In addition, pursuant to our Corporate Governance Principles and Practices, a Board member, including the Chief Executive Officer, who ceases to be actively employed in his or her principal business or profession, or experiences other changed circumstances that could pose a conflict of interest, diminish his or her effectiveness as a Board member, or otherwise be detrimental to the Company, is expected to offer his or her resignation to the Board. The Board in its discretion will determine whether such member should continue to serve as a director for an unexpired term or any future terms. </w:t>
      </w:r>
    </w:p>
    <w:p>
      <w:pPr>
        <w:pStyle w:val="TextBody"/>
        <w:spacing w:before="0" w:after="240"/>
        <w:ind w:left="0" w:right="0" w:hanging="0"/>
        <w:rPr>
          <w:rFonts w:ascii="Times New Roman;Times;serif" w:hAnsi="Times New Roman;Times;serif"/>
          <w:b/>
          <w:sz w:val="20"/>
        </w:rPr>
      </w:pPr>
      <w:bookmarkStart w:id="83" w:name="CompensationCommitteeInterlocksandInside"/>
      <w:bookmarkEnd w:id="83"/>
      <w:r>
        <w:rPr>
          <w:rFonts w:ascii="Times New Roman;Times;serif" w:hAnsi="Times New Roman;Times;serif"/>
          <w:b/>
          <w:sz w:val="20"/>
        </w:rPr>
        <w:t>Compensation Committee Interlocks and Insider Participation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2022, Mr. Henry, Mr. Adame, Ms. Dial, Ms. Keegan, and Ms. Humphrey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pStyle w:val="TextBody"/>
        <w:spacing w:before="0" w:after="240"/>
        <w:ind w:left="0" w:right="0" w:hanging="0"/>
        <w:rPr>
          <w:rFonts w:ascii="Times New Roman;Times;serif" w:hAnsi="Times New Roman;Times;serif"/>
          <w:b/>
          <w:sz w:val="20"/>
        </w:rPr>
      </w:pPr>
      <w:bookmarkStart w:id="84" w:name="StockholderCommunicationswiththeBoardofD"/>
      <w:bookmarkEnd w:id="84"/>
      <w:r>
        <w:rPr>
          <w:rFonts w:ascii="Times New Roman;Times;serif" w:hAnsi="Times New Roman;Times;serif"/>
          <w:b/>
          <w:sz w:val="20"/>
        </w:rPr>
        <w:t>Stockholder Communications with the Board of Directors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Stockholders may communicate with any of our directors, including our lead independent director, the chair of any of the committees of the Board of Directors, or the non-management directors as a group by writing to them c/o Secretary, Grand Canyon Education, Inc., 2600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Secretary may forward certain correspondence, such as product-related or service-related inquiries, elsewhere within the Company for review and possible response.</w:t>
      </w:r>
    </w:p>
    <w:p>
      <w:pPr>
        <w:pStyle w:val="TextBody"/>
        <w:spacing w:before="0" w:after="240"/>
        <w:ind w:left="0" w:right="0" w:hanging="0"/>
        <w:rPr>
          <w:rFonts w:ascii="Times New Roman;Times;serif" w:hAnsi="Times New Roman;Times;serif"/>
          <w:b/>
          <w:sz w:val="20"/>
        </w:rPr>
      </w:pPr>
      <w:bookmarkStart w:id="85" w:name="StockOwnershipPolicy_662559"/>
      <w:bookmarkEnd w:id="85"/>
      <w:r>
        <w:rPr>
          <w:rFonts w:ascii="Times New Roman;Times;serif" w:hAnsi="Times New Roman;Times;serif"/>
          <w:b/>
          <w:sz w:val="20"/>
        </w:rPr>
        <w:t>Stock Ownership Policy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Times New Roman;Times;serif" w:hAnsi="Times New Roman;Times;serif"/>
          <w:i/>
          <w:sz w:val="20"/>
        </w:rPr>
        <w:t>www.gce.com</w:t>
      </w:r>
      <w:r>
        <w:rPr>
          <w:rFonts w:ascii="Times New Roman;Times;serif" w:hAnsi="Times New Roman;Times;serif"/>
          <w:sz w:val="20"/>
        </w:rPr>
        <w:t>, establishes the following ownership levels for each category of person covered by the policy:</w:t>
      </w:r>
    </w:p>
    <w:tbl>
      <w:tblPr>
        <w:tblW w:w="10205" w:type="dxa"/>
        <w:jc w:val="left"/>
        <w:tblInd w:w="0" w:type="dxa"/>
        <w:tblCellMar>
          <w:top w:w="0" w:type="dxa"/>
          <w:left w:w="0" w:type="dxa"/>
          <w:bottom w:w="28" w:type="dxa"/>
          <w:right w:w="0" w:type="dxa"/>
        </w:tblCellMar>
      </w:tblPr>
      <w:tblGrid>
        <w:gridCol w:w="221"/>
        <w:gridCol w:w="2262"/>
        <w:gridCol w:w="266"/>
        <w:gridCol w:w="7144"/>
        <w:gridCol w:w="312"/>
      </w:tblGrid>
      <w:tr>
        <w:trPr/>
        <w:tc>
          <w:tcPr>
            <w:tcW w:w="221" w:type="dxa"/>
            <w:tcBorders>
              <w:bottom w:val="single" w:sz="2" w:space="0" w:color="000000"/>
            </w:tcBorders>
            <w:shd w:fill="auto" w:val="clear"/>
            <w:vAlign w:val="center"/>
          </w:tcPr>
          <w:p>
            <w:pPr>
              <w:pStyle w:val="TableContents"/>
              <w:spacing w:before="0" w:after="0"/>
              <w:ind w:left="0" w:right="0" w:hanging="0"/>
              <w:rPr/>
            </w:pPr>
            <w:r>
              <w:rPr/>
              <w:t>​</w:t>
            </w:r>
          </w:p>
        </w:tc>
        <w:tc>
          <w:tcPr>
            <w:tcW w:w="2262" w:type="dxa"/>
            <w:tcBorders>
              <w:bottom w:val="single" w:sz="2" w:space="0" w:color="000000"/>
            </w:tcBorders>
            <w:shd w:fill="auto" w:val="clear"/>
            <w:vAlign w:val="center"/>
          </w:tcPr>
          <w:p>
            <w:pPr>
              <w:pStyle w:val="TableContents"/>
              <w:spacing w:before="0" w:after="0"/>
              <w:ind w:left="0" w:right="0" w:hanging="0"/>
              <w:rPr/>
            </w:pPr>
            <w:r>
              <w:rPr/>
              <w:t>​</w:t>
            </w:r>
          </w:p>
        </w:tc>
        <w:tc>
          <w:tcPr>
            <w:tcW w:w="266" w:type="dxa"/>
            <w:tcBorders>
              <w:bottom w:val="single" w:sz="2" w:space="0" w:color="000000"/>
            </w:tcBorders>
            <w:shd w:fill="auto" w:val="clear"/>
            <w:vAlign w:val="center"/>
          </w:tcPr>
          <w:p>
            <w:pPr>
              <w:pStyle w:val="TableContents"/>
              <w:spacing w:before="0" w:after="0"/>
              <w:ind w:left="0" w:right="0" w:hanging="0"/>
              <w:rPr/>
            </w:pPr>
            <w:r>
              <w:rPr/>
              <w:t>​</w:t>
            </w:r>
          </w:p>
        </w:tc>
        <w:tc>
          <w:tcPr>
            <w:tcW w:w="7144" w:type="dxa"/>
            <w:tcBorders>
              <w:bottom w:val="single" w:sz="2" w:space="0" w:color="000000"/>
            </w:tcBorders>
            <w:shd w:fill="auto" w:val="clear"/>
            <w:vAlign w:val="center"/>
          </w:tcPr>
          <w:p>
            <w:pPr>
              <w:pStyle w:val="TableContents"/>
              <w:spacing w:before="0" w:after="0"/>
              <w:ind w:left="0" w:right="0" w:hanging="0"/>
              <w:rPr/>
            </w:pPr>
            <w:r>
              <w:rPr/>
              <w:t>​</w:t>
            </w:r>
          </w:p>
        </w:tc>
        <w:tc>
          <w:tcPr>
            <w:tcW w:w="312"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221" w:type="dxa"/>
            <w:tcBorders>
              <w:top w:val="single" w:sz="2" w:space="0" w:color="000000"/>
              <w:left w:val="single" w:sz="2" w:space="0" w:color="000000"/>
            </w:tcBorders>
            <w:shd w:fill="auto" w:val="clear"/>
            <w:tcMar>
              <w:top w:w="28" w:type="dxa"/>
              <w:left w:w="28" w:type="dxa"/>
              <w:bottom w:w="0" w:type="dxa"/>
            </w:tcMar>
            <w:vAlign w:val="center"/>
          </w:tcPr>
          <w:p>
            <w:pPr>
              <w:pStyle w:val="TableContents"/>
              <w:spacing w:before="0" w:after="0"/>
              <w:ind w:left="0" w:right="0" w:hanging="0"/>
              <w:jc w:val="center"/>
              <w:rPr/>
            </w:pPr>
            <w:r>
              <w:rPr/>
              <w:t>  </w:t>
            </w:r>
          </w:p>
        </w:tc>
        <w:tc>
          <w:tcPr>
            <w:tcW w:w="2262" w:type="dxa"/>
            <w:tcBorders>
              <w:top w:val="single" w:sz="2" w:space="0" w:color="000000"/>
              <w:bottom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Covered Person</w:t>
            </w:r>
          </w:p>
        </w:tc>
        <w:tc>
          <w:tcPr>
            <w:tcW w:w="266" w:type="dxa"/>
            <w:tcBorders>
              <w:top w:val="single" w:sz="2" w:space="0" w:color="000000"/>
              <w:bottom w:val="single" w:sz="2" w:space="0" w:color="000000"/>
            </w:tcBorders>
            <w:shd w:fill="auto" w:val="clear"/>
            <w:tcMar>
              <w:top w:w="28" w:type="dxa"/>
            </w:tcMar>
            <w:vAlign w:val="center"/>
          </w:tcPr>
          <w:p>
            <w:pPr>
              <w:pStyle w:val="TableContents"/>
              <w:spacing w:before="0" w:after="0"/>
              <w:ind w:left="0" w:right="0" w:hanging="0"/>
              <w:jc w:val="center"/>
              <w:rPr/>
            </w:pPr>
            <w:r>
              <w:rPr/>
              <w:t>   </w:t>
            </w:r>
          </w:p>
        </w:tc>
        <w:tc>
          <w:tcPr>
            <w:tcW w:w="7144" w:type="dxa"/>
            <w:tcBorders>
              <w:top w:val="single" w:sz="2" w:space="0" w:color="000000"/>
              <w:bottom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Required Salary Multiple</w:t>
            </w:r>
          </w:p>
        </w:tc>
        <w:tc>
          <w:tcPr>
            <w:tcW w:w="312" w:type="dxa"/>
            <w:tcBorders>
              <w:top w:val="single" w:sz="2" w:space="0" w:color="000000"/>
              <w:right w:val="single" w:sz="2" w:space="0" w:color="000000"/>
            </w:tcBorders>
            <w:shd w:fill="auto" w:val="clear"/>
            <w:tcMar>
              <w:top w:w="28" w:type="dxa"/>
              <w:bottom w:w="0" w:type="dxa"/>
              <w:right w:w="28" w:type="dxa"/>
            </w:tcMar>
            <w:vAlign w:val="center"/>
          </w:tcPr>
          <w:p>
            <w:pPr>
              <w:pStyle w:val="TableContents"/>
              <w:spacing w:before="0" w:after="0"/>
              <w:ind w:left="0" w:right="0" w:hanging="0"/>
              <w:jc w:val="center"/>
              <w:rPr/>
            </w:pPr>
            <w:r>
              <w:rPr/>
              <w:t>   </w:t>
            </w:r>
          </w:p>
        </w:tc>
      </w:tr>
      <w:tr>
        <w:trPr/>
        <w:tc>
          <w:tcPr>
            <w:tcW w:w="221" w:type="dxa"/>
            <w:tcBorders>
              <w:left w:val="single" w:sz="2" w:space="0" w:color="000000"/>
            </w:tcBorders>
            <w:shd w:fill="auto" w:val="clear"/>
            <w:tcMar>
              <w:left w:w="28" w:type="dxa"/>
              <w:bottom w:w="0" w:type="dxa"/>
            </w:tcMar>
            <w:vAlign w:val="center"/>
          </w:tcPr>
          <w:p>
            <w:pPr>
              <w:pStyle w:val="TableContents"/>
              <w:spacing w:before="0" w:after="0"/>
              <w:ind w:left="0" w:right="0" w:hanging="0"/>
              <w:jc w:val="center"/>
              <w:rPr/>
            </w:pPr>
            <w:r>
              <w:rPr/>
              <w:t>​</w:t>
            </w:r>
          </w:p>
        </w:tc>
        <w:tc>
          <w:tcPr>
            <w:tcW w:w="2262"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pPr>
            <w:r>
              <w:rPr/>
              <w:t>​</w:t>
            </w:r>
          </w:p>
        </w:tc>
        <w:tc>
          <w:tcPr>
            <w:tcW w:w="266" w:type="dxa"/>
            <w:tcBorders/>
            <w:shd w:fill="auto" w:val="clear"/>
            <w:tcMar>
              <w:bottom w:w="0" w:type="dxa"/>
            </w:tcMar>
            <w:vAlign w:val="center"/>
          </w:tcPr>
          <w:p>
            <w:pPr>
              <w:pStyle w:val="TableContents"/>
              <w:spacing w:before="0" w:after="0"/>
              <w:ind w:left="0" w:right="0" w:hanging="0"/>
              <w:jc w:val="center"/>
              <w:rPr/>
            </w:pPr>
            <w:r>
              <w:rPr/>
              <w:t>​</w:t>
            </w:r>
          </w:p>
        </w:tc>
        <w:tc>
          <w:tcPr>
            <w:tcW w:w="7144"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pPr>
            <w:r>
              <w:rPr/>
              <w:t>​</w:t>
            </w:r>
          </w:p>
        </w:tc>
        <w:tc>
          <w:tcPr>
            <w:tcW w:w="312" w:type="dxa"/>
            <w:tcBorders>
              <w:right w:val="single" w:sz="2" w:space="0" w:color="000000"/>
            </w:tcBorders>
            <w:shd w:fill="auto" w:val="clear"/>
            <w:tcMar>
              <w:bottom w:w="0" w:type="dxa"/>
              <w:right w:w="28" w:type="dxa"/>
            </w:tcMar>
            <w:vAlign w:val="center"/>
          </w:tcPr>
          <w:p>
            <w:pPr>
              <w:pStyle w:val="TableContents"/>
              <w:spacing w:before="0" w:after="0"/>
              <w:ind w:left="0" w:right="0" w:hanging="0"/>
              <w:jc w:val="center"/>
              <w:rPr/>
            </w:pPr>
            <w:r>
              <w:rPr/>
              <w:t>​</w:t>
            </w:r>
          </w:p>
        </w:tc>
      </w:tr>
      <w:tr>
        <w:trPr/>
        <w:tc>
          <w:tcPr>
            <w:tcW w:w="221" w:type="dxa"/>
            <w:tcBorders>
              <w:left w:val="single" w:sz="2" w:space="0" w:color="000000"/>
            </w:tcBorders>
            <w:shd w:fill="auto" w:val="clear"/>
            <w:tcMar>
              <w:left w:w="28" w:type="dxa"/>
              <w:bottom w:w="0" w:type="dxa"/>
            </w:tcMar>
            <w:vAlign w:val="center"/>
          </w:tcPr>
          <w:p>
            <w:pPr>
              <w:pStyle w:val="TableContents"/>
              <w:spacing w:before="0" w:after="0"/>
              <w:ind w:left="0" w:right="0" w:hanging="0"/>
              <w:jc w:val="center"/>
              <w:rPr/>
            </w:pPr>
            <w:r>
              <w:rPr/>
              <w:t>​</w:t>
            </w:r>
          </w:p>
        </w:tc>
        <w:tc>
          <w:tcPr>
            <w:tcW w:w="2262"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Chairman and Chief Executive Officer</w:t>
            </w:r>
          </w:p>
        </w:tc>
        <w:tc>
          <w:tcPr>
            <w:tcW w:w="266" w:type="dxa"/>
            <w:tcBorders/>
            <w:shd w:fill="auto" w:val="clear"/>
            <w:tcMar>
              <w:bottom w:w="0" w:type="dxa"/>
            </w:tcMar>
            <w:vAlign w:val="center"/>
          </w:tcPr>
          <w:p>
            <w:pPr>
              <w:pStyle w:val="TableContents"/>
              <w:spacing w:before="0" w:after="0"/>
              <w:ind w:left="0" w:right="0" w:hanging="0"/>
              <w:jc w:val="center"/>
              <w:rPr/>
            </w:pPr>
            <w:r>
              <w:rPr/>
              <w:t>​</w:t>
            </w:r>
          </w:p>
        </w:tc>
        <w:tc>
          <w:tcPr>
            <w:tcW w:w="7144"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5x base salary</w:t>
            </w:r>
          </w:p>
        </w:tc>
        <w:tc>
          <w:tcPr>
            <w:tcW w:w="312" w:type="dxa"/>
            <w:tcBorders>
              <w:right w:val="single" w:sz="2" w:space="0" w:color="000000"/>
            </w:tcBorders>
            <w:shd w:fill="auto" w:val="clear"/>
            <w:tcMar>
              <w:bottom w:w="0" w:type="dxa"/>
              <w:right w:w="28" w:type="dxa"/>
            </w:tcMar>
            <w:vAlign w:val="center"/>
          </w:tcPr>
          <w:p>
            <w:pPr>
              <w:pStyle w:val="TableContents"/>
              <w:spacing w:before="0" w:after="0"/>
              <w:ind w:left="0" w:right="0" w:hanging="0"/>
              <w:jc w:val="center"/>
              <w:rPr/>
            </w:pPr>
            <w:r>
              <w:rPr/>
              <w:t>​</w:t>
            </w:r>
          </w:p>
        </w:tc>
      </w:tr>
      <w:tr>
        <w:trPr/>
        <w:tc>
          <w:tcPr>
            <w:tcW w:w="221" w:type="dxa"/>
            <w:tcBorders>
              <w:left w:val="single" w:sz="2" w:space="0" w:color="000000"/>
            </w:tcBorders>
            <w:shd w:fill="auto" w:val="clear"/>
            <w:tcMar>
              <w:left w:w="28" w:type="dxa"/>
              <w:bottom w:w="0" w:type="dxa"/>
            </w:tcMar>
            <w:vAlign w:val="center"/>
          </w:tcPr>
          <w:p>
            <w:pPr>
              <w:pStyle w:val="TableContents"/>
              <w:spacing w:before="0" w:after="0"/>
              <w:ind w:left="0" w:right="0" w:hanging="0"/>
              <w:jc w:val="center"/>
              <w:rPr/>
            </w:pPr>
            <w:r>
              <w:rPr/>
              <w:t>​</w:t>
            </w:r>
          </w:p>
        </w:tc>
        <w:tc>
          <w:tcPr>
            <w:tcW w:w="2262" w:type="dxa"/>
            <w:tcBorders/>
            <w:shd w:fill="auto" w:val="clear"/>
            <w:tcMar>
              <w:bottom w:w="0" w:type="dxa"/>
            </w:tcMar>
            <w:vAlign w:val="center"/>
          </w:tcPr>
          <w:p>
            <w:pPr>
              <w:pStyle w:val="TableContents"/>
              <w:spacing w:before="0" w:after="0"/>
              <w:ind w:left="0" w:right="0" w:hanging="0"/>
              <w:jc w:val="center"/>
              <w:rPr/>
            </w:pPr>
            <w:r>
              <w:rPr/>
              <w:t>​</w:t>
            </w:r>
          </w:p>
        </w:tc>
        <w:tc>
          <w:tcPr>
            <w:tcW w:w="266" w:type="dxa"/>
            <w:tcBorders/>
            <w:shd w:fill="auto" w:val="clear"/>
            <w:tcMar>
              <w:bottom w:w="0" w:type="dxa"/>
            </w:tcMar>
            <w:vAlign w:val="center"/>
          </w:tcPr>
          <w:p>
            <w:pPr>
              <w:pStyle w:val="TableContents"/>
              <w:spacing w:before="0" w:after="0"/>
              <w:ind w:left="0" w:right="0" w:hanging="0"/>
              <w:jc w:val="center"/>
              <w:rPr/>
            </w:pPr>
            <w:r>
              <w:rPr/>
              <w:t>​</w:t>
            </w:r>
          </w:p>
        </w:tc>
        <w:tc>
          <w:tcPr>
            <w:tcW w:w="7144" w:type="dxa"/>
            <w:tcBorders/>
            <w:shd w:fill="auto" w:val="clear"/>
            <w:tcMar>
              <w:bottom w:w="0" w:type="dxa"/>
            </w:tcMar>
            <w:vAlign w:val="center"/>
          </w:tcPr>
          <w:p>
            <w:pPr>
              <w:pStyle w:val="TableContents"/>
              <w:spacing w:before="0" w:after="0"/>
              <w:ind w:left="0" w:right="0" w:hanging="0"/>
              <w:jc w:val="center"/>
              <w:rPr/>
            </w:pPr>
            <w:r>
              <w:rPr/>
              <w:t>​</w:t>
            </w:r>
          </w:p>
        </w:tc>
        <w:tc>
          <w:tcPr>
            <w:tcW w:w="312" w:type="dxa"/>
            <w:tcBorders>
              <w:right w:val="single" w:sz="2" w:space="0" w:color="000000"/>
            </w:tcBorders>
            <w:shd w:fill="auto" w:val="clear"/>
            <w:tcMar>
              <w:bottom w:w="0" w:type="dxa"/>
              <w:right w:w="28" w:type="dxa"/>
            </w:tcMar>
            <w:vAlign w:val="center"/>
          </w:tcPr>
          <w:p>
            <w:pPr>
              <w:pStyle w:val="TableContents"/>
              <w:spacing w:before="0" w:after="0"/>
              <w:ind w:left="0" w:right="0" w:hanging="0"/>
              <w:jc w:val="center"/>
              <w:rPr/>
            </w:pPr>
            <w:r>
              <w:rPr/>
              <w:t>​</w:t>
            </w:r>
          </w:p>
        </w:tc>
      </w:tr>
      <w:tr>
        <w:trPr/>
        <w:tc>
          <w:tcPr>
            <w:tcW w:w="221" w:type="dxa"/>
            <w:tcBorders>
              <w:left w:val="single" w:sz="2" w:space="0" w:color="000000"/>
            </w:tcBorders>
            <w:shd w:fill="auto" w:val="clear"/>
            <w:tcMar>
              <w:left w:w="28" w:type="dxa"/>
              <w:bottom w:w="0" w:type="dxa"/>
            </w:tcMar>
            <w:vAlign w:val="center"/>
          </w:tcPr>
          <w:p>
            <w:pPr>
              <w:pStyle w:val="TableContents"/>
              <w:spacing w:before="0" w:after="0"/>
              <w:ind w:left="0" w:right="0" w:hanging="0"/>
              <w:jc w:val="center"/>
              <w:rPr/>
            </w:pPr>
            <w:r>
              <w:rPr/>
              <w:t>​</w:t>
            </w:r>
          </w:p>
        </w:tc>
        <w:tc>
          <w:tcPr>
            <w:tcW w:w="2262"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All other Named Executive Officers</w:t>
            </w:r>
          </w:p>
        </w:tc>
        <w:tc>
          <w:tcPr>
            <w:tcW w:w="266" w:type="dxa"/>
            <w:tcBorders/>
            <w:shd w:fill="auto" w:val="clear"/>
            <w:tcMar>
              <w:bottom w:w="0" w:type="dxa"/>
            </w:tcMar>
            <w:vAlign w:val="center"/>
          </w:tcPr>
          <w:p>
            <w:pPr>
              <w:pStyle w:val="TableContents"/>
              <w:spacing w:before="0" w:after="0"/>
              <w:ind w:left="0" w:right="0" w:hanging="0"/>
              <w:jc w:val="center"/>
              <w:rPr/>
            </w:pPr>
            <w:r>
              <w:rPr/>
              <w:t>​</w:t>
            </w:r>
          </w:p>
        </w:tc>
        <w:tc>
          <w:tcPr>
            <w:tcW w:w="7144"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3x base salary</w:t>
            </w:r>
          </w:p>
        </w:tc>
        <w:tc>
          <w:tcPr>
            <w:tcW w:w="312" w:type="dxa"/>
            <w:tcBorders>
              <w:right w:val="single" w:sz="2" w:space="0" w:color="000000"/>
            </w:tcBorders>
            <w:shd w:fill="auto" w:val="clear"/>
            <w:tcMar>
              <w:bottom w:w="0" w:type="dxa"/>
              <w:right w:w="28" w:type="dxa"/>
            </w:tcMar>
            <w:vAlign w:val="center"/>
          </w:tcPr>
          <w:p>
            <w:pPr>
              <w:pStyle w:val="TableContents"/>
              <w:spacing w:before="0" w:after="0"/>
              <w:ind w:left="0" w:right="0" w:hanging="0"/>
              <w:jc w:val="center"/>
              <w:rPr/>
            </w:pPr>
            <w:r>
              <w:rPr/>
              <w:t>​</w:t>
            </w:r>
          </w:p>
        </w:tc>
      </w:tr>
      <w:tr>
        <w:trPr/>
        <w:tc>
          <w:tcPr>
            <w:tcW w:w="221" w:type="dxa"/>
            <w:tcBorders>
              <w:left w:val="single" w:sz="2" w:space="0" w:color="000000"/>
            </w:tcBorders>
            <w:shd w:fill="auto" w:val="clear"/>
            <w:tcMar>
              <w:left w:w="28" w:type="dxa"/>
              <w:bottom w:w="0" w:type="dxa"/>
            </w:tcMar>
            <w:vAlign w:val="center"/>
          </w:tcPr>
          <w:p>
            <w:pPr>
              <w:pStyle w:val="TableContents"/>
              <w:spacing w:before="0" w:after="0"/>
              <w:ind w:left="0" w:right="0" w:hanging="0"/>
              <w:jc w:val="center"/>
              <w:rPr/>
            </w:pPr>
            <w:r>
              <w:rPr/>
              <w:t>​</w:t>
            </w:r>
          </w:p>
        </w:tc>
        <w:tc>
          <w:tcPr>
            <w:tcW w:w="2262" w:type="dxa"/>
            <w:tcBorders/>
            <w:shd w:fill="auto" w:val="clear"/>
            <w:tcMar>
              <w:bottom w:w="0" w:type="dxa"/>
            </w:tcMar>
            <w:vAlign w:val="center"/>
          </w:tcPr>
          <w:p>
            <w:pPr>
              <w:pStyle w:val="TableContents"/>
              <w:spacing w:before="0" w:after="0"/>
              <w:ind w:left="0" w:right="0" w:hanging="0"/>
              <w:jc w:val="center"/>
              <w:rPr/>
            </w:pPr>
            <w:r>
              <w:rPr/>
              <w:t>​</w:t>
            </w:r>
          </w:p>
        </w:tc>
        <w:tc>
          <w:tcPr>
            <w:tcW w:w="266" w:type="dxa"/>
            <w:tcBorders/>
            <w:shd w:fill="auto" w:val="clear"/>
            <w:tcMar>
              <w:bottom w:w="0" w:type="dxa"/>
            </w:tcMar>
            <w:vAlign w:val="center"/>
          </w:tcPr>
          <w:p>
            <w:pPr>
              <w:pStyle w:val="TableContents"/>
              <w:spacing w:before="0" w:after="0"/>
              <w:ind w:left="0" w:right="0" w:hanging="0"/>
              <w:jc w:val="center"/>
              <w:rPr/>
            </w:pPr>
            <w:r>
              <w:rPr/>
              <w:t>​</w:t>
            </w:r>
          </w:p>
        </w:tc>
        <w:tc>
          <w:tcPr>
            <w:tcW w:w="7144" w:type="dxa"/>
            <w:tcBorders/>
            <w:shd w:fill="auto" w:val="clear"/>
            <w:tcMar>
              <w:bottom w:w="0" w:type="dxa"/>
            </w:tcMar>
            <w:vAlign w:val="center"/>
          </w:tcPr>
          <w:p>
            <w:pPr>
              <w:pStyle w:val="TableContents"/>
              <w:spacing w:before="0" w:after="0"/>
              <w:ind w:left="0" w:right="0" w:hanging="0"/>
              <w:jc w:val="center"/>
              <w:rPr/>
            </w:pPr>
            <w:r>
              <w:rPr/>
              <w:t>​</w:t>
            </w:r>
          </w:p>
        </w:tc>
        <w:tc>
          <w:tcPr>
            <w:tcW w:w="312" w:type="dxa"/>
            <w:tcBorders>
              <w:right w:val="single" w:sz="2" w:space="0" w:color="000000"/>
            </w:tcBorders>
            <w:shd w:fill="auto" w:val="clear"/>
            <w:tcMar>
              <w:bottom w:w="0" w:type="dxa"/>
              <w:right w:w="28" w:type="dxa"/>
            </w:tcMar>
            <w:vAlign w:val="center"/>
          </w:tcPr>
          <w:p>
            <w:pPr>
              <w:pStyle w:val="TableContents"/>
              <w:spacing w:before="0" w:after="0"/>
              <w:ind w:left="0" w:right="0" w:hanging="0"/>
              <w:jc w:val="center"/>
              <w:rPr/>
            </w:pPr>
            <w:r>
              <w:rPr/>
              <w:t>​</w:t>
            </w:r>
          </w:p>
        </w:tc>
      </w:tr>
      <w:tr>
        <w:trPr/>
        <w:tc>
          <w:tcPr>
            <w:tcW w:w="221" w:type="dxa"/>
            <w:tcBorders>
              <w:left w:val="single" w:sz="2" w:space="0" w:color="000000"/>
              <w:bottom w:val="single" w:sz="2" w:space="0" w:color="000000"/>
            </w:tcBorders>
            <w:shd w:fill="auto" w:val="clear"/>
            <w:tcMar>
              <w:left w:w="28" w:type="dxa"/>
            </w:tcMar>
            <w:vAlign w:val="center"/>
          </w:tcPr>
          <w:p>
            <w:pPr>
              <w:pStyle w:val="TableContents"/>
              <w:spacing w:before="0" w:after="0"/>
              <w:ind w:left="0" w:right="0" w:hanging="0"/>
              <w:jc w:val="center"/>
              <w:rPr/>
            </w:pPr>
            <w:r>
              <w:rPr/>
              <w:t>​</w:t>
            </w:r>
          </w:p>
        </w:tc>
        <w:tc>
          <w:tcPr>
            <w:tcW w:w="2262"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Outside Directors</w:t>
            </w:r>
          </w:p>
        </w:tc>
        <w:tc>
          <w:tcPr>
            <w:tcW w:w="266" w:type="dxa"/>
            <w:tcBorders>
              <w:bottom w:val="single" w:sz="2" w:space="0" w:color="000000"/>
            </w:tcBorders>
            <w:shd w:fill="auto" w:val="clear"/>
            <w:vAlign w:val="center"/>
          </w:tcPr>
          <w:p>
            <w:pPr>
              <w:pStyle w:val="TableContents"/>
              <w:spacing w:before="0" w:after="0"/>
              <w:ind w:left="0" w:right="0" w:hanging="0"/>
              <w:jc w:val="center"/>
              <w:rPr/>
            </w:pPr>
            <w:r>
              <w:rPr/>
              <w:t>​</w:t>
            </w:r>
          </w:p>
        </w:tc>
        <w:tc>
          <w:tcPr>
            <w:tcW w:w="7144"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3x annual cash retainer (exclusive of any cash retainer payable for service as lead director, chairperson of the Board or any committee thereof)</w:t>
            </w:r>
          </w:p>
        </w:tc>
        <w:tc>
          <w:tcPr>
            <w:tcW w:w="312" w:type="dxa"/>
            <w:tcBorders>
              <w:bottom w:val="single" w:sz="2" w:space="0" w:color="000000"/>
              <w:right w:val="single" w:sz="2" w:space="0" w:color="000000"/>
            </w:tcBorders>
            <w:shd w:fill="auto" w:val="clear"/>
            <w:tcMar>
              <w:right w:w="28" w:type="dxa"/>
            </w:tcM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Under the policy, the following may be used in determining share ownership for purposes of the ownership requirement: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owned directly (including shares acquired through open market purchases or acquired and held upon, or subject to, vesting of restricted stock, restricted stock units or performance-based awards, and shares received and held upon exercise of stock option awards);</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owned jointly with or separately by the director’s spouse;</w:t>
            </w:r>
          </w:p>
        </w:tc>
      </w:tr>
    </w:tbl>
    <w:tbl>
      <w:tblPr>
        <w:tblW w:w="9576" w:type="dxa"/>
        <w:jc w:val="left"/>
        <w:tblInd w:w="0" w:type="dxa"/>
        <w:tblCellMar>
          <w:top w:w="28" w:type="dxa"/>
          <w:left w:w="28" w:type="dxa"/>
          <w:bottom w:w="28" w:type="dxa"/>
          <w:right w:w="28" w:type="dxa"/>
        </w:tblCellMar>
      </w:tblPr>
      <w:tblGrid>
        <w:gridCol w:w="124"/>
        <w:gridCol w:w="256"/>
        <w:gridCol w:w="9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held in trust for the benefit of the Covered Person, or one or more family members of the Covered Person;</w:t>
            </w:r>
          </w:p>
        </w:tc>
      </w:tr>
    </w:tbl>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held in qualified or nonqualified savings, profit-sharing, or deferred compensation accounts;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underlying vested but unexercised stock options (based on the excess of the market price of the stock over the exercise price and after deducting any tax withholding obligations); and</w:t>
            </w:r>
          </w:p>
        </w:tc>
      </w:tr>
    </w:tbl>
    <w:tbl>
      <w:tblPr>
        <w:tblW w:w="4671" w:type="dxa"/>
        <w:jc w:val="left"/>
        <w:tblInd w:w="0" w:type="dxa"/>
        <w:tblCellMar>
          <w:top w:w="28" w:type="dxa"/>
          <w:left w:w="28" w:type="dxa"/>
          <w:bottom w:w="28" w:type="dxa"/>
          <w:right w:w="28" w:type="dxa"/>
        </w:tblCellMar>
      </w:tblPr>
      <w:tblGrid>
        <w:gridCol w:w="124"/>
        <w:gridCol w:w="256"/>
        <w:gridCol w:w="42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underlying vested but unexercised warrants.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person covered by the policy is expected to achieve the target ownership threshold within five years of the later of (i) January 26, 2017 and (ii) 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2022, all persons covered by the policy were in compliance with the stock ownership requirements.</w:t>
      </w:r>
    </w:p>
    <w:p>
      <w:pPr>
        <w:pStyle w:val="TextBody"/>
        <w:spacing w:before="0" w:after="240"/>
        <w:ind w:left="0" w:right="0" w:hanging="0"/>
        <w:rPr>
          <w:rFonts w:ascii="Times New Roman;Times;serif" w:hAnsi="Times New Roman;Times;serif"/>
          <w:b/>
          <w:sz w:val="20"/>
        </w:rPr>
      </w:pPr>
      <w:bookmarkStart w:id="86" w:name="AntiHedgingAntiPledgingPolicy_353047"/>
      <w:bookmarkEnd w:id="86"/>
      <w:r>
        <w:rPr>
          <w:rFonts w:ascii="Times New Roman;Times;serif" w:hAnsi="Times New Roman;Times;serif"/>
          <w:b/>
          <w:sz w:val="20"/>
        </w:rPr>
        <w:t>Anti-Hedging and Anti-Pledging Policy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pStyle w:val="TextBody"/>
        <w:spacing w:before="0" w:after="240"/>
        <w:ind w:left="0" w:right="0" w:hanging="0"/>
        <w:rPr>
          <w:rFonts w:ascii="Times New Roman;Times;serif" w:hAnsi="Times New Roman;Times;serif"/>
          <w:b/>
          <w:sz w:val="20"/>
        </w:rPr>
      </w:pPr>
      <w:bookmarkStart w:id="87" w:name="CompensationofDirectors_544198"/>
      <w:bookmarkEnd w:id="87"/>
      <w:r>
        <w:rPr>
          <w:rFonts w:ascii="Times New Roman;Times;serif" w:hAnsi="Times New Roman;Times;serif"/>
          <w:b/>
          <w:sz w:val="20"/>
        </w:rPr>
        <w:t>Compensation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 one 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8" w:name="a2018DirectorCompensation_609781"/>
      <w:bookmarkEnd w:id="88"/>
      <w:r>
        <w:rPr>
          <w:rFonts w:ascii="Times New Roman;Times;serif" w:hAnsi="Times New Roman;Times;serif"/>
          <w:b/>
          <w:sz w:val="20"/>
        </w:rPr>
        <w:t>2022 Director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provides information regarding the compensation paid to the persons who served as non-employee directors in 2022:</w:t>
      </w:r>
    </w:p>
    <w:tbl>
      <w:tblPr>
        <w:tblW w:w="6947" w:type="dxa"/>
        <w:jc w:val="left"/>
        <w:tblInd w:w="0" w:type="dxa"/>
        <w:tblCellMar>
          <w:top w:w="0" w:type="dxa"/>
          <w:left w:w="0" w:type="dxa"/>
          <w:bottom w:w="0" w:type="dxa"/>
          <w:right w:w="0" w:type="dxa"/>
        </w:tblCellMar>
      </w:tblPr>
      <w:tblGrid>
        <w:gridCol w:w="1801"/>
        <w:gridCol w:w="326"/>
        <w:gridCol w:w="321"/>
        <w:gridCol w:w="1104"/>
        <w:gridCol w:w="326"/>
        <w:gridCol w:w="342"/>
        <w:gridCol w:w="1173"/>
        <w:gridCol w:w="326"/>
        <w:gridCol w:w="211"/>
        <w:gridCol w:w="826"/>
        <w:gridCol w:w="191"/>
      </w:tblGrid>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w:t>
            </w:r>
          </w:p>
        </w:tc>
        <w:tc>
          <w:tcPr>
            <w:tcW w:w="11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11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18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25"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Fees Earned or</w:t>
              <w:br/>
              <w:t>Paid in Cash ($)</w:t>
            </w:r>
            <w:r>
              <w:rPr>
                <w:rFonts w:ascii="Times New Roman;Times;serif" w:hAnsi="Times New Roman;Times;serif"/>
                <w:b/>
                <w:sz w:val="12"/>
              </w:rPr>
              <w:t>(1)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515"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Stock Awards ($)</w:t>
            </w:r>
            <w:r>
              <w:rPr>
                <w:rFonts w:ascii="Times New Roman;Times;serif" w:hAnsi="Times New Roman;Times;serif"/>
                <w:b/>
                <w:sz w:val="12"/>
              </w:rPr>
              <w:t>(2)</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c>
          <w:tcPr>
            <w:tcW w:w="19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1801"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Sara R. Dial</w:t>
            </w:r>
          </w:p>
        </w:tc>
        <w:tc>
          <w:tcPr>
            <w:tcW w:w="326" w:type="dxa"/>
            <w:tcBorders/>
            <w:shd w:fill="CCEEFF" w:val="clear"/>
            <w:vAlign w:val="center"/>
          </w:tcPr>
          <w:p>
            <w:pPr>
              <w:pStyle w:val="TableContents"/>
              <w:spacing w:before="0" w:after="0"/>
              <w:ind w:left="0" w:right="0" w:hanging="0"/>
              <w:rPr/>
            </w:pPr>
            <w:r>
              <w:rPr/>
              <w:t>​</w:t>
            </w:r>
          </w:p>
        </w:tc>
        <w:tc>
          <w:tcPr>
            <w:tcW w:w="32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04"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98,333 </w:t>
            </w:r>
          </w:p>
        </w:tc>
        <w:tc>
          <w:tcPr>
            <w:tcW w:w="326" w:type="dxa"/>
            <w:tcBorders/>
            <w:shd w:fill="CCEEFF" w:val="clear"/>
            <w:vAlign w:val="center"/>
          </w:tcPr>
          <w:p>
            <w:pPr>
              <w:pStyle w:val="TableContents"/>
              <w:spacing w:before="0" w:after="0"/>
              <w:ind w:left="0" w:right="0" w:hanging="0"/>
              <w:rPr/>
            </w:pPr>
            <w:r>
              <w:rPr/>
              <w:t>​</w:t>
            </w:r>
          </w:p>
        </w:tc>
        <w:tc>
          <w:tcPr>
            <w:tcW w:w="342"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3"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173,333 </w:t>
            </w:r>
          </w:p>
        </w:tc>
        <w:tc>
          <w:tcPr>
            <w:tcW w:w="191" w:type="dxa"/>
            <w:tcBorders/>
            <w:shd w:fill="CCEEFF" w:val="clear"/>
            <w:vAlign w:val="center"/>
          </w:tcPr>
          <w:p>
            <w:pPr>
              <w:pStyle w:val="TableContents"/>
              <w:spacing w:before="0" w:after="0"/>
              <w:ind w:left="0" w:right="0" w:hanging="0"/>
              <w:rPr/>
            </w:pPr>
            <w:r>
              <w:rPr/>
              <w:t>​</w:t>
            </w:r>
          </w:p>
        </w:tc>
      </w:tr>
      <w:tr>
        <w:trPr/>
        <w:tc>
          <w:tcPr>
            <w:tcW w:w="18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Jack A. Henry</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80,000 </w:t>
            </w:r>
          </w:p>
        </w:tc>
        <w:tc>
          <w:tcPr>
            <w:tcW w:w="326"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11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155,000 </w:t>
            </w:r>
          </w:p>
        </w:tc>
        <w:tc>
          <w:tcPr>
            <w:tcW w:w="191" w:type="dxa"/>
            <w:tcBorders/>
            <w:shd w:fill="auto" w:val="clear"/>
            <w:vAlign w:val="center"/>
          </w:tcPr>
          <w:p>
            <w:pPr>
              <w:pStyle w:val="TableContents"/>
              <w:spacing w:before="0" w:after="0"/>
              <w:ind w:left="0" w:right="0" w:hanging="0"/>
              <w:rPr/>
            </w:pPr>
            <w:r>
              <w:rPr/>
              <w:t>​</w:t>
            </w:r>
          </w:p>
        </w:tc>
      </w:tr>
      <w:tr>
        <w:trPr/>
        <w:tc>
          <w:tcPr>
            <w:tcW w:w="18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Lisa Graham Keegan</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pPr>
            <w:r>
              <w:rPr/>
              <w:t>​</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pPr>
            <w:r>
              <w:rPr/>
              <w:t>​</w:t>
            </w:r>
          </w:p>
        </w:tc>
        <w:tc>
          <w:tcPr>
            <w:tcW w:w="11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150,000 </w:t>
            </w:r>
          </w:p>
        </w:tc>
        <w:tc>
          <w:tcPr>
            <w:tcW w:w="191" w:type="dxa"/>
            <w:tcBorders/>
            <w:shd w:fill="CCEEFF" w:val="clear"/>
            <w:vAlign w:val="center"/>
          </w:tcPr>
          <w:p>
            <w:pPr>
              <w:pStyle w:val="TableContents"/>
              <w:spacing w:before="0" w:after="0"/>
              <w:ind w:left="0" w:right="0" w:hanging="0"/>
              <w:rPr/>
            </w:pPr>
            <w:r>
              <w:rPr/>
              <w:t>​</w:t>
            </w:r>
          </w:p>
        </w:tc>
      </w:tr>
      <w:tr>
        <w:trPr/>
        <w:tc>
          <w:tcPr>
            <w:tcW w:w="18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Chevy Humphrey</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auto" w:val="clear"/>
            <w:vAlign w:val="center"/>
          </w:tcPr>
          <w:p>
            <w:pPr>
              <w:pStyle w:val="TableContents"/>
              <w:spacing w:before="0" w:after="0"/>
              <w:ind w:left="0" w:right="0" w:hanging="0"/>
              <w:rPr/>
            </w:pPr>
            <w:r>
              <w:rPr/>
              <w:t>​</w:t>
            </w:r>
          </w:p>
        </w:tc>
        <w:tc>
          <w:tcPr>
            <w:tcW w:w="342" w:type="dxa"/>
            <w:tcBorders/>
            <w:shd w:fill="auto" w:val="clear"/>
            <w:vAlign w:val="center"/>
          </w:tcPr>
          <w:p>
            <w:pPr>
              <w:pStyle w:val="TableContents"/>
              <w:spacing w:before="0" w:after="0"/>
              <w:ind w:left="0" w:right="0" w:hanging="0"/>
              <w:rPr/>
            </w:pPr>
            <w:r>
              <w:rPr/>
              <w:t>​</w:t>
            </w:r>
          </w:p>
        </w:tc>
        <w:tc>
          <w:tcPr>
            <w:tcW w:w="11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150,000 </w:t>
            </w:r>
          </w:p>
        </w:tc>
        <w:tc>
          <w:tcPr>
            <w:tcW w:w="191" w:type="dxa"/>
            <w:tcBorders/>
            <w:shd w:fill="auto" w:val="clear"/>
            <w:vAlign w:val="center"/>
          </w:tcPr>
          <w:p>
            <w:pPr>
              <w:pStyle w:val="TableContents"/>
              <w:spacing w:before="0" w:after="0"/>
              <w:ind w:left="0" w:right="0" w:hanging="0"/>
              <w:rPr/>
            </w:pPr>
            <w:r>
              <w:rPr/>
              <w:t>​</w:t>
            </w:r>
          </w:p>
        </w:tc>
      </w:tr>
      <w:tr>
        <w:trPr/>
        <w:tc>
          <w:tcPr>
            <w:tcW w:w="18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David M. Adame</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pPr>
            <w:r>
              <w:rPr/>
              <w:t>​</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65,000 </w:t>
            </w:r>
          </w:p>
        </w:tc>
        <w:tc>
          <w:tcPr>
            <w:tcW w:w="326"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pPr>
            <w:r>
              <w:rPr/>
              <w:t>​</w:t>
            </w:r>
          </w:p>
        </w:tc>
        <w:tc>
          <w:tcPr>
            <w:tcW w:w="11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140,000 </w:t>
            </w:r>
          </w:p>
        </w:tc>
        <w:tc>
          <w:tcPr>
            <w:tcW w:w="191" w:type="dxa"/>
            <w:tcBorders/>
            <w:shd w:fill="CCEEFF" w:val="clear"/>
            <w:vAlign w:val="center"/>
          </w:tcPr>
          <w:p>
            <w:pPr>
              <w:pStyle w:val="TableContents"/>
              <w:spacing w:before="0" w:after="0"/>
              <w:ind w:left="0" w:right="0" w:hanging="0"/>
              <w:rPr/>
            </w:pPr>
            <w:r>
              <w:rPr/>
              <w:t>​</w:t>
            </w:r>
          </w:p>
        </w:tc>
      </w:tr>
    </w:tbl>
    <w:tbl>
      <w:tblPr>
        <w:tblW w:w="10205" w:type="dxa"/>
        <w:jc w:val="left"/>
        <w:tblInd w:w="0" w:type="dxa"/>
        <w:tblCellMar>
          <w:top w:w="0" w:type="dxa"/>
          <w:left w:w="0" w:type="dxa"/>
          <w:bottom w:w="0" w:type="dxa"/>
          <w:right w:w="0" w:type="dxa"/>
        </w:tblCellMar>
      </w:tblPr>
      <w:tblGrid>
        <w:gridCol w:w="308"/>
        <w:gridCol w:w="9897"/>
      </w:tblGrid>
      <w:tr>
        <w:trPr/>
        <w:tc>
          <w:tcPr>
            <w:tcW w:w="3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the cash compensation paid to our non-employee directors in 2022 in respect of their annual retainers for service on the Board of Directors, for service on Board committees, and for services as a Board committee chair or as lead independent director:</w:t>
            </w:r>
          </w:p>
        </w:tc>
      </w:tr>
    </w:tbl>
    <w:tbl>
      <w:tblPr>
        <w:tblW w:w="7832" w:type="dxa"/>
        <w:jc w:val="left"/>
        <w:tblInd w:w="0" w:type="dxa"/>
        <w:tblCellMar>
          <w:top w:w="0" w:type="dxa"/>
          <w:left w:w="0" w:type="dxa"/>
          <w:bottom w:w="0" w:type="dxa"/>
          <w:right w:w="0" w:type="dxa"/>
        </w:tblCellMar>
      </w:tblPr>
      <w:tblGrid>
        <w:gridCol w:w="1801"/>
        <w:gridCol w:w="326"/>
        <w:gridCol w:w="295"/>
        <w:gridCol w:w="1011"/>
        <w:gridCol w:w="326"/>
        <w:gridCol w:w="309"/>
        <w:gridCol w:w="1057"/>
        <w:gridCol w:w="326"/>
        <w:gridCol w:w="211"/>
        <w:gridCol w:w="721"/>
        <w:gridCol w:w="326"/>
        <w:gridCol w:w="211"/>
        <w:gridCol w:w="721"/>
        <w:gridCol w:w="191"/>
      </w:tblGrid>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1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105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18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Board of</w:t>
              <w:br/>
              <w:t>Directors</w:t>
              <w:br/>
              <w:t>Annual Retainer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Board</w:t>
              <w:br/>
              <w:t>Committee</w:t>
              <w:br/>
              <w:t>Annual Retainers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br/>
              <w:t>Chair</w:t>
              <w:br/>
              <w:t>Annual</w:t>
              <w:br/>
              <w:t>Retainer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1801" w:type="dxa"/>
            <w:tcBorders>
              <w:top w:val="single" w:sz="2" w:space="0" w:color="000000"/>
            </w:tcBorders>
            <w:shd w:fill="CCEEFF" w:val="clear"/>
            <w:tcMar>
              <w:top w:w="28" w:type="dxa"/>
            </w:tcM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Sara R. Dial</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95"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shd w:fill="CCEEFF" w:val="clear"/>
            <w:vAlign w:val="center"/>
          </w:tcPr>
          <w:p>
            <w:pPr>
              <w:pStyle w:val="TableContents"/>
              <w:spacing w:before="0" w:after="0"/>
              <w:ind w:left="0" w:right="0" w:hanging="0"/>
              <w:rPr/>
            </w:pPr>
            <w:r>
              <w:rPr/>
              <w:t>​</w:t>
            </w:r>
          </w:p>
        </w:tc>
        <w:tc>
          <w:tcPr>
            <w:tcW w:w="309"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33,333 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98,333 </w:t>
            </w:r>
          </w:p>
        </w:tc>
        <w:tc>
          <w:tcPr>
            <w:tcW w:w="191" w:type="dxa"/>
            <w:tcBorders/>
            <w:shd w:fill="CCEEFF" w:val="clear"/>
            <w:vAlign w:val="center"/>
          </w:tcPr>
          <w:p>
            <w:pPr>
              <w:pStyle w:val="TableContents"/>
              <w:spacing w:before="0" w:after="0"/>
              <w:ind w:left="0" w:right="0" w:hanging="0"/>
              <w:rPr/>
            </w:pPr>
            <w:r>
              <w:rPr/>
              <w:t>​</w:t>
            </w:r>
          </w:p>
        </w:tc>
      </w:tr>
      <w:tr>
        <w:trPr/>
        <w:tc>
          <w:tcPr>
            <w:tcW w:w="18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Jack A. Henry</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10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10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80,000 </w:t>
            </w:r>
          </w:p>
        </w:tc>
        <w:tc>
          <w:tcPr>
            <w:tcW w:w="191" w:type="dxa"/>
            <w:tcBorders/>
            <w:shd w:fill="auto" w:val="clear"/>
            <w:vAlign w:val="center"/>
          </w:tcPr>
          <w:p>
            <w:pPr>
              <w:pStyle w:val="TableContents"/>
              <w:spacing w:before="0" w:after="0"/>
              <w:ind w:left="0" w:right="0" w:hanging="0"/>
              <w:rPr/>
            </w:pPr>
            <w:r>
              <w:rPr/>
              <w:t>​</w:t>
            </w:r>
          </w:p>
        </w:tc>
      </w:tr>
      <w:tr>
        <w:trPr/>
        <w:tc>
          <w:tcPr>
            <w:tcW w:w="18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Lisa Graham Keegan</w:t>
            </w:r>
          </w:p>
        </w:tc>
        <w:tc>
          <w:tcPr>
            <w:tcW w:w="32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pPr>
            <w:r>
              <w:rPr/>
              <w:t>​</w:t>
            </w:r>
          </w:p>
        </w:tc>
        <w:tc>
          <w:tcPr>
            <w:tcW w:w="10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rPr/>
            </w:pPr>
            <w:r>
              <w:rPr/>
              <w:t>​</w:t>
            </w:r>
          </w:p>
        </w:tc>
        <w:tc>
          <w:tcPr>
            <w:tcW w:w="10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191" w:type="dxa"/>
            <w:tcBorders/>
            <w:shd w:fill="CCEEFF" w:val="clear"/>
            <w:vAlign w:val="center"/>
          </w:tcPr>
          <w:p>
            <w:pPr>
              <w:pStyle w:val="TableContents"/>
              <w:spacing w:before="0" w:after="0"/>
              <w:ind w:left="0" w:right="0" w:hanging="0"/>
              <w:rPr/>
            </w:pPr>
            <w:r>
              <w:rPr/>
              <w:t>​</w:t>
            </w:r>
          </w:p>
        </w:tc>
      </w:tr>
      <w:tr>
        <w:trPr/>
        <w:tc>
          <w:tcPr>
            <w:tcW w:w="18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Chevy Humphrey</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10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shd w:fill="auto" w:val="clear"/>
            <w:vAlign w:val="center"/>
          </w:tcPr>
          <w:p>
            <w:pPr>
              <w:pStyle w:val="TableContents"/>
              <w:spacing w:before="0" w:after="0"/>
              <w:ind w:left="0" w:right="0" w:hanging="0"/>
              <w:rPr/>
            </w:pPr>
            <w:r>
              <w:rPr/>
              <w:t>​</w:t>
            </w:r>
          </w:p>
        </w:tc>
        <w:tc>
          <w:tcPr>
            <w:tcW w:w="309" w:type="dxa"/>
            <w:tcBorders/>
            <w:shd w:fill="auto" w:val="clear"/>
            <w:vAlign w:val="center"/>
          </w:tcPr>
          <w:p>
            <w:pPr>
              <w:pStyle w:val="TableContents"/>
              <w:spacing w:before="0" w:after="0"/>
              <w:ind w:left="0" w:right="0" w:hanging="0"/>
              <w:rPr/>
            </w:pPr>
            <w:r>
              <w:rPr/>
              <w:t>​</w:t>
            </w:r>
          </w:p>
        </w:tc>
        <w:tc>
          <w:tcPr>
            <w:tcW w:w="10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191" w:type="dxa"/>
            <w:tcBorders/>
            <w:shd w:fill="auto" w:val="clear"/>
            <w:vAlign w:val="center"/>
          </w:tcPr>
          <w:p>
            <w:pPr>
              <w:pStyle w:val="TableContents"/>
              <w:spacing w:before="0" w:after="0"/>
              <w:ind w:left="0" w:right="0" w:hanging="0"/>
              <w:rPr/>
            </w:pPr>
            <w:r>
              <w:rPr/>
              <w:t>​</w:t>
            </w:r>
          </w:p>
        </w:tc>
      </w:tr>
      <w:tr>
        <w:trPr/>
        <w:tc>
          <w:tcPr>
            <w:tcW w:w="18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David M. Adame</w:t>
            </w:r>
          </w:p>
        </w:tc>
        <w:tc>
          <w:tcPr>
            <w:tcW w:w="32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pPr>
            <w:r>
              <w:rPr/>
              <w:t>​</w:t>
            </w:r>
          </w:p>
        </w:tc>
        <w:tc>
          <w:tcPr>
            <w:tcW w:w="10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shd w:fill="CCEEFF" w:val="clear"/>
            <w:vAlign w:val="center"/>
          </w:tcPr>
          <w:p>
            <w:pPr>
              <w:pStyle w:val="TableContents"/>
              <w:spacing w:before="0" w:after="0"/>
              <w:ind w:left="0" w:right="0" w:hanging="0"/>
              <w:rPr/>
            </w:pPr>
            <w:r>
              <w:rPr/>
              <w:t>​</w:t>
            </w:r>
          </w:p>
        </w:tc>
        <w:tc>
          <w:tcPr>
            <w:tcW w:w="309" w:type="dxa"/>
            <w:tcBorders/>
            <w:shd w:fill="CCEEFF" w:val="clear"/>
            <w:vAlign w:val="center"/>
          </w:tcPr>
          <w:p>
            <w:pPr>
              <w:pStyle w:val="TableContents"/>
              <w:spacing w:before="0" w:after="0"/>
              <w:ind w:left="0" w:right="0" w:hanging="0"/>
              <w:rPr/>
            </w:pPr>
            <w:r>
              <w:rPr/>
              <w:t>​</w:t>
            </w:r>
          </w:p>
        </w:tc>
        <w:tc>
          <w:tcPr>
            <w:tcW w:w="10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65,000 </w:t>
            </w:r>
          </w:p>
        </w:tc>
        <w:tc>
          <w:tcPr>
            <w:tcW w:w="191" w:type="dxa"/>
            <w:tcBorders/>
            <w:shd w:fill="CCEEFF" w:val="clear"/>
            <w:vAlign w:val="center"/>
          </w:tcPr>
          <w:p>
            <w:pPr>
              <w:pStyle w:val="TableContents"/>
              <w:spacing w:before="0" w:after="0"/>
              <w:ind w:left="0" w:right="0" w:hanging="0"/>
              <w:rPr/>
            </w:pPr>
            <w:r>
              <w:rPr/>
              <w:t>​</w:t>
            </w:r>
          </w:p>
        </w:tc>
      </w:tr>
    </w:tbl>
    <w:tbl>
      <w:tblPr>
        <w:tblW w:w="10205" w:type="dxa"/>
        <w:jc w:val="left"/>
        <w:tblInd w:w="0" w:type="dxa"/>
        <w:tblCellMar>
          <w:top w:w="28" w:type="dxa"/>
          <w:left w:w="28" w:type="dxa"/>
          <w:bottom w:w="28" w:type="dxa"/>
          <w:right w:w="28" w:type="dxa"/>
        </w:tblCellMar>
      </w:tblPr>
      <w:tblGrid>
        <w:gridCol w:w="124"/>
        <w:gridCol w:w="321"/>
        <w:gridCol w:w="9760"/>
      </w:tblGrid>
      <w:tr>
        <w:trPr/>
        <w:tc>
          <w:tcPr>
            <w:tcW w:w="12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6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for Ms. Dial includes the additional annual retainer of $33,333 that she received in her capacity as lead independent director.</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(2)</w:t>
            </w:r>
          </w:p>
        </w:tc>
        <w:tc>
          <w:tcPr>
            <w:tcW w:w="992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the aggregate grant date fair value of the shares of restricted stock granted during the fiscal year as computed in accordance with ASC 718. For each director, the number of shares granted was determined by dividing the grant date value of the award, $75,000, by $90.01, the closing price of the company’s common stock on June 9, 2022, the date of grant, rounded up to the nearest whole share. Each director held 834 unvested shares at December 31, 2022. All unvested shares will vest on the earlier of the one-year anniversary of the date of grant or immediately prior to the Annual Meeting.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89" w:name="PROPOSALNO1_762246"/>
      <w:bookmarkStart w:id="90" w:name="_bde50dbd_ab96_4313_aded_e8924e991f46"/>
      <w:bookmarkEnd w:id="89"/>
      <w:bookmarkEnd w:id="90"/>
      <w:r>
        <w:rPr>
          <w:rFonts w:ascii="Times New Roman;Times;serif" w:hAnsi="Times New Roman;Times;serif"/>
          <w:b/>
          <w:sz w:val="20"/>
        </w:rPr>
        <w:t>PROPOSAL NO. 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ELECTION OF DIRECTORS</w:t>
      </w:r>
    </w:p>
    <w:tbl>
      <w:tblPr>
        <w:tblW w:w="10205" w:type="dxa"/>
        <w:jc w:val="left"/>
        <w:tblInd w:w="0" w:type="dxa"/>
        <w:tblCellMar>
          <w:top w:w="28" w:type="dxa"/>
          <w:left w:w="28" w:type="dxa"/>
          <w:bottom w:w="0" w:type="dxa"/>
          <w:right w:w="0" w:type="dxa"/>
        </w:tblCellMar>
      </w:tblPr>
      <w:tblGrid>
        <w:gridCol w:w="1724"/>
        <w:gridCol w:w="326"/>
        <w:gridCol w:w="8155"/>
      </w:tblGrid>
      <w:tr>
        <w:trPr/>
        <w:tc>
          <w:tcPr>
            <w:tcW w:w="1724" w:type="dxa"/>
            <w:tcBorders>
              <w:top w:val="single" w:sz="2" w:space="0" w:color="000000"/>
              <w:left w:val="single" w:sz="2" w:space="0" w:color="000000"/>
            </w:tcBorders>
            <w:shd w:fill="auto" w:val="clear"/>
            <w:vAlign w:val="center"/>
          </w:tcPr>
          <w:p>
            <w:pPr>
              <w:pStyle w:val="TableContents"/>
              <w:spacing w:before="0" w:after="0"/>
              <w:ind w:left="0" w:right="0" w:hanging="0"/>
              <w:rPr/>
            </w:pPr>
            <w:r>
              <w:rPr/>
              <w:t>☐     </w:t>
            </w:r>
            <w:r>
              <w:rPr>
                <w:rFonts w:ascii="Times New Roman;Times;serif" w:hAnsi="Times New Roman;Times;serif"/>
                <w:b/>
                <w:i/>
                <w:sz w:val="20"/>
              </w:rPr>
              <w:t>What am I voting on?</w:t>
            </w:r>
          </w:p>
        </w:tc>
        <w:tc>
          <w:tcPr>
            <w:tcW w:w="326" w:type="dxa"/>
            <w:tcBorders>
              <w:top w:val="single" w:sz="2" w:space="0" w:color="000000"/>
            </w:tcBorders>
            <w:shd w:fill="auto" w:val="clear"/>
            <w:tcMar>
              <w:left w:w="0" w:type="dxa"/>
            </w:tcMar>
            <w:vAlign w:val="center"/>
          </w:tcPr>
          <w:p>
            <w:pPr>
              <w:pStyle w:val="TableContents"/>
              <w:spacing w:before="0" w:after="0"/>
              <w:ind w:left="0" w:right="0" w:hanging="0"/>
              <w:rPr/>
            </w:pPr>
            <w:r>
              <w:rPr/>
              <w:t>    </w:t>
            </w:r>
          </w:p>
        </w:tc>
        <w:tc>
          <w:tcPr>
            <w:tcW w:w="8155" w:type="dxa"/>
            <w:tcBorders>
              <w:top w:val="single" w:sz="2" w:space="0" w:color="000000"/>
              <w:right w:val="single" w:sz="2" w:space="0" w:color="000000"/>
            </w:tcBorders>
            <w:shd w:fill="auto" w:val="clear"/>
            <w:tcMar>
              <w:left w:w="0"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are being asked to elect six directors to serve for a one-year term.</w:t>
            </w:r>
          </w:p>
        </w:tc>
      </w:tr>
      <w:tr>
        <w:trPr/>
        <w:tc>
          <w:tcPr>
            <w:tcW w:w="1724" w:type="dxa"/>
            <w:tcBorders>
              <w:left w:val="single" w:sz="2" w:space="0" w:color="000000"/>
            </w:tcBorders>
            <w:shd w:fill="auto" w:val="clear"/>
            <w:tcMar>
              <w:top w:w="0" w:type="dxa"/>
            </w:tcMar>
            <w:vAlign w:val="center"/>
          </w:tcPr>
          <w:p>
            <w:pPr>
              <w:pStyle w:val="TableContents"/>
              <w:spacing w:before="0" w:after="0"/>
              <w:ind w:left="0" w:right="0" w:hanging="0"/>
              <w:jc w:val="center"/>
              <w:rPr/>
            </w:pPr>
            <w:r>
              <w:rPr/>
              <w:t>​</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155"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pPr>
            <w:r>
              <w:rPr/>
              <w:t>​</w:t>
            </w:r>
          </w:p>
        </w:tc>
      </w:tr>
      <w:tr>
        <w:trPr/>
        <w:tc>
          <w:tcPr>
            <w:tcW w:w="1724" w:type="dxa"/>
            <w:tcBorders>
              <w:left w:val="single" w:sz="2" w:space="0" w:color="000000"/>
            </w:tcBorders>
            <w:shd w:fill="auto" w:val="clear"/>
            <w:tcMar>
              <w:top w:w="0" w:type="dxa"/>
            </w:tcMar>
            <w:vAlign w:val="center"/>
          </w:tcPr>
          <w:p>
            <w:pPr>
              <w:pStyle w:val="TableContents"/>
              <w:spacing w:before="0" w:after="0"/>
              <w:ind w:left="0" w:right="0" w:hanging="0"/>
              <w:rPr/>
            </w:pPr>
            <w:r>
              <w:rPr/>
              <w:t>☐     </w:t>
            </w:r>
            <w:r>
              <w:rPr>
                <w:rFonts w:ascii="Times New Roman;Times;serif" w:hAnsi="Times New Roman;Times;serif"/>
                <w:b/>
                <w:i/>
                <w:sz w:val="20"/>
              </w:rPr>
              <w:t>Voting recommendation:</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155"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Our Board of Directors unanimous recommends that you vote “</w:t>
            </w:r>
            <w:r>
              <w:rPr>
                <w:rFonts w:ascii="Times New Roman;Times;serif" w:hAnsi="Times New Roman;Times;serif"/>
                <w:b/>
                <w:sz w:val="20"/>
              </w:rPr>
              <w:t>FOR</w:t>
            </w:r>
            <w:r>
              <w:rPr>
                <w:rFonts w:ascii="Times New Roman;Times;serif" w:hAnsi="Times New Roman;Times;serif"/>
                <w:sz w:val="20"/>
              </w:rPr>
              <w:t>” the election of each director nominee. The Board and the Nominating and Corporate Governance Committee believe that the six director nominees each possess the necessary qualifications, attributes, skills and experiences to provide quality advice and counsel to the Company’s management and effectively oversee the business and the long-term interests of our stockholders.</w:t>
            </w:r>
          </w:p>
        </w:tc>
      </w:tr>
      <w:tr>
        <w:trPr/>
        <w:tc>
          <w:tcPr>
            <w:tcW w:w="1724" w:type="dxa"/>
            <w:tcBorders>
              <w:left w:val="single" w:sz="2" w:space="0" w:color="000000"/>
            </w:tcBorders>
            <w:shd w:fill="auto" w:val="clear"/>
            <w:tcMar>
              <w:top w:w="0" w:type="dxa"/>
            </w:tcMar>
            <w:vAlign w:val="center"/>
          </w:tcPr>
          <w:p>
            <w:pPr>
              <w:pStyle w:val="TableContents"/>
              <w:spacing w:before="0" w:after="0"/>
              <w:ind w:left="0" w:right="0" w:hanging="0"/>
              <w:jc w:val="center"/>
              <w:rPr/>
            </w:pPr>
            <w:r>
              <w:rPr/>
              <w:t>​</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155"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pPr>
            <w:r>
              <w:rPr/>
              <w:t>​</w:t>
            </w:r>
          </w:p>
        </w:tc>
      </w:tr>
      <w:tr>
        <w:trPr/>
        <w:tc>
          <w:tcPr>
            <w:tcW w:w="1724" w:type="dxa"/>
            <w:tcBorders>
              <w:left w:val="single" w:sz="2" w:space="0" w:color="000000"/>
              <w:bottom w:val="single" w:sz="2" w:space="0" w:color="000000"/>
            </w:tcBorders>
            <w:shd w:fill="auto" w:val="clear"/>
            <w:tcMar>
              <w:top w:w="0" w:type="dxa"/>
              <w:bottom w:w="28" w:type="dxa"/>
            </w:tcMar>
            <w:vAlign w:val="center"/>
          </w:tcPr>
          <w:p>
            <w:pPr>
              <w:pStyle w:val="TableContents"/>
              <w:spacing w:before="0" w:after="0"/>
              <w:ind w:left="0" w:right="0" w:hanging="0"/>
              <w:rPr/>
            </w:pPr>
            <w:r>
              <w:rPr/>
              <w:t>☐     </w:t>
            </w:r>
            <w:r>
              <w:rPr>
                <w:rFonts w:ascii="Times New Roman;Times;serif" w:hAnsi="Times New Roman;Times;serif"/>
                <w:b/>
                <w:i/>
                <w:sz w:val="20"/>
              </w:rPr>
              <w:t>Vote required:</w:t>
            </w:r>
          </w:p>
        </w:tc>
        <w:tc>
          <w:tcPr>
            <w:tcW w:w="326" w:type="dxa"/>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rPr/>
            </w:pPr>
            <w:r>
              <w:rPr/>
              <w:t>​</w:t>
            </w:r>
          </w:p>
        </w:tc>
        <w:tc>
          <w:tcPr>
            <w:tcW w:w="8155" w:type="dxa"/>
            <w:tcBorders>
              <w:bottom w:val="single" w:sz="2" w:space="0" w:color="000000"/>
              <w:right w:val="single" w:sz="2" w:space="0" w:color="000000"/>
            </w:tcBorders>
            <w:shd w:fill="auto" w:val="clear"/>
            <w:tcMar>
              <w:top w:w="0" w:type="dxa"/>
              <w:left w:w="0"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affirmative vote of a majority of the votes cast at the Annual Meeting is required for the election of each director. Stockholders of the Company are not permitted to cumulate their votes for the election of directors. Abstentions and broker non-votes will have no effect on the results of the election of directors. Unless contrary instructions are given, shares represented by proxies solicited by the Board of Directors will be voted for the election of each of the director nominees identified below.</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91" w:name="CompositionofourBoardofDirectors_504912"/>
      <w:bookmarkEnd w:id="91"/>
      <w:r>
        <w:rPr>
          <w:rFonts w:ascii="Times New Roman;Times;serif" w:hAnsi="Times New Roman;Times;serif"/>
          <w:b/>
          <w:sz w:val="20"/>
        </w:rPr>
        <w:t>Composition of our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bylaws provide that our business will be managed by or under the direction of the Board of Directors. The number of directors constituting our Board of Directors is determined from time to time by our Board of Directors. Currently, our Board of Directors consists of six members. Each of our six nominees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six persons named below for election as directors. Proxies solicited by our Board of Directors will, unless otherwise directed, be voted to elect the six nominees named below to constitute the entire Board of Directors.</w:t>
      </w:r>
    </w:p>
    <w:p>
      <w:pPr>
        <w:pStyle w:val="TextBody"/>
        <w:spacing w:before="0" w:after="240"/>
        <w:ind w:left="0" w:right="0" w:hanging="0"/>
        <w:rPr>
          <w:rFonts w:ascii="Times New Roman;Times;serif" w:hAnsi="Times New Roman;Times;serif"/>
          <w:b/>
          <w:sz w:val="20"/>
        </w:rPr>
      </w:pPr>
      <w:bookmarkStart w:id="92" w:name="DirectorsandDirectorNominees_647261"/>
      <w:bookmarkEnd w:id="92"/>
      <w:r>
        <w:rPr>
          <w:rFonts w:ascii="Times New Roman;Times;serif" w:hAnsi="Times New Roman;Times;serif"/>
          <w:b/>
          <w:sz w:val="20"/>
        </w:rPr>
        <w:t>Directors and Director Nominees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pStyle w:val="TextBody"/>
        <w:spacing w:before="0" w:after="240"/>
        <w:ind w:left="0" w:right="0" w:firstLine="720"/>
        <w:rPr>
          <w:rFonts w:ascii="Times New Roman;Times;serif" w:hAnsi="Times New Roman;Times;serif"/>
          <w:sz w:val="20"/>
        </w:rPr>
      </w:pPr>
      <w:bookmarkStart w:id="93" w:name="_Hlk3289883"/>
      <w:bookmarkEnd w:id="93"/>
      <w:r>
        <w:rPr>
          <w:rFonts w:ascii="Times New Roman;Times;serif" w:hAnsi="Times New Roman;Times;serif"/>
          <w:sz w:val="20"/>
        </w:rPr>
        <w:t>The following table sets forth certain information regarding each director nominee:</w:t>
      </w:r>
    </w:p>
    <w:tbl>
      <w:tblPr>
        <w:tblW w:w="10205" w:type="dxa"/>
        <w:jc w:val="left"/>
        <w:tblInd w:w="0" w:type="dxa"/>
        <w:tblCellMar>
          <w:top w:w="0" w:type="dxa"/>
          <w:left w:w="0" w:type="dxa"/>
          <w:bottom w:w="0" w:type="dxa"/>
          <w:right w:w="0" w:type="dxa"/>
        </w:tblCellMar>
      </w:tblPr>
      <w:tblGrid>
        <w:gridCol w:w="1549"/>
        <w:gridCol w:w="326"/>
        <w:gridCol w:w="391"/>
        <w:gridCol w:w="326"/>
        <w:gridCol w:w="2574"/>
        <w:gridCol w:w="326"/>
        <w:gridCol w:w="4713"/>
      </w:tblGrid>
      <w:tr>
        <w:trPr/>
        <w:tc>
          <w:tcPr>
            <w:tcW w:w="1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713" w:type="dxa"/>
            <w:tcBorders/>
            <w:shd w:fill="auto" w:val="clear"/>
            <w:vAlign w:val="center"/>
          </w:tcPr>
          <w:p>
            <w:pPr>
              <w:pStyle w:val="TableContents"/>
              <w:spacing w:before="0" w:after="0"/>
              <w:ind w:left="0" w:right="0" w:hanging="0"/>
              <w:rPr/>
            </w:pPr>
            <w:r>
              <w:rPr/>
              <w:t>​</w:t>
            </w:r>
          </w:p>
        </w:tc>
      </w:tr>
      <w:tr>
        <w:trPr/>
        <w:tc>
          <w:tcPr>
            <w:tcW w:w="15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713" w:type="dxa"/>
            <w:tcBorders/>
            <w:shd w:fill="auto" w:val="clear"/>
            <w:vAlign w:val="center"/>
          </w:tcPr>
          <w:p>
            <w:pPr>
              <w:pStyle w:val="TableContents"/>
              <w:spacing w:before="0" w:after="0"/>
              <w:ind w:left="0" w:right="0" w:hanging="0"/>
              <w:rPr/>
            </w:pPr>
            <w:r>
              <w:rPr/>
              <w:t>​</w:t>
            </w:r>
          </w:p>
        </w:tc>
      </w:tr>
      <w:tr>
        <w:trPr/>
        <w:tc>
          <w:tcPr>
            <w:tcW w:w="154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257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471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 Membership</w:t>
            </w:r>
          </w:p>
        </w:tc>
      </w:tr>
      <w:tr>
        <w:trPr/>
        <w:tc>
          <w:tcPr>
            <w:tcW w:w="1549"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spacing w:before="0" w:after="0"/>
              <w:ind w:left="0" w:right="0" w:hanging="0"/>
              <w:rPr/>
            </w:pPr>
            <w:r>
              <w:rPr/>
              <w:t>​</w:t>
            </w:r>
          </w:p>
        </w:tc>
        <w:tc>
          <w:tcPr>
            <w:tcW w:w="391"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spacing w:before="0" w:after="0"/>
              <w:ind w:left="0" w:right="0" w:hanging="0"/>
              <w:rPr/>
            </w:pPr>
            <w:r>
              <w:rPr/>
              <w:t>​</w:t>
            </w:r>
          </w:p>
        </w:tc>
        <w:tc>
          <w:tcPr>
            <w:tcW w:w="2574"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and Chief Executive Officer</w:t>
            </w:r>
          </w:p>
        </w:tc>
        <w:tc>
          <w:tcPr>
            <w:tcW w:w="326" w:type="dxa"/>
            <w:tcBorders/>
            <w:shd w:fill="CCEEFF" w:val="clear"/>
            <w:vAlign w:val="center"/>
          </w:tcPr>
          <w:p>
            <w:pPr>
              <w:pStyle w:val="TableContents"/>
              <w:spacing w:before="0" w:after="0"/>
              <w:ind w:left="0" w:right="0" w:hanging="0"/>
              <w:rPr/>
            </w:pPr>
            <w:r>
              <w:rPr/>
              <w:t>​</w:t>
            </w:r>
          </w:p>
        </w:tc>
        <w:tc>
          <w:tcPr>
            <w:tcW w:w="4713"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None</w:t>
            </w:r>
          </w:p>
        </w:tc>
      </w:tr>
      <w:tr>
        <w:trPr/>
        <w:tc>
          <w:tcPr>
            <w:tcW w:w="15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Sara R. Dial</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0"/>
              <w:ind w:left="0" w:right="0" w:hanging="0"/>
              <w:rPr/>
            </w:pPr>
            <w:r>
              <w:rPr/>
              <w:t>​</w:t>
            </w:r>
          </w:p>
        </w:tc>
        <w:tc>
          <w:tcPr>
            <w:tcW w:w="25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(Lead Independent Director)</w:t>
            </w:r>
          </w:p>
        </w:tc>
        <w:tc>
          <w:tcPr>
            <w:tcW w:w="326" w:type="dxa"/>
            <w:tcBorders/>
            <w:shd w:fill="auto" w:val="clear"/>
            <w:vAlign w:val="center"/>
          </w:tcPr>
          <w:p>
            <w:pPr>
              <w:pStyle w:val="TableContents"/>
              <w:spacing w:before="0" w:after="0"/>
              <w:ind w:left="0" w:right="0" w:hanging="0"/>
              <w:rPr/>
            </w:pPr>
            <w:r>
              <w:rPr/>
              <w:t>​</w:t>
            </w:r>
          </w:p>
        </w:tc>
        <w:tc>
          <w:tcPr>
            <w:tcW w:w="47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Nominating and Corporate Governance; Compensation; and Audit</w:t>
            </w:r>
          </w:p>
        </w:tc>
      </w:tr>
      <w:tr>
        <w:trPr/>
        <w:tc>
          <w:tcPr>
            <w:tcW w:w="15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Jack A. Henry</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spacing w:before="0" w:after="0"/>
              <w:ind w:left="0" w:right="0" w:hanging="0"/>
              <w:rPr/>
            </w:pPr>
            <w:r>
              <w:rPr/>
              <w:t>​</w:t>
            </w:r>
          </w:p>
        </w:tc>
        <w:tc>
          <w:tcPr>
            <w:tcW w:w="25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CCEEFF" w:val="clear"/>
            <w:vAlign w:val="center"/>
          </w:tcPr>
          <w:p>
            <w:pPr>
              <w:pStyle w:val="TableContents"/>
              <w:spacing w:before="0" w:after="0"/>
              <w:ind w:left="0" w:right="0" w:hanging="0"/>
              <w:rPr/>
            </w:pPr>
            <w:r>
              <w:rPr/>
              <w:t>​</w:t>
            </w:r>
          </w:p>
        </w:tc>
        <w:tc>
          <w:tcPr>
            <w:tcW w:w="47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Audit (chair); Nominating and Corporate Governance; and Compensation</w:t>
            </w:r>
          </w:p>
        </w:tc>
      </w:tr>
      <w:tr>
        <w:trPr/>
        <w:tc>
          <w:tcPr>
            <w:tcW w:w="15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Lisa Graham Keegan</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326" w:type="dxa"/>
            <w:tcBorders/>
            <w:shd w:fill="auto" w:val="clear"/>
            <w:vAlign w:val="center"/>
          </w:tcPr>
          <w:p>
            <w:pPr>
              <w:pStyle w:val="TableContents"/>
              <w:spacing w:before="0" w:after="0"/>
              <w:ind w:left="0" w:right="0" w:hanging="0"/>
              <w:rPr/>
            </w:pPr>
            <w:r>
              <w:rPr/>
              <w:t>​</w:t>
            </w:r>
          </w:p>
        </w:tc>
        <w:tc>
          <w:tcPr>
            <w:tcW w:w="25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0"/>
              <w:ind w:left="0" w:right="0" w:hanging="0"/>
              <w:rPr/>
            </w:pPr>
            <w:r>
              <w:rPr/>
              <w:t>​</w:t>
            </w:r>
          </w:p>
        </w:tc>
        <w:tc>
          <w:tcPr>
            <w:tcW w:w="47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Nominating and Corporate Governance (chair); Compensation; and Audit</w:t>
            </w:r>
          </w:p>
        </w:tc>
      </w:tr>
      <w:tr>
        <w:trPr/>
        <w:tc>
          <w:tcPr>
            <w:tcW w:w="15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Chevy Humphrey</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0"/>
              <w:ind w:left="0" w:right="0" w:hanging="0"/>
              <w:rPr/>
            </w:pPr>
            <w:r>
              <w:rPr/>
              <w:t>​</w:t>
            </w:r>
          </w:p>
        </w:tc>
        <w:tc>
          <w:tcPr>
            <w:tcW w:w="25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CCEEFF" w:val="clear"/>
            <w:vAlign w:val="center"/>
          </w:tcPr>
          <w:p>
            <w:pPr>
              <w:pStyle w:val="TableContents"/>
              <w:spacing w:before="0" w:after="0"/>
              <w:ind w:left="0" w:right="0" w:hanging="0"/>
              <w:rPr/>
            </w:pPr>
            <w:r>
              <w:rPr/>
              <w:t>​</w:t>
            </w:r>
          </w:p>
        </w:tc>
        <w:tc>
          <w:tcPr>
            <w:tcW w:w="47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Compensation (chair); Nominating and Corporate Governance; and Audit</w:t>
            </w:r>
          </w:p>
        </w:tc>
      </w:tr>
      <w:tr>
        <w:trPr/>
        <w:tc>
          <w:tcPr>
            <w:tcW w:w="15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M. Adame</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auto" w:val="clear"/>
            <w:vAlign w:val="center"/>
          </w:tcPr>
          <w:p>
            <w:pPr>
              <w:pStyle w:val="TableContents"/>
              <w:spacing w:before="0" w:after="0"/>
              <w:ind w:left="0" w:right="0" w:hanging="0"/>
              <w:rPr/>
            </w:pPr>
            <w:r>
              <w:rPr/>
              <w:t>​</w:t>
            </w:r>
          </w:p>
        </w:tc>
        <w:tc>
          <w:tcPr>
            <w:tcW w:w="25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0"/>
              <w:ind w:left="0" w:right="0" w:hanging="0"/>
              <w:rPr/>
            </w:pPr>
            <w:r>
              <w:rPr/>
              <w:t>​</w:t>
            </w:r>
          </w:p>
        </w:tc>
        <w:tc>
          <w:tcPr>
            <w:tcW w:w="47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Nominating and Corporate Governance; Compensation; and Audit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261"/>
        <w:gridCol w:w="326"/>
        <w:gridCol w:w="7618"/>
      </w:tblGrid>
      <w:tr>
        <w:trPr/>
        <w:tc>
          <w:tcPr>
            <w:tcW w:w="2261" w:type="dxa"/>
            <w:tcBorders/>
            <w:shd w:fill="auto" w:val="clear"/>
            <w:vAlign w:val="center"/>
          </w:tcPr>
          <w:p>
            <w:pPr>
              <w:pStyle w:val="TableContents"/>
              <w:spacing w:before="0" w:after="0"/>
              <w:ind w:left="0" w:right="0" w:hanging="0"/>
              <w:rPr/>
            </w:pPr>
            <w:r>
              <w:rPr/>
              <w:drawing>
                <wp:inline distT="0" distB="0" distL="0" distR="0">
                  <wp:extent cx="1371600" cy="1828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71600" cy="1828800"/>
                          </a:xfrm>
                          <a:prstGeom prst="rect">
                            <a:avLst/>
                          </a:prstGeom>
                        </pic:spPr>
                      </pic:pic>
                    </a:graphicData>
                  </a:graphic>
                </wp:inline>
              </w:drawing>
            </w:r>
          </w:p>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6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0"/>
              </w:rPr>
              <w:t>Brian E. Mueller</w:t>
            </w:r>
            <w:r>
              <w:rPr>
                <w:rFonts w:ascii="Times New Roman;Times;serif" w:hAnsi="Times New Roman;Times;serif"/>
                <w:sz w:val="20"/>
              </w:rPr>
              <w:t xml:space="preserve"> has been serving as our Chief Executive Officer since July 1, 2008, as a director since March 2009, and as the Chairman of our Board since January 2017. Since July 1, 2018, Mr. Mueller has also served as the President of Grand Canyon University, an independent non-profit Arizona corporation that is our most significant university partner. From 2012 to 2018, Mr. Mueller served as the President of Grand Canyon University when it was owned and operated by the Company. See Policies and Procedures for Related Party Transactions.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day-to-day leadership and intimate knowledge of our business and operations, provide the Board of Directors with both industry-wide and Company-specific experience and expertise.</w:t>
            </w:r>
          </w:p>
        </w:tc>
      </w:tr>
      <w:tr>
        <w:trPr/>
        <w:tc>
          <w:tcPr>
            <w:tcW w:w="226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7618" w:type="dxa"/>
            <w:tcBorders/>
            <w:shd w:fill="auto" w:val="clear"/>
            <w:vAlign w:val="center"/>
          </w:tcPr>
          <w:p>
            <w:pPr>
              <w:pStyle w:val="TableContents"/>
              <w:spacing w:before="0" w:after="283"/>
              <w:ind w:left="0" w:right="0" w:hanging="0"/>
              <w:rPr>
                <w:sz w:val="4"/>
                <w:szCs w:val="4"/>
              </w:rPr>
            </w:pPr>
            <w:r>
              <w:rPr>
                <w:sz w:val="4"/>
                <w:szCs w:val="4"/>
              </w:rPr>
            </w:r>
          </w:p>
        </w:tc>
      </w:tr>
      <w:tr>
        <w:trPr/>
        <w:tc>
          <w:tcPr>
            <w:tcW w:w="2261" w:type="dxa"/>
            <w:tcBorders/>
            <w:shd w:fill="auto" w:val="clear"/>
            <w:vAlign w:val="center"/>
          </w:tcPr>
          <w:p>
            <w:pPr>
              <w:pStyle w:val="TableContents"/>
              <w:spacing w:before="0" w:after="0"/>
              <w:ind w:left="0" w:right="0" w:hanging="0"/>
              <w:rPr/>
            </w:pPr>
            <w:r>
              <w:rPr/>
              <w:drawing>
                <wp:inline distT="0" distB="0" distL="0" distR="0">
                  <wp:extent cx="1371600" cy="1828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71600" cy="1828800"/>
                          </a:xfrm>
                          <a:prstGeom prst="rect">
                            <a:avLst/>
                          </a:prstGeom>
                        </pic:spPr>
                      </pic:pic>
                    </a:graphicData>
                  </a:graphic>
                </wp:inline>
              </w:drawing>
            </w:r>
          </w:p>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18" w:type="dxa"/>
            <w:tcBorders/>
            <w:shd w:fill="auto"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i/>
                <w:sz w:val="20"/>
              </w:rPr>
              <w:t>Sara R. Dial</w:t>
            </w:r>
            <w:r>
              <w:rPr>
                <w:rFonts w:ascii="Times New Roman;Times;serif" w:hAnsi="Times New Roman;Times;serif"/>
                <w:sz w:val="20"/>
              </w:rPr>
              <w:t xml:space="preserve"> has been serving as a member of our Board of Directors since March 2013, and as the lead independent director since January 2017. Ms. Dial has served as President and Chief Executive Officer of Sara Dial &amp; Associates, an executive coaching and economic development consulting firm specializing in site selection and government relations since 1996. From 1993 to 1996, Ms. Dial served as the director of the Arizona Department of Commerce, having previously served as the finance director from 1991 to 1993. Prior to her work in the public sector, Ms. Dial worked in the investment banking industry. Currently, Ms. Dial is a director for WillScot Mobile Mini Holdings Corp., a publicly traded provider of portable storage and mobile office solutions. Ms. Dial was previously a member of the board of trustees at Seattle Pacific University. Ms. Dial is a graduate of Stanford University with a Bachelor of Arts degree in international relations. Ms. Dial is NACD (National Association of Corporate Directors) Directorship Certified. The NACD Directorship Certification program equips directors with the foundation of knowledge sought by boards to effectively contribute in the boardroom. NACD Directorship Certified directors pass a foundational exam developed by experienced directors and, via continuing recertification requirements, commit to continuing education on governance and emerging issues impacting the businesses they service in order to elevate the profession of directorship. We believe Ms. Dial’s extensive experience with government, higher education and economic development provides a tremendous resource to our Board of Directors and management team, particularly in the areas of government relations, finance and corporate governance.</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01"/>
        <w:gridCol w:w="109"/>
        <w:gridCol w:w="7795"/>
      </w:tblGrid>
      <w:tr>
        <w:trPr/>
        <w:tc>
          <w:tcPr>
            <w:tcW w:w="2301" w:type="dxa"/>
            <w:tcBorders/>
            <w:shd w:fill="auto" w:val="clear"/>
            <w:vAlign w:val="center"/>
          </w:tcPr>
          <w:p>
            <w:pPr>
              <w:pStyle w:val="TableContents"/>
              <w:spacing w:before="0" w:after="0"/>
              <w:ind w:left="0" w:right="0" w:hanging="0"/>
              <w:rPr/>
            </w:pPr>
            <w:r>
              <w:rPr/>
              <w:drawing>
                <wp:inline distT="0" distB="0" distL="0" distR="0">
                  <wp:extent cx="1371600" cy="1828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71600" cy="1828800"/>
                          </a:xfrm>
                          <a:prstGeom prst="rect">
                            <a:avLst/>
                          </a:prstGeom>
                        </pic:spPr>
                      </pic:pic>
                    </a:graphicData>
                  </a:graphic>
                </wp:inline>
              </w:drawing>
            </w:r>
          </w:p>
        </w:tc>
        <w:tc>
          <w:tcPr>
            <w:tcW w:w="109" w:type="dxa"/>
            <w:tcBorders/>
            <w:shd w:fill="auto" w:val="clear"/>
            <w:vAlign w:val="center"/>
          </w:tcPr>
          <w:p>
            <w:pPr>
              <w:pStyle w:val="TableContents"/>
              <w:spacing w:before="0" w:after="0"/>
              <w:ind w:left="0" w:right="0" w:hanging="0"/>
              <w:rPr/>
            </w:pPr>
            <w:r>
              <w:rPr/>
              <w:t>​</w:t>
            </w:r>
          </w:p>
        </w:tc>
        <w:tc>
          <w:tcPr>
            <w:tcW w:w="779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0"/>
              </w:rPr>
              <w:t>Jack A. Henry</w:t>
            </w:r>
            <w:r>
              <w:rPr>
                <w:rFonts w:ascii="Times New Roman;Times;serif" w:hAnsi="Times New Roman;Times;serif"/>
                <w:sz w:val="20"/>
              </w:rPr>
              <w:t xml:space="preserve"> has been serving as a member of our Board of Directors since November 2008. Since 2000, Mr. Henry has served as the Managing Director of Sierra Blanca Ventures, LLC, a private investment and consulting firm. From 1966 to 2000, Mr. Henry worked as a certified public accountant for Arthur Andersen, a national accounting firm, retiring in 2000 as the Managing Partner of the Phoenix, Arizona office. Mr. Henry previously served on the board of directors of nine other public reporting companies and seven private companies. Mr. Henry also currently serves on the board of directors and as chair of the audit committee of a private company. He is past President and founder of the Arizona Chapter of the National Association of Corporate Directors having served in that capacity for 16 years. Mr. Henry previously served on numerous community and nonprofit organizations including chairman of the Arizona Chamber of Commerce, Greater Phoenix Leadership, Greater Phoenix Economic Council, Junior Achievement of Central Arizona. Mr. Henry also was a member of the Super Bowl ’96 Executive Committee, Arizona Business Hall of Fame, Arizona Economic Forum and the Violence Prevention Initiative. Mr. Henry has spoken and consulted on audit committee and corporate governance matters.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tc>
      </w:tr>
      <w:tr>
        <w:trPr/>
        <w:tc>
          <w:tcPr>
            <w:tcW w:w="230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795" w:type="dxa"/>
            <w:tcBorders/>
            <w:shd w:fill="auto" w:val="clear"/>
            <w:vAlign w:val="center"/>
          </w:tcPr>
          <w:p>
            <w:pPr>
              <w:pStyle w:val="TableContents"/>
              <w:spacing w:before="0" w:after="0"/>
              <w:ind w:left="0" w:right="0" w:hanging="0"/>
              <w:rPr/>
            </w:pPr>
            <w:r>
              <w:rPr/>
              <w:t>​</w:t>
            </w:r>
          </w:p>
        </w:tc>
      </w:tr>
      <w:tr>
        <w:trPr/>
        <w:tc>
          <w:tcPr>
            <w:tcW w:w="2301" w:type="dxa"/>
            <w:tcBorders/>
            <w:shd w:fill="auto" w:val="clear"/>
            <w:vAlign w:val="center"/>
          </w:tcPr>
          <w:p>
            <w:pPr>
              <w:pStyle w:val="TableContents"/>
              <w:spacing w:before="0" w:after="0"/>
              <w:ind w:left="0" w:right="0" w:hanging="0"/>
              <w:rPr/>
            </w:pPr>
            <w:r>
              <w:rPr/>
              <w:drawing>
                <wp:inline distT="0" distB="0" distL="0" distR="0">
                  <wp:extent cx="1397000" cy="2095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97000" cy="2095500"/>
                          </a:xfrm>
                          <a:prstGeom prst="rect">
                            <a:avLst/>
                          </a:prstGeom>
                        </pic:spPr>
                      </pic:pic>
                    </a:graphicData>
                  </a:graphic>
                </wp:inline>
              </w:drawing>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795" w:type="dxa"/>
            <w:tcBorders/>
            <w:shd w:fill="auto"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i/>
                <w:sz w:val="20"/>
              </w:rPr>
              <w:t>Lisa Graham Keegan</w:t>
            </w:r>
            <w:r>
              <w:rPr>
                <w:rFonts w:ascii="Times New Roman;Times;serif" w:hAnsi="Times New Roman;Times;serif"/>
                <w:sz w:val="20"/>
              </w:rPr>
              <w:t xml:space="preserve"> has been serving as a member of our Board of Directors since August 2019. Since 2001, Ms. Keegan has served as the Principal Partner at The Keegan Company, an education policy consulting firm, where she leads numerous projects, writes, and speaks on critical issues in American education. From 1991 to 2001, Ms. Keegan served as an Arizona elected official, first in the Arizona House of Representatives from 1991 to 1995, where she chaired the House Education Committee and oversaw the K-12, community college and university education budgets on the Appropriations Committee, and later as the Arizona Superintendent of Public Instruction from 1995 to 2001, where she oversaw Arizona’s public school system and directed the state’s Department of Education. In 2000 and 2008, respectively, Ms. Keegan served as education advisor to the John McCain campaigns for President. Ms. Keegan serves on the boards of the Grand Canyon Council Boy Scouts of America: 50 CAN, The 50-State Campaign for Achievement Now education advocacy organization; the National School Choice Awareness Foundation, an education organization focused on increasing parental awareness of school options; The Foundation For Advancing Alcohol Responsibility (Responsibility.org) National Advisory Board; and The Common Sense Institute of Arizona, a non-partisan research organization dedicated to the protection and promotion of Arizona’s economy. Ms. Keegan received a Bachelor of Arts degree from Stanford University and a Masters’ Degree from Arizona State University. We believe Ms. Keegan’s extensive experience with education and public office experience provides a tremendous resource to our Board of Directors and management team, particularly in the areas of operations and finance.</w:t>
            </w:r>
          </w:p>
          <w:p>
            <w:pPr>
              <w:pStyle w:val="TableContents"/>
              <w:spacing w:before="0" w:after="0"/>
              <w:ind w:left="0" w:right="0" w:hanging="0"/>
              <w:rPr/>
            </w:pPr>
            <w:r>
              <w:rPr/>
              <w:t>​</w:t>
            </w:r>
          </w:p>
        </w:tc>
      </w:tr>
      <w:tr>
        <w:trPr/>
        <w:tc>
          <w:tcPr>
            <w:tcW w:w="230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779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39"/>
        <w:gridCol w:w="109"/>
        <w:gridCol w:w="7757"/>
      </w:tblGrid>
      <w:tr>
        <w:trPr/>
        <w:tc>
          <w:tcPr>
            <w:tcW w:w="2339" w:type="dxa"/>
            <w:tcBorders/>
            <w:shd w:fill="auto" w:val="clear"/>
            <w:vAlign w:val="center"/>
          </w:tcPr>
          <w:p>
            <w:pPr>
              <w:pStyle w:val="TableContents"/>
              <w:spacing w:before="0" w:after="0"/>
              <w:ind w:left="0" w:right="0" w:hanging="0"/>
              <w:rPr/>
            </w:pPr>
            <w:r>
              <w:rPr/>
              <w:drawing>
                <wp:inline distT="0" distB="0" distL="0" distR="0">
                  <wp:extent cx="1421130" cy="21316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21130" cy="2131695"/>
                          </a:xfrm>
                          <a:prstGeom prst="rect">
                            <a:avLst/>
                          </a:prstGeom>
                        </pic:spPr>
                      </pic:pic>
                    </a:graphicData>
                  </a:graphic>
                </wp:inline>
              </w:drawing>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7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0"/>
              </w:rPr>
              <w:t>Chevy Humphrey</w:t>
            </w:r>
            <w:r>
              <w:rPr>
                <w:rFonts w:ascii="Times New Roman;Times;serif" w:hAnsi="Times New Roman;Times;serif"/>
                <w:sz w:val="20"/>
              </w:rPr>
              <w:t xml:space="preserve"> has been serving as a member of our Board of Directors since August 2019. Ms. Humphrey is the first Black American to head a science center in the United States and, in January 2021, Ms. Humphrey became the first women and first Black American to lead the Museum of Science and Industry (“MSI”), in Chicago, Illinois. Before joining MSI, Ms. Humphrey had served as President and CEO of the Arizona Science Center, one of the nation’s premier science and education centers, since 2005. During her tenure at Arizona Science Center, Ms. Humphrey secured numerous national competitive and prestigious grants for the Arizona Science Center from organizations such as the National Institutes for Health and the National Science Foundation and has been recognized by the Phoenix Business Journal as a Most Admired CEO and by the Women’s National Basketball Association as a Visionary Leader. Ms. Humphrey currently serves as a board member and Chair of the American Alliance of Museums, an organization that supports more than 35,000 museums, zoos, science centers and similar organizations. Ms. Humphrey serves as a board member of College Success Arizona, an organization focused on increasing the post-secondary attainment rates of Arizona students, and the Sandra Day O’Connor Institute, an organization that advances civics education, civic engagement and civil discourse. Ms. Humphrey also serves as a board member of Helios Education Foundation and Argonne National Laboratory. Ms. Humphrey received a Bachelor of Business degree with a concentration in Marketing from the University of Phoenix, a Master of Business Administration degree from Northeastern University with specializations in Marketing and Entrepreneurship/Innovation, and is pursuing her Doctorate of Business Administration from Grand Canyon University. We believe Ms. Humphrey’s extensive experience and STEM related experience provides a tremendous resource to our Board of Directors and management team, particularly in the areas of operations, finance, and corporate governance.</w:t>
            </w:r>
          </w:p>
        </w:tc>
      </w:tr>
      <w:tr>
        <w:trPr/>
        <w:tc>
          <w:tcPr>
            <w:tcW w:w="233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757" w:type="dxa"/>
            <w:tcBorders/>
            <w:shd w:fill="auto" w:val="clear"/>
            <w:vAlign w:val="center"/>
          </w:tcPr>
          <w:p>
            <w:pPr>
              <w:pStyle w:val="TableContents"/>
              <w:spacing w:before="0" w:after="0"/>
              <w:ind w:left="0" w:right="0" w:hanging="0"/>
              <w:rPr/>
            </w:pPr>
            <w:r>
              <w:rPr/>
              <w:t>​</w:t>
            </w:r>
          </w:p>
        </w:tc>
      </w:tr>
      <w:tr>
        <w:trPr/>
        <w:tc>
          <w:tcPr>
            <w:tcW w:w="2339" w:type="dxa"/>
            <w:tcBorders/>
            <w:shd w:fill="auto" w:val="clear"/>
            <w:vAlign w:val="center"/>
          </w:tcPr>
          <w:p>
            <w:pPr>
              <w:pStyle w:val="TableContents"/>
              <w:spacing w:before="0" w:after="0"/>
              <w:ind w:left="0" w:right="0" w:hanging="0"/>
              <w:rPr/>
            </w:pPr>
            <w:r>
              <w:rPr/>
              <w:drawing>
                <wp:inline distT="0" distB="0" distL="0" distR="0">
                  <wp:extent cx="1417320" cy="21304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17320" cy="2130425"/>
                          </a:xfrm>
                          <a:prstGeom prst="rect">
                            <a:avLst/>
                          </a:prstGeom>
                        </pic:spPr>
                      </pic:pic>
                    </a:graphicData>
                  </a:graphic>
                </wp:inline>
              </w:drawing>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757" w:type="dxa"/>
            <w:tcBorders/>
            <w:shd w:fill="auto" w:val="clear"/>
            <w:vAlign w:val="center"/>
          </w:tcPr>
          <w:p>
            <w:pPr>
              <w:pStyle w:val="TableContents"/>
              <w:spacing w:before="0" w:after="0"/>
              <w:ind w:left="0" w:right="0" w:firstLine="490"/>
              <w:rPr>
                <w:rFonts w:ascii="Times New Roman;Times;serif" w:hAnsi="Times New Roman;Times;serif"/>
                <w:sz w:val="20"/>
              </w:rPr>
            </w:pPr>
            <w:r>
              <w:rPr>
                <w:rFonts w:ascii="Times New Roman;Times;serif" w:hAnsi="Times New Roman;Times;serif"/>
                <w:i/>
                <w:spacing w:val="-1"/>
                <w:sz w:val="20"/>
                <w:highlight w:val="white"/>
              </w:rPr>
              <w:t>David M. Adame</w:t>
            </w:r>
            <w:r>
              <w:rPr>
                <w:rFonts w:ascii="Times New Roman;Times;serif" w:hAnsi="Times New Roman;Times;serif"/>
                <w:spacing w:val="-1"/>
                <w:sz w:val="20"/>
                <w:highlight w:val="white"/>
              </w:rPr>
              <w:t> has been serving as a member of our Board since June 22, 2021. Mr. Adame currently serves as President and CEO of Chicanos Por La Causa (“CPLC”). Mr. Adame has been with CPLC since 2008, serving as Chief Operating Officer and Chief Financial Officer prior to becoming President and CEO. From 2003 to 2008, he was Vice President of Arizona Operations for McCormack Baron &amp; Salazar, responsible for overseeing the firm’s role in Henson Village, a HOPE VI project in Phoenix. From 1997 to 2003, he served as Senior Deputy Director of Fannie Mae’s Arizona Partnership Office. From 1994 to 1997, he served as a Program Officer with the Phoenix Office of the Local Initiatives Support Corporation (“LISC”) where he managed the HOMESTART program. Prior to 1994 he worked at JPMorgan Chase &amp; Co. (then called Bank One Arizona) for eight years, including as Corporate Banking Associate and later as Assistant Vice President in the Retail Business Loan Center. Over the years, Mr. Adame has served on numerous boards including: the Greater Phoenix Economic Council; the AARP Foundation; the National Association for Latino Community Asset Builders; the Arizona-Mexico Commission; the Maricopa Community Colleges Foundation; Unidos US; the Community Reinvestment Fund USA; the Creighton University Presidential Health Sciences Phoenix Advisory Board; and the Arizona Housing Commission. Recent honors include the Individual Hero of Education Award by Maricopa Community Colleges and the Maricopa Community Colleges Foundation, and the Lifetime Achievement Award by the Arizona Asian Chamber of Commerce. Mr. Adame received a Bachelor of Science in Business degree from Arizona State University (“ASU”) and a Master’s in Business Administration from the ASU School of Global Management. He was awarded an Honorary Doctorate in Humane Letters from the University of Arizona, and an Honorary Doctorate from the National Autonomous University of Mexico.</w:t>
            </w:r>
            <w:r>
              <w:rPr>
                <w:rFonts w:ascii="Times New Roman;Times;serif" w:hAnsi="Times New Roman;Times;serif"/>
                <w:spacing w:val="-1"/>
                <w:sz w:val="20"/>
              </w:rPr>
              <w:t xml:space="preserve"> We believe Mr. Adame’s extensive experience provides a tremendous resource to our Board of Directors and management team, particularly in the areas of operations, finance, and corporate governance.</w:t>
            </w:r>
          </w:p>
        </w:tc>
      </w:tr>
    </w:tbl>
    <w:p>
      <w:pPr>
        <w:pStyle w:val="TextBody"/>
        <w:spacing w:before="60" w:after="0"/>
        <w:ind w:left="0" w:right="0" w:firstLine="720"/>
        <w:rPr>
          <w:rFonts w:ascii="Times New Roman;Times;serif" w:hAnsi="Times New Roman;Times;serif"/>
          <w:sz w:val="20"/>
        </w:rPr>
      </w:pPr>
      <w:r>
        <w:rPr>
          <w:rFonts w:ascii="Times New Roman;Times;serif" w:hAnsi="Times New Roman;Times;serif"/>
          <w:b/>
          <w:sz w:val="20"/>
        </w:rPr>
        <w:t>Our Board of Directors unanimously recommends that the stockholders vote FOR</w:t>
      </w:r>
      <w:r>
        <w:rPr>
          <w:rFonts w:ascii="Times New Roman;Times;serif" w:hAnsi="Times New Roman;Times;serif"/>
          <w:sz w:val="20"/>
        </w:rPr>
        <w:t xml:space="preserve"> </w:t>
      </w:r>
      <w:r>
        <w:rPr>
          <w:rFonts w:ascii="Times New Roman;Times;serif" w:hAnsi="Times New Roman;Times;serif"/>
          <w:b/>
          <w:sz w:val="20"/>
        </w:rPr>
        <w:t>the election of each of the six nominees listed above to constitute our Board of Directors.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4" w:name="PROPOSALNO2_534055"/>
      <w:bookmarkStart w:id="95" w:name="_e80dc2b5_8bc0_4791_a8b4_a3902e89226d"/>
      <w:bookmarkEnd w:id="94"/>
      <w:bookmarkEnd w:id="95"/>
      <w:r>
        <w:rPr>
          <w:rFonts w:ascii="Times New Roman;Times;serif" w:hAnsi="Times New Roman;Times;serif"/>
          <w:b/>
          <w:sz w:val="20"/>
        </w:rPr>
        <w:t>PROPOSAL NO. 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ADVISORY VOTE TO APPROVE NAMED EXECUTIVE OFFICER COMPENSATION</w:t>
      </w:r>
    </w:p>
    <w:tbl>
      <w:tblPr>
        <w:tblW w:w="10205" w:type="dxa"/>
        <w:jc w:val="left"/>
        <w:tblInd w:w="0" w:type="dxa"/>
        <w:tblCellMar>
          <w:top w:w="28" w:type="dxa"/>
          <w:left w:w="28" w:type="dxa"/>
          <w:bottom w:w="0" w:type="dxa"/>
          <w:right w:w="0" w:type="dxa"/>
        </w:tblCellMar>
      </w:tblPr>
      <w:tblGrid>
        <w:gridCol w:w="1778"/>
        <w:gridCol w:w="326"/>
        <w:gridCol w:w="8101"/>
      </w:tblGrid>
      <w:tr>
        <w:trPr/>
        <w:tc>
          <w:tcPr>
            <w:tcW w:w="1778" w:type="dxa"/>
            <w:tcBorders>
              <w:top w:val="single" w:sz="2" w:space="0" w:color="000000"/>
              <w:left w:val="single" w:sz="2" w:space="0" w:color="000000"/>
            </w:tcBorders>
            <w:shd w:fill="auto" w:val="clear"/>
            <w:vAlign w:val="center"/>
          </w:tcPr>
          <w:p>
            <w:pPr>
              <w:pStyle w:val="TableContents"/>
              <w:spacing w:before="0" w:after="0"/>
              <w:ind w:left="0" w:right="0" w:hanging="0"/>
              <w:rPr/>
            </w:pPr>
            <w:r>
              <w:rPr/>
              <w:t>☐     </w:t>
            </w:r>
            <w:r>
              <w:rPr>
                <w:rFonts w:ascii="Times New Roman;Times;serif" w:hAnsi="Times New Roman;Times;serif"/>
                <w:b/>
                <w:i/>
                <w:sz w:val="20"/>
              </w:rPr>
              <w:t>What am I voting on?</w:t>
            </w:r>
          </w:p>
        </w:tc>
        <w:tc>
          <w:tcPr>
            <w:tcW w:w="326" w:type="dxa"/>
            <w:tcBorders>
              <w:top w:val="single" w:sz="2" w:space="0" w:color="000000"/>
            </w:tcBorders>
            <w:shd w:fill="auto" w:val="clear"/>
            <w:tcMar>
              <w:left w:w="0" w:type="dxa"/>
            </w:tcMar>
            <w:vAlign w:val="center"/>
          </w:tcPr>
          <w:p>
            <w:pPr>
              <w:pStyle w:val="TableContents"/>
              <w:spacing w:before="0" w:after="0"/>
              <w:ind w:left="0" w:right="0" w:hanging="0"/>
              <w:rPr/>
            </w:pPr>
            <w:r>
              <w:rPr/>
              <w:t>    </w:t>
            </w:r>
          </w:p>
        </w:tc>
        <w:tc>
          <w:tcPr>
            <w:tcW w:w="8101" w:type="dxa"/>
            <w:tcBorders>
              <w:top w:val="single" w:sz="2" w:space="0" w:color="000000"/>
              <w:right w:val="single" w:sz="2" w:space="0" w:color="000000"/>
            </w:tcBorders>
            <w:shd w:fill="auto" w:val="clear"/>
            <w:tcMar>
              <w:left w:w="0"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Stockholders are being asked to approve, on an advisory basis, the compensation of the named executive officers as described in the </w:t>
            </w:r>
            <w:r>
              <w:rPr>
                <w:rFonts w:ascii="Times New Roman;Times;serif" w:hAnsi="Times New Roman;Times;serif"/>
                <w:i/>
                <w:sz w:val="20"/>
              </w:rPr>
              <w:t>Compensation Discussion and Analysis</w:t>
            </w:r>
            <w:r>
              <w:rPr>
                <w:rFonts w:ascii="Times New Roman;Times;serif" w:hAnsi="Times New Roman;Times;serif"/>
                <w:sz w:val="20"/>
              </w:rPr>
              <w:t xml:space="preserve"> section and the related tables.</w:t>
            </w:r>
          </w:p>
        </w:tc>
      </w:tr>
      <w:tr>
        <w:trPr/>
        <w:tc>
          <w:tcPr>
            <w:tcW w:w="1778" w:type="dxa"/>
            <w:tcBorders>
              <w:left w:val="single" w:sz="2" w:space="0" w:color="000000"/>
            </w:tcBorders>
            <w:shd w:fill="auto" w:val="clear"/>
            <w:tcMar>
              <w:top w:w="0" w:type="dxa"/>
            </w:tcMar>
            <w:vAlign w:val="center"/>
          </w:tcPr>
          <w:p>
            <w:pPr>
              <w:pStyle w:val="TableContents"/>
              <w:spacing w:before="0" w:after="0"/>
              <w:ind w:left="0" w:right="0" w:hanging="0"/>
              <w:rPr/>
            </w:pPr>
            <w:r>
              <w:rPr/>
              <w:t>​</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101"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pPr>
            <w:r>
              <w:rPr/>
              <w:t>​</w:t>
            </w:r>
          </w:p>
        </w:tc>
      </w:tr>
      <w:tr>
        <w:trPr/>
        <w:tc>
          <w:tcPr>
            <w:tcW w:w="1778" w:type="dxa"/>
            <w:tcBorders>
              <w:left w:val="single" w:sz="2" w:space="0" w:color="000000"/>
            </w:tcBorders>
            <w:shd w:fill="auto" w:val="clear"/>
            <w:tcMar>
              <w:top w:w="0" w:type="dxa"/>
            </w:tcMar>
            <w:vAlign w:val="center"/>
          </w:tcPr>
          <w:p>
            <w:pPr>
              <w:pStyle w:val="TableContents"/>
              <w:spacing w:before="0" w:after="0"/>
              <w:ind w:left="0" w:right="0" w:hanging="0"/>
              <w:rPr/>
            </w:pPr>
            <w:r>
              <w:rPr/>
              <w:t>☐     </w:t>
            </w:r>
            <w:r>
              <w:rPr>
                <w:rFonts w:ascii="Times New Roman;Times;serif" w:hAnsi="Times New Roman;Times;serif"/>
                <w:b/>
                <w:i/>
                <w:sz w:val="20"/>
              </w:rPr>
              <w:t>Voting recommendation:</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101"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Our Board of Directors unanimously recommends that you vote “FOR” the advisory vote to approve the compensation of our named executive officers. The Compensation Committee takes very seriously its role in the governance of the Company’s compensation programs and will take into account the outcome of the advisory vote when considering future executive compensation decisions.</w:t>
            </w:r>
          </w:p>
        </w:tc>
      </w:tr>
      <w:tr>
        <w:trPr/>
        <w:tc>
          <w:tcPr>
            <w:tcW w:w="1778" w:type="dxa"/>
            <w:tcBorders>
              <w:left w:val="single" w:sz="2" w:space="0" w:color="000000"/>
            </w:tcBorders>
            <w:shd w:fill="auto" w:val="clear"/>
            <w:tcMar>
              <w:top w:w="0" w:type="dxa"/>
            </w:tcMar>
            <w:vAlign w:val="center"/>
          </w:tcPr>
          <w:p>
            <w:pPr>
              <w:pStyle w:val="TableContents"/>
              <w:spacing w:before="0" w:after="0"/>
              <w:ind w:left="0" w:right="0" w:hanging="0"/>
              <w:rPr/>
            </w:pPr>
            <w:r>
              <w:rPr/>
              <w:t>​</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101"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pPr>
            <w:r>
              <w:rPr/>
              <w:t>​</w:t>
            </w:r>
          </w:p>
        </w:tc>
      </w:tr>
      <w:tr>
        <w:trPr/>
        <w:tc>
          <w:tcPr>
            <w:tcW w:w="1778" w:type="dxa"/>
            <w:tcBorders>
              <w:left w:val="single" w:sz="2" w:space="0" w:color="000000"/>
              <w:bottom w:val="single" w:sz="2" w:space="0" w:color="000000"/>
            </w:tcBorders>
            <w:shd w:fill="auto" w:val="clear"/>
            <w:tcMar>
              <w:top w:w="0" w:type="dxa"/>
              <w:bottom w:w="28" w:type="dxa"/>
            </w:tcMar>
            <w:vAlign w:val="center"/>
          </w:tcPr>
          <w:p>
            <w:pPr>
              <w:pStyle w:val="TableContents"/>
              <w:spacing w:before="0" w:after="0"/>
              <w:ind w:left="0" w:right="0" w:hanging="0"/>
              <w:rPr/>
            </w:pPr>
            <w:r>
              <w:rPr/>
              <w:t>☐     </w:t>
            </w:r>
            <w:r>
              <w:rPr>
                <w:rFonts w:ascii="Times New Roman;Times;serif" w:hAnsi="Times New Roman;Times;serif"/>
                <w:b/>
                <w:i/>
                <w:sz w:val="20"/>
              </w:rPr>
              <w:t>Vote required:</w:t>
            </w:r>
          </w:p>
        </w:tc>
        <w:tc>
          <w:tcPr>
            <w:tcW w:w="326" w:type="dxa"/>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rPr/>
            </w:pPr>
            <w:r>
              <w:rPr/>
              <w:t>​</w:t>
            </w:r>
          </w:p>
        </w:tc>
        <w:tc>
          <w:tcPr>
            <w:tcW w:w="8101" w:type="dxa"/>
            <w:tcBorders>
              <w:bottom w:val="single" w:sz="2" w:space="0" w:color="000000"/>
              <w:right w:val="single" w:sz="2" w:space="0" w:color="000000"/>
            </w:tcBorders>
            <w:shd w:fill="auto" w:val="clear"/>
            <w:tcMar>
              <w:top w:w="0" w:type="dxa"/>
              <w:left w:w="0"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2017 Annual Meeting, our stockholders voted in favor of holding Say-On-Pay votes annually. In light of this result and other factors considered by the Board, the Board has determined that the Company will hold Say-On-Pay votes on an annual basis.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w:t>
      </w:r>
      <w:r>
        <w:rPr>
          <w:rFonts w:ascii="Times New Roman;Times;serif" w:hAnsi="Times New Roman;Times;serif"/>
          <w:i/>
          <w:sz w:val="20"/>
        </w:rPr>
        <w:t>Compensation Discussion and Analysis</w:t>
      </w:r>
      <w:r>
        <w:rPr>
          <w:rFonts w:ascii="Times New Roman;Times;serif" w:hAnsi="Times New Roman;Times;serif"/>
          <w:sz w:val="20"/>
        </w:rPr>
        <w:t xml:space="preserve"> section of this proxy statement for a detailed discussion about our executive compensation programs, including information about the fiscal year 2022 compensation of our named executive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w:t>
      </w:r>
      <w:r>
        <w:rPr>
          <w:rFonts w:ascii="Times New Roman;Times;serif" w:hAnsi="Times New Roman;Times;serif"/>
          <w:i/>
          <w:sz w:val="20"/>
        </w:rPr>
        <w:t>Compensation Discussion and Analysis</w:t>
      </w:r>
      <w:r>
        <w:rPr>
          <w:rFonts w:ascii="Times New Roman;Times;serif" w:hAnsi="Times New Roman;Times;serif"/>
          <w:sz w:val="20"/>
        </w:rPr>
        <w:t xml:space="preserve"> section of this proxy statement provides a more detailed discussion of our executive compensation program. We believe that the compensation program we follow helps us achieve our principal compensation objectives.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Stockholders will be asked at the Annual Meeting to approve the following resolution pursuant to this Proposal No. 2:</w:t>
      </w:r>
    </w:p>
    <w:p>
      <w:pPr>
        <w:pStyle w:val="TextBody"/>
        <w:spacing w:before="0" w:after="240"/>
        <w:ind w:left="0" w:right="0" w:firstLine="720"/>
        <w:rPr/>
      </w:pPr>
      <w:r>
        <w:rPr/>
        <w:t>“</w:t>
      </w:r>
      <w:r>
        <w:rPr>
          <w:rFonts w:ascii="Times New Roman;Times;serif" w:hAnsi="Times New Roman;Times;serif"/>
          <w:sz w:val="20"/>
        </w:rPr>
        <w:t>RESOLVED, that the stockholders of Grand Canyon Education, Inc. approve, on an advisory basis, the compensation of the Company’s named executive officers, disclosed pursuant to Item 402 of Regulation S-K in the Company’s definitive proxy statement for the 2023 Annual Meeting of Stockholders.”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sz w:val="20"/>
        </w:rPr>
        <w:t>Our Board of Directors unanimously recommends that you vote FOR</w:t>
      </w:r>
      <w:r>
        <w:rPr>
          <w:rFonts w:ascii="Times New Roman;Times;serif" w:hAnsi="Times New Roman;Times;serif"/>
          <w:sz w:val="20"/>
        </w:rPr>
        <w:t xml:space="preserve"> </w:t>
      </w:r>
      <w:r>
        <w:rPr>
          <w:rFonts w:ascii="Times New Roman;Times;serif" w:hAnsi="Times New Roman;Times;serif"/>
          <w:b/>
          <w:sz w:val="20"/>
        </w:rPr>
        <w:t>the resolution approving the compensation of our named executive officers as disclosed in this proxy statement.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96" w:name="EXECUTIVEOFFICERS_363481"/>
      <w:bookmarkStart w:id="97" w:name="_03667454_8481_44b2_95d6_d6d045652c4c"/>
      <w:bookmarkEnd w:id="96"/>
      <w:bookmarkEnd w:id="97"/>
      <w:r>
        <w:rPr>
          <w:rFonts w:ascii="Times New Roman;Times;serif" w:hAnsi="Times New Roman;Times;serif"/>
          <w:b/>
          <w:sz w:val="20"/>
        </w:rPr>
        <w:t>EXECUTIVE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sets forth information regarding our non-director executive officers as of the date of this proxy statement. For information regarding Brian E. Mueller, our Chairman and our Chief Executive Officer, see “Proposal No. 1 —   Election of Directors — Directors and Director Nominees.”</w:t>
      </w:r>
    </w:p>
    <w:tbl>
      <w:tblPr>
        <w:tblW w:w="6190" w:type="dxa"/>
        <w:jc w:val="left"/>
        <w:tblInd w:w="0" w:type="dxa"/>
        <w:tblCellMar>
          <w:top w:w="0" w:type="dxa"/>
          <w:left w:w="0" w:type="dxa"/>
          <w:bottom w:w="0" w:type="dxa"/>
          <w:right w:w="0" w:type="dxa"/>
        </w:tblCellMar>
      </w:tblPr>
      <w:tblGrid>
        <w:gridCol w:w="1666"/>
        <w:gridCol w:w="326"/>
        <w:gridCol w:w="391"/>
        <w:gridCol w:w="326"/>
        <w:gridCol w:w="348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57910" cy="175260"/>
                      <wp:effectExtent l="0" t="0" r="0" b="0"/>
                      <wp:wrapNone/>
                      <wp:docPr id="13" name="Frame1"/>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14"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48285" cy="175260"/>
                      <wp:effectExtent l="0" t="0" r="0" b="0"/>
                      <wp:wrapNone/>
                      <wp:docPr id="15" name="Frame3"/>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16"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10435" cy="175260"/>
                      <wp:effectExtent l="0" t="0" r="0" b="0"/>
                      <wp:wrapNone/>
                      <wp:docPr id="17" name="Frame5"/>
                      <a:graphic xmlns:a="http://schemas.openxmlformats.org/drawingml/2006/main">
                        <a:graphicData uri="http://schemas.microsoft.com/office/word/2010/wordprocessingShape">
                          <wps:wsp>
                            <wps:cNvSpPr txBox="1"/>
                            <wps:spPr>
                              <a:xfrm>
                                <a:off x="0" y="0"/>
                                <a:ext cx="2210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66"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4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Position</w:t>
            </w:r>
          </w:p>
        </w:tc>
      </w:tr>
      <w:tr>
        <w:trPr/>
        <w:tc>
          <w:tcPr>
            <w:tcW w:w="1666"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Dr. W. Stan Meyer</w:t>
            </w:r>
          </w:p>
        </w:tc>
        <w:tc>
          <w:tcPr>
            <w:tcW w:w="326" w:type="dxa"/>
            <w:tcBorders/>
            <w:shd w:fill="CCEEFF" w:val="clear"/>
            <w:vAlign w:val="center"/>
          </w:tcPr>
          <w:p>
            <w:pPr>
              <w:pStyle w:val="TableContents"/>
              <w:spacing w:before="0" w:after="0"/>
              <w:ind w:left="0" w:right="0" w:hanging="0"/>
              <w:rPr/>
            </w:pPr>
            <w:r>
              <w:rPr/>
              <w:t>​</w:t>
            </w:r>
          </w:p>
        </w:tc>
        <w:tc>
          <w:tcPr>
            <w:tcW w:w="391"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62 </w:t>
            </w:r>
          </w:p>
        </w:tc>
        <w:tc>
          <w:tcPr>
            <w:tcW w:w="326" w:type="dxa"/>
            <w:tcBorders/>
            <w:shd w:fill="CCEEFF" w:val="clear"/>
            <w:vAlign w:val="center"/>
          </w:tcPr>
          <w:p>
            <w:pPr>
              <w:pStyle w:val="TableContents"/>
              <w:spacing w:before="0" w:after="0"/>
              <w:ind w:left="0" w:right="0" w:hanging="0"/>
              <w:rPr/>
            </w:pPr>
            <w:r>
              <w:rPr/>
              <w:t>​</w:t>
            </w:r>
          </w:p>
        </w:tc>
        <w:tc>
          <w:tcPr>
            <w:tcW w:w="348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Operating Officer</w:t>
            </w:r>
          </w:p>
        </w:tc>
      </w:tr>
      <w:tr>
        <w:trPr/>
        <w:tc>
          <w:tcPr>
            <w:tcW w:w="16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52 </w:t>
            </w:r>
          </w:p>
        </w:tc>
        <w:tc>
          <w:tcPr>
            <w:tcW w:w="326" w:type="dxa"/>
            <w:tcBorders/>
            <w:shd w:fill="auto" w:val="clear"/>
            <w:vAlign w:val="center"/>
          </w:tcPr>
          <w:p>
            <w:pPr>
              <w:pStyle w:val="TableContents"/>
              <w:spacing w:before="0" w:after="0"/>
              <w:ind w:left="0" w:right="0" w:hanging="0"/>
              <w:rPr/>
            </w:pPr>
            <w:r>
              <w:rPr/>
              <w:t>​</w:t>
            </w:r>
          </w:p>
        </w:tc>
        <w:tc>
          <w:tcPr>
            <w:tcW w:w="34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Dilek Marsh</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49 </w:t>
            </w:r>
          </w:p>
        </w:tc>
        <w:tc>
          <w:tcPr>
            <w:tcW w:w="326" w:type="dxa"/>
            <w:tcBorders/>
            <w:shd w:fill="CCEEFF" w:val="clear"/>
            <w:vAlign w:val="center"/>
          </w:tcPr>
          <w:p>
            <w:pPr>
              <w:pStyle w:val="TableContents"/>
              <w:spacing w:before="0" w:after="0"/>
              <w:ind w:left="0" w:right="0" w:hanging="0"/>
              <w:rPr/>
            </w:pPr>
            <w:r>
              <w:rPr/>
              <w:t>​</w:t>
            </w:r>
          </w:p>
        </w:tc>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Technology Officer</w:t>
            </w:r>
          </w:p>
        </w:tc>
      </w:tr>
      <w:tr>
        <w:trPr/>
        <w:tc>
          <w:tcPr>
            <w:tcW w:w="16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J. Briggs</w:t>
            </w:r>
          </w:p>
        </w:tc>
        <w:tc>
          <w:tcPr>
            <w:tcW w:w="32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63 </w:t>
            </w:r>
          </w:p>
        </w:tc>
        <w:tc>
          <w:tcPr>
            <w:tcW w:w="326" w:type="dxa"/>
            <w:tcBorders/>
            <w:shd w:fill="auto" w:val="clear"/>
            <w:vAlign w:val="center"/>
          </w:tcPr>
          <w:p>
            <w:pPr>
              <w:pStyle w:val="TableContents"/>
              <w:spacing w:before="0" w:after="0"/>
              <w:ind w:left="0" w:right="0" w:hanging="0"/>
              <w:rPr/>
            </w:pPr>
            <w:r>
              <w:rPr/>
              <w:t>​</w:t>
            </w:r>
          </w:p>
        </w:tc>
        <w:tc>
          <w:tcPr>
            <w:tcW w:w="34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Orbis Education, Chief Executive Officer</w:t>
            </w:r>
          </w:p>
        </w:tc>
      </w:tr>
      <w:tr>
        <w:trPr/>
        <w:tc>
          <w:tcPr>
            <w:tcW w:w="16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Kathy J. Claypatch</w:t>
            </w:r>
          </w:p>
        </w:tc>
        <w:tc>
          <w:tcPr>
            <w:tcW w:w="326" w:type="dxa"/>
            <w:tcBorders/>
            <w:shd w:fill="CCEEFF" w:val="clear"/>
            <w:vAlign w:val="center"/>
          </w:tcPr>
          <w:p>
            <w:pPr>
              <w:pStyle w:val="TableContents"/>
              <w:spacing w:before="0" w:after="0"/>
              <w:ind w:left="0" w:right="0" w:hanging="0"/>
              <w:rPr/>
            </w:pPr>
            <w:r>
              <w:rPr/>
              <w:t>​</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61 </w:t>
            </w:r>
          </w:p>
        </w:tc>
        <w:tc>
          <w:tcPr>
            <w:tcW w:w="326" w:type="dxa"/>
            <w:tcBorders/>
            <w:shd w:fill="CCEEFF" w:val="clear"/>
            <w:vAlign w:val="center"/>
          </w:tcPr>
          <w:p>
            <w:pPr>
              <w:pStyle w:val="TableContents"/>
              <w:spacing w:before="0" w:after="0"/>
              <w:ind w:left="0" w:right="0" w:hanging="0"/>
              <w:rPr/>
            </w:pPr>
            <w:r>
              <w:rPr/>
              <w:t>​</w:t>
            </w:r>
          </w:p>
        </w:tc>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Information Officer</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907"/>
        <w:gridCol w:w="354"/>
        <w:gridCol w:w="161"/>
        <w:gridCol w:w="165"/>
        <w:gridCol w:w="7618"/>
      </w:tblGrid>
      <w:tr>
        <w:trPr/>
        <w:tc>
          <w:tcPr>
            <w:tcW w:w="2261" w:type="dxa"/>
            <w:gridSpan w:val="2"/>
            <w:tcBorders/>
            <w:shd w:fill="auto" w:val="clear"/>
            <w:vAlign w:val="center"/>
          </w:tcPr>
          <w:p>
            <w:pPr>
              <w:pStyle w:val="TableContents"/>
              <w:spacing w:before="0" w:after="0"/>
              <w:ind w:left="0" w:right="0" w:hanging="0"/>
              <w:rPr/>
            </w:pPr>
            <w:r>
              <w:rPr/>
              <w:t>​</w:t>
            </w:r>
          </w:p>
        </w:tc>
        <w:tc>
          <w:tcPr>
            <w:tcW w:w="326" w:type="dxa"/>
            <w:gridSpan w:val="2"/>
            <w:tcBorders/>
            <w:shd w:fill="auto" w:val="clear"/>
            <w:vAlign w:val="center"/>
          </w:tcPr>
          <w:p>
            <w:pPr>
              <w:pStyle w:val="TableContents"/>
              <w:spacing w:before="0" w:after="0"/>
              <w:ind w:left="0" w:right="0" w:hanging="0"/>
              <w:rPr/>
            </w:pPr>
            <w:r>
              <w:rPr/>
              <w:t>​</w:t>
            </w:r>
          </w:p>
        </w:tc>
        <w:tc>
          <w:tcPr>
            <w:tcW w:w="7618" w:type="dxa"/>
            <w:tcBorders/>
            <w:shd w:fill="auto" w:val="clear"/>
            <w:vAlign w:val="center"/>
          </w:tcPr>
          <w:p>
            <w:pPr>
              <w:pStyle w:val="TableContents"/>
              <w:spacing w:before="0" w:after="0"/>
              <w:ind w:left="0" w:right="0" w:hanging="0"/>
              <w:rPr/>
            </w:pPr>
            <w:r>
              <w:rPr/>
              <w:t>​</w:t>
            </w:r>
          </w:p>
        </w:tc>
      </w:tr>
      <w:tr>
        <w:trPr/>
        <w:tc>
          <w:tcPr>
            <w:tcW w:w="2261" w:type="dxa"/>
            <w:gridSpan w:val="2"/>
            <w:tcBorders/>
            <w:shd w:fill="auto" w:val="clear"/>
            <w:vAlign w:val="center"/>
          </w:tcPr>
          <w:p>
            <w:pPr>
              <w:pStyle w:val="TableContents"/>
              <w:spacing w:before="0" w:after="0"/>
              <w:ind w:left="0" w:right="0" w:hanging="0"/>
              <w:rPr/>
            </w:pPr>
            <w:r>
              <w:rPr/>
              <w:drawing>
                <wp:inline distT="0" distB="0" distL="0" distR="0">
                  <wp:extent cx="1371600" cy="18288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371600" cy="1828800"/>
                          </a:xfrm>
                          <a:prstGeom prst="rect">
                            <a:avLst/>
                          </a:prstGeom>
                        </pic:spPr>
                      </pic:pic>
                    </a:graphicData>
                  </a:graphic>
                </wp:inline>
              </w:drawing>
            </w:r>
          </w:p>
          <w:p>
            <w:pPr>
              <w:pStyle w:val="TableContents"/>
              <w:spacing w:before="0" w:after="0"/>
              <w:ind w:left="0" w:right="0" w:hanging="0"/>
              <w:jc w:val="center"/>
              <w:rPr/>
            </w:pPr>
            <w:r>
              <w:rPr/>
              <w:t>​</w:t>
            </w:r>
          </w:p>
        </w:tc>
        <w:tc>
          <w:tcPr>
            <w:tcW w:w="326" w:type="dxa"/>
            <w:gridSpan w:val="2"/>
            <w:tcBorders/>
            <w:shd w:fill="auto" w:val="clear"/>
            <w:vAlign w:val="center"/>
          </w:tcPr>
          <w:p>
            <w:pPr>
              <w:pStyle w:val="TableContents"/>
              <w:spacing w:before="0" w:after="0"/>
              <w:ind w:left="0" w:right="0" w:hanging="0"/>
              <w:rPr/>
            </w:pPr>
            <w:r>
              <w:rPr/>
              <w:t>    </w:t>
            </w:r>
          </w:p>
        </w:tc>
        <w:tc>
          <w:tcPr>
            <w:tcW w:w="76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0"/>
              </w:rPr>
              <w:t>Dr. W. Stan Meyer</w:t>
            </w:r>
            <w:r>
              <w:rPr>
                <w:rFonts w:ascii="Times New Roman;Times;serif" w:hAnsi="Times New Roman;Times;serif"/>
                <w:sz w:val="20"/>
              </w:rPr>
              <w:t xml:space="preserve"> has been serving as our Chief Operating Officer since July 26, 2012, having previously served in the position of Executive Vice President from June 2008 to July 2012.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tc>
      </w:tr>
      <w:tr>
        <w:trPr/>
        <w:tc>
          <w:tcPr>
            <w:tcW w:w="2261" w:type="dxa"/>
            <w:gridSpan w:val="2"/>
            <w:tcBorders/>
            <w:shd w:fill="auto" w:val="clear"/>
            <w:vAlign w:val="center"/>
          </w:tcPr>
          <w:p>
            <w:pPr>
              <w:pStyle w:val="TableContents"/>
              <w:spacing w:before="0" w:after="0"/>
              <w:ind w:left="0" w:right="0" w:hanging="0"/>
              <w:jc w:val="center"/>
              <w:rPr/>
            </w:pPr>
            <w:r>
              <w:rPr/>
              <w:t>​</w:t>
            </w:r>
          </w:p>
        </w:tc>
        <w:tc>
          <w:tcPr>
            <w:tcW w:w="326" w:type="dxa"/>
            <w:gridSpan w:val="2"/>
            <w:tcBorders/>
            <w:shd w:fill="auto" w:val="clear"/>
            <w:vAlign w:val="center"/>
          </w:tcPr>
          <w:p>
            <w:pPr>
              <w:pStyle w:val="TableContents"/>
              <w:spacing w:before="0" w:after="0"/>
              <w:ind w:left="0" w:right="0" w:hanging="0"/>
              <w:rPr/>
            </w:pPr>
            <w:r>
              <w:rPr/>
              <w:t>​</w:t>
            </w:r>
          </w:p>
        </w:tc>
        <w:tc>
          <w:tcPr>
            <w:tcW w:w="7618" w:type="dxa"/>
            <w:tcBorders/>
            <w:shd w:fill="auto" w:val="clear"/>
            <w:vAlign w:val="center"/>
          </w:tcPr>
          <w:p>
            <w:pPr>
              <w:pStyle w:val="TableContents"/>
              <w:spacing w:before="0" w:after="0"/>
              <w:ind w:left="0" w:right="0" w:hanging="0"/>
              <w:rPr/>
            </w:pPr>
            <w:r>
              <w:rPr/>
              <w:t>​</w:t>
            </w:r>
          </w:p>
        </w:tc>
      </w:tr>
      <w:tr>
        <w:trPr/>
        <w:tc>
          <w:tcPr>
            <w:tcW w:w="2261" w:type="dxa"/>
            <w:gridSpan w:val="2"/>
            <w:tcBorders/>
            <w:shd w:fill="auto" w:val="clear"/>
            <w:vAlign w:val="center"/>
          </w:tcPr>
          <w:p>
            <w:pPr>
              <w:pStyle w:val="TableContents"/>
              <w:spacing w:before="0" w:after="0"/>
              <w:ind w:left="0" w:right="0" w:hanging="0"/>
              <w:rPr/>
            </w:pPr>
            <w:r>
              <w:rPr/>
              <w:drawing>
                <wp:inline distT="0" distB="0" distL="0" distR="0">
                  <wp:extent cx="1371600" cy="182880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371600" cy="1828800"/>
                          </a:xfrm>
                          <a:prstGeom prst="rect">
                            <a:avLst/>
                          </a:prstGeom>
                        </pic:spPr>
                      </pic:pic>
                    </a:graphicData>
                  </a:graphic>
                </wp:inline>
              </w:drawing>
            </w:r>
          </w:p>
          <w:p>
            <w:pPr>
              <w:pStyle w:val="TableContents"/>
              <w:spacing w:before="0" w:after="0"/>
              <w:ind w:left="0" w:right="0" w:hanging="0"/>
              <w:jc w:val="center"/>
              <w:rPr/>
            </w:pPr>
            <w:r>
              <w:rPr/>
              <w:t>​</w:t>
            </w:r>
          </w:p>
        </w:tc>
        <w:tc>
          <w:tcPr>
            <w:tcW w:w="326" w:type="dxa"/>
            <w:gridSpan w:val="2"/>
            <w:tcBorders/>
            <w:shd w:fill="auto" w:val="clear"/>
            <w:vAlign w:val="center"/>
          </w:tcPr>
          <w:p>
            <w:pPr>
              <w:pStyle w:val="TableContents"/>
              <w:spacing w:before="0" w:after="0"/>
              <w:ind w:left="0" w:right="0" w:hanging="0"/>
              <w:rPr/>
            </w:pPr>
            <w:r>
              <w:rPr/>
              <w:t>​</w:t>
            </w:r>
          </w:p>
        </w:tc>
        <w:tc>
          <w:tcPr>
            <w:tcW w:w="76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0"/>
              </w:rPr>
              <w:t>Daniel E. Bachus</w:t>
            </w:r>
            <w:r>
              <w:rPr>
                <w:rFonts w:ascii="Times New Roman;Times;serif" w:hAnsi="Times New Roman;Times;serif"/>
                <w:sz w:val="20"/>
              </w:rPr>
              <w:t xml:space="preserve"> has been serving as our Chief Financial Officer since July 2008.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w:t>
            </w:r>
          </w:p>
        </w:tc>
      </w:tr>
      <w:tr>
        <w:trPr/>
        <w:tc>
          <w:tcPr>
            <w:tcW w:w="1907" w:type="dxa"/>
            <w:tcBorders/>
            <w:shd w:fill="auto" w:val="clear"/>
            <w:vAlign w:val="center"/>
          </w:tcPr>
          <w:p>
            <w:pPr>
              <w:pStyle w:val="TableContents"/>
              <w:spacing w:before="0" w:after="0"/>
              <w:ind w:left="0" w:right="0" w:hanging="0"/>
              <w:rPr/>
            </w:pPr>
            <w:r>
              <w:rPr/>
              <w:t>​</w:t>
            </w:r>
          </w:p>
        </w:tc>
        <w:tc>
          <w:tcPr>
            <w:tcW w:w="515" w:type="dxa"/>
            <w:gridSpan w:val="2"/>
            <w:tcBorders/>
            <w:shd w:fill="auto" w:val="clear"/>
            <w:vAlign w:val="center"/>
          </w:tcPr>
          <w:p>
            <w:pPr>
              <w:pStyle w:val="TableContents"/>
              <w:spacing w:before="0" w:after="0"/>
              <w:ind w:left="0" w:right="0" w:hanging="0"/>
              <w:rPr/>
            </w:pPr>
            <w:r>
              <w:rPr/>
              <w:t>​</w:t>
            </w:r>
          </w:p>
        </w:tc>
        <w:tc>
          <w:tcPr>
            <w:tcW w:w="7783" w:type="dxa"/>
            <w:gridSpan w:val="2"/>
            <w:tcBorders/>
            <w:shd w:fill="auto" w:val="clear"/>
            <w:vAlign w:val="center"/>
          </w:tcPr>
          <w:p>
            <w:pPr>
              <w:pStyle w:val="TableContents"/>
              <w:spacing w:before="0" w:after="0"/>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260"/>
        <w:gridCol w:w="109"/>
        <w:gridCol w:w="7836"/>
      </w:tblGrid>
      <w:tr>
        <w:trPr/>
        <w:tc>
          <w:tcPr>
            <w:tcW w:w="2260" w:type="dxa"/>
            <w:tcBorders/>
            <w:shd w:fill="auto" w:val="clear"/>
            <w:vAlign w:val="center"/>
          </w:tcPr>
          <w:p>
            <w:pPr>
              <w:pStyle w:val="TableContents"/>
              <w:spacing w:before="0" w:after="0"/>
              <w:ind w:left="0" w:right="0" w:hanging="0"/>
              <w:rPr/>
            </w:pPr>
            <w:r>
              <w:rPr/>
              <w:drawing>
                <wp:inline distT="0" distB="0" distL="0" distR="0">
                  <wp:extent cx="1370965" cy="182816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370965" cy="1828165"/>
                          </a:xfrm>
                          <a:prstGeom prst="rect">
                            <a:avLst/>
                          </a:prstGeom>
                        </pic:spPr>
                      </pic:pic>
                    </a:graphicData>
                  </a:graphic>
                </wp:inline>
              </w:drawing>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0"/>
              </w:rPr>
              <w:t>Dilek Marsh</w:t>
            </w:r>
            <w:r>
              <w:rPr>
                <w:rFonts w:ascii="Times New Roman;Times;serif" w:hAnsi="Times New Roman;Times;serif"/>
                <w:sz w:val="20"/>
              </w:rPr>
              <w:t xml:space="preserve"> has been serving as our Chief Technology Officer since July 2021, having previously served as Chief Data Officer since July 2018, as Executive Vice President since July 2012 and as Senior Vice President since August 2008. Ms. Marsh has been in higher education for the last 20 years. Ms. Marsh has served in information technology roles since 1999, including software development project management, business process design and business analytics. Ms. Marsh holds a Bachelor of Arts in Sociology from Bogazici University in Turkey, a Master of Arts in Anthropology from Arizona State University and a Master of Business Administration in Technology Management from the University of Phoenix.</w:t>
            </w:r>
          </w:p>
          <w:p>
            <w:pPr>
              <w:pStyle w:val="TableContents"/>
              <w:spacing w:before="0" w:after="0"/>
              <w:ind w:left="0" w:right="0" w:hanging="0"/>
              <w:rPr>
                <w:color w:val="333333"/>
              </w:rPr>
            </w:pPr>
            <w:r>
              <w:rPr>
                <w:color w:val="333333"/>
              </w:rPr>
              <w:t>​</w:t>
            </w:r>
          </w:p>
          <w:p>
            <w:pPr>
              <w:pStyle w:val="TableContents"/>
              <w:spacing w:before="0" w:after="0"/>
              <w:ind w:left="0" w:right="0" w:firstLine="720"/>
              <w:rPr/>
            </w:pPr>
            <w:r>
              <w:rPr/>
              <w:t>​</w:t>
            </w:r>
          </w:p>
          <w:p>
            <w:pPr>
              <w:pStyle w:val="TableContents"/>
              <w:spacing w:before="0" w:after="0"/>
              <w:ind w:left="0" w:right="0" w:firstLine="600"/>
              <w:rPr/>
            </w:pPr>
            <w:r>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71"/>
        <w:gridCol w:w="109"/>
        <w:gridCol w:w="7725"/>
      </w:tblGrid>
      <w:tr>
        <w:trPr/>
        <w:tc>
          <w:tcPr>
            <w:tcW w:w="2371" w:type="dxa"/>
            <w:tcBorders/>
            <w:shd w:fill="auto" w:val="clear"/>
            <w:vAlign w:val="center"/>
          </w:tcPr>
          <w:p>
            <w:pPr>
              <w:pStyle w:val="TableContents"/>
              <w:spacing w:before="0" w:after="0"/>
              <w:ind w:left="0" w:right="0" w:hanging="0"/>
              <w:rPr/>
            </w:pPr>
            <w:r>
              <w:rPr/>
              <w:drawing>
                <wp:inline distT="0" distB="0" distL="0" distR="0">
                  <wp:extent cx="1441450" cy="207010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441450" cy="2070100"/>
                          </a:xfrm>
                          <a:prstGeom prst="rect">
                            <a:avLst/>
                          </a:prstGeom>
                        </pic:spPr>
                      </pic:pic>
                    </a:graphicData>
                  </a:graphic>
                </wp:inline>
              </w:drawing>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72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i/>
                <w:sz w:val="20"/>
              </w:rPr>
              <w:t>Daniel J. Briggs</w:t>
            </w:r>
            <w:r>
              <w:rPr>
                <w:rFonts w:ascii="Times New Roman;Times;serif" w:hAnsi="Times New Roman;Times;serif"/>
                <w:sz w:val="20"/>
              </w:rPr>
              <w:t xml:space="preserve"> has been serving as the Chief Executive Officer of Orbis Education Services, our wholly owned subsidiary, since our acquisition of Orbis Education in January 2019. Mr.</w:t>
            </w:r>
            <w:r>
              <w:rPr>
                <w:rFonts w:ascii="Times New Roman;Times;serif" w:hAnsi="Times New Roman;Times;serif"/>
                <w:color w:val="333333"/>
                <w:sz w:val="20"/>
              </w:rPr>
              <w:t xml:space="preserve"> Briggs founded Orbis Education in 2003 and served in various positions, including chief executive officer and chief growth officer until January 2019. Prior to founding Orbis Education, Mr. Briggs served as Vice President of National Accounts for CCS Medical, a national home delivery company addressing chronic medical conditions, and Senior Vice President for ORYX Consulting, and General Manager for a Roche Diagnostics Corporation business unit specializing on treating common ailments through a virtual portal. Mr. Briggs holds a Bachelor of Secondary Education degree from the University of Missouri.</w:t>
            </w:r>
          </w:p>
          <w:p>
            <w:pPr>
              <w:pStyle w:val="TableContents"/>
              <w:spacing w:before="0" w:after="0"/>
              <w:ind w:left="0" w:right="0" w:firstLine="720"/>
              <w:rPr/>
            </w:pPr>
            <w:r>
              <w:rPr/>
              <w:t>​</w:t>
            </w:r>
          </w:p>
          <w:p>
            <w:pPr>
              <w:pStyle w:val="TableContents"/>
              <w:spacing w:before="0" w:after="0"/>
              <w:ind w:left="0" w:right="0" w:hanging="0"/>
              <w:rPr/>
            </w:pPr>
            <w:r>
              <w:rPr/>
              <w:t>​</w:t>
            </w:r>
          </w:p>
        </w:tc>
      </w:tr>
      <w:tr>
        <w:trPr/>
        <w:tc>
          <w:tcPr>
            <w:tcW w:w="23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72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261"/>
        <w:gridCol w:w="109"/>
        <w:gridCol w:w="7835"/>
      </w:tblGrid>
      <w:tr>
        <w:trPr/>
        <w:tc>
          <w:tcPr>
            <w:tcW w:w="22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35" w:type="dxa"/>
            <w:tcBorders/>
            <w:shd w:fill="auto" w:val="clear"/>
            <w:vAlign w:val="center"/>
          </w:tcPr>
          <w:p>
            <w:pPr>
              <w:pStyle w:val="TableContents"/>
              <w:spacing w:before="0" w:after="0"/>
              <w:ind w:left="0" w:right="0" w:hanging="0"/>
              <w:rPr/>
            </w:pPr>
            <w:r>
              <w:rPr/>
              <w:t>​</w:t>
            </w:r>
          </w:p>
        </w:tc>
      </w:tr>
      <w:tr>
        <w:trPr/>
        <w:tc>
          <w:tcPr>
            <w:tcW w:w="22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35" w:type="dxa"/>
            <w:tcBorders/>
            <w:shd w:fill="auto" w:val="clear"/>
            <w:vAlign w:val="center"/>
          </w:tcPr>
          <w:p>
            <w:pPr>
              <w:pStyle w:val="TableContents"/>
              <w:spacing w:before="0" w:after="0"/>
              <w:ind w:left="0" w:right="0" w:hanging="0"/>
              <w:rPr/>
            </w:pPr>
            <w:r>
              <w:rPr/>
              <w:t>​</w:t>
            </w:r>
          </w:p>
        </w:tc>
      </w:tr>
      <w:tr>
        <w:trPr/>
        <w:tc>
          <w:tcPr>
            <w:tcW w:w="2261" w:type="dxa"/>
            <w:tcBorders/>
            <w:shd w:fill="auto" w:val="clear"/>
            <w:vAlign w:val="center"/>
          </w:tcPr>
          <w:p>
            <w:pPr>
              <w:pStyle w:val="TableContents"/>
              <w:spacing w:before="0" w:after="0"/>
              <w:ind w:left="0" w:right="0" w:hanging="0"/>
              <w:rPr/>
            </w:pPr>
            <w:r>
              <w:rPr/>
              <w:drawing>
                <wp:inline distT="0" distB="0" distL="0" distR="0">
                  <wp:extent cx="1371600" cy="18764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371600" cy="1876425"/>
                          </a:xfrm>
                          <a:prstGeom prst="rect">
                            <a:avLst/>
                          </a:prstGeom>
                        </pic:spPr>
                      </pic:pic>
                    </a:graphicData>
                  </a:graphic>
                </wp:inline>
              </w:drawing>
            </w:r>
          </w:p>
        </w:tc>
        <w:tc>
          <w:tcPr>
            <w:tcW w:w="109" w:type="dxa"/>
            <w:tcBorders/>
            <w:shd w:fill="auto" w:val="clear"/>
            <w:vAlign w:val="center"/>
          </w:tcPr>
          <w:p>
            <w:pPr>
              <w:pStyle w:val="TableContents"/>
              <w:spacing w:before="0" w:after="0"/>
              <w:ind w:left="0" w:right="0" w:hanging="0"/>
              <w:rPr/>
            </w:pPr>
            <w:r>
              <w:rPr/>
              <w:t>​</w:t>
            </w:r>
          </w:p>
        </w:tc>
        <w:tc>
          <w:tcPr>
            <w:tcW w:w="783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highlight w:val="white"/>
              </w:rPr>
              <w:t>Kathy J. Claypatch</w:t>
            </w:r>
            <w:r>
              <w:rPr>
                <w:rFonts w:ascii="Times New Roman;Times;serif" w:hAnsi="Times New Roman;Times;serif"/>
                <w:sz w:val="20"/>
                <w:highlight w:val="white"/>
              </w:rPr>
              <w:t xml:space="preserve"> has been serving as our Chief Information Officer since July 2021, having previously served in the position of Chief Technology Officer beginning in October 2012. From 2006 to 2012, Ms. Claypatch spent time in the financial industry and served as the Chief Information Officer for Apriva and the Vice President of information technology for TSYS Acquiring Solutions. She worked in higher education from 2002 to 2006 at Apollo Education Group, Inc., where she was responsible for growing the information technology infrastructure to support the online education environment and its rapid growth. Ms. Claypatch has over 30 years of leadership and entrepreneurial experience spanning from startups to Fortune 500 companies.</w:t>
            </w:r>
          </w:p>
          <w:p>
            <w:pPr>
              <w:pStyle w:val="TableContents"/>
              <w:spacing w:before="0" w:after="0"/>
              <w:ind w:left="0" w:right="0" w:hanging="0"/>
              <w:rPr/>
            </w:pPr>
            <w:r>
              <w:rPr/>
              <w:t>​</w:t>
            </w:r>
          </w:p>
          <w:p>
            <w:pPr>
              <w:pStyle w:val="TableContents"/>
              <w:spacing w:before="0" w:after="0"/>
              <w:ind w:left="0" w:right="0" w:hanging="0"/>
              <w:rPr>
                <w:color w:val="333333"/>
              </w:rPr>
            </w:pPr>
            <w:r>
              <w:rPr>
                <w:color w:val="333333"/>
              </w:rPr>
              <w:t>​</w:t>
            </w:r>
          </w:p>
          <w:p>
            <w:pPr>
              <w:pStyle w:val="TableContents"/>
              <w:spacing w:before="0" w:after="0"/>
              <w:ind w:left="0" w:right="0" w:firstLine="720"/>
              <w:rPr/>
            </w:pPr>
            <w:r>
              <w:rPr/>
              <w:t>​</w:t>
            </w:r>
          </w:p>
          <w:p>
            <w:pPr>
              <w:pStyle w:val="TableContents"/>
              <w:spacing w:before="0" w:after="0"/>
              <w:ind w:left="0" w:right="0" w:hanging="0"/>
              <w:rPr/>
            </w:pPr>
            <w:r>
              <w:rPr/>
              <w:t>​</w:t>
            </w:r>
          </w:p>
        </w:tc>
      </w:tr>
      <w:tr>
        <w:trPr/>
        <w:tc>
          <w:tcPr>
            <w:tcW w:w="22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3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98" w:name="EXECUTIVECOMPENSATION_7528"/>
      <w:bookmarkStart w:id="99" w:name="_21ddfe74_f34f_4da0_b17a_37e4ef7c3c11"/>
      <w:bookmarkEnd w:id="98"/>
      <w:bookmarkEnd w:id="99"/>
      <w:r>
        <w:rPr>
          <w:rFonts w:ascii="Times New Roman;Times;serif" w:hAnsi="Times New Roman;Times;serif"/>
          <w:b/>
          <w:sz w:val="20"/>
        </w:rPr>
        <w:t>EXECUTIVE COMPENSATION</w:t>
      </w:r>
    </w:p>
    <w:p>
      <w:pPr>
        <w:pStyle w:val="TextBody"/>
        <w:spacing w:before="0" w:after="240"/>
        <w:ind w:left="0" w:right="0" w:hanging="0"/>
        <w:rPr>
          <w:rFonts w:ascii="Times New Roman;Times;serif" w:hAnsi="Times New Roman;Times;serif"/>
          <w:b/>
          <w:sz w:val="20"/>
        </w:rPr>
      </w:pPr>
      <w:bookmarkStart w:id="100" w:name="CompensationDiscussionandAnalysis_353723"/>
      <w:bookmarkEnd w:id="100"/>
      <w:r>
        <w:rPr>
          <w:rFonts w:ascii="Times New Roman;Times;serif" w:hAnsi="Times New Roman;Times;serif"/>
          <w:b/>
          <w:sz w:val="20"/>
        </w:rPr>
        <w:t>Compensation Discussion and Analysis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The following discussion and analysis should be read in conjunction with “Compensation of Named Executive Officers” and the related tables that follow.</w:t>
      </w:r>
    </w:p>
    <w:p>
      <w:pPr>
        <w:pStyle w:val="TextBody"/>
        <w:spacing w:before="0" w:after="240"/>
        <w:ind w:left="0" w:right="0" w:firstLine="720"/>
        <w:rPr>
          <w:rFonts w:ascii="Times New Roman;Times;serif" w:hAnsi="Times New Roman;Times;serif"/>
          <w:sz w:val="20"/>
        </w:rPr>
      </w:pPr>
      <w:bookmarkStart w:id="101" w:name="_cp_text_1_96"/>
      <w:bookmarkEnd w:id="101"/>
      <w:r>
        <w:rPr>
          <w:rFonts w:ascii="Times New Roman;Times;serif" w:hAnsi="Times New Roman;Times;serif"/>
          <w:sz w:val="20"/>
        </w:rPr>
        <w:t>In this section, we describe the material components of our executive compensation program for our named executive officers (the “named executive officers”), whose compensation is set forth in the 2022 Summary Compensation Table and other compensation tables contained in this Proxy Statement. We also provide an overview of our executive compensation philosophy and our overall program. In addition, we explain how and why the Compensation Committee of our Board arrived at the specific compensation decisions involving the named executive officers for 2022.</w:t>
      </w:r>
    </w:p>
    <w:p>
      <w:pPr>
        <w:pStyle w:val="TextBody"/>
        <w:spacing w:before="0" w:after="240"/>
        <w:ind w:left="0" w:right="0" w:firstLine="720"/>
        <w:rPr>
          <w:rFonts w:ascii="Times New Roman;Times;serif" w:hAnsi="Times New Roman;Times;serif"/>
          <w:sz w:val="20"/>
        </w:rPr>
      </w:pPr>
      <w:bookmarkStart w:id="102" w:name="_cp_text_1_97"/>
      <w:bookmarkEnd w:id="102"/>
      <w:r>
        <w:rPr>
          <w:rFonts w:ascii="Times New Roman;Times;serif" w:hAnsi="Times New Roman;Times;serif"/>
          <w:sz w:val="20"/>
        </w:rPr>
        <w:t>For 2022, our named executive officers were:</w:t>
      </w:r>
    </w:p>
    <w:p>
      <w:pPr>
        <w:pStyle w:val="Normal"/>
        <w:spacing w:before="0" w:after="0"/>
        <w:rPr>
          <w:sz w:val="4"/>
          <w:szCs w:val="4"/>
        </w:rPr>
      </w:pPr>
      <w:r>
        <w:rPr>
          <w:sz w:val="4"/>
          <w:szCs w:val="4"/>
        </w:rPr>
      </w:r>
      <w:bookmarkStart w:id="103" w:name="_cp_text_1_99"/>
      <w:bookmarkStart w:id="104" w:name="_cp_blt_1_98"/>
      <w:bookmarkStart w:id="105" w:name="_cp_text_1_99"/>
      <w:bookmarkStart w:id="106" w:name="_cp_blt_1_98"/>
      <w:bookmarkEnd w:id="105"/>
      <w:bookmarkEnd w:id="106"/>
    </w:p>
    <w:tbl>
      <w:tblPr>
        <w:tblW w:w="4341" w:type="dxa"/>
        <w:jc w:val="left"/>
        <w:tblInd w:w="0" w:type="dxa"/>
        <w:tblCellMar>
          <w:top w:w="28" w:type="dxa"/>
          <w:left w:w="28" w:type="dxa"/>
          <w:bottom w:w="28" w:type="dxa"/>
          <w:right w:w="28" w:type="dxa"/>
        </w:tblCellMar>
      </w:tblPr>
      <w:tblGrid>
        <w:gridCol w:w="124"/>
        <w:gridCol w:w="286"/>
        <w:gridCol w:w="393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pPr>
            <w:r>
              <w:rPr/>
              <w:t>◾</w:t>
            </w:r>
          </w:p>
        </w:tc>
        <w:tc>
          <w:tcPr>
            <w:tcW w:w="39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Brian E. Mueller, our Chief Executive Officer; </w:t>
            </w:r>
          </w:p>
        </w:tc>
      </w:tr>
    </w:tbl>
    <w:p>
      <w:pPr>
        <w:pStyle w:val="Normal"/>
        <w:spacing w:before="0" w:after="0"/>
        <w:rPr>
          <w:sz w:val="4"/>
          <w:szCs w:val="4"/>
        </w:rPr>
      </w:pPr>
      <w:r>
        <w:rPr>
          <w:sz w:val="4"/>
          <w:szCs w:val="4"/>
        </w:rPr>
      </w:r>
      <w:bookmarkStart w:id="107" w:name="_cp_text_1_101"/>
      <w:bookmarkStart w:id="108" w:name="_cp_blt_1_100"/>
      <w:bookmarkStart w:id="109" w:name="_cp_text_1_101"/>
      <w:bookmarkStart w:id="110" w:name="_cp_blt_1_100"/>
      <w:bookmarkEnd w:id="109"/>
      <w:bookmarkEnd w:id="110"/>
    </w:p>
    <w:tbl>
      <w:tblPr>
        <w:tblW w:w="4461" w:type="dxa"/>
        <w:jc w:val="left"/>
        <w:tblInd w:w="0" w:type="dxa"/>
        <w:tblCellMar>
          <w:top w:w="28" w:type="dxa"/>
          <w:left w:w="28" w:type="dxa"/>
          <w:bottom w:w="28" w:type="dxa"/>
          <w:right w:w="28" w:type="dxa"/>
        </w:tblCellMar>
      </w:tblPr>
      <w:tblGrid>
        <w:gridCol w:w="124"/>
        <w:gridCol w:w="286"/>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pPr>
            <w:r>
              <w:rPr/>
              <w:t>◾</w:t>
            </w:r>
          </w:p>
        </w:tc>
        <w:tc>
          <w:tcPr>
            <w:tcW w:w="4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 W. Stan Meyer, our Chief Operating Officer; </w:t>
            </w:r>
          </w:p>
        </w:tc>
      </w:tr>
    </w:tbl>
    <w:p>
      <w:pPr>
        <w:pStyle w:val="Normal"/>
        <w:spacing w:before="0" w:after="0"/>
        <w:rPr>
          <w:sz w:val="4"/>
          <w:szCs w:val="4"/>
        </w:rPr>
      </w:pPr>
      <w:r>
        <w:rPr>
          <w:sz w:val="4"/>
          <w:szCs w:val="4"/>
        </w:rPr>
      </w:r>
      <w:bookmarkStart w:id="111" w:name="_cp_text_1_103"/>
      <w:bookmarkStart w:id="112" w:name="_cp_blt_1_102"/>
      <w:bookmarkStart w:id="113" w:name="_cp_text_1_103"/>
      <w:bookmarkStart w:id="114" w:name="_cp_blt_1_102"/>
      <w:bookmarkEnd w:id="113"/>
      <w:bookmarkEnd w:id="114"/>
    </w:p>
    <w:tbl>
      <w:tblPr>
        <w:tblW w:w="4326" w:type="dxa"/>
        <w:jc w:val="left"/>
        <w:tblInd w:w="0" w:type="dxa"/>
        <w:tblCellMar>
          <w:top w:w="28" w:type="dxa"/>
          <w:left w:w="28" w:type="dxa"/>
          <w:bottom w:w="28" w:type="dxa"/>
          <w:right w:w="28" w:type="dxa"/>
        </w:tblCellMar>
      </w:tblPr>
      <w:tblGrid>
        <w:gridCol w:w="124"/>
        <w:gridCol w:w="286"/>
        <w:gridCol w:w="391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pPr>
            <w:r>
              <w:rPr/>
              <w:t>◾</w:t>
            </w:r>
          </w:p>
        </w:tc>
        <w:tc>
          <w:tcPr>
            <w:tcW w:w="39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Daniel E. Bachus, our Chief Financial Officer; </w:t>
            </w:r>
          </w:p>
        </w:tc>
      </w:tr>
    </w:tbl>
    <w:p>
      <w:pPr>
        <w:pStyle w:val="Normal"/>
        <w:spacing w:before="0" w:after="0"/>
        <w:rPr>
          <w:sz w:val="4"/>
          <w:szCs w:val="4"/>
        </w:rPr>
      </w:pPr>
      <w:r>
        <w:rPr>
          <w:sz w:val="4"/>
          <w:szCs w:val="4"/>
        </w:rPr>
      </w:r>
      <w:bookmarkStart w:id="115" w:name="_cp_text_1_105"/>
      <w:bookmarkStart w:id="116" w:name="_cp_blt_1_104"/>
      <w:bookmarkStart w:id="117" w:name="_cp_text_1_105"/>
      <w:bookmarkStart w:id="118" w:name="_cp_blt_1_104"/>
      <w:bookmarkEnd w:id="117"/>
      <w:bookmarkEnd w:id="118"/>
    </w:p>
    <w:tbl>
      <w:tblPr>
        <w:tblW w:w="4461" w:type="dxa"/>
        <w:jc w:val="left"/>
        <w:tblInd w:w="0" w:type="dxa"/>
        <w:tblCellMar>
          <w:top w:w="28" w:type="dxa"/>
          <w:left w:w="28" w:type="dxa"/>
          <w:bottom w:w="28" w:type="dxa"/>
          <w:right w:w="28" w:type="dxa"/>
        </w:tblCellMar>
      </w:tblPr>
      <w:tblGrid>
        <w:gridCol w:w="124"/>
        <w:gridCol w:w="286"/>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pPr>
            <w:r>
              <w:rPr/>
              <w:t>◾</w:t>
            </w:r>
          </w:p>
        </w:tc>
        <w:tc>
          <w:tcPr>
            <w:tcW w:w="4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Dilek Marsh, our Chief Technology Officer; and</w:t>
            </w:r>
          </w:p>
        </w:tc>
      </w:tr>
    </w:tbl>
    <w:p>
      <w:pPr>
        <w:pStyle w:val="Normal"/>
        <w:spacing w:before="0" w:after="0"/>
        <w:rPr>
          <w:sz w:val="4"/>
          <w:szCs w:val="4"/>
        </w:rPr>
      </w:pPr>
      <w:r>
        <w:rPr>
          <w:sz w:val="4"/>
          <w:szCs w:val="4"/>
        </w:rPr>
      </w:r>
      <w:bookmarkStart w:id="119" w:name="_cp_text_1_109"/>
      <w:bookmarkStart w:id="120" w:name="_cp_text_1_107"/>
      <w:bookmarkStart w:id="121" w:name="_cp_text_1_109"/>
      <w:bookmarkStart w:id="122" w:name="_cp_text_1_107"/>
      <w:bookmarkEnd w:id="121"/>
      <w:bookmarkEnd w:id="122"/>
    </w:p>
    <w:tbl>
      <w:tblPr>
        <w:tblW w:w="5991" w:type="dxa"/>
        <w:jc w:val="left"/>
        <w:tblInd w:w="0" w:type="dxa"/>
        <w:tblCellMar>
          <w:top w:w="28" w:type="dxa"/>
          <w:left w:w="28" w:type="dxa"/>
          <w:bottom w:w="28" w:type="dxa"/>
          <w:right w:w="28" w:type="dxa"/>
        </w:tblCellMar>
      </w:tblPr>
      <w:tblGrid>
        <w:gridCol w:w="124"/>
        <w:gridCol w:w="286"/>
        <w:gridCol w:w="558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pPr>
            <w:r>
              <w:rPr/>
              <w:t>◾</w:t>
            </w:r>
          </w:p>
        </w:tc>
        <w:tc>
          <w:tcPr>
            <w:tcW w:w="55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J. Briggs, Chief Executive Officer, Orbis Education Services</w:t>
            </w:r>
          </w:p>
        </w:tc>
      </w:tr>
    </w:tbl>
    <w:p>
      <w:pPr>
        <w:pStyle w:val="TextBody"/>
        <w:spacing w:before="0" w:after="240"/>
        <w:ind w:left="1490" w:right="0" w:hanging="0"/>
        <w:rPr/>
      </w:pPr>
      <w:r>
        <w:rPr/>
        <w:t>​</w:t>
      </w:r>
    </w:p>
    <w:p>
      <w:pPr>
        <w:pStyle w:val="TextBody"/>
        <w:spacing w:before="0" w:after="240"/>
        <w:ind w:left="0" w:right="0" w:hanging="0"/>
        <w:rPr>
          <w:rFonts w:ascii="Times New Roman;Times;serif" w:hAnsi="Times New Roman;Times;serif"/>
          <w:b/>
          <w:i/>
          <w:sz w:val="20"/>
        </w:rPr>
      </w:pPr>
      <w:bookmarkStart w:id="123" w:name="_cp_text_1_112"/>
      <w:bookmarkEnd w:id="123"/>
      <w:r>
        <w:rPr>
          <w:rFonts w:ascii="Times New Roman;Times;serif" w:hAnsi="Times New Roman;Times;serif"/>
          <w:b/>
          <w:i/>
          <w:sz w:val="20"/>
        </w:rPr>
        <w:t xml:space="preserve">2022 Business Highlights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Our Business.</w:t>
      </w:r>
      <w:r>
        <w:rPr>
          <w:rFonts w:ascii="Times New Roman;Times;serif" w:hAnsi="Times New Roman;Times;serif"/>
          <w:sz w:val="20"/>
        </w:rPr>
        <w:t xml:space="preserve"> We are an education services company dedicated to serving colleges and universities. We have developed significant technological solutions, infrastructure and operational processes to provide services to these institutions on a large scale. Our largest university partner is Grand Canyon University (“GCU”), an Arizona non-profit corporation that operates a comprehensive regionally accredited university that offers graduate and undergraduate degree programs, emphases and certificates across nine colleges both online and on ground at its campus in Phoenix, Arizona and at four off-site campus classroom and laboratory sites. As of December 31, 2022, we provided education services and support to approximately 113,000 students with more than 108,600 students enrolled in GCU’s programs, emphases and certificates.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GCE, together with Orbis Education Services LLC,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to enter the workforce ready to meet the demands of the healthcare industry. In addition, we have provided certain services to a university partner to assist them in expanding their online graduate programs. As of December 31, 2022, GCE provided education services to 27 university partners across the United States.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decisions made by the Compensation Committee and the Board on the compensation of our named executive officers reflect their role in the organic growth of the Company during 2022, which included increases in off-campus classroom and laboratory sites (totaling 35 as of December 31, 2022), an increase in service revenue of 1.6%, and the return to online new student growth in the second half of 2022 over the prior year, all while navigating through the continuing impacts that the pandemic and a tight job market has had on our ability to operate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24" w:name="_cp_text_1_139"/>
      <w:bookmarkEnd w:id="124"/>
      <w:r>
        <w:rPr>
          <w:rFonts w:ascii="Times New Roman;Times;serif" w:hAnsi="Times New Roman;Times;serif"/>
          <w:b/>
          <w:sz w:val="20"/>
        </w:rPr>
        <w:t>Our Compensation Practices Highlights</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summarizes key aspects of our compensation policies and programs:</w:t>
      </w:r>
    </w:p>
    <w:p>
      <w:pPr>
        <w:pStyle w:val="Normal"/>
        <w:spacing w:before="0" w:after="0"/>
        <w:rPr>
          <w:sz w:val="4"/>
          <w:szCs w:val="4"/>
        </w:rPr>
      </w:pPr>
      <w:r>
        <w:rPr>
          <w:sz w:val="4"/>
          <w:szCs w:val="4"/>
        </w:rPr>
      </w:r>
      <w:bookmarkStart w:id="125" w:name="_cp_table_9_138"/>
      <w:bookmarkStart w:id="126" w:name="_cp_table_9_138"/>
      <w:bookmarkEnd w:id="126"/>
    </w:p>
    <w:tbl>
      <w:tblPr>
        <w:tblW w:w="10205" w:type="dxa"/>
        <w:jc w:val="left"/>
        <w:tblInd w:w="0" w:type="dxa"/>
        <w:tblCellMar>
          <w:top w:w="28" w:type="dxa"/>
          <w:left w:w="0" w:type="dxa"/>
          <w:bottom w:w="28" w:type="dxa"/>
          <w:right w:w="0" w:type="dxa"/>
        </w:tblCellMar>
      </w:tblPr>
      <w:tblGrid>
        <w:gridCol w:w="331"/>
        <w:gridCol w:w="4608"/>
        <w:gridCol w:w="326"/>
        <w:gridCol w:w="316"/>
        <w:gridCol w:w="4624"/>
      </w:tblGrid>
      <w:tr>
        <w:trPr/>
        <w:tc>
          <w:tcPr>
            <w:tcW w:w="331" w:type="dxa"/>
            <w:tcBorders>
              <w:top w:val="single" w:sz="2" w:space="0" w:color="000000"/>
              <w:bottom w:val="single" w:sz="2" w:space="0" w:color="000000"/>
            </w:tcBorders>
            <w:shd w:fill="auto" w:val="clear"/>
            <w:vAlign w:val="center"/>
          </w:tcPr>
          <w:p>
            <w:pPr>
              <w:pStyle w:val="TableContents"/>
              <w:spacing w:before="0" w:after="0"/>
              <w:ind w:left="0" w:right="0" w:hanging="0"/>
              <w:rPr/>
            </w:pPr>
            <w:r>
              <w:rPr/>
              <w:t>​</w:t>
            </w:r>
          </w:p>
        </w:tc>
        <w:tc>
          <w:tcPr>
            <w:tcW w:w="4608" w:type="dxa"/>
            <w:tcBorders>
              <w:top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What We Do:</w:t>
            </w:r>
          </w:p>
        </w:tc>
        <w:tc>
          <w:tcPr>
            <w:tcW w:w="326" w:type="dxa"/>
            <w:tcBorders>
              <w:top w:val="single" w:sz="2" w:space="0" w:color="000000"/>
            </w:tcBorders>
            <w:shd w:fill="auto" w:val="clear"/>
            <w:tcMar>
              <w:bottom w:w="0" w:type="dxa"/>
            </w:tcMar>
            <w:vAlign w:val="center"/>
          </w:tcPr>
          <w:p>
            <w:pPr>
              <w:pStyle w:val="TableContents"/>
              <w:spacing w:before="0" w:after="0"/>
              <w:ind w:left="0" w:right="0" w:hanging="0"/>
              <w:rPr/>
            </w:pPr>
            <w:r>
              <w:rPr/>
              <w:t>    </w:t>
            </w:r>
          </w:p>
        </w:tc>
        <w:tc>
          <w:tcPr>
            <w:tcW w:w="316" w:type="dxa"/>
            <w:tcBorders>
              <w:top w:val="single" w:sz="2" w:space="0" w:color="000000"/>
              <w:bottom w:val="single" w:sz="2" w:space="0" w:color="000000"/>
            </w:tcBorders>
            <w:shd w:fill="auto" w:val="clear"/>
            <w:vAlign w:val="center"/>
          </w:tcPr>
          <w:p>
            <w:pPr>
              <w:pStyle w:val="TableContents"/>
              <w:spacing w:before="0" w:after="0"/>
              <w:ind w:left="0" w:right="0" w:hanging="0"/>
              <w:rPr/>
            </w:pPr>
            <w:r>
              <w:rPr/>
              <w:t>​</w:t>
            </w:r>
          </w:p>
        </w:tc>
        <w:tc>
          <w:tcPr>
            <w:tcW w:w="4624" w:type="dxa"/>
            <w:tcBorders>
              <w:top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What We Don’t Do:</w:t>
            </w:r>
          </w:p>
        </w:tc>
      </w:tr>
      <w:tr>
        <w:trPr/>
        <w:tc>
          <w:tcPr>
            <w:tcW w:w="331"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460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16" w:type="dxa"/>
            <w:tcBorders>
              <w:top w:val="single" w:sz="2" w:space="0" w:color="000000"/>
            </w:tcBorders>
            <w:shd w:fill="auto" w:val="clear"/>
            <w:tcMar>
              <w:bottom w:w="0" w:type="dxa"/>
            </w:tcMar>
            <w:vAlign w:val="center"/>
          </w:tcPr>
          <w:p>
            <w:pPr>
              <w:pStyle w:val="TableContents"/>
              <w:spacing w:before="0" w:after="0"/>
              <w:ind w:left="0" w:right="0" w:hanging="0"/>
              <w:rPr/>
            </w:pPr>
            <w:r>
              <w:rPr/>
              <w:t>​</w:t>
            </w:r>
          </w:p>
        </w:tc>
        <w:tc>
          <w:tcPr>
            <w:tcW w:w="4624" w:type="dxa"/>
            <w:tcBorders/>
            <w:shd w:fill="auto" w:val="clear"/>
            <w:tcMar>
              <w:top w:w="0" w:type="dxa"/>
              <w:bottom w:w="0" w:type="dxa"/>
            </w:tcMar>
            <w:vAlign w:val="center"/>
          </w:tcPr>
          <w:p>
            <w:pPr>
              <w:pStyle w:val="TableContents"/>
              <w:spacing w:before="0" w:after="0"/>
              <w:ind w:left="0" w:right="0" w:hanging="0"/>
              <w:rPr/>
            </w:pPr>
            <w:r>
              <w:rPr/>
              <w:t>​</w:t>
            </w:r>
          </w:p>
        </w:tc>
      </w:tr>
      <w:tr>
        <w:trPr/>
        <w:tc>
          <w:tcPr>
            <w:tcW w:w="331"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08"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Pay for Performance:</w:t>
            </w:r>
            <w:r>
              <w:rPr>
                <w:rFonts w:ascii="Times New Roman;Times;serif" w:hAnsi="Times New Roman;Times;serif"/>
                <w:sz w:val="18"/>
              </w:rPr>
              <w:t xml:space="preserve"> A significant portion of our cash compensation is based on achievement of key financial metrics that are disclosed to our stockholders.</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1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24"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Do Not Have Tax Gross-Ups:</w:t>
            </w:r>
            <w:r>
              <w:rPr>
                <w:rFonts w:ascii="Times New Roman;Times;serif" w:hAnsi="Times New Roman;Times;serif"/>
                <w:sz w:val="18"/>
              </w:rPr>
              <w:t xml:space="preserve"> We do not provide tax gross-ups on any severance or change-in-control type payments.</w:t>
            </w:r>
          </w:p>
        </w:tc>
      </w:tr>
      <w:tr>
        <w:trPr/>
        <w:tc>
          <w:tcPr>
            <w:tcW w:w="331"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0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1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24" w:type="dxa"/>
            <w:tcBorders/>
            <w:shd w:fill="auto" w:val="clear"/>
            <w:tcMar>
              <w:top w:w="0" w:type="dxa"/>
              <w:bottom w:w="0" w:type="dxa"/>
            </w:tcMar>
            <w:vAlign w:val="center"/>
          </w:tcPr>
          <w:p>
            <w:pPr>
              <w:pStyle w:val="TableContents"/>
              <w:spacing w:before="0" w:after="0"/>
              <w:ind w:left="0" w:right="0" w:hanging="0"/>
              <w:rPr/>
            </w:pPr>
            <w:r>
              <w:rPr/>
              <w:t>​</w:t>
            </w:r>
          </w:p>
        </w:tc>
      </w:tr>
      <w:tr>
        <w:trPr/>
        <w:tc>
          <w:tcPr>
            <w:tcW w:w="331"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08"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Seek Alignment with Our Stockholders</w:t>
            </w:r>
            <w:r>
              <w:rPr>
                <w:rFonts w:ascii="Times New Roman;Times;serif" w:hAnsi="Times New Roman;Times;serif"/>
                <w:sz w:val="18"/>
              </w:rPr>
              <w:t>. We require both our named executive officers and our directors to maintain a meaningful ownership stake at levels specified in our stock ownership policy.</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1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24"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Do Not Permit Hedging, Short Sales, or Pledging</w:t>
            </w:r>
            <w:r>
              <w:rPr>
                <w:rFonts w:ascii="Times New Roman;Times;serif" w:hAnsi="Times New Roman;Times;serif"/>
                <w:sz w:val="18"/>
              </w:rPr>
              <w:t>. Under our insider trading policy, our officers and directors are prohibited from hedging, effecting short sales of, and (except in extremely limited circumstances) pledging our stock.</w:t>
            </w:r>
          </w:p>
        </w:tc>
      </w:tr>
      <w:tr>
        <w:trPr/>
        <w:tc>
          <w:tcPr>
            <w:tcW w:w="331"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0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1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24" w:type="dxa"/>
            <w:tcBorders/>
            <w:shd w:fill="auto" w:val="clear"/>
            <w:tcMar>
              <w:top w:w="0" w:type="dxa"/>
              <w:bottom w:w="0" w:type="dxa"/>
            </w:tcMar>
            <w:vAlign w:val="center"/>
          </w:tcPr>
          <w:p>
            <w:pPr>
              <w:pStyle w:val="TableContents"/>
              <w:spacing w:before="0" w:after="0"/>
              <w:ind w:left="0" w:right="0" w:hanging="0"/>
              <w:rPr/>
            </w:pPr>
            <w:r>
              <w:rPr/>
              <w:t>​</w:t>
            </w:r>
          </w:p>
        </w:tc>
      </w:tr>
      <w:tr>
        <w:trPr/>
        <w:tc>
          <w:tcPr>
            <w:tcW w:w="331"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08"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 xml:space="preserve">We Balance Our Incentive Compensation: </w:t>
            </w:r>
            <w:r>
              <w:rPr>
                <w:rFonts w:ascii="Times New Roman;Times;serif" w:hAnsi="Times New Roman;Times;serif"/>
                <w:sz w:val="18"/>
              </w:rPr>
              <w:t>Our incentive compensation programs provide a balance of short-term cash incentives that are based on achievement of annual financial metrics and time-based equity incentives that vest over five years and provide value as a long-term retention tool.</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1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24"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Do Not Automatically Increase Salaries or Bonuses</w:t>
            </w:r>
            <w:r>
              <w:rPr>
                <w:rFonts w:ascii="Times New Roman;Times;serif" w:hAnsi="Times New Roman;Times;serif"/>
                <w:sz w:val="18"/>
              </w:rPr>
              <w:t xml:space="preserve">: Since 2011, our Chief Executive Officer, Chief Operating Officer and Chief Financial Officer have accepted cumulative base salary increases of approximately $40,000 each, and their bonuses are strictly performance based. </w:t>
            </w:r>
          </w:p>
        </w:tc>
      </w:tr>
      <w:tr>
        <w:trPr/>
        <w:tc>
          <w:tcPr>
            <w:tcW w:w="331"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08" w:type="dxa"/>
            <w:tcBorders/>
            <w:shd w:fill="auto" w:val="clear"/>
            <w:tcMar>
              <w:top w:w="0" w:type="dxa"/>
              <w:bottom w:w="0" w:type="dxa"/>
            </w:tcMar>
            <w:vAlign w:val="center"/>
          </w:tcPr>
          <w:p>
            <w:pPr>
              <w:pStyle w:val="TableContents"/>
              <w:spacing w:before="0" w:after="0"/>
              <w:ind w:left="0" w:right="0" w:hanging="0"/>
              <w:rPr/>
            </w:pPr>
            <w:r>
              <w:rPr/>
              <w:t>​</w:t>
            </w:r>
          </w:p>
        </w:tc>
        <w:tc>
          <w:tcPr>
            <w:tcW w:w="642" w:type="dxa"/>
            <w:gridSpan w:val="2"/>
            <w:tcBorders/>
            <w:shd w:fill="auto" w:val="clear"/>
            <w:tcMar>
              <w:top w:w="0" w:type="dxa"/>
              <w:bottom w:w="0" w:type="dxa"/>
            </w:tcMar>
            <w:vAlign w:val="center"/>
          </w:tcPr>
          <w:p>
            <w:pPr>
              <w:pStyle w:val="TableContents"/>
              <w:spacing w:before="0" w:after="0"/>
              <w:ind w:left="0" w:right="0" w:hanging="0"/>
              <w:jc w:val="center"/>
              <w:rPr/>
            </w:pPr>
            <w:r>
              <w:rPr/>
              <w:t>​</w:t>
            </w:r>
          </w:p>
        </w:tc>
        <w:tc>
          <w:tcPr>
            <w:tcW w:w="4624" w:type="dxa"/>
            <w:tcBorders/>
            <w:shd w:fill="auto" w:val="clear"/>
            <w:tcMar>
              <w:top w:w="0" w:type="dxa"/>
              <w:bottom w:w="0" w:type="dxa"/>
            </w:tcMar>
            <w:vAlign w:val="center"/>
          </w:tcPr>
          <w:p>
            <w:pPr>
              <w:pStyle w:val="TableContents"/>
              <w:spacing w:before="0" w:after="0"/>
              <w:ind w:left="0" w:right="0" w:hanging="0"/>
              <w:rPr/>
            </w:pPr>
            <w:r>
              <w:rPr/>
              <w:t>​</w:t>
            </w:r>
          </w:p>
        </w:tc>
      </w:tr>
      <w:tr>
        <w:trPr/>
        <w:tc>
          <w:tcPr>
            <w:tcW w:w="331"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08"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Can Claw Back Compensation</w:t>
            </w:r>
            <w:r>
              <w:rPr>
                <w:rFonts w:ascii="Times New Roman;Times;serif" w:hAnsi="Times New Roman;Times;serif"/>
                <w:sz w:val="18"/>
              </w:rPr>
              <w:t>: We have the ability to recoup incentive compensation if the Company’s financial results are restated or materially misstated due in whole or in part to misconduct by one or more of our named executive officers.</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1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24" w:type="dxa"/>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Do Not Provide Excessive Perquisites</w:t>
            </w:r>
            <w:r>
              <w:rPr>
                <w:rFonts w:ascii="Times New Roman;Times;serif" w:hAnsi="Times New Roman;Times;serif"/>
                <w:sz w:val="18"/>
              </w:rPr>
              <w:t>: Our named executive officers receive limited perquisites and benefits.</w:t>
            </w:r>
          </w:p>
        </w:tc>
      </w:tr>
      <w:tr>
        <w:trPr/>
        <w:tc>
          <w:tcPr>
            <w:tcW w:w="331"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08" w:type="dxa"/>
            <w:tcBorders/>
            <w:shd w:fill="auto" w:val="clear"/>
            <w:tcMar>
              <w:top w:w="0" w:type="dxa"/>
              <w:bottom w:w="0" w:type="dxa"/>
            </w:tcMar>
            <w:vAlign w:val="center"/>
          </w:tcPr>
          <w:p>
            <w:pPr>
              <w:pStyle w:val="TableContents"/>
              <w:spacing w:before="0" w:after="0"/>
              <w:ind w:left="0" w:right="0" w:hanging="0"/>
              <w:rPr/>
            </w:pPr>
            <w:r>
              <w:rPr/>
              <w:t>​</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316" w:type="dxa"/>
            <w:tcBorders/>
            <w:shd w:fill="auto" w:val="clear"/>
            <w:tcMar>
              <w:top w:w="0" w:type="dxa"/>
              <w:bottom w:w="0" w:type="dxa"/>
            </w:tcMar>
            <w:vAlign w:val="center"/>
          </w:tcPr>
          <w:p>
            <w:pPr>
              <w:pStyle w:val="TableContents"/>
              <w:spacing w:before="0" w:after="0"/>
              <w:ind w:left="0" w:right="0" w:hanging="0"/>
              <w:jc w:val="center"/>
              <w:rPr/>
            </w:pPr>
            <w:r>
              <w:rPr/>
              <w:t>​</w:t>
            </w:r>
          </w:p>
        </w:tc>
        <w:tc>
          <w:tcPr>
            <w:tcW w:w="4624" w:type="dxa"/>
            <w:tcBorders/>
            <w:shd w:fill="auto" w:val="clear"/>
            <w:tcMar>
              <w:top w:w="0" w:type="dxa"/>
              <w:bottom w:w="0" w:type="dxa"/>
            </w:tcMar>
            <w:vAlign w:val="center"/>
          </w:tcPr>
          <w:p>
            <w:pPr>
              <w:pStyle w:val="TableContents"/>
              <w:spacing w:before="0" w:after="0"/>
              <w:ind w:left="0" w:right="0" w:hanging="0"/>
              <w:rPr/>
            </w:pPr>
            <w:r>
              <w:rPr/>
              <w:t>​</w:t>
            </w:r>
          </w:p>
        </w:tc>
      </w:tr>
      <w:tr>
        <w:trPr/>
        <w:tc>
          <w:tcPr>
            <w:tcW w:w="331" w:type="dxa"/>
            <w:tcBorders>
              <w:bottom w:val="single" w:sz="2" w:space="0" w:color="000000"/>
            </w:tcBorders>
            <w:shd w:fill="auto" w:val="clear"/>
            <w:tcMar>
              <w:top w:w="0" w:type="dxa"/>
            </w:tcMar>
            <w:vAlign w:val="center"/>
          </w:tcPr>
          <w:p>
            <w:pPr>
              <w:pStyle w:val="TableContents"/>
              <w:spacing w:before="0" w:after="0"/>
              <w:ind w:left="0" w:right="0" w:hanging="0"/>
              <w:jc w:val="center"/>
              <w:rPr/>
            </w:pPr>
            <w:r>
              <w:rPr/>
              <w:t>☐</w:t>
            </w:r>
          </w:p>
        </w:tc>
        <w:tc>
          <w:tcPr>
            <w:tcW w:w="4608" w:type="dxa"/>
            <w:tcBorders>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b/>
                <w:i/>
                <w:sz w:val="18"/>
              </w:rPr>
              <w:t>We Retain an Independent Compensation Consultant:</w:t>
            </w:r>
            <w:r>
              <w:rPr>
                <w:rFonts w:ascii="Times New Roman;Times;serif" w:hAnsi="Times New Roman;Times;serif"/>
                <w:sz w:val="18"/>
              </w:rPr>
              <w:t xml:space="preserve"> Our Compensation Committee engages an independent consultant from time to time to provide guidance on peer group composition and compensation levels.</w:t>
            </w:r>
          </w:p>
        </w:tc>
        <w:tc>
          <w:tcPr>
            <w:tcW w:w="326" w:type="dxa"/>
            <w:tcBorders>
              <w:bottom w:val="single" w:sz="2" w:space="0" w:color="000000"/>
            </w:tcBorders>
            <w:shd w:fill="auto" w:val="clear"/>
            <w:tcMar>
              <w:top w:w="0" w:type="dxa"/>
            </w:tcMar>
            <w:vAlign w:val="center"/>
          </w:tcPr>
          <w:p>
            <w:pPr>
              <w:pStyle w:val="TableContents"/>
              <w:spacing w:before="0" w:after="0"/>
              <w:ind w:left="0" w:right="0" w:hanging="0"/>
              <w:rPr/>
            </w:pPr>
            <w:r>
              <w:rPr/>
              <w:t>​</w:t>
            </w:r>
          </w:p>
        </w:tc>
        <w:tc>
          <w:tcPr>
            <w:tcW w:w="316" w:type="dxa"/>
            <w:tcBorders>
              <w:bottom w:val="single" w:sz="2" w:space="0" w:color="000000"/>
            </w:tcBorders>
            <w:shd w:fill="auto" w:val="clear"/>
            <w:tcMar>
              <w:top w:w="0" w:type="dxa"/>
            </w:tcMar>
            <w:vAlign w:val="center"/>
          </w:tcPr>
          <w:p>
            <w:pPr>
              <w:pStyle w:val="TableContents"/>
              <w:spacing w:before="0" w:after="0"/>
              <w:ind w:left="0" w:right="0" w:hanging="0"/>
              <w:jc w:val="center"/>
              <w:rPr/>
            </w:pPr>
            <w:r>
              <w:rPr/>
              <w:t>☐</w:t>
            </w:r>
          </w:p>
        </w:tc>
        <w:tc>
          <w:tcPr>
            <w:tcW w:w="4624" w:type="dxa"/>
            <w:tcBorders>
              <w:bottom w:val="single" w:sz="2" w:space="0" w:color="000000"/>
            </w:tcBorders>
            <w:shd w:fill="auto" w:val="clear"/>
            <w:tcMar>
              <w:top w:w="0" w:type="dxa"/>
            </w:tcMar>
            <w:vAlign w:val="center"/>
          </w:tcPr>
          <w:p>
            <w:pPr>
              <w:pStyle w:val="TableContents"/>
              <w:spacing w:before="0" w:after="0"/>
              <w:ind w:left="72" w:right="0" w:hanging="0"/>
              <w:rPr>
                <w:rFonts w:ascii="Times New Roman;Times;serif" w:hAnsi="Times New Roman;Times;serif"/>
                <w:sz w:val="18"/>
              </w:rPr>
            </w:pPr>
            <w:r>
              <w:rPr>
                <w:rFonts w:ascii="Times New Roman;Times;serif" w:hAnsi="Times New Roman;Times;serif"/>
                <w:b/>
                <w:i/>
                <w:sz w:val="18"/>
              </w:rPr>
              <w:t>We Do Not Provide for Change of Control Acceleration</w:t>
            </w:r>
            <w:r>
              <w:rPr>
                <w:rFonts w:ascii="Times New Roman;Times;serif" w:hAnsi="Times New Roman;Times;serif"/>
                <w:sz w:val="18"/>
              </w:rPr>
              <w:t>. We do not provide “single-trigger” accelerated vesting of equity-based awards upon a change in control.</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Response to Advisory Vote on Executive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held stockholder advisory votes on the compensation of our named executive officers, commonly referred to as a Say-on-Pay vote, since 2011 and, in each case, our stockholders approved the compensation of our named executive officers by wide margins, including receiving the support of 95.2% of shares voted in 2022. As we evaluate our compensation practices in light of such votes, we give great consideration to the strong support our stockholders continue to express for our overall compensation philosophy and practices. As a result, our Compensation Committee retained our general approach to executive compensation in 2022 and into 2023, as discussed below.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Compensation Philosophy and Objectives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 practices that are considered standard for good corporate governance and executive compensation,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alignment between company-wide performance and payouts under our annual cash incentive plan (“Annual Cash Incentive Plan”);</w:t>
            </w:r>
          </w:p>
        </w:tc>
      </w:tr>
    </w:tbl>
    <w:tbl>
      <w:tblPr>
        <w:tblW w:w="4206" w:type="dxa"/>
        <w:jc w:val="left"/>
        <w:tblInd w:w="0" w:type="dxa"/>
        <w:tblCellMar>
          <w:top w:w="28" w:type="dxa"/>
          <w:left w:w="28" w:type="dxa"/>
          <w:bottom w:w="28" w:type="dxa"/>
          <w:right w:w="28" w:type="dxa"/>
        </w:tblCellMar>
      </w:tblPr>
      <w:tblGrid>
        <w:gridCol w:w="124"/>
        <w:gridCol w:w="256"/>
        <w:gridCol w:w="3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any guaranteed cash bonuses;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tool to retain key personnel, all stock-based awards are subject to five-year vesting periods, with 20% of each grant vesting annually on each of the first five anniversaries of the date of grant;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arrangements with our named executive officers that are limited to one year of compensation and benefits and limited acceleration of vesting; and</w:t>
            </w:r>
          </w:p>
        </w:tc>
      </w:tr>
    </w:tbl>
    <w:tbl>
      <w:tblPr>
        <w:tblW w:w="7191" w:type="dxa"/>
        <w:jc w:val="left"/>
        <w:tblInd w:w="0" w:type="dxa"/>
        <w:tblCellMar>
          <w:top w:w="28" w:type="dxa"/>
          <w:left w:w="28" w:type="dxa"/>
          <w:bottom w:w="28" w:type="dxa"/>
          <w:right w:w="28" w:type="dxa"/>
        </w:tblCellMar>
      </w:tblPr>
      <w:tblGrid>
        <w:gridCol w:w="124"/>
        <w:gridCol w:w="256"/>
        <w:gridCol w:w="6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Double-trigger change-in-control arrangements with our named executive officers.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light of the foregoing factors and practices, we believe our executive compensation in fiscal year 2022 appropriately reflected the economic and regulatory environments, the performance of the Company and the relationship with market compensation necessary to retain and motivate our executives, and that the continuation of these practices in 2023 is appropriate given the continued regulatory, economic and competitive challenges that we expect to face.</w:t>
      </w:r>
    </w:p>
    <w:p>
      <w:pPr>
        <w:pStyle w:val="TextBody"/>
        <w:spacing w:before="0" w:after="240"/>
        <w:ind w:left="0" w:right="0" w:hanging="0"/>
        <w:rPr>
          <w:rFonts w:ascii="Times New Roman;Times;serif" w:hAnsi="Times New Roman;Times;serif"/>
          <w:b/>
          <w:i/>
          <w:sz w:val="20"/>
        </w:rPr>
      </w:pPr>
      <w:bookmarkStart w:id="127" w:name="_cp_text_1_66"/>
      <w:bookmarkEnd w:id="127"/>
      <w:r>
        <w:rPr>
          <w:rFonts w:ascii="Times New Roman;Times;serif" w:hAnsi="Times New Roman;Times;serif"/>
          <w:b/>
          <w:i/>
          <w:sz w:val="20"/>
        </w:rPr>
        <w:t>A Note About the Compensation of Our Management Team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Over the years, the Compensation Committee has periodically engaged an independent compensation consultant to provide recommendations regarding executive compensation consistent with the Company’s business needs, pay philosophy, market trends and latest legal and regulatory considerations; provide market data for base salary, short-term incentive and long-term incentive decisions; and advise the Compensation Committee as to best practices. Historically, analyses of peer group data show that our named executive officers are compensated below their peers and we believe 2022 compensation levels remain below our peers. The reasons for this are twofold:</w:t>
      </w:r>
    </w:p>
    <w:p>
      <w:pPr>
        <w:pStyle w:val="Normal"/>
        <w:spacing w:before="0" w:after="0"/>
        <w:rPr>
          <w:sz w:val="4"/>
          <w:szCs w:val="4"/>
        </w:rPr>
      </w:pPr>
      <w:r>
        <w:rPr>
          <w:sz w:val="4"/>
          <w:szCs w:val="4"/>
        </w:rPr>
      </w:r>
      <w:bookmarkStart w:id="128" w:name="_cp_text_1_69"/>
      <w:bookmarkStart w:id="129" w:name="_cp_blt_1_68"/>
      <w:bookmarkStart w:id="130" w:name="_cp_text_1_69"/>
      <w:bookmarkStart w:id="131" w:name="_cp_blt_1_68"/>
      <w:bookmarkEnd w:id="130"/>
      <w:bookmarkEnd w:id="131"/>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as of December 31, 2022 has been with the Company for a decade (except for Mr. Briggs, who joined our Company upon our acquisition of Orbis Education) or more and, overall, our top management ranks have been extremely stable over time. This means that the compensation structure has not been forced to re-set due to the hiring of new management level personnel; and</w:t>
            </w:r>
          </w:p>
        </w:tc>
      </w:tr>
    </w:tbl>
    <w:p>
      <w:pPr>
        <w:pStyle w:val="Normal"/>
        <w:spacing w:before="0" w:after="0"/>
        <w:rPr>
          <w:sz w:val="4"/>
          <w:szCs w:val="4"/>
        </w:rPr>
      </w:pPr>
      <w:r>
        <w:rPr>
          <w:sz w:val="4"/>
          <w:szCs w:val="4"/>
        </w:rPr>
      </w:r>
      <w:bookmarkStart w:id="132" w:name="_cp_text_1_71"/>
      <w:bookmarkStart w:id="133" w:name="_cp_blt_1_70"/>
      <w:bookmarkStart w:id="134" w:name="_cp_text_1_71"/>
      <w:bookmarkStart w:id="135" w:name="_cp_blt_1_70"/>
      <w:bookmarkEnd w:id="134"/>
      <w:bookmarkEnd w:id="135"/>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area of compensation, our senior executives firmly believe that compensation should be based on performance: thus, base salaries should be relatively stable, cash bonuses should reflect annual performance, and equity incentives should be granted in appropriate amounts and provide upside value only if that value is shared by all of our stockholders.</w:t>
            </w:r>
          </w:p>
        </w:tc>
      </w:tr>
    </w:tbl>
    <w:p>
      <w:pPr>
        <w:pStyle w:val="TextBody"/>
        <w:spacing w:before="0" w:after="240"/>
        <w:ind w:left="0" w:right="0" w:firstLine="720"/>
        <w:rPr>
          <w:rFonts w:ascii="Times New Roman;Times;serif" w:hAnsi="Times New Roman;Times;serif"/>
          <w:sz w:val="20"/>
        </w:rPr>
      </w:pPr>
      <w:bookmarkStart w:id="136" w:name="_cp_text_1_72"/>
      <w:bookmarkEnd w:id="136"/>
      <w:r>
        <w:rPr>
          <w:rFonts w:ascii="Times New Roman;Times;serif" w:hAnsi="Times New Roman;Times;serif"/>
          <w:sz w:val="20"/>
        </w:rPr>
        <w:t>This belief has been backed up by actions. Between December 31, 2010 and the date of this Proxy Statement - a period during which the Company’s market capitalization increased by 299% (or nearly $2.7 billion), from $895.6 million to $3.6 billion - our Chief Executive Officer, Chief Operating Officer and Chief Financial Officer have accepted cumulative base salary increases of only $40,000 each even though their cash compensation substantially lags behind peers. In addition, the grant date value of their annual long-term equity incentive grants substantially lags behind peers. The Compensation Committee applauds the leadership and performance of our executive management team and the example they set for the Company.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Overview of 2022 Executive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purpose of this Compensation Discussion and Analysis is to provide information about each material element of compensation that we pay or award to, or that is earned by, our named executive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Compensation Discussion and Analysis addresses and explains the compensation practices we followed in 2022, the numerical and related information contained in the summary compensation and related tables presented below, and actions we have taken regarding executive compensation since the end of our 2022 fiscal year. Specifically, this Compensation Discussion and Analysis addresses:</w:t>
      </w:r>
    </w:p>
    <w:tbl>
      <w:tblPr>
        <w:tblW w:w="10011" w:type="dxa"/>
        <w:jc w:val="left"/>
        <w:tblInd w:w="0" w:type="dxa"/>
        <w:tblCellMar>
          <w:top w:w="28" w:type="dxa"/>
          <w:left w:w="28" w:type="dxa"/>
          <w:bottom w:w="28" w:type="dxa"/>
          <w:right w:w="28" w:type="dxa"/>
        </w:tblCellMar>
      </w:tblPr>
      <w:tblGrid>
        <w:gridCol w:w="124"/>
        <w:gridCol w:w="256"/>
        <w:gridCol w:w="9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objectives of our compensation program (found in the section entitled “Objectives of Compensation Programs”);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our compensation program is designed to reward (also described in the section entitled “Objectives of Compensation Programs”);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element of compensation (set forth in the section entitled “Compensation Program Design and Elements of Compensation”);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Why each element was chosen (described with each element of compensation, including base pay, short-term incentives and long-term incentives);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amounts and formulas for pay are calculated and determined (also described with each element of compensation, including base pay, short-term incentives and long-term incentives);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each compensation element and our decisions regarding that element fit into our overall compensation objectives and affect decisions regarding other elements (described with each element of compensation).</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Compensation Determinations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executive officers, makes such determinations in consultation with our Chief Executive Officer. For additional information regarding the Compensation Committee, please see “Corporate Governance and Board Matters — Committees of Our Board of Directors — Compensation Committee.”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Objectives of Compensation Programs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Compensation philosophy.</w:t>
      </w:r>
      <w:r>
        <w:rPr>
          <w:rFonts w:ascii="Times New Roman;Times;serif" w:hAnsi="Times New Roman;Times;serif"/>
          <w:sz w:val="20"/>
        </w:rPr>
        <w:t xml:space="preserve"> Under our compensation philosophy, a named executive officer’s total compensation will vary based on the Company’s overall 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Compensation objectives.</w:t>
      </w:r>
      <w:r>
        <w:rPr>
          <w:rFonts w:ascii="Times New Roman;Times;serif" w:hAnsi="Times New Roman;Times;serif"/>
          <w:sz w:val="20"/>
        </w:rPr>
        <w:t xml:space="preserve"> We believe that the compensation program we follow helps us achieve the following objectives: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Compensation should be related to performance.</w:t>
            </w:r>
            <w:r>
              <w:rPr>
                <w:caps w:val="false"/>
                <w:smallCaps w:val="false"/>
              </w:rPr>
              <w:t xml:space="preserve"> </w:t>
            </w:r>
            <w:r>
              <w:rPr>
                <w:rFonts w:ascii="Times New Roman;Times;serif" w:hAnsi="Times New Roman;Times;serif"/>
                <w:b w:val="false"/>
                <w:i w:val="false"/>
                <w:caps w:val="false"/>
                <w:smallCaps w:val="false"/>
                <w:sz w:val="20"/>
              </w:rPr>
              <w:t>We believe that the performance-based portion of an individual’s total compensation should increase as the individual’s business responsibilities increase. Thus, a material portion of executive compensation is linked to our financial performance, which also serves to align the named executive officers’ interests with those of our stockholders.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Compensation should be competitive and cost effective. </w:t>
            </w:r>
            <w:r>
              <w:rPr>
                <w:rFonts w:ascii="Times New Roman;Times;serif" w:hAnsi="Times New Roman;Times;serif"/>
                <w:b w:val="false"/>
                <w:i w:val="false"/>
                <w:caps w:val="false"/>
                <w:smallCaps w:val="false"/>
                <w:sz w:val="20"/>
              </w:rPr>
              <w:t>We believe that our compensation program should foster an 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Company compensation policies.</w:t>
      </w:r>
      <w:r>
        <w:rPr>
          <w:rFonts w:ascii="Times New Roman;Times;serif" w:hAnsi="Times New Roman;Times;serif"/>
          <w:sz w:val="20"/>
        </w:rPr>
        <w:t xml:space="preserve"> During 2022, our named executive officers’ total in-service compensation consisted of base salaries, cash bonuses, share-based compensation, and other benefits generally available to all employees. With regard to these components, we adhere to the following compensation policies: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Cash should be a significant component of compensation.</w:t>
            </w:r>
            <w:r>
              <w:rPr>
                <w:caps w:val="false"/>
                <w:smallCaps w:val="false"/>
              </w:rPr>
              <w:t xml:space="preserve"> </w:t>
            </w:r>
            <w:r>
              <w:rPr>
                <w:rFonts w:ascii="Times New Roman;Times;serif" w:hAnsi="Times New Roman;Times;serif"/>
                <w:b w:val="false"/>
                <w:i w:val="false"/>
                <w:caps w:val="false"/>
                <w:smallCaps w:val="false"/>
                <w:sz w:val="20"/>
              </w:rPr>
              <w:t>The Company’s compensation policy focuses on providing the opportunity for its named executive officers to earn total cash compensation at levels that enable the Company to achieve the motivation and retention goals described above.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Base salaries should generally be the largest component of cash compensation</w:t>
            </w:r>
            <w:r>
              <w:rPr>
                <w:rFonts w:ascii="Times New Roman;Times;serif" w:hAnsi="Times New Roman;Times;serif"/>
                <w:b w:val="false"/>
                <w:i w:val="false"/>
                <w:caps w:val="false"/>
                <w:smallCaps w:val="false"/>
                <w:sz w:val="20"/>
              </w:rPr>
              <w:t>. Our compensation programs generally reflect our view that 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Cash incentives should be linked to performance.</w:t>
            </w:r>
            <w:r>
              <w:rPr>
                <w:caps w:val="false"/>
                <w:smallCaps w:val="false"/>
              </w:rPr>
              <w:t xml:space="preserve"> </w:t>
            </w:r>
            <w:r>
              <w:rPr>
                <w:rFonts w:ascii="Times New Roman;Times;serif" w:hAnsi="Times New Roman;Times;serif"/>
                <w:b w:val="false"/>
                <w:i w:val="false"/>
                <w:caps w:val="false"/>
                <w:smallCaps w:val="false"/>
                <w:sz w:val="20"/>
              </w:rPr>
              <w:t>Under our Annual Cash Incentive Plan, bonuses paid to our named executive officers are based on overall company financial performance, but are subject to reduction based on the Compensation Committee’s assessment of the particular named executive officer’s personal performance and contribution to our overall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Equity awards should be utilized as a means to retain key management and to align their interests with those of our stockholders. </w:t>
            </w:r>
            <w:r>
              <w:rPr>
                <w:rFonts w:ascii="Times New Roman;Times;serif" w:hAnsi="Times New Roman;Times;serif"/>
                <w:b w:val="false"/>
                <w:i w:val="false"/>
                <w:caps w:val="false"/>
                <w:smallCaps w:val="false"/>
                <w:sz w:val="20"/>
              </w:rPr>
              <w:t>We utilize time-based equity awards that vest ratably over five years. We believe a long vesting period encourages retention and focuses our management team on the long-term interests of our Company and stockholders.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our policies have helped us achieve our compensation objectives of attracting, motivating, retaining, and rewarding our key officers.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Compensation Programs Design and Elements of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choose to pay each element of compensation to further the objectives of our compensation program, which, as noted, include the need to attract, motivate, retain, and reward key leaders critical to our success by providing competitive total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Elements of In-Service Compensation.</w:t>
      </w:r>
      <w:r>
        <w:rPr>
          <w:rFonts w:ascii="Times New Roman;Times;serif" w:hAnsi="Times New Roman;Times;serif"/>
          <w:sz w:val="20"/>
        </w:rPr>
        <w:t xml:space="preserve"> For our 2022 fiscal year, our executive compensation mix included base salaries, performance-based cash 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2022, we did not provide any perquisites to our named executive officers. We generally determine the nature and amount of each element of compensation as follows: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Base salary.</w:t>
            </w:r>
            <w:r>
              <w:rPr>
                <w:caps w:val="false"/>
                <w:smallCaps w:val="false"/>
              </w:rPr>
              <w:t xml:space="preserve"> </w:t>
            </w:r>
            <w:r>
              <w:rPr>
                <w:rFonts w:ascii="Times New Roman;Times;serif" w:hAnsi="Times New Roman;Times;serif"/>
                <w:b w:val="false"/>
                <w:i w:val="false"/>
                <w:caps w:val="false"/>
                <w:smallCaps w:val="false"/>
                <w:sz w:val="20"/>
              </w:rPr>
              <w:t xml:space="preserve">We typically agree upon a base salary with a named executive officer at the time of initial employment. 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Bonuses.</w:t>
            </w:r>
            <w:r>
              <w:rPr>
                <w:caps w:val="false"/>
                <w:smallCaps w:val="false"/>
              </w:rPr>
              <w:t xml:space="preserve"> </w:t>
            </w:r>
            <w:r>
              <w:rPr>
                <w:rFonts w:ascii="Times New Roman;Times;serif" w:hAnsi="Times New Roman;Times;serif"/>
                <w:b w:val="false"/>
                <w:i w:val="false"/>
                <w:caps w:val="false"/>
                <w:smallCaps w:val="false"/>
                <w:sz w:val="20"/>
              </w:rPr>
              <w:t>We provide cash bonuses, which typically are at-risk, to recognize and reward our named executive officers based on our success in a given year. For 2022, we awarded performance-related bonuses under our Annual Cash Incentive Plan. The operation of this plan as it relates to our named executive officers is described in more detail below.</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Share-based compensation</w:t>
            </w:r>
            <w:r>
              <w:rPr>
                <w:rFonts w:ascii="Times New Roman;Times;serif" w:hAnsi="Times New Roman;Times;serif"/>
                <w:b w:val="false"/>
                <w:i w:val="false"/>
                <w:caps w:val="false"/>
                <w:smallCaps w:val="false"/>
                <w:sz w:val="20"/>
              </w:rPr>
              <w:t xml:space="preserve">. We make equity incentive grants pursuant to our 2017 Equity Incentive Plan (the “2017 Plan”), under which a maximum of 3,000,000 shares may be granted. In 2022, our named executive officers received grants of restricted stock under the 2017 plan, as part of an overall, annual equity incentive grant made to Company employees.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Other.</w:t>
            </w:r>
            <w:r>
              <w:rPr>
                <w:caps w:val="false"/>
                <w:smallCaps w:val="false"/>
              </w:rPr>
              <w:t xml:space="preserve"> </w:t>
            </w:r>
            <w:r>
              <w:rPr>
                <w:rFonts w:ascii="Times New Roman;Times;serif" w:hAnsi="Times New Roman;Times;serif"/>
                <w:b w:val="false"/>
                <w:i w:val="false"/>
                <w:caps w:val="false"/>
                <w:smallCaps w:val="false"/>
                <w:sz w:val="20"/>
              </w:rPr>
              <w:t>We offer other employee benefits to named executive officers for the purpose of meeting current and future 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tuition benefits for a spouse or up to two children with no more than two participants receiving the benefits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 Other than the 401(k) plan, we do not provide any qualified or non-qualified retirement or deferred compensation benefits to our employees, including our named executive officers.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Elements of Post-Termination Compensation and Benefits.</w:t>
      </w:r>
      <w:r>
        <w:rPr>
          <w:rFonts w:ascii="Times New Roman;Times;serif" w:hAnsi="Times New Roman;Times;serif"/>
          <w:sz w:val="20"/>
        </w:rPr>
        <w:t xml:space="preserve"> The employment agreements of our named executive officers provide for post-termination 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2022 pursuant to the written employment agreements consisted of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Salary continuation.</w:t>
            </w:r>
            <w:r>
              <w:rPr>
                <w:caps w:val="false"/>
                <w:smallCaps w:val="false"/>
              </w:rPr>
              <w:t xml:space="preserve"> </w:t>
            </w:r>
            <w:r>
              <w:rPr>
                <w:rFonts w:ascii="Times New Roman;Times;serif" w:hAnsi="Times New Roman;Times;serif"/>
                <w:b w:val="false"/>
                <w:i w:val="false"/>
                <w:caps w:val="false"/>
                <w:smallCaps w:val="false"/>
                <w:sz w:val="20"/>
              </w:rPr>
              <w:t>Each named executive officer would continue to receive 100% of their base salary payable over a period of twelve (12) months following any qualifying termination of employment.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Payment of target bonus</w:t>
            </w:r>
            <w:r>
              <w:rPr>
                <w:rFonts w:ascii="Times New Roman;Times;serif" w:hAnsi="Times New Roman;Times;serif"/>
                <w:b w:val="false"/>
                <w:i w:val="false"/>
                <w:caps w:val="false"/>
                <w:smallCaps w:val="false"/>
                <w:sz w:val="20"/>
              </w:rPr>
              <w:t>. Each named executive officer would receive an additional amount equal to 100% of the named executive officer’s annual target bonus for the year in which such termination occurs, with such amount also payable over twelve (12) months following any qualifying termination of employment.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Benefits continuation.</w:t>
            </w:r>
            <w:r>
              <w:rPr>
                <w:caps w:val="false"/>
                <w:smallCaps w:val="false"/>
              </w:rPr>
              <w:t xml:space="preserve"> </w:t>
            </w:r>
            <w:r>
              <w:rPr>
                <w:rFonts w:ascii="Times New Roman;Times;serif" w:hAnsi="Times New Roman;Times;serif"/>
                <w:b w:val="false"/>
                <w:i w:val="false"/>
                <w:caps w:val="false"/>
                <w:smallCaps w:val="false"/>
                <w:sz w:val="20"/>
              </w:rPr>
              <w:t>Each named executive officer would continue to receive Company-paid premiums for continued group health benefits under COBRA during the severance period.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Partially accelerated vesting of equity incentives</w:t>
            </w:r>
            <w:r>
              <w:rPr>
                <w:rFonts w:ascii="Times New Roman;Times;serif" w:hAnsi="Times New Roman;Times;serif"/>
                <w:b w:val="false"/>
                <w:i w:val="false"/>
                <w:caps w:val="false"/>
                <w:smallCaps w:val="false"/>
                <w:sz w:val="20"/>
              </w:rPr>
              <w:t>. Each named executive officer would receive partial acceleration of the vesting of any outstanding restricted stock awards to the next annual vesting date immediately following the date of termination.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Fully accelerated vesting of equity incentives</w:t>
            </w:r>
            <w:r>
              <w:rPr>
                <w:rFonts w:ascii="Times New Roman;Times;serif" w:hAnsi="Times New Roman;Times;serif"/>
                <w:b w:val="false"/>
                <w:i w:val="false"/>
                <w:caps w:val="false"/>
                <w:smallCaps w:val="false"/>
                <w:sz w:val="20"/>
              </w:rPr>
              <w:t>. In the event of a termination by us without Cause or by the executive for Good Reason within twelve (12) months following a Change in Control, each named executive officer would receive full acceleration of the vesting of their outstanding restricted stock awards.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“Executive Employment Agreements” and “Potential Payments Upon Termination or Change in Control” for additional detail.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Impact of Performance on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2022, each of our named executive officers participated in the Annual Cash Incentive Plan, other than Mr. Briggs (as further described below). Under the Annual Cash Incentive Plan as in effect for 2022,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2022, we defined Adjusted EBITDA for purposes of the Annual Cash Incentive Plan in a manner consistent with the definition we use when reporting our financial results. See </w:t>
      </w:r>
      <w:r>
        <w:rPr>
          <w:rFonts w:ascii="Times New Roman;Times;serif" w:hAnsi="Times New Roman;Times;serif"/>
          <w:i/>
          <w:sz w:val="20"/>
        </w:rPr>
        <w:t xml:space="preserve">Item 7, Management’s Discussion and Analysis of Financial Condition and Results of Operations – Adjusted EBITDA (Non- GAAP Financial Measure), </w:t>
      </w:r>
      <w:r>
        <w:rPr>
          <w:rFonts w:ascii="Times New Roman;Times;serif" w:hAnsi="Times New Roman;Times;serif"/>
          <w:sz w:val="20"/>
        </w:rPr>
        <w:t>beginning on page 58 of our Annual Report on Form 10-K for the fiscal year ended December 31, 2022 for information regarding our use and calculation of Adjusted EBITDA. As such, we believe it is fair and reasonable to our executives to assess their individual performance on the same basis as our performance is assessed by our Board of Directors and investors.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Company performance</w:t>
      </w:r>
      <w:r>
        <w:rPr>
          <w:rFonts w:ascii="Times New Roman;Times;serif" w:hAnsi="Times New Roman;Times;serif"/>
          <w:sz w:val="20"/>
        </w:rPr>
        <w:t>. For our named executive officers on the Annual Cash Incentive Plan, the financial metrics account for 100% of the target bonus, with the resulting amount subject to reduction based on the Compensation Committee’s assessment of the particular named executive officer’s personal performance and contribution to our overall results. For other plan participants on the Senior Management Plan (as defined below), the financial metrics account for 60% of the target bonus and specific individual performance goals account for 40% of the target bonus.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Individual performance</w:t>
      </w:r>
      <w:r>
        <w:rPr>
          <w:rFonts w:ascii="Times New Roman;Times;serif" w:hAnsi="Times New Roman;Times;serif"/>
          <w:sz w:val="20"/>
        </w:rPr>
        <w:t>. In reviewing individual performance, we look at an executive’s achievement of non-financial objectives that, with respect to a given participant, may include achieving objectives related to, among other things, program development and expansion, regulatory compliance, student retention and academic outcomes.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Calculation of bonuses</w:t>
      </w:r>
      <w:r>
        <w:rPr>
          <w:rFonts w:ascii="Times New Roman;Times;serif" w:hAnsi="Times New Roman;Times;serif"/>
          <w:sz w:val="20"/>
        </w:rPr>
        <w:t>. For each named executive officer on the Annual Cash Incentive Plan, the Compensation Committee establishes a target bonus, which is stated as a percentage of the named executive officer’s base salary. For 2022, the bonus opportunity as a percentage of base salary for each of the named executive officers on the Annual Cash Incentive Plan were as follows:</w:t>
      </w:r>
    </w:p>
    <w:tbl>
      <w:tblPr>
        <w:tblW w:w="5238" w:type="dxa"/>
        <w:jc w:val="left"/>
        <w:tblInd w:w="0" w:type="dxa"/>
        <w:tblCellMar>
          <w:top w:w="0" w:type="dxa"/>
          <w:left w:w="0" w:type="dxa"/>
          <w:bottom w:w="0" w:type="dxa"/>
          <w:right w:w="0" w:type="dxa"/>
        </w:tblCellMar>
      </w:tblPr>
      <w:tblGrid>
        <w:gridCol w:w="1606"/>
        <w:gridCol w:w="326"/>
        <w:gridCol w:w="826"/>
        <w:gridCol w:w="361"/>
        <w:gridCol w:w="601"/>
        <w:gridCol w:w="361"/>
        <w:gridCol w:w="841"/>
        <w:gridCol w:w="316"/>
      </w:tblGrid>
      <w:tr>
        <w:trPr/>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019810" cy="175260"/>
                      <wp:effectExtent l="0" t="0" r="0" b="0"/>
                      <wp:wrapNone/>
                      <wp:docPr id="23" name="Frame6"/>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24"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24510" cy="175260"/>
                      <wp:effectExtent l="0" t="0" r="0" b="0"/>
                      <wp:wrapNone/>
                      <wp:docPr id="25" name="Frame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9235" cy="175260"/>
                      <wp:effectExtent l="0" t="0" r="0" b="0"/>
                      <wp:wrapNone/>
                      <wp:docPr id="26" name="Frame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1635" cy="175260"/>
                      <wp:effectExtent l="0" t="0" r="0" b="0"/>
                      <wp:wrapNone/>
                      <wp:docPr id="27" name="Frame10"/>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9235" cy="175260"/>
                      <wp:effectExtent l="0" t="0" r="0" b="0"/>
                      <wp:wrapNone/>
                      <wp:docPr id="28" name="Frame1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34035" cy="175260"/>
                      <wp:effectExtent l="0" t="0" r="0" b="0"/>
                      <wp:wrapNone/>
                      <wp:docPr id="29" name="Frame12"/>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0660" cy="175260"/>
                      <wp:effectExtent l="0" t="0" r="0" b="0"/>
                      <wp:wrapNone/>
                      <wp:docPr id="30" name="Frame1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16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9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Bonus Opportunity as a</w:t>
              <w:br/>
              <w:t>Percentage of</w:t>
              <w:br/>
              <w:t>Base Salary</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1606" w:type="dxa"/>
            <w:tcBorders>
              <w:bottom w:val="single" w:sz="2" w:space="0" w:color="000000"/>
            </w:tcBorders>
            <w:shd w:fill="auto" w:val="clear"/>
            <w:tcMar>
              <w:bottom w:w="28"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b/>
                <w:sz w:val="16"/>
              </w:rPr>
              <w:t>Name</w:t>
            </w:r>
            <w:r>
              <w:rPr>
                <w:rFonts w:ascii="Times New Roman;Times;serif" w:hAnsi="Times New Roman;Times;serif"/>
                <w:b/>
                <w:sz w:val="12"/>
              </w:rPr>
              <w:t>(1)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6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60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6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8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606"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Dr. W. Stan Meyer</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112.5 </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112.5 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Dilek Marsh</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53.7 </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120" w:after="240"/>
        <w:ind w:left="0" w:right="0" w:firstLine="720"/>
        <w:rPr>
          <w:rFonts w:ascii="Times New Roman;Times;serif" w:hAnsi="Times New Roman;Times;serif"/>
          <w:sz w:val="20"/>
        </w:rPr>
      </w:pPr>
      <w:bookmarkStart w:id="137" w:name="_cp_text_1_296"/>
      <w:bookmarkStart w:id="138" w:name="_cp_text_1_293"/>
      <w:bookmarkEnd w:id="137"/>
      <w:bookmarkEnd w:id="138"/>
      <w:r>
        <w:rPr>
          <w:rFonts w:ascii="Times New Roman;Times;serif" w:hAnsi="Times New Roman;Times;serif"/>
          <w:sz w:val="20"/>
        </w:rPr>
        <w:t>For these executive officers,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the threshold targets established for both the revenue and Adjusted EBITDA goals. Assuming both of these thresholds are achieved, payouts are made based on the Company’s achievement of the revenue goal and Adjusted EBITDA goal, with achievement of both goals at the threshold level resulting in a bonus of 50% of the target bonus and achievement of both goals at the maximum level resulting in a bonus of 150% of the target bonus. Performance between threshold and maximum levels results in prorated payments using straight-line interpolation.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Shown below is a summary of the matrix described above:</w:t>
      </w:r>
    </w:p>
    <w:tbl>
      <w:tblPr>
        <w:tblW w:w="8347" w:type="dxa"/>
        <w:jc w:val="left"/>
        <w:tblInd w:w="0" w:type="dxa"/>
        <w:tblCellMar>
          <w:top w:w="0" w:type="dxa"/>
          <w:left w:w="0" w:type="dxa"/>
          <w:bottom w:w="0" w:type="dxa"/>
          <w:right w:w="0" w:type="dxa"/>
        </w:tblCellMar>
      </w:tblPr>
      <w:tblGrid>
        <w:gridCol w:w="3826"/>
        <w:gridCol w:w="326"/>
        <w:gridCol w:w="1096"/>
        <w:gridCol w:w="326"/>
        <w:gridCol w:w="1201"/>
        <w:gridCol w:w="326"/>
        <w:gridCol w:w="1246"/>
      </w:tblGrid>
      <w:tr>
        <w:trPr/>
        <w:tc>
          <w:tcPr>
            <w:tcW w:w="3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r>
      <w:tr>
        <w:trPr/>
        <w:tc>
          <w:tcPr>
            <w:tcW w:w="38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Goal</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3826"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Revenue goal (50.0% of financial metric)</w:t>
            </w:r>
          </w:p>
        </w:tc>
        <w:tc>
          <w:tcPr>
            <w:tcW w:w="326" w:type="dxa"/>
            <w:tcBorders/>
            <w:shd w:fill="CCEEFF" w:val="clear"/>
            <w:vAlign w:val="center"/>
          </w:tcPr>
          <w:p>
            <w:pPr>
              <w:pStyle w:val="TableContents"/>
              <w:spacing w:before="0" w:after="0"/>
              <w:ind w:left="0" w:right="0" w:hanging="0"/>
              <w:rPr/>
            </w:pPr>
            <w:r>
              <w:rPr/>
              <w:t>​</w:t>
            </w:r>
          </w:p>
        </w:tc>
        <w:tc>
          <w:tcPr>
            <w:tcW w:w="1096"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50% of goal</w:t>
            </w:r>
          </w:p>
        </w:tc>
        <w:tc>
          <w:tcPr>
            <w:tcW w:w="326" w:type="dxa"/>
            <w:tcBorders/>
            <w:shd w:fill="CCEEFF" w:val="clear"/>
            <w:vAlign w:val="center"/>
          </w:tcPr>
          <w:p>
            <w:pPr>
              <w:pStyle w:val="TableContents"/>
              <w:spacing w:before="0" w:after="0"/>
              <w:ind w:left="0" w:right="0" w:hanging="0"/>
              <w:rPr/>
            </w:pPr>
            <w:r>
              <w:rPr/>
              <w:t>​</w:t>
            </w:r>
          </w:p>
        </w:tc>
        <w:tc>
          <w:tcPr>
            <w:tcW w:w="1201"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 of goal</w:t>
            </w:r>
          </w:p>
        </w:tc>
        <w:tc>
          <w:tcPr>
            <w:tcW w:w="326" w:type="dxa"/>
            <w:tcBorders/>
            <w:shd w:fill="CCEEFF" w:val="clear"/>
            <w:vAlign w:val="center"/>
          </w:tcPr>
          <w:p>
            <w:pPr>
              <w:pStyle w:val="TableContents"/>
              <w:spacing w:before="0" w:after="0"/>
              <w:ind w:left="0" w:right="0" w:hanging="0"/>
              <w:rPr/>
            </w:pPr>
            <w:r>
              <w:rPr/>
              <w:t>​</w:t>
            </w:r>
          </w:p>
        </w:tc>
        <w:tc>
          <w:tcPr>
            <w:tcW w:w="1246"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150% of goal</w:t>
            </w:r>
          </w:p>
        </w:tc>
      </w:tr>
      <w:tr>
        <w:trPr/>
        <w:tc>
          <w:tcPr>
            <w:tcW w:w="38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EBITDA (50.0% of financial metric)</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50% of goal</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 of goal</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150% of goal</w:t>
            </w:r>
          </w:p>
        </w:tc>
      </w:tr>
      <w:tr>
        <w:trPr/>
        <w:tc>
          <w:tcPr>
            <w:tcW w:w="38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Bonus payout as a % of target bonus</w:t>
            </w:r>
          </w:p>
        </w:tc>
        <w:tc>
          <w:tcPr>
            <w:tcW w:w="326"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150%</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2022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of the bonus is payable at that level) and the Adjusted EBITDA target is achieved at the target level (so that 100% of the Adjusted EBITDA component of the bonus is payable at that level) the participant would be entitled to a potential bonus of $112,500, calculated as $37,500 (50% of the revenue component) plus $75,000 (100% of the Adjusted EBITDA component).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plan for eligible senior management (the “Senior Management Plan”), in which Mr. Briggs participated in 2020, 2021 and 2022, differs from the Annual Cash Incentive Plan in that it includes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participating in this plan, the bonus under the Senior Management Plan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Changes to performance goals and target awards</w:t>
      </w:r>
      <w:r>
        <w:rPr>
          <w:rFonts w:ascii="Times New Roman;Times;serif" w:hAnsi="Times New Roman;Times;serif"/>
          <w:sz w:val="20"/>
        </w:rPr>
        <w:t>. In accordance with the terms of the Annual Cash Incentive Plan, at any time prior to the final 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(including the financial impacts of a unique circumstance),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2022 financial goals.</w:t>
      </w:r>
      <w:r>
        <w:rPr>
          <w:rFonts w:ascii="Times New Roman;Times;serif" w:hAnsi="Times New Roman;Times;serif"/>
          <w:sz w:val="20"/>
        </w:rPr>
        <w:t xml:space="preserve"> The following table shows the Company-wide financial goals established for the named executive officers for 2022. These financial goals were selected based upon a combination of the Company’s internal budget and analyst estimates, which the Compensation Committee believes establishes an appropriate level at which to set goals in order to maximize the incentive for superior performance, as adjust for financial impacts that we discussed in our 2022 Annual Report on Form 10-K and quantified in our Form 8-K filed on February 16, 2023 as referenced above.</w:t>
      </w:r>
    </w:p>
    <w:tbl>
      <w:tblPr>
        <w:tblW w:w="6850" w:type="dxa"/>
        <w:jc w:val="left"/>
        <w:tblInd w:w="0" w:type="dxa"/>
        <w:tblCellMar>
          <w:top w:w="0" w:type="dxa"/>
          <w:left w:w="0" w:type="dxa"/>
          <w:bottom w:w="0" w:type="dxa"/>
          <w:right w:w="0" w:type="dxa"/>
        </w:tblCellMar>
      </w:tblPr>
      <w:tblGrid>
        <w:gridCol w:w="1636"/>
        <w:gridCol w:w="326"/>
        <w:gridCol w:w="211"/>
        <w:gridCol w:w="1186"/>
        <w:gridCol w:w="326"/>
        <w:gridCol w:w="211"/>
        <w:gridCol w:w="1186"/>
        <w:gridCol w:w="326"/>
        <w:gridCol w:w="211"/>
        <w:gridCol w:w="1231"/>
      </w:tblGrid>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1636" w:type="dxa"/>
            <w:tcBorders/>
            <w:shd w:fill="CCEEFF" w:val="clear"/>
            <w:vAlign w:val="center"/>
          </w:tcPr>
          <w:p>
            <w:pPr>
              <w:pStyle w:val="TableContents"/>
              <w:pBdr/>
              <w:spacing w:before="0" w:after="0"/>
              <w:ind w:left="0" w:right="0" w:hanging="0"/>
              <w:rPr>
                <w:rFonts w:ascii="Times New Roman;Times;serif" w:hAnsi="Times New Roman;Times;serif"/>
                <w:b/>
                <w:i/>
                <w:sz w:val="20"/>
              </w:rPr>
            </w:pPr>
            <w:r>
              <w:rPr>
                <w:rFonts w:ascii="Times New Roman;Times;serif" w:hAnsi="Times New Roman;Times;serif"/>
                <w:b/>
                <w:i/>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897,400,000 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905,400,000 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913,400,000 </w:t>
            </w:r>
          </w:p>
        </w:tc>
      </w:tr>
      <w:tr>
        <w:trPr/>
        <w:tc>
          <w:tcPr>
            <w:tcW w:w="1636" w:type="dxa"/>
            <w:tcBorders/>
            <w:shd w:fill="auto" w:val="clear"/>
            <w:vAlign w:val="center"/>
          </w:tcPr>
          <w:p>
            <w:pPr>
              <w:pStyle w:val="TableContents"/>
              <w:pBdr/>
              <w:spacing w:before="0" w:after="0"/>
              <w:ind w:left="0" w:right="0" w:hanging="0"/>
              <w:rPr>
                <w:rFonts w:ascii="Times New Roman;Times;serif" w:hAnsi="Times New Roman;Times;serif"/>
                <w:b/>
                <w:i/>
                <w:sz w:val="20"/>
              </w:rPr>
            </w:pPr>
            <w:r>
              <w:rPr>
                <w:rFonts w:ascii="Times New Roman;Times;serif" w:hAnsi="Times New Roman;Times;serif"/>
                <w:b/>
                <w:i/>
                <w:sz w:val="20"/>
              </w:rPr>
              <w:t>Adjusted EBITDA</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272,329,000 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280,329,000 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288,329,000 </w:t>
            </w:r>
          </w:p>
        </w:tc>
      </w:tr>
    </w:tbl>
    <w:p>
      <w:pPr>
        <w:pStyle w:val="TextBody"/>
        <w:spacing w:before="120" w:after="0"/>
        <w:ind w:left="0" w:right="0" w:firstLine="720"/>
        <w:rPr>
          <w:rFonts w:ascii="Times New Roman;Times;serif" w:hAnsi="Times New Roman;Times;serif"/>
          <w:sz w:val="20"/>
        </w:rPr>
      </w:pPr>
      <w:r>
        <w:rPr>
          <w:rFonts w:ascii="Times New Roman;Times;serif" w:hAnsi="Times New Roman;Times;serif"/>
          <w:i/>
          <w:sz w:val="20"/>
        </w:rPr>
        <w:t>Actual performance vs. compensation paid for 2022</w:t>
      </w:r>
      <w:r>
        <w:rPr>
          <w:rFonts w:ascii="Times New Roman;Times;serif" w:hAnsi="Times New Roman;Times;serif"/>
          <w:sz w:val="20"/>
        </w:rPr>
        <w:t xml:space="preserve">. For 2022, the Company achieved revenue of $911.3 million and Adjusted EBITDA of $291.3 million, which exceeded the target revenue level of achievement, and exceeded the maximum Adjusted EBITDA level of achievement, resulting in performance payout percentages equal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136.9% for the revenue component of the incentive bonus and 150.0% for the Adjusted EBITDA component of the incentive target bonus. Accordingly, the named executive officers achieved incentive bonuses as follows:</w:t>
      </w:r>
    </w:p>
    <w:tbl>
      <w:tblPr>
        <w:tblW w:w="8647" w:type="dxa"/>
        <w:jc w:val="left"/>
        <w:tblInd w:w="0" w:type="dxa"/>
        <w:tblCellMar>
          <w:top w:w="0" w:type="dxa"/>
          <w:left w:w="0" w:type="dxa"/>
          <w:bottom w:w="0" w:type="dxa"/>
          <w:right w:w="0" w:type="dxa"/>
        </w:tblCellMar>
      </w:tblPr>
      <w:tblGrid>
        <w:gridCol w:w="1606"/>
        <w:gridCol w:w="326"/>
        <w:gridCol w:w="1051"/>
        <w:gridCol w:w="361"/>
        <w:gridCol w:w="1051"/>
        <w:gridCol w:w="361"/>
        <w:gridCol w:w="1141"/>
        <w:gridCol w:w="361"/>
        <w:gridCol w:w="946"/>
        <w:gridCol w:w="361"/>
        <w:gridCol w:w="211"/>
        <w:gridCol w:w="871"/>
      </w:tblGrid>
      <w:tr>
        <w:trPr/>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019810" cy="175260"/>
                      <wp:effectExtent l="0" t="0" r="0" b="0"/>
                      <wp:wrapNone/>
                      <wp:docPr id="31" name="Frame14"/>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7385" cy="175260"/>
                      <wp:effectExtent l="0" t="0" r="0" b="0"/>
                      <wp:wrapNone/>
                      <wp:docPr id="33" name="Frame1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9235" cy="175260"/>
                      <wp:effectExtent l="0" t="0" r="0" b="0"/>
                      <wp:wrapNone/>
                      <wp:docPr id="34" name="Frame1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7385" cy="175260"/>
                      <wp:effectExtent l="0" t="0" r="0" b="0"/>
                      <wp:wrapNone/>
                      <wp:docPr id="35" name="Frame18"/>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29235" cy="175260"/>
                      <wp:effectExtent l="0" t="0" r="0" b="0"/>
                      <wp:wrapNone/>
                      <wp:docPr id="36" name="Frame1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24535" cy="175260"/>
                      <wp:effectExtent l="0" t="0" r="0" b="0"/>
                      <wp:wrapNone/>
                      <wp:docPr id="37" name="Frame2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9235" cy="175260"/>
                      <wp:effectExtent l="0" t="0" r="0" b="0"/>
                      <wp:wrapNone/>
                      <wp:docPr id="38" name="Frame2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00710" cy="175260"/>
                      <wp:effectExtent l="0" t="0" r="0" b="0"/>
                      <wp:wrapNone/>
                      <wp:docPr id="39" name="Frame22"/>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29235" cy="175260"/>
                      <wp:effectExtent l="0" t="0" r="0" b="0"/>
                      <wp:wrapNone/>
                      <wp:docPr id="40" name="Frame2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1" name="Frame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53085" cy="175260"/>
                      <wp:effectExtent l="0" t="0" r="0" b="0"/>
                      <wp:wrapNone/>
                      <wp:docPr id="42" name="Frame25"/>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r>
      <w:tr>
        <w:trPr/>
        <w:tc>
          <w:tcPr>
            <w:tcW w:w="16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Revenue</w:t>
              <w:br/>
              <w:t>Performance</w:t>
              <w:br/>
            </w:r>
            <w:r>
              <w:rPr>
                <w:rFonts w:ascii="Times New Roman;Times;serif" w:hAnsi="Times New Roman;Times;serif"/>
                <w:sz w:val="16"/>
              </w:rPr>
              <w:t> </w:t>
            </w:r>
            <w:r>
              <w:rPr>
                <w:rFonts w:ascii="Times New Roman;Times;serif" w:hAnsi="Times New Roman;Times;serif"/>
                <w:b/>
                <w:sz w:val="16"/>
              </w:rPr>
              <w:t>Payout (%)</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Adjusted</w:t>
              <w:br/>
              <w:t>EBITDA</w:t>
              <w:br/>
              <w:t>Performance</w:t>
              <w:br/>
              <w:t>Payout (%)</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Bonus as</w:t>
              <w:br/>
              <w:t>Percentage of</w:t>
              <w:br/>
              <w:t>Target Bonus</w:t>
              <w:br/>
              <w:t>(%)</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Bonus</w:t>
              <w:br/>
              <w:t>as</w:t>
              <w:br/>
              <w:t>Percentage</w:t>
              <w:br/>
              <w:t>of Base</w:t>
              <w:br/>
              <w:t>Salary($)</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br/>
              <w:t>Bonus ($)</w:t>
            </w:r>
          </w:p>
        </w:tc>
      </w:tr>
      <w:tr>
        <w:trPr/>
        <w:tc>
          <w:tcPr>
            <w:tcW w:w="1606"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spacing w:before="0" w:after="0"/>
              <w:ind w:left="0" w:right="0" w:hanging="0"/>
              <w:rPr/>
            </w:pPr>
            <w:r>
              <w:rPr/>
              <w:t>​</w:t>
            </w:r>
          </w:p>
        </w:tc>
        <w:tc>
          <w:tcPr>
            <w:tcW w:w="105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136.9 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5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4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143.5 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4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143.5 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460,495 </w:t>
            </w:r>
          </w:p>
        </w:tc>
      </w:tr>
      <w:tr>
        <w:trPr/>
        <w:tc>
          <w:tcPr>
            <w:tcW w:w="16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Dr. W. Stan Meyer</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136.9 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143.5 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419,610 </w:t>
            </w:r>
          </w:p>
        </w:tc>
      </w:tr>
      <w:tr>
        <w:trPr/>
        <w:tc>
          <w:tcPr>
            <w:tcW w:w="16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136.9 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143.5 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419,610 </w:t>
            </w:r>
          </w:p>
        </w:tc>
      </w:tr>
      <w:tr>
        <w:trPr/>
        <w:tc>
          <w:tcPr>
            <w:tcW w:w="16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Dilek Marsh</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136.9 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143.5 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51.3 </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157,802 </w:t>
            </w:r>
          </w:p>
        </w:tc>
      </w:tr>
      <w:tr>
        <w:trPr/>
        <w:tc>
          <w:tcPr>
            <w:tcW w:w="16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136.9 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78.7 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59.0 </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178,769 </w:t>
            </w:r>
          </w:p>
        </w:tc>
      </w:tr>
    </w:tbl>
    <w:p>
      <w:pPr>
        <w:pStyle w:val="TextBody"/>
        <w:spacing w:before="120" w:after="240"/>
        <w:ind w:left="0" w:right="0" w:firstLine="720"/>
        <w:rPr>
          <w:rFonts w:ascii="Times New Roman;Times;serif" w:hAnsi="Times New Roman;Times;serif"/>
          <w:sz w:val="20"/>
        </w:rPr>
      </w:pPr>
      <w:bookmarkStart w:id="139" w:name="_cp_text_1_232"/>
      <w:bookmarkStart w:id="140" w:name="_cp_text_4_231"/>
      <w:bookmarkStart w:id="141" w:name="_cp_text_1_230"/>
      <w:bookmarkEnd w:id="139"/>
      <w:bookmarkEnd w:id="140"/>
      <w:bookmarkEnd w:id="141"/>
      <w:r>
        <w:rPr>
          <w:rFonts w:ascii="Times New Roman;Times;serif" w:hAnsi="Times New Roman;Times;serif"/>
          <w:i/>
          <w:sz w:val="20"/>
        </w:rPr>
        <w:t>2022 individual goals</w:t>
      </w:r>
      <w:r>
        <w:rPr>
          <w:rFonts w:ascii="Times New Roman;Times;serif" w:hAnsi="Times New Roman;Times;serif"/>
          <w:sz w:val="20"/>
        </w:rPr>
        <w:t>. The individual performance goals applicable to the named executive officers in 2022 focused on each executive’s achievement of one or more objectives that related to their specific duties and responsibilities on behalf of the Company. These individual goals included:</w:t>
      </w:r>
    </w:p>
    <w:p>
      <w:pPr>
        <w:pStyle w:val="Normal"/>
        <w:spacing w:before="0" w:after="0"/>
        <w:rPr>
          <w:sz w:val="4"/>
          <w:szCs w:val="4"/>
        </w:rPr>
      </w:pPr>
      <w:r>
        <w:rPr>
          <w:sz w:val="4"/>
          <w:szCs w:val="4"/>
        </w:rPr>
      </w:r>
      <w:bookmarkStart w:id="142" w:name="_cp_text_1_237"/>
      <w:bookmarkStart w:id="143" w:name="_cp_text_1_234"/>
      <w:bookmarkStart w:id="144" w:name="_cp_blt_1_236"/>
      <w:bookmarkStart w:id="145" w:name="_cp_text_1_237"/>
      <w:bookmarkStart w:id="146" w:name="_cp_text_1_234"/>
      <w:bookmarkStart w:id="147" w:name="_cp_blt_1_236"/>
      <w:bookmarkEnd w:id="145"/>
      <w:bookmarkEnd w:id="146"/>
      <w:bookmarkEnd w:id="147"/>
    </w:p>
    <w:tbl>
      <w:tblPr>
        <w:tblW w:w="8616" w:type="dxa"/>
        <w:jc w:val="left"/>
        <w:tblInd w:w="0" w:type="dxa"/>
        <w:tblCellMar>
          <w:top w:w="28" w:type="dxa"/>
          <w:left w:w="28" w:type="dxa"/>
          <w:bottom w:w="28" w:type="dxa"/>
          <w:right w:w="28" w:type="dxa"/>
        </w:tblCellMar>
      </w:tblPr>
      <w:tblGrid>
        <w:gridCol w:w="124"/>
        <w:gridCol w:w="256"/>
        <w:gridCol w:w="8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Dr. Meyer and Mr. Bachus, collectively: to manage their individual departments within budget. </w:t>
            </w:r>
          </w:p>
        </w:tc>
      </w:tr>
    </w:tbl>
    <w:p>
      <w:pPr>
        <w:pStyle w:val="Normal"/>
        <w:spacing w:before="0" w:after="0"/>
        <w:rPr>
          <w:sz w:val="4"/>
          <w:szCs w:val="4"/>
        </w:rPr>
      </w:pPr>
      <w:r>
        <w:rPr>
          <w:sz w:val="4"/>
          <w:szCs w:val="4"/>
        </w:rPr>
      </w:r>
      <w:bookmarkStart w:id="148" w:name="_cp_text_1_251"/>
      <w:bookmarkStart w:id="149" w:name="_cp_text_1_249"/>
      <w:bookmarkStart w:id="150" w:name="_cp_text_1_243"/>
      <w:bookmarkStart w:id="151" w:name="_cp_text_1_238"/>
      <w:bookmarkStart w:id="152" w:name="_cp_blt_1_250"/>
      <w:bookmarkStart w:id="153" w:name="_cp_text_1_251"/>
      <w:bookmarkStart w:id="154" w:name="_cp_text_1_249"/>
      <w:bookmarkStart w:id="155" w:name="_cp_text_1_243"/>
      <w:bookmarkStart w:id="156" w:name="_cp_text_1_238"/>
      <w:bookmarkStart w:id="157" w:name="_cp_blt_1_250"/>
      <w:bookmarkEnd w:id="153"/>
      <w:bookmarkEnd w:id="154"/>
      <w:bookmarkEnd w:id="155"/>
      <w:bookmarkEnd w:id="156"/>
      <w:bookmarkEnd w:id="157"/>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For Mr. Mueller, Dr. Meyer and Mr. Bachus, collectively: to work on key strategic initiatives for the Company including the future growth of the hybrid healthcare partnerships with new and existing university partners and new off-campus classroom and laboratory sites, continue to achieve growth goals set by our most significant partner</w:t>
            </w:r>
            <w:r>
              <w:rPr>
                <w:caps w:val="false"/>
                <w:smallCaps w:val="false"/>
              </w:rPr>
              <w:t xml:space="preserve"> </w:t>
            </w:r>
            <w:r>
              <w:rPr>
                <w:rFonts w:ascii="Times New Roman;Times;serif" w:hAnsi="Times New Roman;Times;serif"/>
                <w:b w:val="false"/>
                <w:i w:val="false"/>
                <w:caps w:val="false"/>
                <w:smallCaps w:val="false"/>
                <w:sz w:val="20"/>
              </w:rPr>
              <w:t xml:space="preserve">and participate in a specified number of investor conferences and/or investor meetings. </w:t>
            </w:r>
          </w:p>
        </w:tc>
      </w:tr>
    </w:tbl>
    <w:p>
      <w:pPr>
        <w:pStyle w:val="Normal"/>
        <w:spacing w:before="0" w:after="0"/>
        <w:rPr>
          <w:sz w:val="4"/>
          <w:szCs w:val="4"/>
        </w:rPr>
      </w:pPr>
      <w:r>
        <w:rPr>
          <w:sz w:val="4"/>
          <w:szCs w:val="4"/>
        </w:rPr>
      </w:r>
      <w:bookmarkStart w:id="158" w:name="_cp_text_1_256"/>
      <w:bookmarkStart w:id="159" w:name="_cp_text_1_254"/>
      <w:bookmarkStart w:id="160" w:name="_cp_text_1_252"/>
      <w:bookmarkStart w:id="161" w:name="_cp_blt_1_255"/>
      <w:bookmarkStart w:id="162" w:name="_cp_text_1_256"/>
      <w:bookmarkStart w:id="163" w:name="_cp_text_1_254"/>
      <w:bookmarkStart w:id="164" w:name="_cp_text_1_252"/>
      <w:bookmarkStart w:id="165" w:name="_cp_blt_1_255"/>
      <w:bookmarkEnd w:id="162"/>
      <w:bookmarkEnd w:id="163"/>
      <w:bookmarkEnd w:id="164"/>
      <w:bookmarkEnd w:id="165"/>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Mr. Mueller, Dr. Meyer and Mr. Bachus: to lead the Company’s corporate responsibility initiatives, including its efforts in expanding its environmental awareness, social responsibility and human capital, and governance initiatives. </w:t>
            </w:r>
          </w:p>
        </w:tc>
      </w:tr>
    </w:tbl>
    <w:p>
      <w:pPr>
        <w:pStyle w:val="Normal"/>
        <w:spacing w:before="0" w:after="0"/>
        <w:rPr>
          <w:sz w:val="4"/>
          <w:szCs w:val="4"/>
        </w:rPr>
      </w:pPr>
      <w:r>
        <w:rPr>
          <w:sz w:val="4"/>
          <w:szCs w:val="4"/>
        </w:rPr>
      </w:r>
      <w:bookmarkStart w:id="166" w:name="_cp_text_1_261"/>
      <w:bookmarkStart w:id="167" w:name="_cp_text_1_259"/>
      <w:bookmarkStart w:id="168" w:name="_cp_text_1_257"/>
      <w:bookmarkStart w:id="169" w:name="_cp_blt_1_260"/>
      <w:bookmarkStart w:id="170" w:name="_cp_text_1_261"/>
      <w:bookmarkStart w:id="171" w:name="_cp_text_1_259"/>
      <w:bookmarkStart w:id="172" w:name="_cp_text_1_257"/>
      <w:bookmarkStart w:id="173" w:name="_cp_blt_1_260"/>
      <w:bookmarkEnd w:id="170"/>
      <w:bookmarkEnd w:id="171"/>
      <w:bookmarkEnd w:id="172"/>
      <w:bookmarkEnd w:id="173"/>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Dr. Meyer: to demonstrate leadership over key functional areas such as marketing, online operations and campus operations. </w:t>
            </w:r>
          </w:p>
        </w:tc>
      </w:tr>
    </w:tbl>
    <w:p>
      <w:pPr>
        <w:pStyle w:val="Normal"/>
        <w:spacing w:before="0" w:after="0"/>
        <w:rPr>
          <w:sz w:val="4"/>
          <w:szCs w:val="4"/>
        </w:rPr>
      </w:pPr>
      <w:r>
        <w:rPr>
          <w:sz w:val="4"/>
          <w:szCs w:val="4"/>
        </w:rPr>
      </w:r>
      <w:bookmarkStart w:id="174" w:name="_cp_text_1_266"/>
      <w:bookmarkStart w:id="175" w:name="_cp_text_1_264"/>
      <w:bookmarkStart w:id="176" w:name="_cp_text_1_262"/>
      <w:bookmarkStart w:id="177" w:name="_cp_blt_1_265"/>
      <w:bookmarkStart w:id="178" w:name="_cp_text_1_266"/>
      <w:bookmarkStart w:id="179" w:name="_cp_text_1_264"/>
      <w:bookmarkStart w:id="180" w:name="_cp_text_1_262"/>
      <w:bookmarkStart w:id="181" w:name="_cp_blt_1_265"/>
      <w:bookmarkEnd w:id="178"/>
      <w:bookmarkEnd w:id="179"/>
      <w:bookmarkEnd w:id="180"/>
      <w:bookmarkEnd w:id="181"/>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Mr. Bachus: to manage the financial and reporting functions to ensure that no material weaknesses occurred within the Company’s financial reporting structure. </w:t>
            </w:r>
          </w:p>
        </w:tc>
      </w:tr>
    </w:tbl>
    <w:p>
      <w:pPr>
        <w:pStyle w:val="Normal"/>
        <w:spacing w:before="0" w:after="0"/>
        <w:rPr>
          <w:sz w:val="4"/>
          <w:szCs w:val="4"/>
        </w:rPr>
      </w:pPr>
      <w:r>
        <w:rPr>
          <w:sz w:val="4"/>
          <w:szCs w:val="4"/>
        </w:rPr>
      </w:r>
      <w:bookmarkStart w:id="182" w:name="_cp_text_1_269"/>
      <w:bookmarkStart w:id="183" w:name="_cp_text_1_267"/>
      <w:bookmarkStart w:id="184" w:name="_cp_blt_1_276"/>
      <w:bookmarkStart w:id="185" w:name="_cp_text_1_269"/>
      <w:bookmarkStart w:id="186" w:name="_cp_text_1_267"/>
      <w:bookmarkStart w:id="187" w:name="_cp_blt_1_276"/>
      <w:bookmarkEnd w:id="185"/>
      <w:bookmarkEnd w:id="186"/>
      <w:bookmarkEnd w:id="187"/>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Ms. Marsh: to manage process improvements, manage data reporting and analytics for the company and our university partners, and manage the full development lifecycle of software tools necessary for operations teams in the Company to help educate, manage and support students. </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each individual named executive officer’s achievement or substantial achievement of their individual performance goals, and in light of the superior financial performance achieved by the Company in 2022, the Compensation Committee determined that cash bonuses under the Annual Cash Incentive Plan should be paid out at the level achieved as a result of the achievement of the company-wide financial goals, and that no reductions were otherwise merited.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Bonus Paid to Mr. Briggs.</w:t>
      </w:r>
      <w:r>
        <w:rPr>
          <w:rFonts w:ascii="Times New Roman;Times;serif" w:hAnsi="Times New Roman;Times;serif"/>
          <w:sz w:val="20"/>
        </w:rPr>
        <w:t xml:space="preserve"> Under the terms of the second amended and restated employment agreement entered into on May 10, 2020 between Mr. Briggs and the Company, Mr. Briggs was eligible to receive an incentive bonus with a target amount equal to 75% of his base salary and threshold and maximum amounts equal to 52.5% and 97.5%, respectively. Of his target bonus, 20% was based on the achievement of revenue and Adjusted EBITDA targets for the Company (discussed above) and 80% was based on the achievement of individual performance goals, including developing new and expand current university partner relationships, increasing the number of opened off-campus classroom and laboratory sites, and achieving certain revenue and profitability goals for our hybrid healthcare programs.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the financial performance of the Company during 2022 and the percentage of his individual goals achieved, Mr. Briggs was awarded a bonus equal to approximately 59.0% of his base salary.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Equity Incentive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there were 1,221,126 shares available for grant under the 2017 Plan.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Equity Award Grant Policy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has approved a policy relating to the granting of stock options and other equity-based awards. Under this policy: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 option grants, restricted stock awards, and other equity based awards, which we collectively refer to as stock-based awards, must be approved by the Compensation Committee;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intentionally grant stock-based awards before the anticipated announcement of materially favorable news or intentionally delay the grant of stock-based awards until after the announcement of materially unfavorable news;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will approve stock-based grants only for persons specifically identified at the meeting by management.</w:t>
            </w:r>
          </w:p>
        </w:tc>
      </w:tr>
    </w:tbl>
    <w:p>
      <w:pPr>
        <w:pStyle w:val="TextBody"/>
        <w:spacing w:before="0" w:after="240"/>
        <w:ind w:left="0" w:right="0" w:hanging="0"/>
        <w:jc w:val="both"/>
        <w:rPr>
          <w:rFonts w:ascii="Times New Roman;Times;serif" w:hAnsi="Times New Roman;Times;serif"/>
          <w:b/>
          <w:i/>
          <w:sz w:val="20"/>
        </w:rPr>
      </w:pPr>
      <w:bookmarkStart w:id="188" w:name="_cp_text_1_298"/>
      <w:bookmarkEnd w:id="188"/>
      <w:r>
        <w:rPr>
          <w:rFonts w:ascii="Times New Roman;Times;serif" w:hAnsi="Times New Roman;Times;serif"/>
          <w:b/>
          <w:i/>
          <w:sz w:val="20"/>
        </w:rPr>
        <w:t>Severance and Change in Control Arrangements</w:t>
      </w:r>
    </w:p>
    <w:p>
      <w:pPr>
        <w:pStyle w:val="TextBody"/>
        <w:spacing w:before="0" w:after="240"/>
        <w:ind w:left="0" w:right="0" w:firstLine="720"/>
        <w:rPr>
          <w:rFonts w:ascii="Times New Roman;Times;serif" w:hAnsi="Times New Roman;Times;serif"/>
          <w:sz w:val="20"/>
        </w:rPr>
      </w:pPr>
      <w:bookmarkStart w:id="189" w:name="_cp_text_1_299"/>
      <w:bookmarkEnd w:id="189"/>
      <w:r>
        <w:rPr>
          <w:rFonts w:ascii="Times New Roman;Times;serif" w:hAnsi="Times New Roman;Times;serif"/>
          <w:sz w:val="20"/>
        </w:rPr>
        <w:t xml:space="preserve">Our named executive officers are eligible for severance payments and benefits in the event of an involuntary termination of employment without “cause” or for “good reason,” as well as certain benefits in connection with a change in control of the Company. Our named executive officers are also eligible for “double trigger” severance payments and benefits in the event of an involuntary termination of employment without “cause” or a termination of employment with “good reason” in connection with, or within twelve (12) months immediately following, a change in control of the Company. Our equity awards are also designed to be “double trigger,” so long as such awards are allowed to continue in effect following any change in control transaction on substantially equivalent terms and conditions to those applicable prior to such transaction. For detailed information on the estimated potential payments and benefits payable to the named executive officers in the event of their termination of employment, including following a change in control of the Company, see the section titled “Potential Payments Upon Termination or Change in Control.” </w:t>
      </w:r>
    </w:p>
    <w:p>
      <w:pPr>
        <w:pStyle w:val="TextBody"/>
        <w:spacing w:before="240" w:after="240"/>
        <w:ind w:left="0" w:right="0" w:hanging="0"/>
        <w:jc w:val="both"/>
        <w:rPr>
          <w:rFonts w:ascii="Times New Roman;Times;serif" w:hAnsi="Times New Roman;Times;serif"/>
          <w:b/>
          <w:i/>
          <w:sz w:val="20"/>
        </w:rPr>
      </w:pPr>
      <w:bookmarkStart w:id="190" w:name="_cp_text_1_300"/>
      <w:bookmarkEnd w:id="190"/>
      <w:r>
        <w:rPr>
          <w:rFonts w:ascii="Times New Roman;Times;serif" w:hAnsi="Times New Roman;Times;serif"/>
          <w:b/>
          <w:i/>
          <w:sz w:val="20"/>
        </w:rPr>
        <w:t xml:space="preserve">Perquisites and Other Personal Benefits </w:t>
      </w:r>
    </w:p>
    <w:p>
      <w:pPr>
        <w:pStyle w:val="TextBody"/>
        <w:spacing w:before="0" w:after="240"/>
        <w:ind w:left="0" w:right="0" w:firstLine="720"/>
        <w:rPr>
          <w:rFonts w:ascii="Times New Roman;Times;serif" w:hAnsi="Times New Roman;Times;serif"/>
          <w:sz w:val="20"/>
        </w:rPr>
      </w:pPr>
      <w:bookmarkStart w:id="191" w:name="_cp_text_1_303"/>
      <w:bookmarkStart w:id="192" w:name="_cp_text_4_302"/>
      <w:bookmarkStart w:id="193" w:name="_cp_text_1_301"/>
      <w:bookmarkEnd w:id="191"/>
      <w:bookmarkEnd w:id="192"/>
      <w:bookmarkEnd w:id="193"/>
      <w:r>
        <w:rPr>
          <w:rFonts w:ascii="Times New Roman;Times;serif" w:hAnsi="Times New Roman;Times;serif"/>
          <w:sz w:val="20"/>
        </w:rPr>
        <w:t xml:space="preserve">We generally do not provide our named executive officers with perquisites or other personal benefits, except for company paid life insurance and a 401(k) plan match, both of which are available to employees of the Company generally. The value of these benefits is reported in the Summary Compensation Table. We generally do not provide tax reimbursements or any other tax payments, including excise tax “gross-ups,” to any of our executive officers. </w:t>
      </w:r>
    </w:p>
    <w:p>
      <w:pPr>
        <w:pStyle w:val="TextBody"/>
        <w:spacing w:before="0" w:after="240"/>
        <w:ind w:left="0" w:right="0" w:hanging="0"/>
        <w:rPr>
          <w:rFonts w:ascii="Times New Roman;Times;serif" w:hAnsi="Times New Roman;Times;serif"/>
          <w:b/>
          <w:sz w:val="20"/>
        </w:rPr>
      </w:pPr>
      <w:bookmarkStart w:id="194" w:name="ClawbackPolicy_864375"/>
      <w:bookmarkStart w:id="195" w:name="_cp_text_1_304"/>
      <w:bookmarkEnd w:id="194"/>
      <w:bookmarkEnd w:id="195"/>
      <w:r>
        <w:rPr>
          <w:rFonts w:ascii="Times New Roman;Times;serif" w:hAnsi="Times New Roman;Times;serif"/>
          <w:b/>
          <w:sz w:val="20"/>
        </w:rPr>
        <w:t>Clawback Policy</w:t>
      </w:r>
    </w:p>
    <w:p>
      <w:pPr>
        <w:pStyle w:val="TextBody"/>
        <w:spacing w:before="0" w:after="0"/>
        <w:ind w:left="0" w:right="0" w:firstLine="720"/>
        <w:rPr>
          <w:rFonts w:ascii="Times New Roman;Times;serif" w:hAnsi="Times New Roman;Times;serif"/>
          <w:sz w:val="20"/>
        </w:rPr>
      </w:pPr>
      <w:bookmarkStart w:id="196" w:name="_cp_text_4_305"/>
      <w:bookmarkEnd w:id="196"/>
      <w:r>
        <w:rPr>
          <w:rFonts w:ascii="Times New Roman;Times;serif" w:hAnsi="Times New Roman;Times;serif"/>
          <w:sz w:val="20"/>
        </w:rPr>
        <w:t xml:space="preserve">Effective January 26, 2017, the Board of Directors adopted an Incentive Compensation Clawback Policy that authorizes the Company to recover incentive compensation previously paid to its Section 16 officers. The policy provides that, in the event of a restatement of the Company’s financial statements for any fiscal year commencing after December 31, 2015 that is due to the misconduct of any employee, the Board or, if so designated by the Board,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Compensation Committee of the Board, is authorized to take action to recoup all or part of any incentive compensation received by a Section 16 officer of the Company. For purposes of this policy, incentive compensation means any cash compensation paid by or any equity compensation awarded by the Company that is based in whole or in part on the achievement of financial results by the Company, including, but not limited to, any bonus or other performance-based cash or equity arrangement or award, but excluding base salary. The policy defines misconduct as the willful commission of an illegal act, fraud, intentional misconduct or gross recklessness in the performance of a Section 16 officer’s duties and responsibilities, as determined by the Board in its sole discretion. In determining whether to take action to recoup any incentive compensation received by a Section 16 officer of the Company, the Board or, if so designated, the Compensation Committee of the Board, will take into consideration whether the Section 16 officer engaged in the misconduct or was in a position, including in a supervisory role, to have been able to have reasonably prevented the misconduct that caused the restatement.</w:t>
      </w:r>
    </w:p>
    <w:p>
      <w:pPr>
        <w:pStyle w:val="TextBody"/>
        <w:spacing w:before="0" w:after="240"/>
        <w:ind w:left="0" w:right="0" w:firstLine="720"/>
        <w:rPr>
          <w:rFonts w:ascii="Times New Roman;Times;serif" w:hAnsi="Times New Roman;Times;serif"/>
          <w:sz w:val="20"/>
        </w:rPr>
      </w:pPr>
      <w:bookmarkStart w:id="197" w:name="_cp_text_1_307"/>
      <w:bookmarkStart w:id="198" w:name="_cp_text_4_306"/>
      <w:bookmarkEnd w:id="197"/>
      <w:bookmarkEnd w:id="198"/>
      <w:r>
        <w:rPr>
          <w:rFonts w:ascii="Times New Roman;Times;serif" w:hAnsi="Times New Roman;Times;serif"/>
          <w:sz w:val="20"/>
        </w:rPr>
        <w:t>As directed by the Dodd-Frank Act, in November 2022, the SEC issued final rules directing the national securities exchanges to adopt listing standards that will require issuers to seek recovery from executive officers in certain circumstances involving financial restatements. The new clawback rules will apply to all issuers listed on a national securities exchange, and will become effective following the filing by the stock exchanges of their proposed listing standards implements the rules (which has occurred) and subsequent final approval by the SEC. Once the proposed NASDAQ Stock Exchange listing standard has become effective, we will amend our Incentive Compensation Clawback Policy to reflect the requirements thereof.</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Role of the Compensation Consultant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Compensation Committee has the sole authority, delegated from the Board of Directors, to appoint, compensate and oversee the work of an independent compensation consultant. In prior years, the Compensation Committee has retained Mercer as its consultant to assist the Compensation Committee with its responsibilities related to our executive compensation programs. The Compensation Committee did not utilize the services of a compensation consultant in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Effect of Accounting and Tax Treatment on Compensation Decisions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Internal Revenue Code Section 409A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Section 409A of the Internal Revenue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penalties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Accounting Standards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Conclusion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the compensation amounts paid to our named executive officers for their service in 2022 were reasonable and appropriate and in our best interests.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Compensation Policies and Practices as Related to Risk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Cash Incentive Plan focuses on the achievement of company-wide revenue and adjusted EBITDA targets, which prevents participants from being able to materially enhance their bonus prospects through excessive or inappropriate risk-taking;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payments that may be made to our named executive officers under the Annual Cash Incentive Plan are subject to stated maximum limits, which we believe mitigates any risks that our named executive officers may take;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grants made to our named executive officers, and all other employees, under our equity plan all vest in annual increments over a period of five years, which we believe discourages excessive or inappropriate short-term risk taking.</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that review, and with input from management, the Compensation Committee has determined that there are no known potential risks arising from our compensation polices or practices that are reasonably likely to have a material adverse effect on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99" w:name="CompensationofNamedExecutiveOfficers_915"/>
      <w:bookmarkEnd w:id="199"/>
      <w:r>
        <w:rPr>
          <w:rFonts w:ascii="Times New Roman;Times;serif" w:hAnsi="Times New Roman;Times;serif"/>
          <w:b/>
          <w:sz w:val="20"/>
        </w:rPr>
        <w:t>Compensation of Named Executive Officers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Summary Compensation Table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the total compensation earned for services rendered by our named executive officers for the fiscal year ended December 31, 2022, 2021 and 2020. In accordance with the rules promulgated by the SEC, certain columns relating to information that is not applicable have been omitted from this table.</w:t>
      </w:r>
    </w:p>
    <w:tbl>
      <w:tblPr>
        <w:tblW w:w="10205" w:type="dxa"/>
        <w:jc w:val="left"/>
        <w:tblInd w:w="0" w:type="dxa"/>
        <w:tblCellMar>
          <w:top w:w="0" w:type="dxa"/>
          <w:left w:w="0" w:type="dxa"/>
          <w:bottom w:w="0" w:type="dxa"/>
          <w:right w:w="0" w:type="dxa"/>
        </w:tblCellMar>
      </w:tblPr>
      <w:tblGrid>
        <w:gridCol w:w="2120"/>
        <w:gridCol w:w="326"/>
        <w:gridCol w:w="526"/>
        <w:gridCol w:w="326"/>
        <w:gridCol w:w="211"/>
        <w:gridCol w:w="781"/>
        <w:gridCol w:w="326"/>
        <w:gridCol w:w="211"/>
        <w:gridCol w:w="931"/>
        <w:gridCol w:w="326"/>
        <w:gridCol w:w="242"/>
        <w:gridCol w:w="899"/>
        <w:gridCol w:w="326"/>
        <w:gridCol w:w="271"/>
        <w:gridCol w:w="870"/>
        <w:gridCol w:w="326"/>
        <w:gridCol w:w="211"/>
        <w:gridCol w:w="976"/>
      </w:tblGrid>
      <w:tr>
        <w:trPr/>
        <w:tc>
          <w:tcPr>
            <w:tcW w:w="2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7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r>
      <w:tr>
        <w:trPr/>
        <w:tc>
          <w:tcPr>
            <w:tcW w:w="212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 and Position</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Salary</w:t>
              <w:br/>
              <w:t>($)</w:t>
            </w:r>
            <w:r>
              <w:rPr>
                <w:rFonts w:ascii="Times New Roman;Times;serif" w:hAnsi="Times New Roman;Times;serif"/>
                <w:b/>
                <w:sz w:val="12"/>
              </w:rPr>
              <w:t>(1)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Stock</w:t>
              <w:br/>
              <w:t>Awards</w:t>
              <w:br/>
              <w:t>($)</w:t>
            </w:r>
            <w:r>
              <w:rPr>
                <w:rFonts w:ascii="Times New Roman;Times;serif" w:hAnsi="Times New Roman;Times;serif"/>
                <w:b/>
                <w:sz w:val="12"/>
              </w:rPr>
              <w:t>(2)</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Non-Equity</w:t>
              <w:br/>
              <w:t>Incentive Plan</w:t>
            </w:r>
            <w:r>
              <w:rPr>
                <w:rFonts w:ascii="Times New Roman;Times;serif" w:hAnsi="Times New Roman;Times;serif"/>
                <w:sz w:val="16"/>
              </w:rPr>
              <w:br/>
            </w:r>
            <w:r>
              <w:rPr>
                <w:rFonts w:ascii="Times New Roman;Times;serif" w:hAnsi="Times New Roman;Times;serif"/>
                <w:b/>
                <w:sz w:val="16"/>
              </w:rPr>
              <w:t>Compensation</w:t>
              <w:br/>
              <w:t>($)</w:t>
            </w:r>
            <w:r>
              <w:rPr>
                <w:rFonts w:ascii="Times New Roman;Times;serif" w:hAnsi="Times New Roman;Times;serif"/>
                <w:b/>
                <w:sz w:val="12"/>
              </w:rPr>
              <w:t>(3)</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All Other</w:t>
              <w:br/>
              <w:t>Compensation</w:t>
              <w:br/>
              <w:t>($) </w:t>
            </w:r>
            <w:r>
              <w:rPr>
                <w:rFonts w:ascii="Times New Roman;Times;serif" w:hAnsi="Times New Roman;Times;serif"/>
                <w:b/>
                <w:sz w:val="12"/>
              </w:rPr>
              <w:t>(4)</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20"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992" w:type="dxa"/>
            <w:gridSpan w:val="2"/>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2" w:type="dxa"/>
            <w:gridSpan w:val="2"/>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gridSpan w:val="2"/>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gridSpan w:val="2"/>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87" w:type="dxa"/>
            <w:gridSpan w:val="2"/>
            <w:tcBorders/>
            <w:shd w:fill="CCEEFF" w:val="clear"/>
            <w:vAlign w:val="center"/>
          </w:tcPr>
          <w:p>
            <w:pPr>
              <w:pStyle w:val="TableContents"/>
              <w:spacing w:before="0" w:after="0"/>
              <w:ind w:left="0" w:right="0" w:hanging="0"/>
              <w:rPr/>
            </w:pPr>
            <w:r>
              <w:rPr/>
              <w:t>​</w:t>
            </w:r>
          </w:p>
        </w:tc>
      </w:tr>
      <w:tr>
        <w:trPr/>
        <w:tc>
          <w:tcPr>
            <w:tcW w:w="2120" w:type="dxa"/>
            <w:tcBorders/>
            <w:shd w:fill="CCEEFF" w:val="clear"/>
            <w:vAlign w:val="center"/>
          </w:tcPr>
          <w:p>
            <w:pPr>
              <w:pStyle w:val="TableContents"/>
              <w:pBdr/>
              <w:spacing w:before="0" w:after="0"/>
              <w:ind w:left="0" w:right="0" w:hanging="0"/>
              <w:rPr>
                <w:rFonts w:ascii="Times New Roman;Times;serif" w:hAnsi="Times New Roman;Times;serif"/>
                <w:i/>
                <w:sz w:val="20"/>
              </w:rPr>
            </w:pPr>
            <w:r>
              <w:rPr>
                <w:rFonts w:ascii="Times New Roman;Times;serif" w:hAnsi="Times New Roman;Times;serif"/>
                <w:i/>
                <w:sz w:val="20"/>
              </w:rPr>
              <w:t>Chief Executive Officer and Chairman</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1,211,488</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460,495</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1,997,113</w:t>
            </w:r>
          </w:p>
        </w:tc>
      </w:tr>
      <w:tr>
        <w:trPr/>
        <w:tc>
          <w:tcPr>
            <w:tcW w:w="212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1,211,575</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306,353</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1,843,058</w:t>
            </w:r>
          </w:p>
        </w:tc>
      </w:tr>
      <w:tr>
        <w:trPr/>
        <w:tc>
          <w:tcPr>
            <w:tcW w:w="212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1,211,533</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481,500</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2,105,208</w:t>
            </w:r>
          </w:p>
        </w:tc>
      </w:tr>
      <w:tr>
        <w:trPr/>
        <w:tc>
          <w:tcPr>
            <w:tcW w:w="2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7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212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Dr. W. Stan Meyer</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646,492</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419,610</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1,462,455</w:t>
            </w:r>
          </w:p>
        </w:tc>
      </w:tr>
      <w:tr>
        <w:trPr/>
        <w:tc>
          <w:tcPr>
            <w:tcW w:w="2120" w:type="dxa"/>
            <w:tcBorders/>
            <w:shd w:fill="auto" w:val="clear"/>
            <w:vAlign w:val="center"/>
          </w:tcPr>
          <w:p>
            <w:pPr>
              <w:pStyle w:val="TableContents"/>
              <w:pBdr/>
              <w:spacing w:before="0" w:after="0"/>
              <w:ind w:left="0" w:right="0" w:hanging="0"/>
              <w:rPr>
                <w:rFonts w:ascii="Times New Roman;Times;serif" w:hAnsi="Times New Roman;Times;serif"/>
                <w:i/>
                <w:sz w:val="20"/>
              </w:rPr>
            </w:pPr>
            <w:r>
              <w:rPr>
                <w:rFonts w:ascii="Times New Roman;Times;serif" w:hAnsi="Times New Roman;Times;serif"/>
                <w:i/>
                <w:sz w:val="20"/>
              </w:rPr>
              <w:t>Chief Operating Officer</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646,494</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279,154</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1,321,821</w:t>
            </w:r>
          </w:p>
        </w:tc>
      </w:tr>
      <w:tr>
        <w:trPr/>
        <w:tc>
          <w:tcPr>
            <w:tcW w:w="2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646,498</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438,750</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1,480,423</w:t>
            </w:r>
          </w:p>
        </w:tc>
      </w:tr>
      <w:tr>
        <w:trPr/>
        <w:tc>
          <w:tcPr>
            <w:tcW w:w="2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7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212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646,492</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419,610</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1,457,040</w:t>
            </w:r>
          </w:p>
        </w:tc>
      </w:tr>
      <w:tr>
        <w:trPr/>
        <w:tc>
          <w:tcPr>
            <w:tcW w:w="2120" w:type="dxa"/>
            <w:tcBorders/>
            <w:shd w:fill="CCEEFF" w:val="clear"/>
            <w:vAlign w:val="center"/>
          </w:tcPr>
          <w:p>
            <w:pPr>
              <w:pStyle w:val="TableContents"/>
              <w:pBdr/>
              <w:spacing w:before="0" w:after="0"/>
              <w:ind w:left="0" w:right="0" w:hanging="0"/>
              <w:rPr>
                <w:rFonts w:ascii="Times New Roman;Times;serif" w:hAnsi="Times New Roman;Times;serif"/>
                <w:i/>
                <w:sz w:val="20"/>
              </w:rPr>
            </w:pPr>
            <w:r>
              <w:rPr>
                <w:rFonts w:ascii="Times New Roman;Times;serif" w:hAnsi="Times New Roman;Times;serif"/>
                <w:i/>
                <w:sz w:val="20"/>
              </w:rPr>
              <w:t>Chief Financial Officer</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646,494</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279,154</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1,316,586</w:t>
            </w:r>
          </w:p>
        </w:tc>
      </w:tr>
      <w:tr>
        <w:trPr/>
        <w:tc>
          <w:tcPr>
            <w:tcW w:w="212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646,498</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438,750</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1,476,187</w:t>
            </w:r>
          </w:p>
        </w:tc>
      </w:tr>
      <w:tr>
        <w:trPr/>
        <w:tc>
          <w:tcPr>
            <w:tcW w:w="2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7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212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Dilek Marsh</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304,831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449,972</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157,802</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916,728</w:t>
            </w:r>
          </w:p>
        </w:tc>
      </w:tr>
      <w:tr>
        <w:trPr/>
        <w:tc>
          <w:tcPr>
            <w:tcW w:w="2120" w:type="dxa"/>
            <w:tcBorders/>
            <w:shd w:fill="auto" w:val="clear"/>
            <w:vAlign w:val="center"/>
          </w:tcPr>
          <w:p>
            <w:pPr>
              <w:pStyle w:val="TableContents"/>
              <w:pBdr/>
              <w:spacing w:before="0" w:after="0"/>
              <w:ind w:left="0" w:right="0" w:hanging="0"/>
              <w:rPr>
                <w:rFonts w:ascii="Times New Roman;Times;serif" w:hAnsi="Times New Roman;Times;serif"/>
                <w:i/>
                <w:sz w:val="20"/>
              </w:rPr>
            </w:pPr>
            <w:r>
              <w:rPr>
                <w:rFonts w:ascii="Times New Roman;Times;serif" w:hAnsi="Times New Roman;Times;serif"/>
                <w:i/>
                <w:sz w:val="20"/>
              </w:rPr>
              <w:t>Chief Technology Officer</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280,528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420,307</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95,437</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800,202</w:t>
            </w:r>
          </w:p>
        </w:tc>
      </w:tr>
      <w:tr>
        <w:trPr/>
        <w:tc>
          <w:tcPr>
            <w:tcW w:w="2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263,313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266,418</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135,000</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668,534</w:t>
            </w:r>
          </w:p>
        </w:tc>
      </w:tr>
      <w:tr>
        <w:trPr/>
        <w:tc>
          <w:tcPr>
            <w:tcW w:w="2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7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212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299,850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499,932</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178,769</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984,215</w:t>
            </w:r>
          </w:p>
        </w:tc>
      </w:tr>
      <w:tr>
        <w:trPr/>
        <w:tc>
          <w:tcPr>
            <w:tcW w:w="2120" w:type="dxa"/>
            <w:tcBorders/>
            <w:shd w:fill="CCEEFF" w:val="clear"/>
            <w:vAlign w:val="center"/>
          </w:tcPr>
          <w:p>
            <w:pPr>
              <w:pStyle w:val="TableContents"/>
              <w:pBdr/>
              <w:spacing w:before="0" w:after="0"/>
              <w:ind w:left="0" w:right="0" w:hanging="0"/>
              <w:rPr>
                <w:rFonts w:ascii="Times New Roman;Times;serif" w:hAnsi="Times New Roman;Times;serif"/>
                <w:i/>
                <w:sz w:val="20"/>
              </w:rPr>
            </w:pPr>
            <w:r>
              <w:rPr>
                <w:rFonts w:ascii="Times New Roman;Times;serif" w:hAnsi="Times New Roman;Times;serif"/>
                <w:i/>
                <w:sz w:val="20"/>
              </w:rPr>
              <w:t>Orbis Education CEO</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294,082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500,002</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161,543</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961,039</w:t>
            </w:r>
          </w:p>
        </w:tc>
      </w:tr>
      <w:tr>
        <w:trPr/>
        <w:tc>
          <w:tcPr>
            <w:tcW w:w="212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294,082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499,964</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286,496</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1,085,894</w:t>
            </w:r>
          </w:p>
        </w:tc>
      </w:tr>
      <w:tr>
        <w:trPr/>
        <w:tc>
          <w:tcPr>
            <w:tcW w:w="2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87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bl>
    <w:tbl>
      <w:tblPr>
        <w:tblW w:w="10205" w:type="dxa"/>
        <w:jc w:val="left"/>
        <w:tblInd w:w="0" w:type="dxa"/>
        <w:tblCellMar>
          <w:top w:w="0" w:type="dxa"/>
          <w:left w:w="0" w:type="dxa"/>
          <w:bottom w:w="0" w:type="dxa"/>
          <w:right w:w="0" w:type="dxa"/>
        </w:tblCellMar>
      </w:tblPr>
      <w:tblGrid>
        <w:gridCol w:w="316"/>
        <w:gridCol w:w="9889"/>
      </w:tblGrid>
      <w:tr>
        <w:trPr/>
        <w:tc>
          <w:tcPr>
            <w:tcW w:w="31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8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 this column reflect the base salary cash payments made in each year. Ms. Dilek’s base salary for 2021 reflects the amount paid prior to and following her promotion on July 1, 2021 to Chief Technology Officer. </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in this column reflect the compensation costs attributable to the restricted stock awards granted in 2022, 2021 and 2020.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2022, 2021, and 2020 fiscal years are set forth in Notes 2 and 13 to our financial statements for the fiscal year ended December 31, 2022 included in our 2022 Annual Report on Form 10-K.</w:t>
            </w:r>
          </w:p>
        </w:tc>
      </w:tr>
    </w:tbl>
    <w:tbl>
      <w:tblPr>
        <w:tblW w:w="10205" w:type="dxa"/>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rPr>
                <w:rFonts w:ascii="Calibri;Helvetica;sans-serif" w:hAnsi="Calibri;Helvetica;sans-serif"/>
                <w:sz w:val="20"/>
              </w:rPr>
            </w:pPr>
            <w:r>
              <w:rPr>
                <w:rFonts w:ascii="Calibri;Helvetica;sans-serif" w:hAnsi="Calibri;Helvetica;sans-serif"/>
                <w:sz w:val="20"/>
              </w:rPr>
              <w:t>(3)</w:t>
            </w:r>
          </w:p>
        </w:tc>
        <w:tc>
          <w:tcPr>
            <w:tcW w:w="99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reflect non-equity incentive payments earned pursuant to our Annual Cash Incentive Plan in 2022, 2021 and 2020 except for Mr. Briggs whose non-equity incentive payments were based on the Senior Management Plan in 2022, 2021 and 2020. The amounts for Ms. Marsh in 2021 give effect to a salary increase from $263,313 to $300,000 effective July 1, 2021.</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2021, and 2020, the amounts in this column include company paid life insurance premiums for all named executive officers. For Dr. Meyer, Ms. Marsh and Mr. Briggs, the amounts in this column also reflect matching payments made by the Company under our 401(k) plan. For Mr. Mueller in 2020, the amount also includes (i) $61,410, reflecting the allocated cost of airfare to fly certain Company executives and family members on a plane chartered by the Company on behalf of a customer, to attend a customer event for business development related purposes (where the cost of the flight was fixed and the inclusion of the executives and family members did not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0081"/>
      </w:tblGrid>
      <w:tr>
        <w:trPr/>
        <w:tc>
          <w:tcPr>
            <w:tcW w:w="124" w:type="dxa"/>
            <w:tcBorders/>
            <w:shd w:fill="auto" w:val="clear"/>
            <w:vAlign w:val="center"/>
          </w:tcPr>
          <w:p>
            <w:pPr>
              <w:pStyle w:val="TableContents"/>
              <w:spacing w:before="0" w:after="283"/>
              <w:rPr>
                <w:sz w:val="4"/>
                <w:szCs w:val="4"/>
              </w:rPr>
            </w:pPr>
            <w:r>
              <w:rPr>
                <w:sz w:val="4"/>
                <w:szCs w:val="4"/>
              </w:rPr>
            </w:r>
          </w:p>
        </w:tc>
        <w:tc>
          <w:tcPr>
            <w:tcW w:w="100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any incremental cost to the Company), and (ii) $25,635, reflecting a gross-up payment for the income tax payable by Mr. Mueller on the foregoing amount.</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2022 Grants of Plan-Based Awards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certain information with respect to incentive plan awards under our Annual Cash Incentive Plan and our 2017 Plan for the fiscal year ended December 31, 2022 to each of our named executive officers:</w:t>
      </w:r>
    </w:p>
    <w:tbl>
      <w:tblPr>
        <w:tblW w:w="10205" w:type="dxa"/>
        <w:jc w:val="left"/>
        <w:tblInd w:w="0" w:type="dxa"/>
        <w:tblCellMar>
          <w:top w:w="0" w:type="dxa"/>
          <w:left w:w="0" w:type="dxa"/>
          <w:bottom w:w="0" w:type="dxa"/>
          <w:right w:w="0" w:type="dxa"/>
        </w:tblCellMar>
      </w:tblPr>
      <w:tblGrid>
        <w:gridCol w:w="1508"/>
        <w:gridCol w:w="326"/>
        <w:gridCol w:w="1436"/>
        <w:gridCol w:w="326"/>
        <w:gridCol w:w="211"/>
        <w:gridCol w:w="826"/>
        <w:gridCol w:w="326"/>
        <w:gridCol w:w="211"/>
        <w:gridCol w:w="826"/>
        <w:gridCol w:w="326"/>
        <w:gridCol w:w="211"/>
        <w:gridCol w:w="826"/>
        <w:gridCol w:w="326"/>
        <w:gridCol w:w="961"/>
        <w:gridCol w:w="326"/>
        <w:gridCol w:w="211"/>
        <w:gridCol w:w="1022"/>
      </w:tblGrid>
      <w:tr>
        <w:trPr/>
        <w:tc>
          <w:tcPr>
            <w:tcW w:w="1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22" w:type="dxa"/>
            <w:tcBorders/>
            <w:shd w:fill="auto" w:val="clear"/>
            <w:vAlign w:val="center"/>
          </w:tcPr>
          <w:p>
            <w:pPr>
              <w:pStyle w:val="TableContents"/>
              <w:spacing w:before="0" w:after="0"/>
              <w:ind w:left="0" w:right="0" w:hanging="0"/>
              <w:rPr/>
            </w:pPr>
            <w:r>
              <w:rPr/>
              <w:t>​</w:t>
            </w:r>
          </w:p>
        </w:tc>
      </w:tr>
      <w:tr>
        <w:trPr/>
        <w:tc>
          <w:tcPr>
            <w:tcW w:w="1508"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63" w:type="dxa"/>
            <w:gridSpan w:val="8"/>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Estimated Future Payouts Under Non-</w:t>
              <w:br/>
              <w:t>Equity Incentive Plan Awards</w:t>
            </w:r>
            <w:r>
              <w:rPr>
                <w:rFonts w:ascii="Times New Roman;Times;serif" w:hAnsi="Times New Roman;Times;serif"/>
                <w:b/>
                <w:sz w:val="12"/>
              </w:rPr>
              <w:t>(1)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33"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508"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0"/>
              <w:ind w:left="0" w:right="0" w:hanging="0"/>
              <w:rPr/>
            </w:pPr>
            <w:r>
              <w:rPr/>
              <w:t>    </w:t>
            </w:r>
          </w:p>
        </w:tc>
        <w:tc>
          <w:tcPr>
            <w:tcW w:w="14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b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b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All Other</w:t>
              <w:br/>
              <w:t>Stock</w:t>
            </w:r>
            <w:r>
              <w:rPr>
                <w:rFonts w:ascii="Times New Roman;Times;serif" w:hAnsi="Times New Roman;Times;serif"/>
                <w:sz w:val="16"/>
              </w:rPr>
              <w:br/>
            </w:r>
            <w:r>
              <w:rPr>
                <w:rFonts w:ascii="Times New Roman;Times;serif" w:hAnsi="Times New Roman;Times;serif"/>
                <w:b/>
                <w:sz w:val="16"/>
              </w:rPr>
              <w:t>Awards:</w:t>
            </w:r>
            <w:r>
              <w:rPr>
                <w:rFonts w:ascii="Times New Roman;Times;serif" w:hAnsi="Times New Roman;Times;serif"/>
                <w:sz w:val="16"/>
              </w:rPr>
              <w:t> </w:t>
              <w:br/>
            </w:r>
            <w:r>
              <w:rPr>
                <w:rFonts w:ascii="Times New Roman;Times;serif" w:hAnsi="Times New Roman;Times;serif"/>
                <w:b/>
                <w:sz w:val="16"/>
              </w:rPr>
              <w:t>Number of</w:t>
            </w:r>
            <w:r>
              <w:rPr>
                <w:rFonts w:ascii="Times New Roman;Times;serif" w:hAnsi="Times New Roman;Times;serif"/>
                <w:sz w:val="16"/>
              </w:rPr>
              <w:br/>
            </w:r>
            <w:r>
              <w:rPr>
                <w:rFonts w:ascii="Times New Roman;Times;serif" w:hAnsi="Times New Roman;Times;serif"/>
                <w:b/>
                <w:sz w:val="16"/>
              </w:rPr>
              <w:t>Shares</w:t>
            </w:r>
            <w:r>
              <w:rPr>
                <w:rFonts w:ascii="Times New Roman;Times;serif" w:hAnsi="Times New Roman;Times;serif"/>
                <w:sz w:val="16"/>
              </w:rPr>
              <w:t> </w:t>
            </w:r>
            <w:r>
              <w:rPr>
                <w:rFonts w:ascii="Times New Roman;Times;serif" w:hAnsi="Times New Roman;Times;serif"/>
                <w:b/>
                <w:sz w:val="16"/>
              </w:rPr>
              <w:br/>
              <w:t>of Stock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3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Grant Date</w:t>
              <w:br/>
              <w:t>Fair Value</w:t>
            </w:r>
            <w:r>
              <w:rPr>
                <w:rFonts w:ascii="Times New Roman;Times;serif" w:hAnsi="Times New Roman;Times;serif"/>
                <w:sz w:val="16"/>
              </w:rPr>
              <w:br/>
            </w:r>
            <w:r>
              <w:rPr>
                <w:rFonts w:ascii="Times New Roman;Times;serif" w:hAnsi="Times New Roman;Times;serif"/>
                <w:b/>
                <w:sz w:val="16"/>
              </w:rPr>
              <w:t>of Stock</w:t>
            </w:r>
            <w:r>
              <w:rPr>
                <w:rFonts w:ascii="Times New Roman;Times;serif" w:hAnsi="Times New Roman;Times;serif"/>
                <w:sz w:val="16"/>
              </w:rPr>
              <w:br/>
            </w:r>
            <w:r>
              <w:rPr>
                <w:rFonts w:ascii="Times New Roman;Times;serif" w:hAnsi="Times New Roman;Times;serif"/>
                <w:b/>
                <w:sz w:val="16"/>
              </w:rPr>
              <w:t>Awards(2)</w:t>
            </w:r>
          </w:p>
        </w:tc>
      </w:tr>
      <w:tr>
        <w:trPr/>
        <w:tc>
          <w:tcPr>
            <w:tcW w:w="1508"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spacing w:before="0" w:after="0"/>
              <w:ind w:left="0" w:right="0" w:hanging="0"/>
              <w:rPr/>
            </w:pPr>
            <w:r>
              <w:rPr/>
              <w:t>​</w:t>
            </w:r>
          </w:p>
        </w:tc>
        <w:tc>
          <w:tcPr>
            <w:tcW w:w="1436" w:type="dxa"/>
            <w:tcBorders>
              <w:top w:val="single" w:sz="2" w:space="0" w:color="000000"/>
            </w:tcBorders>
            <w:shd w:fill="CCEEFF" w:val="clear"/>
            <w:tcMar>
              <w:top w:w="28" w:type="dxa"/>
            </w:tcM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160,500 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321,000 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481,500 </w:t>
            </w:r>
          </w:p>
        </w:tc>
        <w:tc>
          <w:tcPr>
            <w:tcW w:w="326" w:type="dxa"/>
            <w:tcBorders/>
            <w:shd w:fill="CCEEFF" w:val="clear"/>
            <w:vAlign w:val="center"/>
          </w:tcPr>
          <w:p>
            <w:pPr>
              <w:pStyle w:val="TableContents"/>
              <w:spacing w:before="0" w:after="0"/>
              <w:ind w:left="0" w:right="0" w:hanging="0"/>
              <w:rPr/>
            </w:pPr>
            <w:r>
              <w:rPr/>
              <w:t>​</w:t>
            </w:r>
          </w:p>
        </w:tc>
        <w:tc>
          <w:tcPr>
            <w:tcW w:w="96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1022"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r>
      <w:tr>
        <w:trPr/>
        <w:tc>
          <w:tcPr>
            <w:tcW w:w="1508" w:type="dxa"/>
            <w:tcBorders/>
            <w:shd w:fill="CCEEFF" w:val="clear"/>
            <w:vAlign w:val="center"/>
          </w:tcPr>
          <w:p>
            <w:pPr>
              <w:pStyle w:val="TableContents"/>
              <w:pBdr/>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26,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14,598 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1,211,488 </w:t>
            </w:r>
          </w:p>
        </w:tc>
      </w:tr>
      <w:tr>
        <w:trPr/>
        <w:tc>
          <w:tcPr>
            <w:tcW w:w="1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22" w:type="dxa"/>
            <w:tcBorders/>
            <w:shd w:fill="auto" w:val="clear"/>
            <w:vAlign w:val="center"/>
          </w:tcPr>
          <w:p>
            <w:pPr>
              <w:pStyle w:val="TableContents"/>
              <w:spacing w:before="0" w:after="0"/>
              <w:ind w:left="0" w:right="0" w:hanging="0"/>
              <w:jc w:val="right"/>
              <w:rPr/>
            </w:pPr>
            <w:r>
              <w:rPr/>
              <w:t>​</w:t>
            </w:r>
          </w:p>
        </w:tc>
      </w:tr>
      <w:tr>
        <w:trPr/>
        <w:tc>
          <w:tcPr>
            <w:tcW w:w="150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Dr. W. Stan Meyer</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146,250 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292,500 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438,750 </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22" w:type="dxa"/>
            <w:tcBorders/>
            <w:shd w:fill="CCEEFF" w:val="clear"/>
            <w:vAlign w:val="center"/>
          </w:tcPr>
          <w:p>
            <w:pPr>
              <w:pStyle w:val="TableContents"/>
              <w:spacing w:before="0" w:after="0"/>
              <w:ind w:left="0" w:right="0" w:hanging="0"/>
              <w:jc w:val="right"/>
              <w:rPr/>
            </w:pPr>
            <w:r>
              <w:rPr/>
              <w:t>—</w:t>
            </w:r>
          </w:p>
        </w:tc>
      </w:tr>
      <w:tr>
        <w:trPr/>
        <w:tc>
          <w:tcPr>
            <w:tcW w:w="1508" w:type="dxa"/>
            <w:tcBorders/>
            <w:shd w:fill="CCEEFF" w:val="clear"/>
            <w:vAlign w:val="center"/>
          </w:tcPr>
          <w:p>
            <w:pPr>
              <w:pStyle w:val="TableContents"/>
              <w:pBdr/>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26,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7,790 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646,492 </w:t>
            </w:r>
          </w:p>
        </w:tc>
      </w:tr>
      <w:tr>
        <w:trPr/>
        <w:tc>
          <w:tcPr>
            <w:tcW w:w="1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22" w:type="dxa"/>
            <w:tcBorders/>
            <w:shd w:fill="auto" w:val="clear"/>
            <w:vAlign w:val="center"/>
          </w:tcPr>
          <w:p>
            <w:pPr>
              <w:pStyle w:val="TableContents"/>
              <w:spacing w:before="0" w:after="0"/>
              <w:ind w:left="0" w:right="0" w:hanging="0"/>
              <w:jc w:val="right"/>
              <w:rPr/>
            </w:pPr>
            <w:r>
              <w:rPr/>
              <w:t>​</w:t>
            </w:r>
          </w:p>
        </w:tc>
      </w:tr>
      <w:tr>
        <w:trPr/>
        <w:tc>
          <w:tcPr>
            <w:tcW w:w="150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146,250 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292,500 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438,750 </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22" w:type="dxa"/>
            <w:tcBorders/>
            <w:shd w:fill="CCEEFF" w:val="clear"/>
            <w:vAlign w:val="center"/>
          </w:tcPr>
          <w:p>
            <w:pPr>
              <w:pStyle w:val="TableContents"/>
              <w:spacing w:before="0" w:after="0"/>
              <w:ind w:left="0" w:right="0" w:hanging="0"/>
              <w:jc w:val="right"/>
              <w:rPr/>
            </w:pPr>
            <w:r>
              <w:rPr/>
              <w:t>—</w:t>
            </w:r>
          </w:p>
        </w:tc>
      </w:tr>
      <w:tr>
        <w:trPr/>
        <w:tc>
          <w:tcPr>
            <w:tcW w:w="1508" w:type="dxa"/>
            <w:tcBorders/>
            <w:shd w:fill="CCEEFF" w:val="clear"/>
            <w:vAlign w:val="center"/>
          </w:tcPr>
          <w:p>
            <w:pPr>
              <w:pStyle w:val="TableContents"/>
              <w:pBdr/>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26,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7,790 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646,492 </w:t>
            </w:r>
          </w:p>
        </w:tc>
      </w:tr>
      <w:tr>
        <w:trPr/>
        <w:tc>
          <w:tcPr>
            <w:tcW w:w="1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22" w:type="dxa"/>
            <w:tcBorders/>
            <w:shd w:fill="auto" w:val="clear"/>
            <w:vAlign w:val="center"/>
          </w:tcPr>
          <w:p>
            <w:pPr>
              <w:pStyle w:val="TableContents"/>
              <w:spacing w:before="0" w:after="0"/>
              <w:ind w:left="0" w:right="0" w:hanging="0"/>
              <w:jc w:val="right"/>
              <w:rPr/>
            </w:pPr>
            <w:r>
              <w:rPr/>
              <w:t>​</w:t>
            </w:r>
          </w:p>
        </w:tc>
      </w:tr>
      <w:tr>
        <w:trPr/>
        <w:tc>
          <w:tcPr>
            <w:tcW w:w="150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Dilek Marsh</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165,000 </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22" w:type="dxa"/>
            <w:tcBorders/>
            <w:shd w:fill="CCEEFF" w:val="clear"/>
            <w:vAlign w:val="center"/>
          </w:tcPr>
          <w:p>
            <w:pPr>
              <w:pStyle w:val="TableContents"/>
              <w:spacing w:before="0" w:after="0"/>
              <w:ind w:left="0" w:right="0" w:hanging="0"/>
              <w:jc w:val="right"/>
              <w:rPr/>
            </w:pPr>
            <w:r>
              <w:rPr/>
              <w:t>—</w:t>
            </w:r>
          </w:p>
        </w:tc>
      </w:tr>
      <w:tr>
        <w:trPr/>
        <w:tc>
          <w:tcPr>
            <w:tcW w:w="1508" w:type="dxa"/>
            <w:tcBorders/>
            <w:shd w:fill="CCEEFF" w:val="clear"/>
            <w:vAlign w:val="center"/>
          </w:tcPr>
          <w:p>
            <w:pPr>
              <w:pStyle w:val="TableContents"/>
              <w:pBdr/>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26,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5,422 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449,972 </w:t>
            </w:r>
          </w:p>
        </w:tc>
      </w:tr>
      <w:tr>
        <w:trPr/>
        <w:tc>
          <w:tcPr>
            <w:tcW w:w="1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22" w:type="dxa"/>
            <w:tcBorders/>
            <w:shd w:fill="auto" w:val="clear"/>
            <w:vAlign w:val="center"/>
          </w:tcPr>
          <w:p>
            <w:pPr>
              <w:pStyle w:val="TableContents"/>
              <w:spacing w:before="0" w:after="0"/>
              <w:ind w:left="0" w:right="0" w:hanging="0"/>
              <w:jc w:val="right"/>
              <w:rPr/>
            </w:pPr>
            <w:r>
              <w:rPr/>
              <w:t>​</w:t>
            </w:r>
          </w:p>
        </w:tc>
      </w:tr>
      <w:tr>
        <w:trPr/>
        <w:tc>
          <w:tcPr>
            <w:tcW w:w="150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159,025 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227,178 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295,331 </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22" w:type="dxa"/>
            <w:tcBorders/>
            <w:shd w:fill="CCEEFF" w:val="clear"/>
            <w:vAlign w:val="center"/>
          </w:tcPr>
          <w:p>
            <w:pPr>
              <w:pStyle w:val="TableContents"/>
              <w:spacing w:before="0" w:after="0"/>
              <w:ind w:left="0" w:right="0" w:hanging="0"/>
              <w:jc w:val="right"/>
              <w:rPr/>
            </w:pPr>
            <w:r>
              <w:rPr/>
              <w:t>—</w:t>
            </w:r>
          </w:p>
        </w:tc>
      </w:tr>
      <w:tr>
        <w:trPr/>
        <w:tc>
          <w:tcPr>
            <w:tcW w:w="1508" w:type="dxa"/>
            <w:tcBorders/>
            <w:shd w:fill="CCEEFF" w:val="clear"/>
            <w:vAlign w:val="center"/>
          </w:tcPr>
          <w:p>
            <w:pPr>
              <w:pStyle w:val="TableContents"/>
              <w:pBdr/>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3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26,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6,024 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499,932 </w:t>
            </w:r>
          </w:p>
        </w:tc>
      </w:tr>
      <w:tr>
        <w:trPr/>
        <w:tc>
          <w:tcPr>
            <w:tcW w:w="1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22" w:type="dxa"/>
            <w:tcBorders/>
            <w:shd w:fill="auto" w:val="clear"/>
            <w:vAlign w:val="center"/>
          </w:tcPr>
          <w:p>
            <w:pPr>
              <w:pStyle w:val="TableContents"/>
              <w:spacing w:before="0" w:after="0"/>
              <w:ind w:left="0" w:right="0" w:hanging="0"/>
              <w:jc w:val="right"/>
              <w:rPr/>
            </w:pPr>
            <w:r>
              <w:rPr/>
              <w:t>​</w:t>
            </w:r>
          </w:p>
        </w:tc>
      </w:tr>
    </w:tbl>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reflect the Threshold, Target and Maximum bonuses payable to our named executive officers under our Annual Cash Incentive Plan or Senior Management Plan, as applicable (based on their base salaries as in effect at year end). All such awards have been paid, and the actual amounts paid are set forth in the Summary Compensation Table above.</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in this column reflect the compensation costs attributable to the restricted stock awards granted in 2022.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2022 are set forth in Notes 2 and 13 to our financial statements for the fiscal year ended December 31, 2022 included in our 2022 Annual Report on Form 10-K.</w:t>
            </w:r>
          </w:p>
        </w:tc>
      </w:tr>
    </w:tbl>
    <w:p>
      <w:pPr>
        <w:pStyle w:val="TextBody"/>
        <w:spacing w:before="0" w:after="240"/>
        <w:ind w:left="0" w:right="0" w:hanging="0"/>
        <w:rPr/>
      </w:pPr>
      <w:r>
        <w:rPr/>
        <w:t>​</w:t>
      </w:r>
    </w:p>
    <w:p>
      <w:pPr>
        <w:pStyle w:val="TextBody"/>
        <w:spacing w:before="0" w:after="24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2022 Outstanding Equity Awards at Fiscal Year-End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provides certain summary information concerning outstanding equity awards held by the named executive officers as of December 31, 2022.</w:t>
      </w:r>
    </w:p>
    <w:tbl>
      <w:tblPr>
        <w:tblW w:w="4391" w:type="dxa"/>
        <w:jc w:val="left"/>
        <w:tblInd w:w="0" w:type="dxa"/>
        <w:tblCellMar>
          <w:top w:w="0" w:type="dxa"/>
          <w:left w:w="0" w:type="dxa"/>
          <w:bottom w:w="0" w:type="dxa"/>
          <w:right w:w="0" w:type="dxa"/>
        </w:tblCellMar>
      </w:tblPr>
      <w:tblGrid>
        <w:gridCol w:w="1606"/>
        <w:gridCol w:w="326"/>
        <w:gridCol w:w="901"/>
        <w:gridCol w:w="326"/>
        <w:gridCol w:w="211"/>
        <w:gridCol w:w="1021"/>
      </w:tblGrid>
      <w:tr>
        <w:trPr/>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019810" cy="175260"/>
                      <wp:effectExtent l="0" t="0" r="0" b="0"/>
                      <wp:wrapNone/>
                      <wp:docPr id="43" name="Frame26"/>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4"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72135" cy="29210"/>
                      <wp:effectExtent l="0" t="0" r="0" b="0"/>
                      <wp:wrapNone/>
                      <wp:docPr id="45" name="Frame28"/>
                      <a:graphic xmlns:a="http://schemas.openxmlformats.org/drawingml/2006/main">
                        <a:graphicData uri="http://schemas.microsoft.com/office/word/2010/wordprocessingShape">
                          <wps:wsp>
                            <wps:cNvSpPr txBox="1"/>
                            <wps:spPr>
                              <a:xfrm>
                                <a:off x="0" y="0"/>
                                <a:ext cx="5721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6"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29210"/>
                      <wp:effectExtent l="0" t="0" r="0" b="0"/>
                      <wp:wrapNone/>
                      <wp:docPr id="47" name="Frame30"/>
                      <a:graphic xmlns:a="http://schemas.openxmlformats.org/drawingml/2006/main">
                        <a:graphicData uri="http://schemas.microsoft.com/office/word/2010/wordprocessingShape">
                          <wps:wsp>
                            <wps:cNvSpPr txBox="1"/>
                            <wps:spPr>
                              <a:xfrm>
                                <a:off x="0" y="0"/>
                                <a:ext cx="1339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335" cy="29210"/>
                      <wp:effectExtent l="0" t="0" r="0" b="0"/>
                      <wp:wrapNone/>
                      <wp:docPr id="48" name="Frame31"/>
                      <a:graphic xmlns:a="http://schemas.openxmlformats.org/drawingml/2006/main">
                        <a:graphicData uri="http://schemas.microsoft.com/office/word/2010/wordprocessingShape">
                          <wps:wsp>
                            <wps:cNvSpPr txBox="1"/>
                            <wps:spPr>
                              <a:xfrm>
                                <a:off x="0" y="0"/>
                                <a:ext cx="6483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5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w:t>
            </w:r>
          </w:p>
        </w:tc>
      </w:tr>
      <w:tr>
        <w:trPr/>
        <w:tc>
          <w:tcPr>
            <w:tcW w:w="16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 w:type="dxa"/>
            <w:tcBorders>
              <w:top w:val="single" w:sz="2" w:space="0" w:color="000000"/>
              <w:bottom w:val="single" w:sz="2" w:space="0" w:color="000000"/>
            </w:tcBorders>
            <w:shd w:fill="auto" w:val="clear"/>
            <w:tcMar>
              <w:top w:w="28" w:type="dxa"/>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Number of</w:t>
              <w:br/>
              <w:t>Shares of</w:t>
              <w:br/>
              <w:t>Stock That</w:t>
              <w:br/>
              <w:t>Have Not</w:t>
              <w:br/>
              <w:t>Vested </w:t>
            </w:r>
            <w:r>
              <w:rPr>
                <w:rFonts w:ascii="Times New Roman;Times;serif" w:hAnsi="Times New Roman;Times;serif"/>
                <w:b/>
                <w:sz w:val="12"/>
              </w:rPr>
              <w:t>(1)</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232"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 Value</w:t>
              <w:br/>
              <w:t>of Shares of</w:t>
              <w:br/>
              <w:t>Stock That</w:t>
              <w:br/>
              <w:t>Have Not</w:t>
              <w:br/>
              <w:t>Vested</w:t>
            </w:r>
          </w:p>
        </w:tc>
      </w:tr>
      <w:tr>
        <w:trPr/>
        <w:tc>
          <w:tcPr>
            <w:tcW w:w="1606"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42,429 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4,483,048 </w:t>
            </w:r>
          </w:p>
        </w:tc>
      </w:tr>
      <w:tr>
        <w:trPr/>
        <w:tc>
          <w:tcPr>
            <w:tcW w:w="16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Dr. W. Stan Meyer</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22,641 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2,392,248 </w:t>
            </w:r>
          </w:p>
        </w:tc>
      </w:tr>
      <w:tr>
        <w:trPr/>
        <w:tc>
          <w:tcPr>
            <w:tcW w:w="16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22,641 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2,392,248 </w:t>
            </w:r>
          </w:p>
        </w:tc>
      </w:tr>
      <w:tr>
        <w:trPr/>
        <w:tc>
          <w:tcPr>
            <w:tcW w:w="16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Dilek Marsh</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12,977 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1,371,150 </w:t>
            </w:r>
          </w:p>
        </w:tc>
      </w:tr>
      <w:tr>
        <w:trPr/>
        <w:tc>
          <w:tcPr>
            <w:tcW w:w="16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15,310 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1,617,655 </w:t>
            </w:r>
          </w:p>
        </w:tc>
      </w:tr>
    </w:tbl>
    <w:tbl>
      <w:tblPr>
        <w:tblW w:w="10205" w:type="dxa"/>
        <w:jc w:val="left"/>
        <w:tblInd w:w="0" w:type="dxa"/>
        <w:tblCellMar>
          <w:top w:w="28" w:type="dxa"/>
          <w:left w:w="28" w:type="dxa"/>
          <w:bottom w:w="28" w:type="dxa"/>
          <w:right w:w="28" w:type="dxa"/>
        </w:tblCellMar>
      </w:tblPr>
      <w:tblGrid>
        <w:gridCol w:w="124"/>
        <w:gridCol w:w="278"/>
        <w:gridCol w:w="9803"/>
      </w:tblGrid>
      <w:tr>
        <w:trPr/>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0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granted to Mr. Mueller, Dr. Meyer, Mr. Bachus, Ms. Marsh, and Mr. Briggs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 (12) months following a change in control of the Company. Mr. Mueller, Dr. Meyer, Mr. Bachus, Ms. Marsh, and Mr. Briggs also receive partial accelerated vesting through the next annual vesting date immediately following the date of termination, upon the termination of employment by us without Cause or by the executive for Good Reason (as further discussed below).</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2022 Stock Vested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provides certain summary information concerning restricted stock awards made to our named executive officers that vested, during the fiscal year ended December 31, 2022.</w:t>
      </w:r>
    </w:p>
    <w:tbl>
      <w:tblPr>
        <w:tblW w:w="5709" w:type="dxa"/>
        <w:jc w:val="left"/>
        <w:tblInd w:w="0" w:type="dxa"/>
        <w:tblCellMar>
          <w:top w:w="0" w:type="dxa"/>
          <w:left w:w="0" w:type="dxa"/>
          <w:bottom w:w="0" w:type="dxa"/>
          <w:right w:w="0" w:type="dxa"/>
        </w:tblCellMar>
      </w:tblPr>
      <w:tblGrid>
        <w:gridCol w:w="1846"/>
        <w:gridCol w:w="326"/>
        <w:gridCol w:w="240"/>
        <w:gridCol w:w="1591"/>
        <w:gridCol w:w="326"/>
        <w:gridCol w:w="236"/>
        <w:gridCol w:w="1144"/>
      </w:tblGrid>
      <w:tr>
        <w:trPr/>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172210" cy="1226820"/>
                      <wp:effectExtent l="0" t="0" r="0" b="0"/>
                      <wp:wrapNone/>
                      <wp:docPr id="49" name="Frame32"/>
                      <a:graphic xmlns:a="http://schemas.openxmlformats.org/drawingml/2006/main">
                        <a:graphicData uri="http://schemas.microsoft.com/office/word/2010/wordprocessingShape">
                          <wps:wsp>
                            <wps:cNvSpPr txBox="1"/>
                            <wps:spPr>
                              <a:xfrm>
                                <a:off x="0" y="0"/>
                                <a:ext cx="1172210" cy="1226820"/>
                              </a:xfrm>
                              <a:prstGeom prst="rect"/>
                            </wps:spPr>
                            <wps:txbx>
                              <w:txbxContent>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9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0"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2400" cy="175260"/>
                      <wp:effectExtent l="0" t="0" r="0" b="0"/>
                      <wp:wrapNone/>
                      <wp:docPr id="51" name="Frame34"/>
                      <a:graphic xmlns:a="http://schemas.openxmlformats.org/drawingml/2006/main">
                        <a:graphicData uri="http://schemas.microsoft.com/office/word/2010/wordprocessingShape">
                          <wps:wsp>
                            <wps:cNvSpPr txBox="1"/>
                            <wps:spPr>
                              <a:xfrm>
                                <a:off x="0" y="0"/>
                                <a:ext cx="152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010285" cy="175260"/>
                      <wp:effectExtent l="0" t="0" r="0" b="0"/>
                      <wp:wrapNone/>
                      <wp:docPr id="52" name="Frame35"/>
                      <a:graphic xmlns:a="http://schemas.openxmlformats.org/drawingml/2006/main">
                        <a:graphicData uri="http://schemas.microsoft.com/office/word/2010/wordprocessingShape">
                          <wps:wsp>
                            <wps:cNvSpPr txBox="1"/>
                            <wps:spPr>
                              <a:xfrm>
                                <a:off x="0" y="0"/>
                                <a:ext cx="1010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3"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9860" cy="175260"/>
                      <wp:effectExtent l="0" t="0" r="0" b="0"/>
                      <wp:wrapNone/>
                      <wp:docPr id="54" name="Frame37"/>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26440" cy="175260"/>
                      <wp:effectExtent l="0" t="0" r="0" b="0"/>
                      <wp:wrapNone/>
                      <wp:docPr id="55" name="Frame38"/>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46"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1144" w:type="dxa"/>
            <w:tcBorders/>
            <w:shd w:fill="auto" w:val="clear"/>
            <w:vAlign w:val="center"/>
          </w:tcPr>
          <w:p>
            <w:pPr>
              <w:pStyle w:val="TableContents"/>
              <w:spacing w:before="0" w:after="0"/>
              <w:ind w:left="0" w:right="0" w:hanging="0"/>
              <w:rPr/>
            </w:pPr>
            <w:r>
              <w:rPr/>
              <w:t>​</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Awards</w:t>
            </w:r>
          </w:p>
        </w:tc>
      </w:tr>
      <w:tr>
        <w:trPr/>
        <w:tc>
          <w:tcPr>
            <w:tcW w:w="18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831"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br/>
              <w:t>Acquired on Vesting (#)</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38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Realized</w:t>
              <w:br/>
              <w:t>on Vesting ($)(1)</w:t>
            </w:r>
          </w:p>
        </w:tc>
      </w:tr>
      <w:tr>
        <w:trPr/>
        <w:tc>
          <w:tcPr>
            <w:tcW w:w="184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31" w:type="dxa"/>
            <w:gridSpan w:val="2"/>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80" w:type="dxa"/>
            <w:gridSpan w:val="2"/>
            <w:tcBorders/>
            <w:shd w:fill="auto" w:val="clear"/>
            <w:vAlign w:val="center"/>
          </w:tcPr>
          <w:p>
            <w:pPr>
              <w:pStyle w:val="TableContents"/>
              <w:spacing w:before="0" w:after="0"/>
              <w:ind w:left="0" w:right="0" w:hanging="0"/>
              <w:rPr/>
            </w:pPr>
            <w:r>
              <w:rPr/>
              <w:t>​</w:t>
            </w:r>
          </w:p>
        </w:tc>
      </w:tr>
      <w:tr>
        <w:trPr/>
        <w:tc>
          <w:tcPr>
            <w:tcW w:w="18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Mr. Brian E. Mueller</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14,551 </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1,283,253 </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1144" w:type="dxa"/>
            <w:tcBorders/>
            <w:shd w:fill="auto" w:val="clear"/>
            <w:vAlign w:val="center"/>
          </w:tcPr>
          <w:p>
            <w:pPr>
              <w:pStyle w:val="TableContents"/>
              <w:spacing w:before="0" w:after="0"/>
              <w:ind w:left="0" w:right="0" w:hanging="0"/>
              <w:jc w:val="right"/>
              <w:rPr/>
            </w:pPr>
            <w:r>
              <w:rPr/>
              <w:t>​</w:t>
            </w:r>
          </w:p>
        </w:tc>
      </w:tr>
      <w:tr>
        <w:trPr/>
        <w:tc>
          <w:tcPr>
            <w:tcW w:w="18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Dr. W. Stan Meyer</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7,765 </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684,795 </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1144" w:type="dxa"/>
            <w:tcBorders/>
            <w:shd w:fill="auto" w:val="clear"/>
            <w:vAlign w:val="center"/>
          </w:tcPr>
          <w:p>
            <w:pPr>
              <w:pStyle w:val="TableContents"/>
              <w:spacing w:before="0" w:after="0"/>
              <w:ind w:left="0" w:right="0" w:hanging="0"/>
              <w:jc w:val="right"/>
              <w:rPr/>
            </w:pPr>
            <w:r>
              <w:rPr/>
              <w:t>​</w:t>
            </w:r>
          </w:p>
        </w:tc>
      </w:tr>
      <w:tr>
        <w:trPr/>
        <w:tc>
          <w:tcPr>
            <w:tcW w:w="18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Mr. Daniel E. Bachus</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7,765 </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684,795 </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1144" w:type="dxa"/>
            <w:tcBorders/>
            <w:shd w:fill="auto" w:val="clear"/>
            <w:vAlign w:val="center"/>
          </w:tcPr>
          <w:p>
            <w:pPr>
              <w:pStyle w:val="TableContents"/>
              <w:spacing w:before="0" w:after="0"/>
              <w:ind w:left="0" w:right="0" w:hanging="0"/>
              <w:jc w:val="right"/>
              <w:rPr/>
            </w:pPr>
            <w:r>
              <w:rPr/>
              <w:t>​</w:t>
            </w:r>
          </w:p>
        </w:tc>
      </w:tr>
      <w:tr>
        <w:trPr/>
        <w:tc>
          <w:tcPr>
            <w:tcW w:w="18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Ms. Dilek Marsh</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3,554 </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313,427 </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1144" w:type="dxa"/>
            <w:tcBorders/>
            <w:shd w:fill="auto" w:val="clear"/>
            <w:vAlign w:val="center"/>
          </w:tcPr>
          <w:p>
            <w:pPr>
              <w:pStyle w:val="TableContents"/>
              <w:spacing w:before="0" w:after="0"/>
              <w:ind w:left="0" w:right="0" w:hanging="0"/>
              <w:jc w:val="right"/>
              <w:rPr/>
            </w:pPr>
            <w:r>
              <w:rPr/>
              <w:t>​</w:t>
            </w:r>
          </w:p>
        </w:tc>
      </w:tr>
      <w:tr>
        <w:trPr/>
        <w:tc>
          <w:tcPr>
            <w:tcW w:w="18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Mr. Daniel J. Briggs</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w:t>
            </w:r>
          </w:p>
        </w:tc>
        <w:tc>
          <w:tcPr>
            <w:tcW w:w="1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2,884 </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254,340 </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1144" w:type="dxa"/>
            <w:tcBorders/>
            <w:shd w:fill="auto" w:val="clear"/>
            <w:vAlign w:val="center"/>
          </w:tcPr>
          <w:p>
            <w:pPr>
              <w:pStyle w:val="TableContents"/>
              <w:spacing w:before="0" w:after="0"/>
              <w:ind w:left="0" w:right="0" w:hanging="0"/>
              <w:jc w:val="right"/>
              <w:rPr/>
            </w:pPr>
            <w:r>
              <w:rPr/>
              <w:t>​</w:t>
            </w:r>
          </w:p>
        </w:tc>
      </w:tr>
    </w:tbl>
    <w:p>
      <w:pPr>
        <w:pStyle w:val="Normal"/>
        <w:spacing w:before="0" w:after="0"/>
        <w:rPr>
          <w:sz w:val="4"/>
          <w:szCs w:val="4"/>
        </w:rPr>
      </w:pPr>
      <w:r>
        <w:rPr>
          <w:sz w:val="4"/>
          <w:szCs w:val="4"/>
        </w:rPr>
      </w:r>
      <w:bookmarkStart w:id="200" w:name="_cp_text_1_342"/>
      <w:bookmarkStart w:id="201" w:name="_cp_text_1_342"/>
      <w:bookmarkEnd w:id="201"/>
    </w:p>
    <w:tbl>
      <w:tblPr>
        <w:tblW w:w="10205" w:type="dxa"/>
        <w:jc w:val="left"/>
        <w:tblInd w:w="0" w:type="dxa"/>
        <w:tblCellMar>
          <w:top w:w="28" w:type="dxa"/>
          <w:left w:w="28" w:type="dxa"/>
          <w:bottom w:w="28" w:type="dxa"/>
          <w:right w:w="28" w:type="dxa"/>
        </w:tblCellMar>
      </w:tblPr>
      <w:tblGrid>
        <w:gridCol w:w="124"/>
        <w:gridCol w:w="298"/>
        <w:gridCol w:w="9783"/>
      </w:tblGrid>
      <w:tr>
        <w:trPr/>
        <w:tc>
          <w:tcPr>
            <w:tcW w:w="12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8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realized on vesting of restricted stock equals the closing trading price of our common stock on the date of vesting (or if such day is not a trading day, the immediately preceding trading day), multiplied by the number of shares vesting.</w:t>
            </w:r>
          </w:p>
        </w:tc>
      </w:tr>
    </w:tbl>
    <w:p>
      <w:pPr>
        <w:pStyle w:val="TextBody"/>
        <w:pBdr/>
        <w:spacing w:before="0" w:after="0"/>
        <w:ind w:left="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Pay Ratio Disclosure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2022, our last completed fiscal year:</w:t>
      </w:r>
    </w:p>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total compensation of our median employee (other than the Chief Executive Officer) was $58,431: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total compensation of Mr. Mueller, as reported above in the Summary Compensation Table, was $1,997,113.</w:t>
            </w:r>
          </w:p>
        </w:tc>
      </w:tr>
    </w:tbl>
    <w:tbl>
      <w:tblPr>
        <w:tblW w:w="10205" w:type="dxa"/>
        <w:jc w:val="left"/>
        <w:tblInd w:w="0" w:type="dxa"/>
        <w:tblCellMar>
          <w:top w:w="28" w:type="dxa"/>
          <w:left w:w="28" w:type="dxa"/>
          <w:bottom w:w="0" w:type="dxa"/>
          <w:right w:w="28" w:type="dxa"/>
        </w:tblCellMar>
      </w:tblPr>
      <w:tblGrid>
        <w:gridCol w:w="10205"/>
      </w:tblGrid>
      <w:tr>
        <w:trPr/>
        <w:tc>
          <w:tcPr>
            <w:tcW w:w="10205" w:type="dxa"/>
            <w:tcBorders>
              <w:top w:val="single" w:sz="2" w:space="0" w:color="000000"/>
              <w:left w:val="single" w:sz="2" w:space="0" w:color="000000"/>
              <w:right w:val="single" w:sz="2" w:space="0" w:color="000000"/>
            </w:tcBorders>
            <w:shd w:fill="auto" w:val="clear"/>
            <w:vAlign w:val="center"/>
          </w:tcPr>
          <w:p>
            <w:pPr>
              <w:pStyle w:val="TableContents"/>
              <w:spacing w:before="0" w:after="0"/>
              <w:ind w:left="0" w:right="0" w:hanging="0"/>
              <w:rPr/>
            </w:pPr>
            <w:r>
              <w:rPr/>
              <w:t>​</w:t>
            </w:r>
          </w:p>
        </w:tc>
      </w:tr>
      <w:tr>
        <w:trPr/>
        <w:tc>
          <w:tcPr>
            <w:tcW w:w="10205" w:type="dxa"/>
            <w:tcBorders>
              <w:left w:val="single" w:sz="2" w:space="0" w:color="000000"/>
              <w:bottom w:val="single" w:sz="2" w:space="0" w:color="000000"/>
              <w:right w:val="single" w:sz="2" w:space="0" w:color="000000"/>
            </w:tcBorders>
            <w:shd w:fill="auto" w:val="clear"/>
            <w:tcMar>
              <w:top w:w="0" w:type="dxa"/>
              <w:bottom w:w="28" w:type="dxa"/>
            </w:tcMar>
            <w:vAlign w:val="center"/>
          </w:tcPr>
          <w:p>
            <w:pPr>
              <w:pStyle w:val="TableContents"/>
              <w:spacing w:before="0" w:after="0"/>
              <w:ind w:left="144" w:right="0" w:hanging="0"/>
              <w:rPr>
                <w:rFonts w:ascii="Times New Roman;Times;serif" w:hAnsi="Times New Roman;Times;serif"/>
                <w:i/>
                <w:sz w:val="20"/>
              </w:rPr>
            </w:pPr>
            <w:r>
              <w:rPr>
                <w:rFonts w:ascii="Times New Roman;Times;serif" w:hAnsi="Times New Roman;Times;serif"/>
                <w:i/>
                <w:sz w:val="20"/>
              </w:rPr>
              <w:t>Based on this information, for 2022 the ratio of the annual total compensation of Mr. Mueller, our Chief Executive Officer, to the annual total compensation of our median employee was 34.2 to 1.</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identify the annual total compensation of all our employees, as well as to determine the annual total compensation of our median employee, we took the following steps: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as of December 31, 2022, our employee population consisted of 5,500 individuals, all of whom were located in the United States and of which 3,919, or 71.3%, were full-time employees, 2,106, or 38.3%, were full-time salaried employees, and 1,581, or 28.7%, were part-time employees and student workers. We selected December 31, 2022 as the date upon which we would identify the “median employee” because it enabled us to make such identification in a reasonably efficient and economical manner.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2022 fiscal year, there were no such changes in employee population or compensation arrangements generally that would significantly change our pay ratio disclosure. However the median employee from 2021 had a significant leave of absence and, accordingly, we determined it was no longer appropriate to use that median employee for calculating the CEO pay ratio. Therefore as permitted by Item 402(u) of Regulation S-K, we identified another employee as the median employee for 2022 from among the employees who had compensation substantially similar to the original median employee based on the compensation measure used to select the original median employee in 2021. See our proxy statement for our 2021 annual meeting of stockholders for information regarding the process we utilized to identify our “median employee.”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we identified our median employee, we combined all of the elements of such employee’s compensation for 2022 in accordance with the requirements of Item 402(c)(2)(x) of Regulation S-K, resulting in annual total compensation of $58,431. The difference between such employee’s base salary and the employee’s annual total compensation represents the employee’s overtime pay, annual bonus and company matching contributions on behalf of the employee to our 401(k) employee savings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including companies in our peer group may not be comparable to the pay ratio reported above. Other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companies may have different employment and compensation practices, different geographic breadth, perform different types of work, and may utilize different methodologies, exclusions, estimates and assumptions in calculating their own pay ratios.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information is being provided for compliance purposes only. Neither the Compensation Committee nor management of the Company used the pay ratio measure in making compensation decisions.</w:t>
      </w:r>
    </w:p>
    <w:p>
      <w:pPr>
        <w:pStyle w:val="TextBody"/>
        <w:spacing w:before="0" w:after="240"/>
        <w:ind w:left="0" w:right="0" w:hanging="0"/>
        <w:rPr>
          <w:rFonts w:ascii="Times New Roman;Times;serif" w:hAnsi="Times New Roman;Times;serif"/>
          <w:b/>
          <w:sz w:val="20"/>
        </w:rPr>
      </w:pPr>
      <w:bookmarkStart w:id="202" w:name="ExecutiveEmploymentAgreements_118897"/>
      <w:bookmarkEnd w:id="202"/>
      <w:r>
        <w:rPr>
          <w:rFonts w:ascii="Times New Roman;Times;serif" w:hAnsi="Times New Roman;Times;serif"/>
          <w:b/>
          <w:sz w:val="20"/>
        </w:rPr>
        <w:t>Executive Employment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party to employment agreements with each of our named executive officers. Each of the agreements has a five-year term from the effective date, except for the agreement with Mr. Briggs which has a three-year term from the effective date, that automatically renews for one-year periods after the initial term unless either party provides written notice that it does not wish to renew the respective agreement. The terms of each agreement are similar in all material respects and, among other things, provide for each executive to:</w:t>
      </w:r>
    </w:p>
    <w:tbl>
      <w:tblPr>
        <w:tblW w:w="4641" w:type="dxa"/>
        <w:jc w:val="left"/>
        <w:tblInd w:w="0" w:type="dxa"/>
        <w:tblCellMar>
          <w:top w:w="28" w:type="dxa"/>
          <w:left w:w="28" w:type="dxa"/>
          <w:bottom w:w="28" w:type="dxa"/>
          <w:right w:w="28" w:type="dxa"/>
        </w:tblCellMar>
      </w:tblPr>
      <w:tblGrid>
        <w:gridCol w:w="124"/>
        <w:gridCol w:w="256"/>
        <w:gridCol w:w="4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a base salary and a target incentive bonus.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customary and usual fringe benefits generally available to our senior management, and to be reimbursed for reasonable out-of-pocket business expenses.</w:t>
            </w:r>
          </w:p>
        </w:tc>
      </w:tr>
    </w:tbl>
    <w:tbl>
      <w:tblPr>
        <w:tblW w:w="8526" w:type="dxa"/>
        <w:jc w:val="left"/>
        <w:tblInd w:w="0" w:type="dxa"/>
        <w:tblCellMar>
          <w:top w:w="28" w:type="dxa"/>
          <w:left w:w="28" w:type="dxa"/>
          <w:bottom w:w="28" w:type="dxa"/>
          <w:right w:w="28" w:type="dxa"/>
        </w:tblCellMar>
      </w:tblPr>
      <w:tblGrid>
        <w:gridCol w:w="124"/>
        <w:gridCol w:w="256"/>
        <w:gridCol w:w="8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certain benefits upon his or her termination of employment under specified circumstances.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each of the above employment agreements provides for payments upon certain terminations of the executive’s employment, as described below.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Termination for Cause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Termination Without Cause or Termination for Good Reason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severance payment in an amount equal to the sum of (i) twelve (12) months of the executive’s base salary then in effect on the date of termination, and (ii) 100% of the executive’s target bonus for the fiscal year in which the termination occurs, with the total of such amounts to be payable over twelve (12) months in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installments in accordance with the Company’s regular payroll cycle, commencing with the first payroll date occurring on or after the sixtieth (60th) day following the date of the executive’s termination of employment;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by us of the premiums required to continue the executive’s group health care coverage for a period of twelve (12)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of the vesting of the next annual installment under any outstanding restricted stock award that otherwise would have vested on the next annual vesting date following the named executive officer’s termination.</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Termination Upon a Change in Control</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surviving entity) more than 50% of the combined voting power of the voting securities of the Company or such surviving entity outstanding immediately after such merger or consolidation; or (d) the dissolution or liquidation of the Company.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Non-Competition and Non-Solicitation Obligations</w:t>
      </w:r>
    </w:p>
    <w:p>
      <w:pPr>
        <w:pStyle w:val="TextBody"/>
        <w:spacing w:before="0" w:after="240"/>
        <w:ind w:left="0" w:right="0" w:firstLine="720"/>
        <w:rPr>
          <w:rFonts w:ascii="Times New Roman;Times;serif" w:hAnsi="Times New Roman;Times;serif"/>
          <w:sz w:val="20"/>
        </w:rPr>
      </w:pPr>
      <w:bookmarkStart w:id="203" w:name="_cp_text_1_392"/>
      <w:bookmarkStart w:id="204" w:name="_cp_text_1_390"/>
      <w:bookmarkStart w:id="205" w:name="_cp_text_1_386"/>
      <w:bookmarkStart w:id="206" w:name="_cp_text_1_384"/>
      <w:bookmarkStart w:id="207" w:name="_cp_text_1_382"/>
      <w:bookmarkStart w:id="208" w:name="_cp_text_1_380"/>
      <w:bookmarkStart w:id="209" w:name="_cp_text_1_378"/>
      <w:bookmarkStart w:id="210" w:name="_cp_text_1_376"/>
      <w:bookmarkStart w:id="211" w:name="_cp_text_1_374"/>
      <w:bookmarkStart w:id="212" w:name="_cp_text_1_372"/>
      <w:bookmarkStart w:id="213" w:name="_cp_text_1_370"/>
      <w:bookmarkStart w:id="214" w:name="_cp_text_1_369"/>
      <w:bookmarkStart w:id="215" w:name="_cp_text_1_367"/>
      <w:bookmarkStart w:id="216" w:name="_cp_text_1_359"/>
      <w:bookmarkStart w:id="217" w:name="_cp_text_1_357"/>
      <w:bookmarkStart w:id="218" w:name="_cp_text_1_355"/>
      <w:bookmarkStart w:id="219" w:name="_cp_text_1_351"/>
      <w:bookmarkStart w:id="220" w:name="_cp_text_1_350"/>
      <w:bookmarkStart w:id="221" w:name="_cp_text_1_349"/>
      <w:bookmarkStart w:id="222" w:name="_cp_text_1_345"/>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Pr>
          <w:rFonts w:ascii="Times New Roman;Times;serif" w:hAnsi="Times New Roman;Times;serif"/>
          <w:sz w:val="20"/>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 (12) months thereafter, from (a) owning (except ownership of less than 1% of any class of securities which are listed for trading on any securities exchange or which are traded in the over-the-counter market), managing, controlling, participating in, consulting with, rendering services for, being employed by, or in any manner engaging in the operation of (i) any business that develops or administers services to degree-granting institutions of higher education, or (ii) any other business of the Company in which the executive had significant involvement prior to the executive’s separation; (b) inducing or attempting to induce any employee of the Company to leave the employ of the Company, or in any way interfering with the relationship between the Company and any employee thereof, or (c) inducing or attempting to induce any customer, supplier, licensee or other business relation of the Company to cease doing business with, or modify its business relationship with, the Company, or in any way interfering with or hindering the relationship between any such customer, supplier, licensee or business relation and the Company. Each of the executives has separately entered into a confidentiality agreement with us.</w:t>
      </w:r>
    </w:p>
    <w:p>
      <w:pPr>
        <w:pStyle w:val="TextBody"/>
        <w:spacing w:before="0" w:after="240"/>
        <w:ind w:left="0" w:right="0" w:hanging="0"/>
        <w:rPr>
          <w:rFonts w:ascii="Times New Roman;Times;serif" w:hAnsi="Times New Roman;Times;serif"/>
          <w:b/>
          <w:sz w:val="20"/>
        </w:rPr>
      </w:pPr>
      <w:bookmarkStart w:id="223" w:name="PotentialPaymentsuponTerminationorChange"/>
      <w:bookmarkEnd w:id="223"/>
      <w:r>
        <w:rPr>
          <w:rFonts w:ascii="Times New Roman;Times;serif" w:hAnsi="Times New Roman;Times;serif"/>
          <w:b/>
          <w:sz w:val="20"/>
        </w:rPr>
        <w:t>Potential Payments upon Termination or Change in Control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30, 2022, the last business day of fiscal year 2022. All payments in connection with any such termination will comply with Section 409A of the Internal Revenue Code, to the extent Section 409A applies. The actual amounts to be paid out can only be determined at the time of such executive’s separation from the Company.</w:t>
      </w:r>
    </w:p>
    <w:tbl>
      <w:tblPr>
        <w:tblW w:w="10205" w:type="dxa"/>
        <w:jc w:val="left"/>
        <w:tblInd w:w="0" w:type="dxa"/>
        <w:tblCellMar>
          <w:top w:w="0" w:type="dxa"/>
          <w:left w:w="0" w:type="dxa"/>
          <w:bottom w:w="0" w:type="dxa"/>
          <w:right w:w="0" w:type="dxa"/>
        </w:tblCellMar>
      </w:tblPr>
      <w:tblGrid>
        <w:gridCol w:w="1415"/>
        <w:gridCol w:w="326"/>
        <w:gridCol w:w="211"/>
        <w:gridCol w:w="826"/>
        <w:gridCol w:w="326"/>
        <w:gridCol w:w="211"/>
        <w:gridCol w:w="721"/>
        <w:gridCol w:w="326"/>
        <w:gridCol w:w="242"/>
        <w:gridCol w:w="1124"/>
        <w:gridCol w:w="326"/>
        <w:gridCol w:w="235"/>
        <w:gridCol w:w="921"/>
        <w:gridCol w:w="326"/>
        <w:gridCol w:w="211"/>
        <w:gridCol w:w="721"/>
        <w:gridCol w:w="326"/>
        <w:gridCol w:w="241"/>
        <w:gridCol w:w="1170"/>
      </w:tblGrid>
      <w:tr>
        <w:trPr/>
        <w:tc>
          <w:tcPr>
            <w:tcW w:w="14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1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rPr/>
            </w:pPr>
            <w:r>
              <w:rPr/>
              <w:t>​</w:t>
            </w:r>
          </w:p>
        </w:tc>
      </w:tr>
      <w:tr>
        <w:trPr/>
        <w:tc>
          <w:tcPr>
            <w:tcW w:w="14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987"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 without Cause or for Good Reason</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15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Termination without Cause or for Good Reason</w:t>
            </w:r>
            <w:r>
              <w:rPr>
                <w:rFonts w:ascii="Times New Roman;Times;serif" w:hAnsi="Times New Roman;Times;serif"/>
                <w:sz w:val="16"/>
              </w:rPr>
              <w:br/>
            </w:r>
            <w:r>
              <w:rPr>
                <w:rFonts w:ascii="Times New Roman;Times;serif" w:hAnsi="Times New Roman;Times;serif"/>
                <w:b/>
                <w:sz w:val="16"/>
              </w:rPr>
              <w:t>following a Change in Control</w:t>
            </w:r>
          </w:p>
        </w:tc>
      </w:tr>
      <w:tr>
        <w:trPr/>
        <w:tc>
          <w:tcPr>
            <w:tcW w:w="14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Cash</w:t>
              <w:br/>
              <w:t>Payment</w:t>
              <w:br/>
            </w:r>
            <w:r>
              <w:rPr>
                <w:rFonts w:ascii="Times New Roman;Times;serif" w:hAnsi="Times New Roman;Times;serif"/>
                <w:sz w:val="16"/>
              </w:rPr>
              <w:t> </w:t>
            </w:r>
            <w:r>
              <w:rPr>
                <w:rFonts w:ascii="Times New Roman;Times;serif" w:hAnsi="Times New Roman;Times;serif"/>
                <w:b/>
                <w:sz w:val="16"/>
              </w:rPr>
              <w:t>($)(1)</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932"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Benefits</w:t>
              <w:br/>
            </w:r>
            <w:r>
              <w:rPr>
                <w:rFonts w:ascii="Times New Roman;Times;serif" w:hAnsi="Times New Roman;Times;serif"/>
                <w:sz w:val="16"/>
              </w:rPr>
              <w:t> </w:t>
            </w:r>
            <w:r>
              <w:rPr>
                <w:rFonts w:ascii="Times New Roman;Times;serif" w:hAnsi="Times New Roman;Times;serif"/>
                <w:b/>
                <w:sz w:val="16"/>
              </w:rPr>
              <w:t>($)(2)</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366"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Acceleration of</w:t>
              <w:br/>
              <w:t>Vesting of Shares</w:t>
              <w:br/>
              <w:t>($)(3)</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6"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Cash Payment</w:t>
              <w:br/>
              <w:t>($)(1)</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932"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br/>
              <w:t>($)(2)</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411"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Acceleration of</w:t>
              <w:br/>
              <w:t>Vesting of Shares</w:t>
              <w:br/>
              <w:t>($)(3)</w:t>
            </w:r>
          </w:p>
        </w:tc>
      </w:tr>
      <w:tr>
        <w:trPr/>
        <w:tc>
          <w:tcPr>
            <w:tcW w:w="141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19,537 </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1,469,900 </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642,000 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19,537 </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4,483,048 </w:t>
            </w:r>
          </w:p>
        </w:tc>
      </w:tr>
      <w:tr>
        <w:trPr/>
        <w:tc>
          <w:tcPr>
            <w:tcW w:w="141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Dr. W. Stan Meyer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682,500 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16,248 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1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784,356 </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682,500 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16,248 </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2,392,248 </w:t>
            </w:r>
          </w:p>
        </w:tc>
      </w:tr>
      <w:tr>
        <w:trPr/>
        <w:tc>
          <w:tcPr>
            <w:tcW w:w="141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682,500 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23,634 </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1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784,356 </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682,500 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23,634 </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2,392,248 </w:t>
            </w:r>
          </w:p>
        </w:tc>
      </w:tr>
      <w:tr>
        <w:trPr/>
        <w:tc>
          <w:tcPr>
            <w:tcW w:w="141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Dilek Marsh</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417,388 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23,634 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11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407,826 </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417,388 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23,634 </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1,371,150 </w:t>
            </w:r>
          </w:p>
        </w:tc>
      </w:tr>
      <w:tr>
        <w:trPr/>
        <w:tc>
          <w:tcPr>
            <w:tcW w:w="141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530,082 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16,248 </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11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432,086 </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530,082 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16,248 </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1,617,655 </w:t>
            </w:r>
          </w:p>
        </w:tc>
      </w:tr>
    </w:tbl>
    <w:tbl>
      <w:tblPr>
        <w:tblW w:w="10205" w:type="dxa"/>
        <w:jc w:val="left"/>
        <w:tblInd w:w="0" w:type="dxa"/>
        <w:tblCellMar>
          <w:top w:w="0" w:type="dxa"/>
          <w:left w:w="0" w:type="dxa"/>
          <w:bottom w:w="0" w:type="dxa"/>
          <w:right w:w="0" w:type="dxa"/>
        </w:tblCellMar>
      </w:tblPr>
      <w:tblGrid>
        <w:gridCol w:w="341"/>
        <w:gridCol w:w="9864"/>
      </w:tblGrid>
      <w:tr>
        <w:trPr/>
        <w:tc>
          <w:tcPr>
            <w:tcW w:w="3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a termination date of December 30, 2022, and is based on the executive’s salary and target bonus in effect at such date.</w:t>
            </w:r>
          </w:p>
        </w:tc>
      </w:tr>
    </w:tbl>
    <w:tbl>
      <w:tblPr>
        <w:tblW w:w="8732" w:type="dxa"/>
        <w:jc w:val="left"/>
        <w:tblInd w:w="0" w:type="dxa"/>
        <w:tblCellMar>
          <w:top w:w="0" w:type="dxa"/>
          <w:left w:w="0" w:type="dxa"/>
          <w:bottom w:w="0" w:type="dxa"/>
          <w:right w:w="0" w:type="dxa"/>
        </w:tblCellMar>
      </w:tblPr>
      <w:tblGrid>
        <w:gridCol w:w="346"/>
        <w:gridCol w:w="838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83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cost related to the continuation of the executive’s health benefits for the period specified.</w:t>
            </w:r>
          </w:p>
        </w:tc>
      </w:tr>
    </w:tbl>
    <w:tbl>
      <w:tblPr>
        <w:tblW w:w="10205" w:type="dxa"/>
        <w:jc w:val="left"/>
        <w:tblInd w:w="0" w:type="dxa"/>
        <w:tblCellMar>
          <w:top w:w="0" w:type="dxa"/>
          <w:left w:w="0" w:type="dxa"/>
          <w:bottom w:w="0" w:type="dxa"/>
          <w:right w:w="0" w:type="dxa"/>
        </w:tblCellMar>
      </w:tblPr>
      <w:tblGrid>
        <w:gridCol w:w="327"/>
        <w:gridCol w:w="9878"/>
      </w:tblGrid>
      <w:tr>
        <w:trPr/>
        <w:tc>
          <w:tcPr>
            <w:tcW w:w="3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based on an assumed termination date of December 30, 2022 and the closing market price of our common stock on the Nasdaq Global Market on such date.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224" w:name="PAYVSPERFORMANCE"/>
      <w:bookmarkStart w:id="225" w:name="_f748a103_b147_4c1c_8330_912ddaf5d996"/>
      <w:bookmarkEnd w:id="224"/>
      <w:bookmarkEnd w:id="225"/>
      <w:r>
        <w:rPr>
          <w:rFonts w:ascii="Times New Roman;Times;serif" w:hAnsi="Times New Roman;Times;serif"/>
          <w:b/>
          <w:sz w:val="20"/>
        </w:rPr>
        <w:t>Pay vs. Performance Comparison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discussed in the CD&amp;A above, our Compensation Committee has implemented an executive compensation program designed to align a substantial portion of our NEOs’ realized compensation to the achievement of GCE’s financial, operational, and strategic objectives, and to align our executive pay with changes in the value of our shareholders’ investments. The following table set forth additional compensation information for our NEOs, calculated in accordance with SEC regulations, for fiscal years 2022, 2021 and 2020. </w:t>
      </w:r>
    </w:p>
    <w:p>
      <w:pPr>
        <w:pStyle w:val="TextBody"/>
        <w:spacing w:before="0" w:after="0"/>
        <w:ind w:left="0" w:right="0" w:hanging="0"/>
        <w:rPr/>
      </w:pPr>
      <w:bookmarkStart w:id="226" w:name="Tc_gQtDdU9sGEyfLw3BaM6WZw_9_23"/>
      <w:bookmarkStart w:id="227" w:name="Tc_W3amml8zJ0uqVx6GOLefvw_9_20"/>
      <w:bookmarkStart w:id="228" w:name="Tc_3IYrvA9HYEmK_VwluoFhBA_9_17"/>
      <w:bookmarkStart w:id="229" w:name="Tc_WsWJsjFLfkagExJgFvJOZw_9_14"/>
      <w:bookmarkStart w:id="230" w:name="Tc_2ov0p4H8X0yqEv_Op1zncg_9_11"/>
      <w:bookmarkStart w:id="231" w:name="Tc_iHG9eDFMoUOV9gKAGPyT0w_9_8"/>
      <w:bookmarkStart w:id="232" w:name="Tc_rGVUekf3oUyrbqq61WtxAw_9_5"/>
      <w:bookmarkStart w:id="233" w:name="Tc_nqSf8P5vG0eDecmrXo8jdA_9_2"/>
      <w:bookmarkStart w:id="234" w:name="Tc__HIiMvPKHUajHybbwkLUhQ_9_0"/>
      <w:bookmarkStart w:id="235" w:name="Tc_XnrE9tmhrU-q02HMTvaWKw_8_23"/>
      <w:bookmarkStart w:id="236" w:name="Tc_1-2ZfcwgJ0Opzs8tcM-H7w_8_20"/>
      <w:bookmarkStart w:id="237" w:name="Tc_5PKvPs80VkG5WT9cIga7hw_8_17"/>
      <w:bookmarkStart w:id="238" w:name="Tc_CV2VOCkgQ0yxFSykkolR5w_8_14"/>
      <w:bookmarkStart w:id="239" w:name="Tc_PCguMk9ie0GIicl3Qgd-Mw_8_11"/>
      <w:bookmarkStart w:id="240" w:name="Tc_hRTiKE79NkGwDw4fv_42vg_8_8"/>
      <w:bookmarkStart w:id="241" w:name="Tc_xYQXKY8EEEeWKtviolFQGg_8_5"/>
      <w:bookmarkStart w:id="242" w:name="Tc_jneeKVRDu0y08uSt_V2k4w_8_2"/>
      <w:bookmarkStart w:id="243" w:name="Tc_rV9hOIYkHESM0IjM6l55Ew_8_0"/>
      <w:bookmarkStart w:id="244" w:name="Tc_urvASwxuzUOFtfIMBRhM3A_7_23"/>
      <w:bookmarkStart w:id="245" w:name="Tc_CReR2QXZCkSkRschAq4SLQ_7_20"/>
      <w:bookmarkStart w:id="246" w:name="Tc_LXpNRdfY50y7PkKmfCTuCw_7_17"/>
      <w:bookmarkStart w:id="247" w:name="Tc_ftU_5AofUkaIzuX6ylXJDg_7_14"/>
      <w:bookmarkStart w:id="248" w:name="Tc_-WraDqRjfkGBOxFW0J7e6Q_7_11"/>
      <w:bookmarkStart w:id="249" w:name="Tc_R2lT85DybE6pWeUGAgHVJA_7_8"/>
      <w:bookmarkStart w:id="250" w:name="Tc_nvRoImFt3kSyLs66Dh_6PQ_7_5"/>
      <w:bookmarkStart w:id="251" w:name="Tc_FA02usLYxE6KqjPkbvTlLg_7_2"/>
      <w:bookmarkStart w:id="252" w:name="Tc_BnatevMEF0y0u13HcMyHXw_7_0"/>
      <w:bookmarkStart w:id="253" w:name="Tc_JZHpqJYMa0CYdDrf-C8_dA_6_23"/>
      <w:bookmarkStart w:id="254" w:name="Tc_qIDf4LaBWE6hilGPbLBKzA_6_20"/>
      <w:bookmarkStart w:id="255" w:name="Tc_qUpvYxNJXUCk8CHdm8SMvA_6_17"/>
      <w:bookmarkStart w:id="256" w:name="Tc_CV9xdPfJA0GnWVI8d42BIQ_6_14"/>
      <w:bookmarkStart w:id="257" w:name="Tc_wK-0AhOBnUexNG7yvljnXg_6_11"/>
      <w:bookmarkStart w:id="258" w:name="Tc_3Emmiu6-pk6yxbqPc7wGMQ_6_8"/>
      <w:bookmarkStart w:id="259" w:name="Tc_vhHbscYyB0uj-HHtH4ZqZg_6_5"/>
      <w:bookmarkStart w:id="260" w:name="Tc_V6BiqGRJAUqnq9V6dhfKNA_6_2"/>
      <w:bookmarkStart w:id="261" w:name="Tc_ybpGJMP-OU-q7AAmCzGK-A_6_0"/>
      <w:bookmarkStart w:id="262" w:name="Tc_qS9kdcN7xkqpe9-smo37VQ_5_23"/>
      <w:bookmarkStart w:id="263" w:name="Tc_fDFRG1npJE2st1SKtn_xsw_5_20"/>
      <w:bookmarkStart w:id="264" w:name="Tc_srppZL5b-UWQe4HpUNOUtw_5_17"/>
      <w:bookmarkStart w:id="265" w:name="Tc_3m9hhs41TUaqsh9ojXU3gA_5_14"/>
      <w:bookmarkStart w:id="266" w:name="Tc_w0-2Tbi8wkqxi65TtxpyMQ_5_11"/>
      <w:bookmarkStart w:id="267" w:name="Tc_kajGr_v1qEWUqmFL8JlrmQ_5_8"/>
      <w:bookmarkStart w:id="268" w:name="Tc_nlKC2QHjHEKUuT07NnqpIg_5_5"/>
      <w:bookmarkStart w:id="269" w:name="Tc_BRp7czH8ok2kqD5o4jwSYQ_5_2"/>
      <w:bookmarkStart w:id="270" w:name="Tc_VdxercV4aECyoMhjQxfjtA_4_17"/>
      <w:bookmarkStart w:id="271" w:name="Tc_LSZhzaD3Dkq78x1lNX5deg_4_14"/>
      <w:bookmarkStart w:id="272" w:name="Tc_P9jNAXGnPEKls-M0lCjrGA_4_11"/>
      <w:bookmarkStart w:id="273" w:name="Tc_P-pZaQlfg0KlJkUPbVKFNA_4_8"/>
      <w:bookmarkStart w:id="274" w:name="Tc_o-pjG7yxi0W8Wu9mr7WmJg_4_5"/>
      <w:bookmarkStart w:id="275" w:name="Tc__ZYbyl73UEWE5VKxwnGCUw_4_2"/>
      <w:bookmarkStart w:id="276" w:name="Tc_EFMq1yjbiUyHY0nCWYV7ug_3_17"/>
      <w:bookmarkStart w:id="277" w:name="Tc_Ng0gDY8r30G1kXbhK_rZVQ_3_11"/>
      <w:bookmarkStart w:id="278" w:name="Tc_irP8U1wgpkqNMAHyFRadIw_3_8"/>
      <w:bookmarkStart w:id="279" w:name="Tc_8q9oB43rPk6CvYe7mAH_hQ_3_2"/>
      <w:bookmarkStart w:id="280" w:name="Tc_ud1esY8jFEay5v2PlF2QOA_2_14"/>
      <w:bookmarkStart w:id="281" w:name="Tc_lnCp0JRbtU2gIK5QUi6fcg_2_11"/>
      <w:bookmarkStart w:id="282" w:name="Tc_rXZVWZshFUKvPwXNovA08Q_2_8"/>
      <w:bookmarkStart w:id="283" w:name="Tc_XUuQMPeqJEaAm2HVCgEjYw_1_14"/>
      <w:bookmarkStart w:id="284" w:name="_f62ff3cc_d273_4f60_b864_fe048982ef02"/>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Pr/>
        <w:t>​</w:t>
      </w:r>
    </w:p>
    <w:tbl>
      <w:tblPr>
        <w:tblW w:w="10205" w:type="dxa"/>
        <w:jc w:val="left"/>
        <w:tblInd w:w="0" w:type="dxa"/>
        <w:tblCellMar>
          <w:top w:w="0" w:type="dxa"/>
          <w:left w:w="0" w:type="dxa"/>
          <w:bottom w:w="0" w:type="dxa"/>
          <w:right w:w="0" w:type="dxa"/>
        </w:tblCellMar>
      </w:tblPr>
      <w:tblGrid>
        <w:gridCol w:w="481"/>
        <w:gridCol w:w="109"/>
        <w:gridCol w:w="249"/>
        <w:gridCol w:w="1057"/>
        <w:gridCol w:w="109"/>
        <w:gridCol w:w="218"/>
        <w:gridCol w:w="923"/>
        <w:gridCol w:w="109"/>
        <w:gridCol w:w="262"/>
        <w:gridCol w:w="1114"/>
        <w:gridCol w:w="109"/>
        <w:gridCol w:w="218"/>
        <w:gridCol w:w="923"/>
        <w:gridCol w:w="109"/>
        <w:gridCol w:w="243"/>
        <w:gridCol w:w="748"/>
        <w:gridCol w:w="121"/>
        <w:gridCol w:w="243"/>
        <w:gridCol w:w="748"/>
        <w:gridCol w:w="109"/>
        <w:gridCol w:w="196"/>
        <w:gridCol w:w="691"/>
        <w:gridCol w:w="109"/>
        <w:gridCol w:w="200"/>
        <w:gridCol w:w="807"/>
      </w:tblGrid>
      <w:tr>
        <w:trPr/>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05435" cy="175260"/>
                      <wp:effectExtent l="0" t="0" r="0" b="0"/>
                      <wp:wrapNone/>
                      <wp:docPr id="56" name="Frame39"/>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57" name="Frame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8115" cy="175260"/>
                      <wp:effectExtent l="0" t="0" r="0" b="0"/>
                      <wp:wrapNone/>
                      <wp:docPr id="58" name="Frame41"/>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71195" cy="175260"/>
                      <wp:effectExtent l="0" t="0" r="0" b="0"/>
                      <wp:wrapNone/>
                      <wp:docPr id="59" name="Frame42"/>
                      <a:graphic xmlns:a="http://schemas.openxmlformats.org/drawingml/2006/main">
                        <a:graphicData uri="http://schemas.microsoft.com/office/word/2010/wordprocessingShape">
                          <wps:wsp>
                            <wps:cNvSpPr txBox="1"/>
                            <wps:spPr>
                              <a:xfrm>
                                <a:off x="0" y="0"/>
                                <a:ext cx="671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0" name="Frame4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8430" cy="175260"/>
                      <wp:effectExtent l="0" t="0" r="0" b="0"/>
                      <wp:wrapNone/>
                      <wp:docPr id="61" name="Frame44"/>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86105" cy="175260"/>
                      <wp:effectExtent l="0" t="0" r="0" b="0"/>
                      <wp:wrapNone/>
                      <wp:docPr id="62" name="Frame45"/>
                      <a:graphic xmlns:a="http://schemas.openxmlformats.org/drawingml/2006/main">
                        <a:graphicData uri="http://schemas.microsoft.com/office/word/2010/wordprocessingShape">
                          <wps:wsp>
                            <wps:cNvSpPr txBox="1"/>
                            <wps:spPr>
                              <a:xfrm>
                                <a:off x="0" y="0"/>
                                <a:ext cx="586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3" name="Frame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6370" cy="175260"/>
                      <wp:effectExtent l="0" t="0" r="0" b="0"/>
                      <wp:wrapNone/>
                      <wp:docPr id="64" name="Frame47"/>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07390" cy="175260"/>
                      <wp:effectExtent l="0" t="0" r="0" b="0"/>
                      <wp:wrapNone/>
                      <wp:docPr id="65" name="Frame48"/>
                      <a:graphic xmlns:a="http://schemas.openxmlformats.org/drawingml/2006/main">
                        <a:graphicData uri="http://schemas.microsoft.com/office/word/2010/wordprocessingShape">
                          <wps:wsp>
                            <wps:cNvSpPr txBox="1"/>
                            <wps:spPr>
                              <a:xfrm>
                                <a:off x="0" y="0"/>
                                <a:ext cx="707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66" name="Frame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8430" cy="175260"/>
                      <wp:effectExtent l="0" t="0" r="0" b="0"/>
                      <wp:wrapNone/>
                      <wp:docPr id="67" name="Frame50"/>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86105" cy="175260"/>
                      <wp:effectExtent l="0" t="0" r="0" b="0"/>
                      <wp:wrapNone/>
                      <wp:docPr id="68" name="Frame51"/>
                      <a:graphic xmlns:a="http://schemas.openxmlformats.org/drawingml/2006/main">
                        <a:graphicData uri="http://schemas.microsoft.com/office/word/2010/wordprocessingShape">
                          <wps:wsp>
                            <wps:cNvSpPr txBox="1"/>
                            <wps:spPr>
                              <a:xfrm>
                                <a:off x="0" y="0"/>
                                <a:ext cx="586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69" name="Frame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4305" cy="175260"/>
                      <wp:effectExtent l="0" t="0" r="0" b="0"/>
                      <wp:wrapNone/>
                      <wp:docPr id="70" name="Frame53"/>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74980" cy="175260"/>
                      <wp:effectExtent l="0" t="0" r="0" b="0"/>
                      <wp:wrapNone/>
                      <wp:docPr id="71" name="Frame54"/>
                      <a:graphic xmlns:a="http://schemas.openxmlformats.org/drawingml/2006/main">
                        <a:graphicData uri="http://schemas.microsoft.com/office/word/2010/wordprocessingShape">
                          <wps:wsp>
                            <wps:cNvSpPr txBox="1"/>
                            <wps:spPr>
                              <a:xfrm>
                                <a:off x="0" y="0"/>
                                <a:ext cx="474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6835" cy="175260"/>
                      <wp:effectExtent l="0" t="0" r="0" b="0"/>
                      <wp:wrapNone/>
                      <wp:docPr id="72" name="Frame55"/>
                      <a:graphic xmlns:a="http://schemas.openxmlformats.org/drawingml/2006/main">
                        <a:graphicData uri="http://schemas.microsoft.com/office/word/2010/wordprocessingShape">
                          <wps:wsp>
                            <wps:cNvSpPr txBox="1"/>
                            <wps:spPr>
                              <a:xfrm>
                                <a:off x="0" y="0"/>
                                <a:ext cx="76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4305" cy="175260"/>
                      <wp:effectExtent l="0" t="0" r="0" b="0"/>
                      <wp:wrapNone/>
                      <wp:docPr id="73" name="Frame56"/>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74980" cy="175260"/>
                      <wp:effectExtent l="0" t="0" r="0" b="0"/>
                      <wp:wrapNone/>
                      <wp:docPr id="74" name="Frame57"/>
                      <a:graphic xmlns:a="http://schemas.openxmlformats.org/drawingml/2006/main">
                        <a:graphicData uri="http://schemas.microsoft.com/office/word/2010/wordprocessingShape">
                          <wps:wsp>
                            <wps:cNvSpPr txBox="1"/>
                            <wps:spPr>
                              <a:xfrm>
                                <a:off x="0" y="0"/>
                                <a:ext cx="474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75" name="Frame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76" name="Frame5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38785" cy="175260"/>
                      <wp:effectExtent l="0" t="0" r="0" b="0"/>
                      <wp:wrapNone/>
                      <wp:docPr id="77" name="Frame6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78" name="Frame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7000" cy="175260"/>
                      <wp:effectExtent l="0" t="0" r="0" b="0"/>
                      <wp:wrapNone/>
                      <wp:docPr id="79" name="Frame62"/>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12445" cy="175260"/>
                      <wp:effectExtent l="0" t="0" r="0" b="0"/>
                      <wp:wrapNone/>
                      <wp:docPr id="80" name="Frame63"/>
                      <a:graphic xmlns:a="http://schemas.openxmlformats.org/drawingml/2006/main">
                        <a:graphicData uri="http://schemas.microsoft.com/office/word/2010/wordprocessingShape">
                          <wps:wsp>
                            <wps:cNvSpPr txBox="1"/>
                            <wps:spPr>
                              <a:xfrm>
                                <a:off x="0" y="0"/>
                                <a:ext cx="512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1057"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8" w:type="dxa"/>
            <w:tcBorders/>
            <w:shd w:fill="auto" w:val="clear"/>
            <w:vAlign w:val="center"/>
          </w:tcPr>
          <w:p>
            <w:pPr>
              <w:pStyle w:val="TableContents"/>
              <w:spacing w:before="0" w:after="0"/>
              <w:ind w:left="0" w:right="0" w:hanging="0"/>
              <w:rPr/>
            </w:pPr>
            <w:r>
              <w:rPr/>
              <w:t>​</w:t>
            </w:r>
          </w:p>
        </w:tc>
        <w:tc>
          <w:tcPr>
            <w:tcW w:w="92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62" w:type="dxa"/>
            <w:tcBorders/>
            <w:shd w:fill="auto" w:val="clear"/>
            <w:vAlign w:val="center"/>
          </w:tcPr>
          <w:p>
            <w:pPr>
              <w:pStyle w:val="TableContents"/>
              <w:spacing w:before="0" w:after="0"/>
              <w:ind w:left="0" w:right="0" w:hanging="0"/>
              <w:rPr/>
            </w:pPr>
            <w:r>
              <w:rPr/>
              <w:t>​</w:t>
            </w:r>
          </w:p>
        </w:tc>
        <w:tc>
          <w:tcPr>
            <w:tcW w:w="111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8" w:type="dxa"/>
            <w:tcBorders/>
            <w:shd w:fill="auto" w:val="clear"/>
            <w:vAlign w:val="center"/>
          </w:tcPr>
          <w:p>
            <w:pPr>
              <w:pStyle w:val="TableContents"/>
              <w:spacing w:before="0" w:after="0"/>
              <w:ind w:left="0" w:right="0" w:hanging="0"/>
              <w:rPr/>
            </w:pPr>
            <w:r>
              <w:rPr/>
              <w:t>​</w:t>
            </w:r>
          </w:p>
        </w:tc>
        <w:tc>
          <w:tcPr>
            <w:tcW w:w="92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0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Initial Fixed $100</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00" w:type="dxa"/>
            <w:tcBorders/>
            <w:shd w:fill="auto" w:val="clear"/>
            <w:vAlign w:val="center"/>
          </w:tcPr>
          <w:p>
            <w:pPr>
              <w:pStyle w:val="TableContents"/>
              <w:spacing w:before="0" w:after="0"/>
              <w:ind w:left="0" w:right="0" w:hanging="0"/>
              <w:rPr/>
            </w:pPr>
            <w:r>
              <w:rPr/>
              <w:t>​</w:t>
            </w:r>
          </w:p>
        </w:tc>
        <w:tc>
          <w:tcPr>
            <w:tcW w:w="807" w:type="dxa"/>
            <w:tcBorders/>
            <w:shd w:fill="auto" w:val="clear"/>
            <w:vAlign w:val="center"/>
          </w:tcPr>
          <w:p>
            <w:pPr>
              <w:pStyle w:val="TableContents"/>
              <w:spacing w:before="0" w:after="0"/>
              <w:ind w:left="0" w:right="0" w:hanging="0"/>
              <w:jc w:val="center"/>
              <w:rPr/>
            </w:pPr>
            <w:r>
              <w:rPr/>
              <w:t>​</w:t>
            </w:r>
          </w:p>
        </w:tc>
      </w:tr>
      <w:tr>
        <w:trPr/>
        <w:tc>
          <w:tcPr>
            <w:tcW w:w="4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1057"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8" w:type="dxa"/>
            <w:tcBorders/>
            <w:shd w:fill="auto" w:val="clear"/>
            <w:vAlign w:val="center"/>
          </w:tcPr>
          <w:p>
            <w:pPr>
              <w:pStyle w:val="TableContents"/>
              <w:spacing w:before="0" w:after="0"/>
              <w:ind w:left="0" w:right="0" w:hanging="0"/>
              <w:rPr/>
            </w:pPr>
            <w:r>
              <w:rPr/>
              <w:t>​</w:t>
            </w:r>
          </w:p>
        </w:tc>
        <w:tc>
          <w:tcPr>
            <w:tcW w:w="92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3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shd w:fill="auto" w:val="clear"/>
            <w:vAlign w:val="center"/>
          </w:tcPr>
          <w:p>
            <w:pPr>
              <w:pStyle w:val="TableContents"/>
              <w:spacing w:before="0" w:after="0"/>
              <w:ind w:left="0" w:right="0" w:hanging="0"/>
              <w:jc w:val="center"/>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shd w:fill="auto" w:val="clear"/>
            <w:vAlign w:val="center"/>
          </w:tcPr>
          <w:p>
            <w:pPr>
              <w:pStyle w:val="TableContents"/>
              <w:spacing w:before="0" w:after="0"/>
              <w:ind w:left="0" w:right="0" w:hanging="0"/>
              <w:jc w:val="center"/>
              <w:rPr/>
            </w:pPr>
            <w:r>
              <w:rPr/>
              <w:t>​</w:t>
            </w:r>
          </w:p>
        </w:tc>
        <w:tc>
          <w:tcPr>
            <w:tcW w:w="210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 Based on:</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00" w:type="dxa"/>
            <w:tcBorders/>
            <w:shd w:fill="auto" w:val="clear"/>
            <w:vAlign w:val="center"/>
          </w:tcPr>
          <w:p>
            <w:pPr>
              <w:pStyle w:val="TableContents"/>
              <w:spacing w:before="0" w:after="0"/>
              <w:ind w:left="0" w:right="0" w:hanging="0"/>
              <w:rPr/>
            </w:pPr>
            <w:r>
              <w:rPr/>
              <w:t>​</w:t>
            </w:r>
          </w:p>
        </w:tc>
        <w:tc>
          <w:tcPr>
            <w:tcW w:w="807" w:type="dxa"/>
            <w:tcBorders/>
            <w:shd w:fill="auto" w:val="clear"/>
            <w:vAlign w:val="center"/>
          </w:tcPr>
          <w:p>
            <w:pPr>
              <w:pStyle w:val="TableContents"/>
              <w:spacing w:before="0" w:after="0"/>
              <w:ind w:left="0" w:right="0" w:hanging="0"/>
              <w:jc w:val="center"/>
              <w:rPr/>
            </w:pPr>
            <w:r>
              <w:rPr/>
              <w:t>​</w:t>
            </w:r>
          </w:p>
        </w:tc>
      </w:tr>
      <w:tr>
        <w:trPr/>
        <w:tc>
          <w:tcPr>
            <w:tcW w:w="4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109" w:type="dxa"/>
            <w:tcBorders/>
            <w:shd w:fill="auto" w:val="clear"/>
            <w:vAlign w:val="center"/>
          </w:tcPr>
          <w:p>
            <w:pPr>
              <w:pStyle w:val="TableContents"/>
              <w:spacing w:before="0" w:after="0"/>
              <w:ind w:left="0" w:right="0" w:hanging="0"/>
              <w:jc w:val="center"/>
              <w:rPr/>
            </w:pPr>
            <w:r>
              <w:rPr/>
              <w:t>​</w:t>
            </w:r>
          </w:p>
        </w:tc>
        <w:tc>
          <w:tcPr>
            <w:tcW w:w="218" w:type="dxa"/>
            <w:tcBorders/>
            <w:shd w:fill="auto" w:val="clear"/>
            <w:vAlign w:val="center"/>
          </w:tcPr>
          <w:p>
            <w:pPr>
              <w:pStyle w:val="TableContents"/>
              <w:spacing w:before="0" w:after="0"/>
              <w:ind w:left="0" w:right="0" w:hanging="0"/>
              <w:rPr/>
            </w:pPr>
            <w:r>
              <w:rPr/>
              <w:t>​</w:t>
            </w:r>
          </w:p>
        </w:tc>
        <w:tc>
          <w:tcPr>
            <w:tcW w:w="92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3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Summary </w:t>
            </w:r>
          </w:p>
        </w:tc>
        <w:tc>
          <w:tcPr>
            <w:tcW w:w="109" w:type="dxa"/>
            <w:tcBorders/>
            <w:shd w:fill="auto" w:val="clear"/>
            <w:vAlign w:val="center"/>
          </w:tcPr>
          <w:p>
            <w:pPr>
              <w:pStyle w:val="TableContents"/>
              <w:spacing w:before="0" w:after="0"/>
              <w:ind w:left="0" w:right="0" w:hanging="0"/>
              <w:jc w:val="center"/>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shd w:fill="auto" w:val="clear"/>
            <w:vAlign w:val="center"/>
          </w:tcPr>
          <w:p>
            <w:pPr>
              <w:pStyle w:val="TableContents"/>
              <w:spacing w:before="0" w:after="0"/>
              <w:ind w:left="0" w:right="0" w:hanging="0"/>
              <w:jc w:val="center"/>
              <w:rPr/>
            </w:pPr>
            <w:r>
              <w:rPr/>
              <w:t>​</w:t>
            </w:r>
          </w:p>
        </w:tc>
        <w:tc>
          <w:tcPr>
            <w:tcW w:w="243" w:type="dxa"/>
            <w:tcBorders/>
            <w:shd w:fill="auto" w:val="clear"/>
            <w:vAlign w:val="center"/>
          </w:tcPr>
          <w:p>
            <w:pPr>
              <w:pStyle w:val="TableContents"/>
              <w:spacing w:before="0" w:after="0"/>
              <w:ind w:left="0" w:right="0" w:hanging="0"/>
              <w:rPr/>
            </w:pPr>
            <w:r>
              <w:rPr/>
              <w:t>​</w:t>
            </w:r>
          </w:p>
        </w:tc>
        <w:tc>
          <w:tcPr>
            <w:tcW w:w="748" w:type="dxa"/>
            <w:tcBorders/>
            <w:shd w:fill="auto" w:val="clear"/>
            <w:vAlign w:val="center"/>
          </w:tcPr>
          <w:p>
            <w:pPr>
              <w:pStyle w:val="TableContents"/>
              <w:spacing w:before="0" w:after="0"/>
              <w:ind w:left="0" w:right="0" w:hanging="0"/>
              <w:jc w:val="center"/>
              <w:rPr/>
            </w:pPr>
            <w:r>
              <w:rPr/>
              <w:t>​</w:t>
            </w:r>
          </w:p>
        </w:tc>
        <w:tc>
          <w:tcPr>
            <w:tcW w:w="121" w:type="dxa"/>
            <w:tcBorders/>
            <w:shd w:fill="auto" w:val="clear"/>
            <w:vAlign w:val="center"/>
          </w:tcPr>
          <w:p>
            <w:pPr>
              <w:pStyle w:val="TableContents"/>
              <w:spacing w:before="0" w:after="0"/>
              <w:ind w:left="0" w:right="0" w:hanging="0"/>
              <w:jc w:val="center"/>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Peer Group</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00" w:type="dxa"/>
            <w:tcBorders/>
            <w:shd w:fill="auto" w:val="clear"/>
            <w:vAlign w:val="center"/>
          </w:tcPr>
          <w:p>
            <w:pPr>
              <w:pStyle w:val="TableContents"/>
              <w:spacing w:before="0" w:after="0"/>
              <w:ind w:left="0" w:right="0" w:hanging="0"/>
              <w:rPr/>
            </w:pPr>
            <w:r>
              <w:rPr/>
              <w:t>​</w:t>
            </w:r>
          </w:p>
        </w:tc>
        <w:tc>
          <w:tcPr>
            <w:tcW w:w="807" w:type="dxa"/>
            <w:tcBorders/>
            <w:shd w:fill="auto" w:val="clear"/>
            <w:vAlign w:val="center"/>
          </w:tcPr>
          <w:p>
            <w:pPr>
              <w:pStyle w:val="TableContents"/>
              <w:spacing w:before="0" w:after="0"/>
              <w:ind w:left="0" w:right="0" w:hanging="0"/>
              <w:jc w:val="center"/>
              <w:rPr/>
            </w:pPr>
            <w:r>
              <w:rPr/>
              <w:t>​</w:t>
            </w:r>
          </w:p>
        </w:tc>
      </w:tr>
      <w:tr>
        <w:trPr/>
        <w:tc>
          <w:tcPr>
            <w:tcW w:w="4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shd w:fill="auto" w:val="clear"/>
            <w:vAlign w:val="center"/>
          </w:tcPr>
          <w:p>
            <w:pPr>
              <w:pStyle w:val="TableContents"/>
              <w:spacing w:before="0" w:after="0"/>
              <w:ind w:left="0" w:right="0" w:hanging="0"/>
              <w:jc w:val="center"/>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shd w:fill="auto" w:val="clear"/>
            <w:vAlign w:val="center"/>
          </w:tcPr>
          <w:p>
            <w:pPr>
              <w:pStyle w:val="TableContents"/>
              <w:spacing w:before="0" w:after="0"/>
              <w:ind w:left="0" w:right="0" w:hanging="0"/>
              <w:jc w:val="center"/>
              <w:rPr/>
            </w:pPr>
            <w:r>
              <w:rPr/>
              <w:t>​</w:t>
            </w:r>
          </w:p>
        </w:tc>
        <w:tc>
          <w:tcPr>
            <w:tcW w:w="13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shd w:fill="auto" w:val="clear"/>
            <w:vAlign w:val="center"/>
          </w:tcPr>
          <w:p>
            <w:pPr>
              <w:pStyle w:val="TableContents"/>
              <w:spacing w:before="0" w:after="0"/>
              <w:ind w:left="0" w:right="0" w:hanging="0"/>
              <w:jc w:val="center"/>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 Paid</w:t>
            </w:r>
          </w:p>
        </w:tc>
        <w:tc>
          <w:tcPr>
            <w:tcW w:w="109" w:type="dxa"/>
            <w:tcBorders/>
            <w:shd w:fill="auto" w:val="clear"/>
            <w:vAlign w:val="center"/>
          </w:tcPr>
          <w:p>
            <w:pPr>
              <w:pStyle w:val="TableContents"/>
              <w:spacing w:before="0" w:after="0"/>
              <w:ind w:left="0" w:right="0" w:hanging="0"/>
              <w:jc w:val="center"/>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121" w:type="dxa"/>
            <w:tcBorders/>
            <w:shd w:fill="auto" w:val="clear"/>
            <w:vAlign w:val="center"/>
          </w:tcPr>
          <w:p>
            <w:pPr>
              <w:pStyle w:val="TableContents"/>
              <w:spacing w:before="0" w:after="0"/>
              <w:ind w:left="0" w:right="0" w:hanging="0"/>
              <w:jc w:val="center"/>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00" w:type="dxa"/>
            <w:tcBorders/>
            <w:shd w:fill="auto" w:val="clear"/>
            <w:vAlign w:val="center"/>
          </w:tcPr>
          <w:p>
            <w:pPr>
              <w:pStyle w:val="TableContents"/>
              <w:spacing w:before="0" w:after="0"/>
              <w:ind w:left="0" w:right="0" w:hanging="0"/>
              <w:rPr/>
            </w:pPr>
            <w:r>
              <w:rPr/>
              <w:t>​</w:t>
            </w:r>
          </w:p>
        </w:tc>
        <w:tc>
          <w:tcPr>
            <w:tcW w:w="807" w:type="dxa"/>
            <w:tcBorders/>
            <w:shd w:fill="auto" w:val="clear"/>
            <w:vAlign w:val="center"/>
          </w:tcPr>
          <w:p>
            <w:pPr>
              <w:pStyle w:val="TableContents"/>
              <w:spacing w:before="0" w:after="0"/>
              <w:ind w:left="0" w:right="0" w:hanging="0"/>
              <w:jc w:val="center"/>
              <w:rPr/>
            </w:pPr>
            <w:r>
              <w:rPr/>
              <w:t>​</w:t>
            </w:r>
          </w:p>
        </w:tc>
      </w:tr>
      <w:tr>
        <w:trPr/>
        <w:tc>
          <w:tcPr>
            <w:tcW w:w="4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Table</w:t>
            </w:r>
          </w:p>
        </w:tc>
        <w:tc>
          <w:tcPr>
            <w:tcW w:w="109" w:type="dxa"/>
            <w:tcBorders/>
            <w:shd w:fill="auto" w:val="clear"/>
            <w:vAlign w:val="center"/>
          </w:tcPr>
          <w:p>
            <w:pPr>
              <w:pStyle w:val="TableContents"/>
              <w:spacing w:before="0" w:after="0"/>
              <w:ind w:left="0" w:right="0" w:hanging="0"/>
              <w:jc w:val="center"/>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 Paid</w:t>
            </w:r>
          </w:p>
        </w:tc>
        <w:tc>
          <w:tcPr>
            <w:tcW w:w="109" w:type="dxa"/>
            <w:tcBorders/>
            <w:shd w:fill="auto" w:val="clear"/>
            <w:vAlign w:val="center"/>
          </w:tcPr>
          <w:p>
            <w:pPr>
              <w:pStyle w:val="TableContents"/>
              <w:spacing w:before="0" w:after="0"/>
              <w:ind w:left="0" w:right="0" w:hanging="0"/>
              <w:jc w:val="center"/>
              <w:rPr/>
            </w:pPr>
            <w:r>
              <w:rPr/>
              <w:t>​</w:t>
            </w:r>
          </w:p>
        </w:tc>
        <w:tc>
          <w:tcPr>
            <w:tcW w:w="13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Total for</w:t>
            </w:r>
          </w:p>
        </w:tc>
        <w:tc>
          <w:tcPr>
            <w:tcW w:w="109" w:type="dxa"/>
            <w:tcBorders/>
            <w:shd w:fill="auto" w:val="clear"/>
            <w:vAlign w:val="center"/>
          </w:tcPr>
          <w:p>
            <w:pPr>
              <w:pStyle w:val="TableContents"/>
              <w:spacing w:before="0" w:after="0"/>
              <w:ind w:left="0" w:right="0" w:hanging="0"/>
              <w:jc w:val="center"/>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 Non-CEO</w:t>
            </w:r>
          </w:p>
        </w:tc>
        <w:tc>
          <w:tcPr>
            <w:tcW w:w="109" w:type="dxa"/>
            <w:tcBorders/>
            <w:shd w:fill="auto" w:val="clear"/>
            <w:vAlign w:val="center"/>
          </w:tcPr>
          <w:p>
            <w:pPr>
              <w:pStyle w:val="TableContents"/>
              <w:spacing w:before="0" w:after="0"/>
              <w:ind w:left="0" w:right="0" w:hanging="0"/>
              <w:jc w:val="center"/>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w:t>
            </w:r>
          </w:p>
        </w:tc>
        <w:tc>
          <w:tcPr>
            <w:tcW w:w="121" w:type="dxa"/>
            <w:tcBorders/>
            <w:shd w:fill="auto" w:val="clear"/>
            <w:vAlign w:val="center"/>
          </w:tcPr>
          <w:p>
            <w:pPr>
              <w:pStyle w:val="TableContents"/>
              <w:spacing w:before="0" w:after="0"/>
              <w:ind w:left="0" w:right="0" w:hanging="0"/>
              <w:jc w:val="center"/>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Adjusted</w:t>
            </w:r>
          </w:p>
        </w:tc>
      </w:tr>
      <w:tr>
        <w:trPr/>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shd w:fill="auto" w:val="clear"/>
            <w:vAlign w:val="center"/>
          </w:tcPr>
          <w:p>
            <w:pPr>
              <w:pStyle w:val="TableContents"/>
              <w:spacing w:before="0" w:after="0"/>
              <w:ind w:left="0" w:right="0" w:hanging="0"/>
              <w:jc w:val="center"/>
              <w:rPr/>
            </w:pPr>
            <w:r>
              <w:rPr/>
              <w:t>​</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for CEO (1)</w:t>
            </w:r>
          </w:p>
        </w:tc>
        <w:tc>
          <w:tcPr>
            <w:tcW w:w="109" w:type="dxa"/>
            <w:tcBorders/>
            <w:shd w:fill="auto" w:val="clear"/>
            <w:vAlign w:val="center"/>
          </w:tcPr>
          <w:p>
            <w:pPr>
              <w:pStyle w:val="TableContents"/>
              <w:spacing w:before="0" w:after="0"/>
              <w:ind w:left="0" w:right="0" w:hanging="0"/>
              <w:jc w:val="center"/>
              <w:rPr/>
            </w:pPr>
            <w:r>
              <w:rPr/>
              <w:t>​</w:t>
            </w:r>
          </w:p>
        </w:tc>
        <w:tc>
          <w:tcPr>
            <w:tcW w:w="11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 CEO (2)</w:t>
            </w:r>
          </w:p>
        </w:tc>
        <w:tc>
          <w:tcPr>
            <w:tcW w:w="109" w:type="dxa"/>
            <w:tcBorders/>
            <w:shd w:fill="auto" w:val="clear"/>
            <w:vAlign w:val="center"/>
          </w:tcPr>
          <w:p>
            <w:pPr>
              <w:pStyle w:val="TableContents"/>
              <w:spacing w:before="0" w:after="0"/>
              <w:ind w:left="0" w:right="0" w:hanging="0"/>
              <w:jc w:val="center"/>
              <w:rPr/>
            </w:pPr>
            <w:r>
              <w:rPr/>
              <w:t>​</w:t>
            </w:r>
          </w:p>
        </w:tc>
        <w:tc>
          <w:tcPr>
            <w:tcW w:w="13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Non-CEO NEOs (3)</w:t>
            </w:r>
          </w:p>
        </w:tc>
        <w:tc>
          <w:tcPr>
            <w:tcW w:w="109" w:type="dxa"/>
            <w:tcBorders/>
            <w:shd w:fill="auto" w:val="clear"/>
            <w:vAlign w:val="center"/>
          </w:tcPr>
          <w:p>
            <w:pPr>
              <w:pStyle w:val="TableContents"/>
              <w:spacing w:before="0" w:after="0"/>
              <w:ind w:left="0" w:right="0" w:hanging="0"/>
              <w:jc w:val="center"/>
              <w:rPr/>
            </w:pPr>
            <w:r>
              <w:rPr/>
              <w:t>​</w:t>
            </w:r>
          </w:p>
        </w:tc>
        <w:tc>
          <w:tcPr>
            <w:tcW w:w="11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NEOs (2) (3)</w:t>
            </w:r>
          </w:p>
        </w:tc>
        <w:tc>
          <w:tcPr>
            <w:tcW w:w="109" w:type="dxa"/>
            <w:tcBorders/>
            <w:shd w:fill="auto" w:val="clear"/>
            <w:vAlign w:val="center"/>
          </w:tcPr>
          <w:p>
            <w:pPr>
              <w:pStyle w:val="TableContents"/>
              <w:spacing w:before="0" w:after="0"/>
              <w:ind w:left="0" w:right="0" w:hanging="0"/>
              <w:jc w:val="center"/>
              <w:rPr/>
            </w:pPr>
            <w:r>
              <w:rPr/>
              <w:t>​</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w:t>
            </w:r>
          </w:p>
        </w:tc>
        <w:tc>
          <w:tcPr>
            <w:tcW w:w="121" w:type="dxa"/>
            <w:tcBorders/>
            <w:shd w:fill="auto" w:val="clear"/>
            <w:vAlign w:val="center"/>
          </w:tcPr>
          <w:p>
            <w:pPr>
              <w:pStyle w:val="TableContents"/>
              <w:spacing w:before="0" w:after="0"/>
              <w:ind w:left="0" w:right="0" w:hanging="0"/>
              <w:jc w:val="center"/>
              <w:rPr/>
            </w:pPr>
            <w:r>
              <w:rPr/>
              <w:t>​</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 (4)</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(5)</w:t>
            </w:r>
          </w:p>
        </w:tc>
        <w:tc>
          <w:tcPr>
            <w:tcW w:w="109" w:type="dxa"/>
            <w:tcBorders/>
            <w:shd w:fill="auto" w:val="clear"/>
            <w:vAlign w:val="center"/>
          </w:tcPr>
          <w:p>
            <w:pPr>
              <w:pStyle w:val="TableContents"/>
              <w:spacing w:before="0" w:after="0"/>
              <w:ind w:left="0" w:right="0" w:hanging="0"/>
              <w:jc w:val="center"/>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EBITDA (6)</w:t>
            </w:r>
          </w:p>
        </w:tc>
      </w:tr>
      <w:tr>
        <w:trPr/>
        <w:tc>
          <w:tcPr>
            <w:tcW w:w="48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09"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5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1,997,113</w:t>
            </w:r>
          </w:p>
        </w:tc>
        <w:tc>
          <w:tcPr>
            <w:tcW w:w="109" w:type="dxa"/>
            <w:tcBorders/>
            <w:shd w:fill="CCEEFF" w:val="clear"/>
            <w:vAlign w:val="center"/>
          </w:tcPr>
          <w:p>
            <w:pPr>
              <w:pStyle w:val="TableContents"/>
              <w:spacing w:before="0" w:after="0"/>
              <w:ind w:left="0" w:right="0" w:hanging="0"/>
              <w:jc w:val="center"/>
              <w:rPr/>
            </w:pPr>
            <w:r>
              <w:rPr/>
              <w:t>​</w:t>
            </w:r>
          </w:p>
        </w:tc>
        <w:tc>
          <w:tcPr>
            <w:tcW w:w="21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2,919,364</w:t>
            </w:r>
          </w:p>
        </w:tc>
        <w:tc>
          <w:tcPr>
            <w:tcW w:w="109" w:type="dxa"/>
            <w:tcBorders/>
            <w:shd w:fill="CCEEFF" w:val="clear"/>
            <w:vAlign w:val="center"/>
          </w:tcPr>
          <w:p>
            <w:pPr>
              <w:pStyle w:val="TableContents"/>
              <w:spacing w:before="0" w:after="0"/>
              <w:ind w:left="0" w:right="0" w:hanging="0"/>
              <w:jc w:val="center"/>
              <w:rPr/>
            </w:pPr>
            <w:r>
              <w:rPr/>
              <w:t>​</w:t>
            </w:r>
          </w:p>
        </w:tc>
        <w:tc>
          <w:tcPr>
            <w:tcW w:w="26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1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1,205,110</w:t>
            </w:r>
          </w:p>
        </w:tc>
        <w:tc>
          <w:tcPr>
            <w:tcW w:w="109" w:type="dxa"/>
            <w:tcBorders/>
            <w:shd w:fill="CCEEFF" w:val="clear"/>
            <w:vAlign w:val="center"/>
          </w:tcPr>
          <w:p>
            <w:pPr>
              <w:pStyle w:val="TableContents"/>
              <w:spacing w:before="0" w:after="0"/>
              <w:ind w:left="0" w:right="0" w:hanging="0"/>
              <w:jc w:val="center"/>
              <w:rPr/>
            </w:pPr>
            <w:r>
              <w:rPr/>
              <w:t>​</w:t>
            </w:r>
          </w:p>
        </w:tc>
        <w:tc>
          <w:tcPr>
            <w:tcW w:w="21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1,604,033</w:t>
            </w:r>
          </w:p>
        </w:tc>
        <w:tc>
          <w:tcPr>
            <w:tcW w:w="109" w:type="dxa"/>
            <w:tcBorders/>
            <w:shd w:fill="CCEEFF" w:val="clear"/>
            <w:vAlign w:val="center"/>
          </w:tcPr>
          <w:p>
            <w:pPr>
              <w:pStyle w:val="TableContents"/>
              <w:spacing w:before="0" w:after="0"/>
              <w:ind w:left="0" w:right="0" w:hanging="0"/>
              <w:jc w:val="center"/>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110.30</w:t>
            </w:r>
          </w:p>
        </w:tc>
        <w:tc>
          <w:tcPr>
            <w:tcW w:w="121" w:type="dxa"/>
            <w:tcBorders/>
            <w:shd w:fill="CCEEFF" w:val="clear"/>
            <w:vAlign w:val="center"/>
          </w:tcPr>
          <w:p>
            <w:pPr>
              <w:pStyle w:val="TableContents"/>
              <w:spacing w:before="0" w:after="0"/>
              <w:ind w:left="0" w:right="0" w:hanging="0"/>
              <w:jc w:val="center"/>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92.68</w:t>
            </w:r>
          </w:p>
        </w:tc>
        <w:tc>
          <w:tcPr>
            <w:tcW w:w="109" w:type="dxa"/>
            <w:tcBorders/>
            <w:shd w:fill="CCEEFF" w:val="clear"/>
            <w:vAlign w:val="center"/>
          </w:tcPr>
          <w:p>
            <w:pPr>
              <w:pStyle w:val="TableContents"/>
              <w:spacing w:before="0" w:after="0"/>
              <w:ind w:left="0" w:right="0" w:hanging="0"/>
              <w:jc w:val="center"/>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184,675</w:t>
            </w:r>
          </w:p>
        </w:tc>
        <w:tc>
          <w:tcPr>
            <w:tcW w:w="109" w:type="dxa"/>
            <w:tcBorders/>
            <w:shd w:fill="CCEEFF" w:val="clear"/>
            <w:vAlign w:val="center"/>
          </w:tcPr>
          <w:p>
            <w:pPr>
              <w:pStyle w:val="TableContents"/>
              <w:spacing w:before="0" w:after="0"/>
              <w:ind w:left="0" w:right="0" w:hanging="0"/>
              <w:jc w:val="center"/>
              <w:rPr/>
            </w:pPr>
            <w:r>
              <w:rPr/>
              <w:t>​</w:t>
            </w:r>
          </w:p>
        </w:tc>
        <w:tc>
          <w:tcPr>
            <w:tcW w:w="20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291,336</w:t>
            </w:r>
          </w:p>
        </w:tc>
      </w:tr>
      <w:tr>
        <w:trPr/>
        <w:tc>
          <w:tcPr>
            <w:tcW w:w="4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09"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5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1,843,058</w:t>
            </w:r>
          </w:p>
        </w:tc>
        <w:tc>
          <w:tcPr>
            <w:tcW w:w="109"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1,864,868</w:t>
            </w:r>
          </w:p>
        </w:tc>
        <w:tc>
          <w:tcPr>
            <w:tcW w:w="109"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1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1,099,912</w:t>
            </w:r>
          </w:p>
        </w:tc>
        <w:tc>
          <w:tcPr>
            <w:tcW w:w="109"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1,100,530</w:t>
            </w:r>
          </w:p>
        </w:tc>
        <w:tc>
          <w:tcPr>
            <w:tcW w:w="109"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89.48</w:t>
            </w:r>
          </w:p>
        </w:tc>
        <w:tc>
          <w:tcPr>
            <w:tcW w:w="121" w:type="dxa"/>
            <w:tcBorders/>
            <w:shd w:fill="auto" w:val="clear"/>
            <w:vAlign w:val="center"/>
          </w:tcPr>
          <w:p>
            <w:pPr>
              <w:pStyle w:val="TableContents"/>
              <w:spacing w:before="0" w:after="0"/>
              <w:ind w:left="0" w:right="0" w:hanging="0"/>
              <w:rPr/>
            </w:pPr>
            <w:r>
              <w:rPr/>
              <w:t>​</w:t>
            </w:r>
          </w:p>
        </w:tc>
        <w:tc>
          <w:tcPr>
            <w:tcW w:w="24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100.13</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260,344</w:t>
            </w:r>
          </w:p>
        </w:tc>
        <w:tc>
          <w:tcPr>
            <w:tcW w:w="109" w:type="dxa"/>
            <w:tcBorders/>
            <w:shd w:fill="auto" w:val="clear"/>
            <w:vAlign w:val="center"/>
          </w:tcPr>
          <w:p>
            <w:pPr>
              <w:pStyle w:val="TableContents"/>
              <w:spacing w:before="0" w:after="0"/>
              <w:ind w:left="0" w:right="0" w:hanging="0"/>
              <w:rPr/>
            </w:pPr>
            <w:r>
              <w:rPr/>
              <w:t>​</w:t>
            </w:r>
          </w:p>
        </w:tc>
        <w:tc>
          <w:tcPr>
            <w:tcW w:w="20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327,354</w:t>
            </w:r>
          </w:p>
        </w:tc>
      </w:tr>
      <w:tr>
        <w:trPr/>
        <w:tc>
          <w:tcPr>
            <w:tcW w:w="48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09"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5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2,105,208</w:t>
            </w:r>
          </w:p>
        </w:tc>
        <w:tc>
          <w:tcPr>
            <w:tcW w:w="109"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1,830,647</w:t>
            </w:r>
          </w:p>
        </w:tc>
        <w:tc>
          <w:tcPr>
            <w:tcW w:w="109"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1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1,322,165</w:t>
            </w:r>
          </w:p>
        </w:tc>
        <w:tc>
          <w:tcPr>
            <w:tcW w:w="109"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1,222,327</w:t>
            </w:r>
          </w:p>
        </w:tc>
        <w:tc>
          <w:tcPr>
            <w:tcW w:w="109"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97.20</w:t>
            </w:r>
          </w:p>
        </w:tc>
        <w:tc>
          <w:tcPr>
            <w:tcW w:w="121" w:type="dxa"/>
            <w:tcBorders/>
            <w:shd w:fill="CCEEFF" w:val="clear"/>
            <w:vAlign w:val="center"/>
          </w:tcPr>
          <w:p>
            <w:pPr>
              <w:pStyle w:val="TableContents"/>
              <w:spacing w:before="0" w:after="0"/>
              <w:ind w:left="0" w:right="0" w:hanging="0"/>
              <w:rPr/>
            </w:pPr>
            <w:r>
              <w:rPr/>
              <w:t>​</w:t>
            </w:r>
          </w:p>
        </w:tc>
        <w:tc>
          <w:tcPr>
            <w:tcW w:w="24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124.90</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257,196</w:t>
            </w:r>
          </w:p>
        </w:tc>
        <w:tc>
          <w:tcPr>
            <w:tcW w:w="109" w:type="dxa"/>
            <w:tcBorders/>
            <w:shd w:fill="CCEEFF" w:val="clear"/>
            <w:vAlign w:val="center"/>
          </w:tcPr>
          <w:p>
            <w:pPr>
              <w:pStyle w:val="TableContents"/>
              <w:spacing w:before="0" w:after="0"/>
              <w:ind w:left="0" w:right="0" w:hanging="0"/>
              <w:rPr/>
            </w:pPr>
            <w:r>
              <w:rPr/>
              <w:t>​</w:t>
            </w:r>
          </w:p>
        </w:tc>
        <w:tc>
          <w:tcPr>
            <w:tcW w:w="20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7" w:type="dxa"/>
            <w:tcBorders/>
            <w:shd w:fill="CCEEFF" w:val="clear"/>
            <w:vAlign w:val="center"/>
          </w:tcPr>
          <w:p>
            <w:pPr>
              <w:pStyle w:val="TableContents"/>
              <w:spacing w:before="0" w:after="0"/>
              <w:ind w:left="0" w:right="50" w:hanging="0"/>
              <w:jc w:val="right"/>
              <w:rPr>
                <w:rFonts w:ascii="Times New Roman;Times;serif" w:hAnsi="Times New Roman;Times;serif"/>
                <w:sz w:val="16"/>
              </w:rPr>
            </w:pPr>
            <w:r>
              <w:rPr>
                <w:rFonts w:ascii="Times New Roman;Times;serif" w:hAnsi="Times New Roman;Times;serif"/>
                <w:sz w:val="16"/>
              </w:rPr>
              <w:t>323,830</w:t>
            </w:r>
          </w:p>
        </w:tc>
      </w:tr>
    </w:tbl>
    <w:tbl>
      <w:tblPr>
        <w:tblW w:w="10205" w:type="dxa"/>
        <w:jc w:val="left"/>
        <w:tblInd w:w="0" w:type="dxa"/>
        <w:tblCellMar>
          <w:top w:w="0" w:type="dxa"/>
          <w:left w:w="0" w:type="dxa"/>
          <w:bottom w:w="0" w:type="dxa"/>
          <w:right w:w="0" w:type="dxa"/>
        </w:tblCellMar>
      </w:tblPr>
      <w:tblGrid>
        <w:gridCol w:w="314"/>
        <w:gridCol w:w="9891"/>
      </w:tblGrid>
      <w:tr>
        <w:trPr/>
        <w:tc>
          <w:tcPr>
            <w:tcW w:w="31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are the amounts of total compensation reported for our CEO, Mr. Mueller, in the Summary Compensation Table for fiscal years 2022, 2021 and 2020. Mr. Mueller served as CEO for each of the years presented.</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represent the amount of “compensation actually paid” or “CAP”, as computed in accordance with SEC rules. The dollar amounts do not reflect the actual amounts of compensation paid to our CEO or other NEOs during the applicable years, but include (i) the year-end value of equity awards granted during the reported year, and (ii) the change in the value of equity awards that were unvested at the end of the prior year, measured through the date the awards vested or were forfeited, or through the end of the reported fiscal year.</w:t>
            </w:r>
          </w:p>
        </w:tc>
      </w:tr>
    </w:tbl>
    <w:tbl>
      <w:tblPr>
        <w:tblW w:w="10205" w:type="dxa"/>
        <w:jc w:val="left"/>
        <w:tblInd w:w="0" w:type="dxa"/>
        <w:tblCellMar>
          <w:top w:w="0" w:type="dxa"/>
          <w:left w:w="0" w:type="dxa"/>
          <w:bottom w:w="0" w:type="dxa"/>
          <w:right w:w="0" w:type="dxa"/>
        </w:tblCellMar>
      </w:tblPr>
      <w:tblGrid>
        <w:gridCol w:w="307"/>
        <w:gridCol w:w="9898"/>
      </w:tblGrid>
      <w:tr>
        <w:trPr/>
        <w:tc>
          <w:tcPr>
            <w:tcW w:w="3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9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2022 and 2021, reflects compensation information for our 2022 NEOs, other than our CEO, as described in the CD&amp;A of this proxy statement (each of whom served as NEOs for both 2022 and 2021). For 2020, reflects compensation information for Dr. Meyer, Mr. Bachus, Mr. Mildenhall and Mr. Briggs.</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cumulative total shareholder return for the eight companies included in the customized peer group used by GCE for purposes of Item 201 (e) of Regulation S-K under the Exchange Act in GCE’s Annual Report on Form 10-K for the year ended December 31, 2022. Those eight companies are: 2U Inc, Adtalem Global Education, Inc, Chegg Inc, Coursera Inc, John Wiley &amp; Sons Inc, Laureate Education Inc, Pearson Plc and Strategic Education Inc.</w:t>
            </w:r>
          </w:p>
        </w:tc>
      </w:tr>
    </w:tbl>
    <w:tbl>
      <w:tblPr>
        <w:tblW w:w="10205" w:type="dxa"/>
        <w:jc w:val="left"/>
        <w:tblInd w:w="0" w:type="dxa"/>
        <w:tblCellMar>
          <w:top w:w="0" w:type="dxa"/>
          <w:left w:w="0" w:type="dxa"/>
          <w:bottom w:w="0" w:type="dxa"/>
          <w:right w:w="0" w:type="dxa"/>
        </w:tblCellMar>
      </w:tblPr>
      <w:tblGrid>
        <w:gridCol w:w="316"/>
        <w:gridCol w:w="9889"/>
      </w:tblGrid>
      <w:tr>
        <w:trPr/>
        <w:tc>
          <w:tcPr>
            <w:tcW w:w="31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88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decline in net income between 2021 and 2022 is partially due to the lower interest income achieved as a result of the repayment to us by Grand Canyon University of a secured note payable that had been in place since 2018.</w:t>
            </w:r>
          </w:p>
        </w:tc>
      </w:tr>
    </w:tbl>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90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We defined Adjusted EBITDA</w:t>
            </w:r>
            <w:r>
              <w:rPr>
                <w:caps w:val="false"/>
                <w:smallCaps w:val="false"/>
              </w:rPr>
              <w:t xml:space="preserve"> </w:t>
            </w:r>
            <w:r>
              <w:rPr>
                <w:rFonts w:ascii="Times New Roman;Times;serif" w:hAnsi="Times New Roman;Times;serif"/>
                <w:b w:val="false"/>
                <w:i w:val="false"/>
                <w:caps w:val="false"/>
                <w:smallCaps w:val="false"/>
                <w:sz w:val="20"/>
              </w:rPr>
              <w:t xml:space="preserve">for purposes of the Annual Cash Incentive Plan in a manner consistent with the definition we use when reporting our financial results. See </w:t>
            </w:r>
            <w:r>
              <w:rPr>
                <w:rFonts w:ascii="Times New Roman;Times;serif" w:hAnsi="Times New Roman;Times;serif"/>
                <w:b w:val="false"/>
                <w:i/>
                <w:sz w:val="20"/>
              </w:rPr>
              <w:t xml:space="preserve">Item 7, Management’s Discussion and Analysis of Financial Condition and Results of Operations – Adjusted EBITDA (Non- GAAP Financial Measure), </w:t>
            </w:r>
            <w:r>
              <w:rPr>
                <w:rFonts w:ascii="Times New Roman;Times;serif" w:hAnsi="Times New Roman;Times;serif"/>
                <w:b w:val="false"/>
                <w:i w:val="false"/>
                <w:caps w:val="false"/>
                <w:smallCaps w:val="false"/>
                <w:sz w:val="20"/>
              </w:rPr>
              <w:t>beginning on page 58 of our Annual Report on Form 10-K for the fiscal year ended December 31, 2022 for information regarding our use and calculation of Adjusted EBITDA.</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285" w:name="Tc_3IRaTfyHT0mfAHcN_XnPIg_5_8"/>
      <w:bookmarkStart w:id="286" w:name="Tc_5tHZcJDQckm79qZ3BAyzDw_5_5"/>
      <w:bookmarkStart w:id="287" w:name="Tc_3qZ_lm9G9USYoYdsaqMS6w_5_2"/>
      <w:bookmarkStart w:id="288" w:name="Tc_6i3eCmEui0e-o1uwQi7CdQ_5_0"/>
      <w:bookmarkStart w:id="289" w:name="Tc_1vlqyIDmf0-I83Y4WwYTgA_4_8"/>
      <w:bookmarkStart w:id="290" w:name="Tc_nKv_xqX90ECFv_fnJhRCwg_4_5"/>
      <w:bookmarkStart w:id="291" w:name="Tc_oX6m6QgdB0ajDkkrGgKsWw_4_2"/>
      <w:bookmarkStart w:id="292" w:name="Tc_90n4Dh3nP0CSkhRaIoOrmQ_4_0"/>
      <w:bookmarkStart w:id="293" w:name="Tc_RvtFwqrRw0iN5A-uZlUMKQ_3_8"/>
      <w:bookmarkStart w:id="294" w:name="Tc_h9WNjt3RdE2uLke1jQp1bA_3_5"/>
      <w:bookmarkStart w:id="295" w:name="Tc_V-XsYsiDxkO2tQDaCrDPqg_3_2"/>
      <w:bookmarkStart w:id="296" w:name="Tc_EapSaB1PIUWLYLNbk31I-g_3_0"/>
      <w:bookmarkStart w:id="297" w:name="Tc_jS4qaEDPW0O7OeJ1w8DGkA_2_8"/>
      <w:bookmarkStart w:id="298" w:name="Tc_G8ZSVIXeRUO-1CGb4bwIzw_2_5"/>
      <w:bookmarkStart w:id="299" w:name="Tc_7iL6y2POdke6Fkb39MwT7A_2_2"/>
      <w:bookmarkStart w:id="300" w:name="Tc_sUXeW5OZg0KdEElSKHVgCg_2_0"/>
      <w:bookmarkStart w:id="301" w:name="Tc_f7mNEUgR5EmyTJsRl-22Kw_1_8"/>
      <w:bookmarkStart w:id="302" w:name="Tc_vkUGC-65YE26KIxr-DZwmw_1_5"/>
      <w:bookmarkStart w:id="303" w:name="Tc_iPMky62DWU-PbaRu-WYjEg_1_2"/>
      <w:bookmarkStart w:id="304" w:name="Tc_Jzi9gMa2ZEa8ZgjJPpvpOA_1_0"/>
      <w:bookmarkStart w:id="305" w:name="_d74bd03b_fe8c_456c_8d6c_f6b0c2facbbd"/>
      <w:bookmarkStart w:id="306" w:name="Tc_qgKUc4XiI0awuCS-IJgWqQ_7_11"/>
      <w:bookmarkStart w:id="307" w:name="Tc_NL1lbriIf0Ca7FVEMdpOJQ_7_8"/>
      <w:bookmarkStart w:id="308" w:name="Tc_nXZWXxmHT0aUDeywfHfdyA_7_5"/>
      <w:bookmarkStart w:id="309" w:name="Tc_XjlSqSBBC0iyut0imXpCYQ_7_2"/>
      <w:bookmarkStart w:id="310" w:name="Tc_5m2z2on0fk2u3ETe2KZV5g_7_0"/>
      <w:bookmarkStart w:id="311" w:name="Tc_JebHb0jBT0CwZPzHm6g5Jw_6_11"/>
      <w:bookmarkStart w:id="312" w:name="Tc_n80SOY6uu06Z6a_HBhIk8g_6_8"/>
      <w:bookmarkStart w:id="313" w:name="Tc_Xsnw68suYECJZWLgqmt5oQ_6_5"/>
      <w:bookmarkStart w:id="314" w:name="Tc_uRT16lAVtUSp5avacVFqrA_6_2"/>
      <w:bookmarkStart w:id="315" w:name="Tc_kVDI6QhxtkCcSFDpjZwm0w_6_0"/>
      <w:bookmarkStart w:id="316" w:name="Tc_8JMiD8_BK0KviGR9xJykLQ_5_11"/>
      <w:bookmarkStart w:id="317" w:name="Tc_k5_QpAVLa0iZhzpB15L7gA_5_8"/>
      <w:bookmarkStart w:id="318" w:name="Tc_AJ37-gOYHU-i2PN281e5Bw_5_5"/>
      <w:bookmarkStart w:id="319" w:name="Tc_oC8ftiwZ4EahBGuOYsVOzg_5_2"/>
      <w:bookmarkStart w:id="320" w:name="Tc_AjfRSTwJwEq77U1G79YjlQ_5_0"/>
      <w:bookmarkStart w:id="321" w:name="Tc_9vSGJIrEjEyiKiAEW6zDTA_4_11"/>
      <w:bookmarkStart w:id="322" w:name="Tc_lR4NH_P8jkaii_wqL9LZ-w_4_8"/>
      <w:bookmarkStart w:id="323" w:name="Tc_iT47ofa6T0ekCoUX1QHSPA_4_5"/>
      <w:bookmarkStart w:id="324" w:name="Tc_xqRY9XJy4EmieP0HVsjnIQ_4_2"/>
      <w:bookmarkStart w:id="325" w:name="Tc_JsrnYF-tw0eWkHgTDp2awA_4_0"/>
      <w:bookmarkStart w:id="326" w:name="Tc_qCMixBEJfEWeDPm2mgFftw_3_11"/>
      <w:bookmarkStart w:id="327" w:name="Tc_u6huAAIQXUSvjFN15wF1Cg_3_8"/>
      <w:bookmarkStart w:id="328" w:name="Tc_Qg_RuTWW60ifWrG0ExPC0w_3_5"/>
      <w:bookmarkStart w:id="329" w:name="Tc_OEW6O1fiekq1OhqHQrc0qA_3_2"/>
      <w:bookmarkStart w:id="330" w:name="Tc_bmz_Q0D-1ki0tKvbM0GEhw_2_8"/>
      <w:bookmarkStart w:id="331" w:name="Tc_FKgsEeQaHkO5b9L2pKPKng_2_5"/>
      <w:bookmarkStart w:id="332" w:name="Tc_C3r6ZaKeokGHBMrkdkPAVQ_2_2"/>
      <w:bookmarkStart w:id="333" w:name="Tc_CoCnrkV-BkW4WRiELDYaaA_1_2"/>
      <w:bookmarkStart w:id="334" w:name="_b5ed26a2_4b94_4e8f_a1ca_b601900ada9a"/>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Pr>
          <w:rFonts w:ascii="Times New Roman;Times;serif" w:hAnsi="Times New Roman;Times;serif"/>
          <w:sz w:val="20"/>
        </w:rPr>
        <w:t>To calculate the amounts in the “Compensation Actually Paid to CEO” column in the table above, the following amounts were deducted from and added to (as applicable) our CEO’s “Total” compensation as reported in the Summary Compensation Table (SCT):</w:t>
      </w:r>
    </w:p>
    <w:tbl>
      <w:tblPr>
        <w:tblW w:w="8115" w:type="dxa"/>
        <w:jc w:val="left"/>
        <w:tblInd w:w="0" w:type="dxa"/>
        <w:tblCellMar>
          <w:top w:w="0" w:type="dxa"/>
          <w:left w:w="0" w:type="dxa"/>
          <w:bottom w:w="0" w:type="dxa"/>
          <w:right w:w="0" w:type="dxa"/>
        </w:tblCellMar>
      </w:tblPr>
      <w:tblGrid>
        <w:gridCol w:w="541"/>
        <w:gridCol w:w="266"/>
        <w:gridCol w:w="268"/>
        <w:gridCol w:w="1187"/>
        <w:gridCol w:w="266"/>
        <w:gridCol w:w="298"/>
        <w:gridCol w:w="1487"/>
        <w:gridCol w:w="266"/>
        <w:gridCol w:w="238"/>
        <w:gridCol w:w="1052"/>
        <w:gridCol w:w="266"/>
        <w:gridCol w:w="335"/>
        <w:gridCol w:w="1645"/>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43535" cy="175260"/>
                      <wp:effectExtent l="0" t="0" r="0" b="0"/>
                      <wp:wrapNone/>
                      <wp:docPr id="81" name="Frame64"/>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8910" cy="175260"/>
                      <wp:effectExtent l="0" t="0" r="0" b="0"/>
                      <wp:wrapNone/>
                      <wp:docPr id="82" name="Frame65"/>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0180" cy="175260"/>
                      <wp:effectExtent l="0" t="0" r="0" b="0"/>
                      <wp:wrapNone/>
                      <wp:docPr id="83" name="Frame66"/>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53745" cy="175260"/>
                      <wp:effectExtent l="0" t="0" r="0" b="0"/>
                      <wp:wrapNone/>
                      <wp:docPr id="84" name="Frame67"/>
                      <a:graphic xmlns:a="http://schemas.openxmlformats.org/drawingml/2006/main">
                        <a:graphicData uri="http://schemas.microsoft.com/office/word/2010/wordprocessingShape">
                          <wps:wsp>
                            <wps:cNvSpPr txBox="1"/>
                            <wps:spPr>
                              <a:xfrm>
                                <a:off x="0" y="0"/>
                                <a:ext cx="753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8910" cy="175260"/>
                      <wp:effectExtent l="0" t="0" r="0" b="0"/>
                      <wp:wrapNone/>
                      <wp:docPr id="85" name="Frame68"/>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9230" cy="175260"/>
                      <wp:effectExtent l="0" t="0" r="0" b="0"/>
                      <wp:wrapNone/>
                      <wp:docPr id="86" name="Frame69"/>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44245" cy="175260"/>
                      <wp:effectExtent l="0" t="0" r="0" b="0"/>
                      <wp:wrapNone/>
                      <wp:docPr id="87" name="Frame70"/>
                      <a:graphic xmlns:a="http://schemas.openxmlformats.org/drawingml/2006/main">
                        <a:graphicData uri="http://schemas.microsoft.com/office/word/2010/wordprocessingShape">
                          <wps:wsp>
                            <wps:cNvSpPr txBox="1"/>
                            <wps:spPr>
                              <a:xfrm>
                                <a:off x="0" y="0"/>
                                <a:ext cx="944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8910" cy="175260"/>
                      <wp:effectExtent l="0" t="0" r="0" b="0"/>
                      <wp:wrapNone/>
                      <wp:docPr id="88" name="Frame71"/>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51130" cy="175260"/>
                      <wp:effectExtent l="0" t="0" r="0" b="0"/>
                      <wp:wrapNone/>
                      <wp:docPr id="89" name="Frame72"/>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8020" cy="175260"/>
                      <wp:effectExtent l="0" t="0" r="0" b="0"/>
                      <wp:wrapNone/>
                      <wp:docPr id="90" name="Frame73"/>
                      <a:graphic xmlns:a="http://schemas.openxmlformats.org/drawingml/2006/main">
                        <a:graphicData uri="http://schemas.microsoft.com/office/word/2010/wordprocessingShape">
                          <wps:wsp>
                            <wps:cNvSpPr txBox="1"/>
                            <wps:spPr>
                              <a:xfrm>
                                <a:off x="0" y="0"/>
                                <a:ext cx="668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8910" cy="175260"/>
                      <wp:effectExtent l="0" t="0" r="0" b="0"/>
                      <wp:wrapNone/>
                      <wp:docPr id="91" name="Frame7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2725" cy="175260"/>
                      <wp:effectExtent l="0" t="0" r="0" b="0"/>
                      <wp:wrapNone/>
                      <wp:docPr id="92" name="Frame75"/>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044575" cy="175260"/>
                      <wp:effectExtent l="0" t="0" r="0" b="0"/>
                      <wp:wrapNone/>
                      <wp:docPr id="93" name="Frame76"/>
                      <a:graphic xmlns:a="http://schemas.openxmlformats.org/drawingml/2006/main">
                        <a:graphicData uri="http://schemas.microsoft.com/office/word/2010/wordprocessingShape">
                          <wps:wsp>
                            <wps:cNvSpPr txBox="1"/>
                            <wps:spPr>
                              <a:xfrm>
                                <a:off x="0" y="0"/>
                                <a:ext cx="1044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4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w:t>
            </w:r>
          </w:p>
        </w:tc>
        <w:tc>
          <w:tcPr>
            <w:tcW w:w="266" w:type="dxa"/>
            <w:tcBorders/>
            <w:shd w:fill="auto" w:val="clear"/>
            <w:vAlign w:val="center"/>
          </w:tcPr>
          <w:p>
            <w:pPr>
              <w:pStyle w:val="TableContents"/>
              <w:spacing w:before="0" w:after="0"/>
              <w:ind w:left="0" w:right="0" w:hanging="0"/>
              <w:jc w:val="center"/>
              <w:rPr/>
            </w:pPr>
            <w:r>
              <w:rPr/>
              <w:t>​</w:t>
            </w:r>
          </w:p>
        </w:tc>
        <w:tc>
          <w:tcPr>
            <w:tcW w:w="298" w:type="dxa"/>
            <w:tcBorders/>
            <w:shd w:fill="auto" w:val="clear"/>
            <w:vAlign w:val="center"/>
          </w:tcPr>
          <w:p>
            <w:pPr>
              <w:pStyle w:val="TableContents"/>
              <w:spacing w:before="0" w:after="0"/>
              <w:ind w:left="0" w:right="0" w:hanging="0"/>
              <w:jc w:val="center"/>
              <w:rPr/>
            </w:pPr>
            <w:r>
              <w:rPr/>
              <w:t>​</w:t>
            </w:r>
          </w:p>
        </w:tc>
        <w:tc>
          <w:tcPr>
            <w:tcW w:w="1487"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238" w:type="dxa"/>
            <w:tcBorders/>
            <w:shd w:fill="auto" w:val="clear"/>
            <w:vAlign w:val="center"/>
          </w:tcPr>
          <w:p>
            <w:pPr>
              <w:pStyle w:val="TableContents"/>
              <w:spacing w:before="0" w:after="0"/>
              <w:ind w:left="0" w:right="0" w:hanging="0"/>
              <w:jc w:val="center"/>
              <w:rPr/>
            </w:pPr>
            <w:r>
              <w:rPr/>
              <w:t>​</w:t>
            </w:r>
          </w:p>
        </w:tc>
        <w:tc>
          <w:tcPr>
            <w:tcW w:w="1052" w:type="dxa"/>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335" w:type="dxa"/>
            <w:tcBorders/>
            <w:shd w:fill="auto" w:val="clear"/>
            <w:vAlign w:val="center"/>
          </w:tcPr>
          <w:p>
            <w:pPr>
              <w:pStyle w:val="TableContents"/>
              <w:spacing w:before="0" w:after="0"/>
              <w:ind w:left="0" w:right="0" w:hanging="0"/>
              <w:jc w:val="center"/>
              <w:rPr/>
            </w:pPr>
            <w:r>
              <w:rPr/>
              <w:t>​</w:t>
            </w:r>
          </w:p>
        </w:tc>
        <w:tc>
          <w:tcPr>
            <w:tcW w:w="1645" w:type="dxa"/>
            <w:tcBorders/>
            <w:shd w:fill="auto" w:val="clear"/>
            <w:vAlign w:val="center"/>
          </w:tcPr>
          <w:p>
            <w:pPr>
              <w:pStyle w:val="TableContents"/>
              <w:spacing w:before="0" w:after="0"/>
              <w:ind w:left="0" w:right="0" w:hanging="0"/>
              <w:jc w:val="center"/>
              <w:rPr/>
            </w:pPr>
            <w:r>
              <w:rPr/>
              <w:t>​</w:t>
            </w:r>
          </w:p>
        </w:tc>
      </w:tr>
      <w:tr>
        <w:trPr/>
        <w:tc>
          <w:tcPr>
            <w:tcW w:w="54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4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266" w:type="dxa"/>
            <w:tcBorders/>
            <w:shd w:fill="auto" w:val="clear"/>
            <w:vAlign w:val="center"/>
          </w:tcPr>
          <w:p>
            <w:pPr>
              <w:pStyle w:val="TableContents"/>
              <w:spacing w:before="0" w:after="0"/>
              <w:ind w:left="0" w:right="0" w:hanging="0"/>
              <w:jc w:val="center"/>
              <w:rPr/>
            </w:pPr>
            <w:r>
              <w:rPr/>
              <w:t>​</w:t>
            </w:r>
          </w:p>
        </w:tc>
        <w:tc>
          <w:tcPr>
            <w:tcW w:w="17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Reported </w:t>
            </w:r>
          </w:p>
        </w:tc>
        <w:tc>
          <w:tcPr>
            <w:tcW w:w="266" w:type="dxa"/>
            <w:tcBorders/>
            <w:shd w:fill="auto" w:val="clear"/>
            <w:vAlign w:val="center"/>
          </w:tcPr>
          <w:p>
            <w:pPr>
              <w:pStyle w:val="TableContents"/>
              <w:spacing w:before="0" w:after="0"/>
              <w:ind w:left="0" w:right="0" w:hanging="0"/>
              <w:jc w:val="center"/>
              <w:rPr/>
            </w:pPr>
            <w:r>
              <w:rPr/>
              <w:t>​</w:t>
            </w:r>
          </w:p>
        </w:tc>
        <w:tc>
          <w:tcPr>
            <w:tcW w:w="129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Award</w:t>
            </w:r>
          </w:p>
        </w:tc>
        <w:tc>
          <w:tcPr>
            <w:tcW w:w="266" w:type="dxa"/>
            <w:tcBorders/>
            <w:shd w:fill="auto" w:val="clear"/>
            <w:vAlign w:val="center"/>
          </w:tcPr>
          <w:p>
            <w:pPr>
              <w:pStyle w:val="TableContents"/>
              <w:spacing w:before="0" w:after="0"/>
              <w:ind w:left="0" w:right="0" w:hanging="0"/>
              <w:jc w:val="center"/>
              <w:rPr/>
            </w:pPr>
            <w:r>
              <w:rPr/>
              <w:t>​</w:t>
            </w:r>
          </w:p>
        </w:tc>
        <w:tc>
          <w:tcPr>
            <w:tcW w:w="335" w:type="dxa"/>
            <w:tcBorders/>
            <w:shd w:fill="auto" w:val="clear"/>
            <w:vAlign w:val="center"/>
          </w:tcPr>
          <w:p>
            <w:pPr>
              <w:pStyle w:val="TableContents"/>
              <w:spacing w:before="0" w:after="0"/>
              <w:ind w:left="0" w:right="0" w:hanging="0"/>
              <w:jc w:val="center"/>
              <w:rPr/>
            </w:pPr>
            <w:r>
              <w:rPr/>
              <w:t>​</w:t>
            </w:r>
          </w:p>
        </w:tc>
        <w:tc>
          <w:tcPr>
            <w:tcW w:w="1645" w:type="dxa"/>
            <w:tcBorders/>
            <w:shd w:fill="auto" w:val="clear"/>
            <w:vAlign w:val="center"/>
          </w:tcPr>
          <w:p>
            <w:pPr>
              <w:pStyle w:val="TableContents"/>
              <w:spacing w:before="0" w:after="0"/>
              <w:ind w:left="0" w:right="0" w:hanging="0"/>
              <w:jc w:val="center"/>
              <w:rPr/>
            </w:pPr>
            <w:r>
              <w:rPr/>
              <w:t>​</w:t>
            </w:r>
          </w:p>
        </w:tc>
      </w:tr>
      <w:tr>
        <w:trPr/>
        <w:tc>
          <w:tcPr>
            <w:tcW w:w="54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4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Table Total for </w:t>
            </w:r>
          </w:p>
        </w:tc>
        <w:tc>
          <w:tcPr>
            <w:tcW w:w="266" w:type="dxa"/>
            <w:tcBorders/>
            <w:shd w:fill="auto" w:val="clear"/>
            <w:vAlign w:val="center"/>
          </w:tcPr>
          <w:p>
            <w:pPr>
              <w:pStyle w:val="TableContents"/>
              <w:spacing w:before="0" w:after="0"/>
              <w:ind w:left="0" w:right="0" w:hanging="0"/>
              <w:jc w:val="center"/>
              <w:rPr/>
            </w:pPr>
            <w:r>
              <w:rPr/>
              <w:t>​</w:t>
            </w:r>
          </w:p>
        </w:tc>
        <w:tc>
          <w:tcPr>
            <w:tcW w:w="17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Value of Equity</w:t>
            </w:r>
          </w:p>
        </w:tc>
        <w:tc>
          <w:tcPr>
            <w:tcW w:w="266" w:type="dxa"/>
            <w:tcBorders/>
            <w:shd w:fill="auto" w:val="clear"/>
            <w:vAlign w:val="center"/>
          </w:tcPr>
          <w:p>
            <w:pPr>
              <w:pStyle w:val="TableContents"/>
              <w:spacing w:before="0" w:after="0"/>
              <w:ind w:left="0" w:right="0" w:hanging="0"/>
              <w:jc w:val="center"/>
              <w:rPr/>
            </w:pPr>
            <w:r>
              <w:rPr/>
              <w:t>​</w:t>
            </w:r>
          </w:p>
        </w:tc>
        <w:tc>
          <w:tcPr>
            <w:tcW w:w="129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Adjustments</w:t>
            </w:r>
          </w:p>
        </w:tc>
        <w:tc>
          <w:tcPr>
            <w:tcW w:w="266" w:type="dxa"/>
            <w:tcBorders/>
            <w:shd w:fill="auto" w:val="clear"/>
            <w:vAlign w:val="center"/>
          </w:tcPr>
          <w:p>
            <w:pPr>
              <w:pStyle w:val="TableContents"/>
              <w:spacing w:before="0" w:after="0"/>
              <w:ind w:left="0" w:right="0" w:hanging="0"/>
              <w:jc w:val="center"/>
              <w:rPr/>
            </w:pPr>
            <w:r>
              <w:rPr/>
              <w:t>​</w:t>
            </w:r>
          </w:p>
        </w:tc>
        <w:tc>
          <w:tcPr>
            <w:tcW w:w="198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w:t>
            </w:r>
          </w:p>
        </w:tc>
      </w:tr>
      <w:tr>
        <w:trPr/>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w:t>
            </w:r>
          </w:p>
        </w:tc>
        <w:tc>
          <w:tcPr>
            <w:tcW w:w="266" w:type="dxa"/>
            <w:tcBorders/>
            <w:shd w:fill="auto" w:val="clear"/>
            <w:vAlign w:val="center"/>
          </w:tcPr>
          <w:p>
            <w:pPr>
              <w:pStyle w:val="TableContents"/>
              <w:spacing w:before="0" w:after="0"/>
              <w:ind w:left="0" w:right="0" w:hanging="0"/>
              <w:jc w:val="center"/>
              <w:rPr/>
            </w:pPr>
            <w:r>
              <w:rPr/>
              <w:t>   </w:t>
            </w:r>
          </w:p>
        </w:tc>
        <w:tc>
          <w:tcPr>
            <w:tcW w:w="14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CEO</w:t>
            </w:r>
          </w:p>
        </w:tc>
        <w:tc>
          <w:tcPr>
            <w:tcW w:w="266" w:type="dxa"/>
            <w:tcBorders/>
            <w:shd w:fill="auto" w:val="clear"/>
            <w:vAlign w:val="center"/>
          </w:tcPr>
          <w:p>
            <w:pPr>
              <w:pStyle w:val="TableContents"/>
              <w:spacing w:before="0" w:after="0"/>
              <w:ind w:left="0" w:right="0" w:hanging="0"/>
              <w:jc w:val="center"/>
              <w:rPr/>
            </w:pPr>
            <w:r>
              <w:rPr/>
              <w:t>   </w:t>
            </w:r>
          </w:p>
        </w:tc>
        <w:tc>
          <w:tcPr>
            <w:tcW w:w="17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Awards for CEO (1)</w:t>
            </w:r>
          </w:p>
        </w:tc>
        <w:tc>
          <w:tcPr>
            <w:tcW w:w="26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CEO (2)</w:t>
            </w:r>
          </w:p>
        </w:tc>
        <w:tc>
          <w:tcPr>
            <w:tcW w:w="266" w:type="dxa"/>
            <w:tcBorders/>
            <w:shd w:fill="auto" w:val="clear"/>
            <w:vAlign w:val="center"/>
          </w:tcPr>
          <w:p>
            <w:pPr>
              <w:pStyle w:val="TableContents"/>
              <w:spacing w:before="0" w:after="0"/>
              <w:ind w:left="0" w:right="0" w:hanging="0"/>
              <w:jc w:val="center"/>
              <w:rPr/>
            </w:pPr>
            <w:r>
              <w:rPr/>
              <w:t>   </w:t>
            </w:r>
          </w:p>
        </w:tc>
        <w:tc>
          <w:tcPr>
            <w:tcW w:w="1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Actually Paid to CEO</w:t>
            </w:r>
          </w:p>
        </w:tc>
      </w:tr>
      <w:tr>
        <w:trPr/>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26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1,997,113</w:t>
            </w:r>
          </w:p>
        </w:tc>
        <w:tc>
          <w:tcPr>
            <w:tcW w:w="26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(1,211,488)</w:t>
            </w:r>
          </w:p>
        </w:tc>
        <w:tc>
          <w:tcPr>
            <w:tcW w:w="26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2,133,739</w:t>
            </w:r>
          </w:p>
        </w:tc>
        <w:tc>
          <w:tcPr>
            <w:tcW w:w="26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2,919,364</w:t>
            </w:r>
          </w:p>
        </w:tc>
      </w:tr>
      <w:tr>
        <w:trPr/>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2021</w:t>
            </w:r>
          </w:p>
        </w:tc>
        <w:tc>
          <w:tcPr>
            <w:tcW w:w="26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1,843,058</w:t>
            </w:r>
          </w:p>
        </w:tc>
        <w:tc>
          <w:tcPr>
            <w:tcW w:w="26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(1,211,575)</w:t>
            </w:r>
          </w:p>
        </w:tc>
        <w:tc>
          <w:tcPr>
            <w:tcW w:w="266" w:type="dxa"/>
            <w:tcBorders/>
            <w:shd w:fill="auto" w:val="clear"/>
            <w:vAlign w:val="center"/>
          </w:tcPr>
          <w:p>
            <w:pPr>
              <w:pStyle w:val="TableContents"/>
              <w:spacing w:before="0" w:after="0"/>
              <w:ind w:left="0" w:right="0" w:hanging="0"/>
              <w:rPr/>
            </w:pPr>
            <w:r>
              <w:rPr/>
              <w:t>​</w:t>
            </w:r>
          </w:p>
        </w:tc>
        <w:tc>
          <w:tcPr>
            <w:tcW w:w="2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1,233,385</w:t>
            </w:r>
          </w:p>
        </w:tc>
        <w:tc>
          <w:tcPr>
            <w:tcW w:w="266"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1,864,868</w:t>
            </w:r>
          </w:p>
        </w:tc>
      </w:tr>
      <w:tr>
        <w:trPr/>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26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2,105,208</w:t>
            </w:r>
          </w:p>
        </w:tc>
        <w:tc>
          <w:tcPr>
            <w:tcW w:w="26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(1,211,533)</w:t>
            </w:r>
          </w:p>
        </w:tc>
        <w:tc>
          <w:tcPr>
            <w:tcW w:w="266" w:type="dxa"/>
            <w:tcBorders/>
            <w:shd w:fill="CCEEFF" w:val="clear"/>
            <w:vAlign w:val="center"/>
          </w:tcPr>
          <w:p>
            <w:pPr>
              <w:pStyle w:val="TableContents"/>
              <w:spacing w:before="0" w:after="0"/>
              <w:ind w:left="0" w:right="0" w:hanging="0"/>
              <w:rPr/>
            </w:pPr>
            <w:r>
              <w:rPr/>
              <w:t>​</w:t>
            </w:r>
          </w:p>
        </w:tc>
        <w:tc>
          <w:tcPr>
            <w:tcW w:w="2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936,972</w:t>
            </w:r>
          </w:p>
        </w:tc>
        <w:tc>
          <w:tcPr>
            <w:tcW w:w="26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5"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1,830,647</w:t>
            </w:r>
          </w:p>
        </w:tc>
      </w:tr>
    </w:tbl>
    <w:tbl>
      <w:tblPr>
        <w:tblW w:w="10205" w:type="dxa"/>
        <w:jc w:val="left"/>
        <w:tblInd w:w="0" w:type="dxa"/>
        <w:tblCellMar>
          <w:top w:w="0" w:type="dxa"/>
          <w:left w:w="0" w:type="dxa"/>
          <w:bottom w:w="0" w:type="dxa"/>
          <w:right w:w="0" w:type="dxa"/>
        </w:tblCellMar>
      </w:tblPr>
      <w:tblGrid>
        <w:gridCol w:w="334"/>
        <w:gridCol w:w="9871"/>
      </w:tblGrid>
      <w:tr>
        <w:trPr/>
        <w:tc>
          <w:tcPr>
            <w:tcW w:w="3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grant date fair value of the equity awards to our CEO, as reported in the “Stock Awards” column in the SCT for each applicable year.</w:t>
            </w:r>
          </w:p>
        </w:tc>
      </w:tr>
    </w:tbl>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adjustments to equity awards granted to our CEO to arrive at CAP, as itemized in the table below. No awards vested in the year they were granted.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370"/>
        <w:gridCol w:w="146"/>
        <w:gridCol w:w="211"/>
        <w:gridCol w:w="931"/>
        <w:gridCol w:w="109"/>
        <w:gridCol w:w="211"/>
        <w:gridCol w:w="931"/>
        <w:gridCol w:w="109"/>
        <w:gridCol w:w="211"/>
        <w:gridCol w:w="976"/>
      </w:tblGrid>
      <w:tr>
        <w:trPr/>
        <w:tc>
          <w:tcPr>
            <w:tcW w:w="63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044950" cy="175260"/>
                      <wp:effectExtent l="0" t="0" r="0" b="0"/>
                      <wp:wrapNone/>
                      <wp:docPr id="94" name="Frame77"/>
                      <a:graphic xmlns:a="http://schemas.openxmlformats.org/drawingml/2006/main">
                        <a:graphicData uri="http://schemas.microsoft.com/office/word/2010/wordprocessingShape">
                          <wps:wsp>
                            <wps:cNvSpPr txBox="1"/>
                            <wps:spPr>
                              <a:xfrm>
                                <a:off x="0" y="0"/>
                                <a:ext cx="4044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2710" cy="175260"/>
                      <wp:effectExtent l="0" t="0" r="0" b="0"/>
                      <wp:wrapNone/>
                      <wp:docPr id="95" name="Frame7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96" name="Frame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1185" cy="175260"/>
                      <wp:effectExtent l="0" t="0" r="0" b="0"/>
                      <wp:wrapNone/>
                      <wp:docPr id="97" name="Frame8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98" name="Frame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99" name="Frame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0" name="Frame8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1" name="Frame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2"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19760" cy="175260"/>
                      <wp:effectExtent l="0" t="0" r="0" b="0"/>
                      <wp:wrapNone/>
                      <wp:docPr id="103" name="Frame86"/>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Fair Value of Equity Awards for CEO</w:t>
            </w:r>
          </w:p>
        </w:tc>
        <w:tc>
          <w:tcPr>
            <w:tcW w:w="14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shd w:fill="auto" w:val="clear"/>
            <w:vAlign w:val="center"/>
          </w:tcPr>
          <w:p>
            <w:pPr>
              <w:pStyle w:val="TableContents"/>
              <w:spacing w:before="0" w:after="0"/>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109" w:type="dxa"/>
            <w:tcBorders/>
            <w:shd w:fill="auto" w:val="clear"/>
            <w:vAlign w:val="center"/>
          </w:tcPr>
          <w:p>
            <w:pPr>
              <w:pStyle w:val="TableContents"/>
              <w:spacing w:before="0" w:after="0"/>
              <w:ind w:left="0" w:right="0" w:hanging="0"/>
              <w:jc w:val="center"/>
              <w:rPr/>
            </w:pPr>
            <w:r>
              <w:rPr/>
              <w:t>​</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r>
      <w:tr>
        <w:trPr/>
        <w:tc>
          <w:tcPr>
            <w:tcW w:w="63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 of year-end for awards granted during the year</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1,542,425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1,207,911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1,341,808</w:t>
            </w:r>
          </w:p>
        </w:tc>
      </w:tr>
      <w:tr>
        <w:trPr/>
        <w:tc>
          <w:tcPr>
            <w:tcW w:w="63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Year-over-year increase (decrease) of unvested awards granted in prior years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555,228</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(209,339)</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(83,431)</w:t>
            </w:r>
          </w:p>
        </w:tc>
      </w:tr>
      <w:tr>
        <w:trPr/>
        <w:tc>
          <w:tcPr>
            <w:tcW w:w="63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Increase (decrease) from prior fiscal year-end for awards that vested during the year</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36,086</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234,813</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(321,405)</w:t>
            </w:r>
          </w:p>
        </w:tc>
      </w:tr>
      <w:tr>
        <w:trPr/>
        <w:tc>
          <w:tcPr>
            <w:tcW w:w="63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 Award Adjustments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2,133,739</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1,233,385</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936,972</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bookmarkStart w:id="335" w:name="Tc_tfipTPbGiUeGVizGs_EEuQ_5_8"/>
      <w:bookmarkStart w:id="336" w:name="Tc_dlQ7ud7VmkK6KiyGhWbjXA_5_5"/>
      <w:bookmarkStart w:id="337" w:name="Tc_Z8MFV_oAaUe2P2LMmk_LVQ_5_2"/>
      <w:bookmarkStart w:id="338" w:name="Tc_L8q03Fr1LkyLZhsC7NLqOA_5_0"/>
      <w:bookmarkStart w:id="339" w:name="Tc_AwDt8CqFx0GncGwWEeLATA_4_8"/>
      <w:bookmarkStart w:id="340" w:name="Tc_ubEOC2gKwEaXTCyx3tB81Q_4_5"/>
      <w:bookmarkStart w:id="341" w:name="Tc_DL_IKW9Q_0Ck3RlGI42ePg_4_2"/>
      <w:bookmarkStart w:id="342" w:name="Tc_TanenNeZIUmfJGkFbV3iBw_4_0"/>
      <w:bookmarkStart w:id="343" w:name="Tc_4TtlHnj57E2sSeR3Y5Riew_3_8"/>
      <w:bookmarkStart w:id="344" w:name="Tc_wjC80YCLi0m64xgb63a3pg_3_5"/>
      <w:bookmarkStart w:id="345" w:name="Tc_kRW9mT149kyzHZ68yQ1bEQ_3_2"/>
      <w:bookmarkStart w:id="346" w:name="Tc_ra1Z6wYWl0G7J1Reeb84EA_3_0"/>
      <w:bookmarkStart w:id="347" w:name="Tc_0kI5h9MXGEOK6ZYVcYBI4A_2_8"/>
      <w:bookmarkStart w:id="348" w:name="Tc_4NOj3lkyDkilEnhDnn4VeQ_2_5"/>
      <w:bookmarkStart w:id="349" w:name="Tc_swnhjQsO2EmtZX9I1D3ysA_2_2"/>
      <w:bookmarkStart w:id="350" w:name="Tc_5lVBdUNf60GIvdDjULsdTQ_2_0"/>
      <w:bookmarkStart w:id="351" w:name="Tc_J2BoUxiiNEy9-OT3TJIqMA_1_8"/>
      <w:bookmarkStart w:id="352" w:name="Tc_khhQ3R7mS0WljIvpXnH4OQ_1_5"/>
      <w:bookmarkStart w:id="353" w:name="Tc_-aqIxxpJREye-dxTNYGJ_A_1_2"/>
      <w:bookmarkStart w:id="354" w:name="Tc_Mg8ZaskxVUeKGKjA_gR0jw_1_0"/>
      <w:bookmarkStart w:id="355" w:name="_eb301ca6_7c18_4a2e_86e3_695111d84f76"/>
      <w:bookmarkStart w:id="356" w:name="Tc_LmmQorpqIEWMGpzfp7GvIQ_7_11"/>
      <w:bookmarkStart w:id="357" w:name="Tc_vu-ZjMq7z0C_daBs34pAnA_7_8"/>
      <w:bookmarkStart w:id="358" w:name="Tc_G35O5vs5uEizceyGE8oe0A_7_5"/>
      <w:bookmarkStart w:id="359" w:name="Tc_3a1k-FBigUGU8jMHSoeJyw_7_2"/>
      <w:bookmarkStart w:id="360" w:name="Tc_6oHD0u1lm0eSezhRntHqjw_7_0"/>
      <w:bookmarkStart w:id="361" w:name="Tc_lv78ZikaSkexe6x2O3JWHA_6_11"/>
      <w:bookmarkStart w:id="362" w:name="Tc_aC5oeAeYikW41jMOL2-QzQ_6_8"/>
      <w:bookmarkStart w:id="363" w:name="Tc_Hvb1L-aM6k6_xfHw_wl_Pg_6_5"/>
      <w:bookmarkStart w:id="364" w:name="Tc_O6AhS1fcZEy-VFZNr7Wz3Q_6_2"/>
      <w:bookmarkStart w:id="365" w:name="Tc_voRxs5xlJUWzfkFwfACSpQ_6_0"/>
      <w:bookmarkStart w:id="366" w:name="Tc_htmTaiIZ1EmBYm4sCsgYDA_5_11"/>
      <w:bookmarkStart w:id="367" w:name="Tc_M3q94PQe-UODlFWIwW-Dpw_5_8"/>
      <w:bookmarkStart w:id="368" w:name="Tc_fdmLv1DEikKyUD9mRVX2pA_5_5"/>
      <w:bookmarkStart w:id="369" w:name="Tc_LvGadA7VZk--AglHjKyLCQ_5_2"/>
      <w:bookmarkStart w:id="370" w:name="Tc_BBPhTiMnqEynwBvIbZEdoQ_5_0"/>
      <w:bookmarkStart w:id="371" w:name="Tc_JcHTFuQ5kUC4eXs3EgS-UQ_4_11"/>
      <w:bookmarkStart w:id="372" w:name="Tc_QYUxs97twkOvMovdMkAhnQ_4_8"/>
      <w:bookmarkStart w:id="373" w:name="Tc_zxnsoAP_jkCzwS5mpE9Fdg_4_5"/>
      <w:bookmarkStart w:id="374" w:name="Tc_GYJOKom9JEK_gZVe8jPOxw_4_2"/>
      <w:bookmarkStart w:id="375" w:name="Tc_lkBnEgvdekeM2YifnSSOFA_4_0"/>
      <w:bookmarkStart w:id="376" w:name="Tc_hNs8ZLWOTEi6Dqo695EijA_3_11"/>
      <w:bookmarkStart w:id="377" w:name="Tc_OjwXAl8-uUmvlX7ZG7dLrw_3_8"/>
      <w:bookmarkStart w:id="378" w:name="Tc_6Rcx8rAKYkmKQDRLRZFgDA_3_5"/>
      <w:bookmarkStart w:id="379" w:name="Tc_451cGlHPOUirnn7O5Hkb9w_3_2"/>
      <w:bookmarkStart w:id="380" w:name="Tc_eTjr1-7RIUqaZpF3KY6f6g_2_11"/>
      <w:bookmarkStart w:id="381" w:name="Tc_nOaCOXcaW0yUa-96OjNMBA_2_8"/>
      <w:bookmarkStart w:id="382" w:name="Tc_jf8jFMvYsESHMLUMN1NnvA_2_5"/>
      <w:bookmarkStart w:id="383" w:name="Tc_DEu8JCJQ0UyrVbZW-X0d2A_2_2"/>
      <w:bookmarkStart w:id="384" w:name="Tc_tQqRfwN8l0mnA_JPBjIeOg_1_8"/>
      <w:bookmarkStart w:id="385" w:name="Tc_snfKZowyN0qX_ieRPyUacQ_1_5"/>
      <w:bookmarkStart w:id="386" w:name="Tc_kP22AY-k-Ua18aKsjtMM9w_1_2"/>
      <w:bookmarkStart w:id="387" w:name="_6ec8ccd8_7b9d_49c4_86f2_197825f70979"/>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ascii="Times New Roman;Times;serif" w:hAnsi="Times New Roman;Times;serif"/>
          <w:sz w:val="20"/>
        </w:rPr>
        <w:t>To calculate the amounts in the “Average Compensation Actually Paid to Non-CEO NEOs” column in the table above, the following amounts were deducted from and added to (as applicable) the average of the “Total” compensation of our non-CEO named executive officers for each applicable year, as reported in the SCT for that year:</w:t>
      </w:r>
    </w:p>
    <w:tbl>
      <w:tblPr>
        <w:tblW w:w="9255" w:type="dxa"/>
        <w:jc w:val="left"/>
        <w:tblInd w:w="0" w:type="dxa"/>
        <w:tblCellMar>
          <w:top w:w="0" w:type="dxa"/>
          <w:left w:w="0" w:type="dxa"/>
          <w:bottom w:w="0" w:type="dxa"/>
          <w:right w:w="0" w:type="dxa"/>
        </w:tblCellMar>
      </w:tblPr>
      <w:tblGrid>
        <w:gridCol w:w="541"/>
        <w:gridCol w:w="266"/>
        <w:gridCol w:w="316"/>
        <w:gridCol w:w="1394"/>
        <w:gridCol w:w="266"/>
        <w:gridCol w:w="329"/>
        <w:gridCol w:w="1411"/>
        <w:gridCol w:w="266"/>
        <w:gridCol w:w="433"/>
        <w:gridCol w:w="1607"/>
        <w:gridCol w:w="266"/>
        <w:gridCol w:w="365"/>
        <w:gridCol w:w="1795"/>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43535" cy="175260"/>
                      <wp:effectExtent l="0" t="0" r="0" b="0"/>
                      <wp:wrapNone/>
                      <wp:docPr id="104" name="Frame87"/>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8910" cy="175260"/>
                      <wp:effectExtent l="0" t="0" r="0" b="0"/>
                      <wp:wrapNone/>
                      <wp:docPr id="105" name="Frame88"/>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0660" cy="175260"/>
                      <wp:effectExtent l="0" t="0" r="0" b="0"/>
                      <wp:wrapNone/>
                      <wp:docPr id="106" name="Frame8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885190" cy="175260"/>
                      <wp:effectExtent l="0" t="0" r="0" b="0"/>
                      <wp:wrapNone/>
                      <wp:docPr id="107" name="Frame90"/>
                      <a:graphic xmlns:a="http://schemas.openxmlformats.org/drawingml/2006/main">
                        <a:graphicData uri="http://schemas.microsoft.com/office/word/2010/wordprocessingShape">
                          <wps:wsp>
                            <wps:cNvSpPr txBox="1"/>
                            <wps:spPr>
                              <a:xfrm>
                                <a:off x="0" y="0"/>
                                <a:ext cx="885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68910" cy="175260"/>
                      <wp:effectExtent l="0" t="0" r="0" b="0"/>
                      <wp:wrapNone/>
                      <wp:docPr id="108" name="Frame91"/>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8915" cy="175260"/>
                      <wp:effectExtent l="0" t="0" r="0" b="0"/>
                      <wp:wrapNone/>
                      <wp:docPr id="109" name="Frame92"/>
                      <a:graphic xmlns:a="http://schemas.openxmlformats.org/drawingml/2006/main">
                        <a:graphicData uri="http://schemas.microsoft.com/office/word/2010/wordprocessingShape">
                          <wps:wsp>
                            <wps:cNvSpPr txBox="1"/>
                            <wps:spPr>
                              <a:xfrm>
                                <a:off x="0" y="0"/>
                                <a:ext cx="208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895985" cy="175260"/>
                      <wp:effectExtent l="0" t="0" r="0" b="0"/>
                      <wp:wrapNone/>
                      <wp:docPr id="110" name="Frame93"/>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8910" cy="175260"/>
                      <wp:effectExtent l="0" t="0" r="0" b="0"/>
                      <wp:wrapNone/>
                      <wp:docPr id="111" name="Frame9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74955" cy="175260"/>
                      <wp:effectExtent l="0" t="0" r="0" b="0"/>
                      <wp:wrapNone/>
                      <wp:docPr id="112" name="Frame95"/>
                      <a:graphic xmlns:a="http://schemas.openxmlformats.org/drawingml/2006/main">
                        <a:graphicData uri="http://schemas.microsoft.com/office/word/2010/wordprocessingShape">
                          <wps:wsp>
                            <wps:cNvSpPr txBox="1"/>
                            <wps:spPr>
                              <a:xfrm>
                                <a:off x="0" y="0"/>
                                <a:ext cx="274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20445" cy="175260"/>
                      <wp:effectExtent l="0" t="0" r="0" b="0"/>
                      <wp:wrapNone/>
                      <wp:docPr id="113" name="Frame96"/>
                      <a:graphic xmlns:a="http://schemas.openxmlformats.org/drawingml/2006/main">
                        <a:graphicData uri="http://schemas.microsoft.com/office/word/2010/wordprocessingShape">
                          <wps:wsp>
                            <wps:cNvSpPr txBox="1"/>
                            <wps:spPr>
                              <a:xfrm>
                                <a:off x="0" y="0"/>
                                <a:ext cx="1020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8910" cy="175260"/>
                      <wp:effectExtent l="0" t="0" r="0" b="0"/>
                      <wp:wrapNone/>
                      <wp:docPr id="114" name="Frame9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31775" cy="175260"/>
                      <wp:effectExtent l="0" t="0" r="0" b="0"/>
                      <wp:wrapNone/>
                      <wp:docPr id="115" name="Frame98"/>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139825" cy="175260"/>
                      <wp:effectExtent l="0" t="0" r="0" b="0"/>
                      <wp:wrapNone/>
                      <wp:docPr id="116" name="Frame99"/>
                      <a:graphic xmlns:a="http://schemas.openxmlformats.org/drawingml/2006/main">
                        <a:graphicData uri="http://schemas.microsoft.com/office/word/2010/wordprocessingShape">
                          <wps:wsp>
                            <wps:cNvSpPr txBox="1"/>
                            <wps:spPr>
                              <a:xfrm>
                                <a:off x="0" y="0"/>
                                <a:ext cx="1139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7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Summary</w:t>
            </w:r>
          </w:p>
        </w:tc>
        <w:tc>
          <w:tcPr>
            <w:tcW w:w="266" w:type="dxa"/>
            <w:tcBorders/>
            <w:shd w:fill="auto" w:val="clear"/>
            <w:vAlign w:val="center"/>
          </w:tcPr>
          <w:p>
            <w:pPr>
              <w:pStyle w:val="TableContents"/>
              <w:spacing w:before="0" w:after="0"/>
              <w:ind w:left="0" w:right="0" w:hanging="0"/>
              <w:jc w:val="center"/>
              <w:rPr/>
            </w:pPr>
            <w:r>
              <w:rPr/>
              <w:t>​</w:t>
            </w:r>
          </w:p>
        </w:tc>
        <w:tc>
          <w:tcPr>
            <w:tcW w:w="17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266" w:type="dxa"/>
            <w:tcBorders/>
            <w:shd w:fill="auto" w:val="clear"/>
            <w:vAlign w:val="center"/>
          </w:tcPr>
          <w:p>
            <w:pPr>
              <w:pStyle w:val="TableContents"/>
              <w:spacing w:before="0" w:after="0"/>
              <w:ind w:left="0" w:right="0" w:hanging="0"/>
              <w:jc w:val="center"/>
              <w:rPr/>
            </w:pPr>
            <w:r>
              <w:rPr/>
              <w:t>​</w:t>
            </w:r>
          </w:p>
        </w:tc>
        <w:tc>
          <w:tcPr>
            <w:tcW w:w="20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266" w:type="dxa"/>
            <w:tcBorders/>
            <w:shd w:fill="auto" w:val="clear"/>
            <w:vAlign w:val="center"/>
          </w:tcPr>
          <w:p>
            <w:pPr>
              <w:pStyle w:val="TableContents"/>
              <w:spacing w:before="0" w:after="0"/>
              <w:ind w:left="0" w:right="0" w:hanging="0"/>
              <w:jc w:val="center"/>
              <w:rPr/>
            </w:pPr>
            <w:r>
              <w:rPr/>
              <w:t>​</w:t>
            </w:r>
          </w:p>
        </w:tc>
        <w:tc>
          <w:tcPr>
            <w:tcW w:w="365" w:type="dxa"/>
            <w:tcBorders/>
            <w:shd w:fill="auto" w:val="clear"/>
            <w:vAlign w:val="center"/>
          </w:tcPr>
          <w:p>
            <w:pPr>
              <w:pStyle w:val="TableContents"/>
              <w:spacing w:before="0" w:after="0"/>
              <w:ind w:left="0" w:right="0" w:hanging="0"/>
              <w:jc w:val="center"/>
              <w:rPr/>
            </w:pPr>
            <w:r>
              <w:rPr/>
              <w:t>​</w:t>
            </w:r>
          </w:p>
        </w:tc>
        <w:tc>
          <w:tcPr>
            <w:tcW w:w="1795" w:type="dxa"/>
            <w:tcBorders/>
            <w:shd w:fill="auto" w:val="clear"/>
            <w:vAlign w:val="center"/>
          </w:tcPr>
          <w:p>
            <w:pPr>
              <w:pStyle w:val="TableContents"/>
              <w:spacing w:before="0" w:after="0"/>
              <w:ind w:left="0" w:right="0" w:hanging="0"/>
              <w:jc w:val="center"/>
              <w:rPr/>
            </w:pPr>
            <w:r>
              <w:rPr/>
              <w:t>​</w:t>
            </w:r>
          </w:p>
        </w:tc>
      </w:tr>
      <w:tr>
        <w:trPr/>
        <w:tc>
          <w:tcPr>
            <w:tcW w:w="54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7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266" w:type="dxa"/>
            <w:tcBorders/>
            <w:shd w:fill="auto" w:val="clear"/>
            <w:vAlign w:val="center"/>
          </w:tcPr>
          <w:p>
            <w:pPr>
              <w:pStyle w:val="TableContents"/>
              <w:spacing w:before="0" w:after="0"/>
              <w:ind w:left="0" w:right="0" w:hanging="0"/>
              <w:jc w:val="center"/>
              <w:rPr/>
            </w:pPr>
            <w:r>
              <w:rPr/>
              <w:t>​</w:t>
            </w:r>
          </w:p>
        </w:tc>
        <w:tc>
          <w:tcPr>
            <w:tcW w:w="17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Reported Value of</w:t>
            </w:r>
          </w:p>
        </w:tc>
        <w:tc>
          <w:tcPr>
            <w:tcW w:w="266" w:type="dxa"/>
            <w:tcBorders/>
            <w:shd w:fill="auto" w:val="clear"/>
            <w:vAlign w:val="center"/>
          </w:tcPr>
          <w:p>
            <w:pPr>
              <w:pStyle w:val="TableContents"/>
              <w:spacing w:before="0" w:after="0"/>
              <w:ind w:left="0" w:right="0" w:hanging="0"/>
              <w:jc w:val="center"/>
              <w:rPr/>
            </w:pPr>
            <w:r>
              <w:rPr/>
              <w:t>​</w:t>
            </w:r>
          </w:p>
        </w:tc>
        <w:tc>
          <w:tcPr>
            <w:tcW w:w="20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Award</w:t>
            </w:r>
          </w:p>
        </w:tc>
        <w:tc>
          <w:tcPr>
            <w:tcW w:w="266" w:type="dxa"/>
            <w:tcBorders/>
            <w:shd w:fill="auto" w:val="clear"/>
            <w:vAlign w:val="center"/>
          </w:tcPr>
          <w:p>
            <w:pPr>
              <w:pStyle w:val="TableContents"/>
              <w:spacing w:before="0" w:after="0"/>
              <w:ind w:left="0" w:right="0" w:hanging="0"/>
              <w:jc w:val="center"/>
              <w:rPr/>
            </w:pPr>
            <w:r>
              <w:rPr/>
              <w:t>​</w:t>
            </w:r>
          </w:p>
        </w:tc>
        <w:tc>
          <w:tcPr>
            <w:tcW w:w="21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54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71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Table Total for </w:t>
            </w:r>
          </w:p>
        </w:tc>
        <w:tc>
          <w:tcPr>
            <w:tcW w:w="266" w:type="dxa"/>
            <w:tcBorders/>
            <w:shd w:fill="auto" w:val="clear"/>
            <w:vAlign w:val="center"/>
          </w:tcPr>
          <w:p>
            <w:pPr>
              <w:pStyle w:val="TableContents"/>
              <w:spacing w:before="0" w:after="0"/>
              <w:ind w:left="0" w:right="0" w:hanging="0"/>
              <w:jc w:val="center"/>
              <w:rPr/>
            </w:pPr>
            <w:r>
              <w:rPr/>
              <w:t>​</w:t>
            </w:r>
          </w:p>
        </w:tc>
        <w:tc>
          <w:tcPr>
            <w:tcW w:w="17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Awards for</w:t>
            </w:r>
          </w:p>
        </w:tc>
        <w:tc>
          <w:tcPr>
            <w:tcW w:w="266" w:type="dxa"/>
            <w:tcBorders/>
            <w:shd w:fill="auto" w:val="clear"/>
            <w:vAlign w:val="center"/>
          </w:tcPr>
          <w:p>
            <w:pPr>
              <w:pStyle w:val="TableContents"/>
              <w:spacing w:before="0" w:after="0"/>
              <w:ind w:left="0" w:right="0" w:hanging="0"/>
              <w:jc w:val="center"/>
              <w:rPr/>
            </w:pPr>
            <w:r>
              <w:rPr/>
              <w:t>​</w:t>
            </w:r>
          </w:p>
        </w:tc>
        <w:tc>
          <w:tcPr>
            <w:tcW w:w="20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Adjustments</w:t>
            </w:r>
          </w:p>
        </w:tc>
        <w:tc>
          <w:tcPr>
            <w:tcW w:w="266" w:type="dxa"/>
            <w:tcBorders/>
            <w:shd w:fill="auto" w:val="clear"/>
            <w:vAlign w:val="center"/>
          </w:tcPr>
          <w:p>
            <w:pPr>
              <w:pStyle w:val="TableContents"/>
              <w:spacing w:before="0" w:after="0"/>
              <w:ind w:left="0" w:right="0" w:hanging="0"/>
              <w:jc w:val="center"/>
              <w:rPr/>
            </w:pPr>
            <w:r>
              <w:rPr/>
              <w:t>​</w:t>
            </w:r>
          </w:p>
        </w:tc>
        <w:tc>
          <w:tcPr>
            <w:tcW w:w="21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Actually</w:t>
            </w:r>
          </w:p>
        </w:tc>
      </w:tr>
      <w:tr>
        <w:trPr/>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Year</w:t>
            </w:r>
          </w:p>
        </w:tc>
        <w:tc>
          <w:tcPr>
            <w:tcW w:w="266" w:type="dxa"/>
            <w:tcBorders/>
            <w:shd w:fill="auto" w:val="clear"/>
            <w:vAlign w:val="center"/>
          </w:tcPr>
          <w:p>
            <w:pPr>
              <w:pStyle w:val="TableContents"/>
              <w:spacing w:before="0" w:after="0"/>
              <w:ind w:left="0" w:right="0" w:hanging="0"/>
              <w:jc w:val="center"/>
              <w:rPr/>
            </w:pPr>
            <w:r>
              <w:rPr/>
              <w:t>   </w:t>
            </w:r>
          </w:p>
        </w:tc>
        <w:tc>
          <w:tcPr>
            <w:tcW w:w="17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Non-CEO NEOs</w:t>
            </w:r>
          </w:p>
        </w:tc>
        <w:tc>
          <w:tcPr>
            <w:tcW w:w="266" w:type="dxa"/>
            <w:tcBorders/>
            <w:shd w:fill="auto" w:val="clear"/>
            <w:vAlign w:val="center"/>
          </w:tcPr>
          <w:p>
            <w:pPr>
              <w:pStyle w:val="TableContents"/>
              <w:spacing w:before="0" w:after="0"/>
              <w:ind w:left="0" w:right="0" w:hanging="0"/>
              <w:jc w:val="center"/>
              <w:rPr/>
            </w:pPr>
            <w:r>
              <w:rPr/>
              <w:t>   </w:t>
            </w:r>
          </w:p>
        </w:tc>
        <w:tc>
          <w:tcPr>
            <w:tcW w:w="1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Non-CEO NEOs (1)</w:t>
            </w:r>
          </w:p>
        </w:tc>
        <w:tc>
          <w:tcPr>
            <w:tcW w:w="266" w:type="dxa"/>
            <w:tcBorders/>
            <w:shd w:fill="auto" w:val="clear"/>
            <w:vAlign w:val="center"/>
          </w:tcPr>
          <w:p>
            <w:pPr>
              <w:pStyle w:val="TableContents"/>
              <w:spacing w:before="0" w:after="0"/>
              <w:ind w:left="0" w:right="0" w:hanging="0"/>
              <w:jc w:val="center"/>
              <w:rPr/>
            </w:pPr>
            <w:r>
              <w:rPr/>
              <w:t>   </w:t>
            </w:r>
          </w:p>
        </w:tc>
        <w:tc>
          <w:tcPr>
            <w:tcW w:w="2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Non-CEO NEOs (2)</w:t>
            </w:r>
          </w:p>
        </w:tc>
        <w:tc>
          <w:tcPr>
            <w:tcW w:w="266" w:type="dxa"/>
            <w:tcBorders/>
            <w:shd w:fill="auto" w:val="clear"/>
            <w:vAlign w:val="center"/>
          </w:tcPr>
          <w:p>
            <w:pPr>
              <w:pStyle w:val="TableContents"/>
              <w:spacing w:before="0" w:after="0"/>
              <w:ind w:left="0" w:right="0" w:hanging="0"/>
              <w:jc w:val="center"/>
              <w:rPr/>
            </w:pPr>
            <w:r>
              <w:rPr/>
              <w:t>   </w:t>
            </w:r>
          </w:p>
        </w:tc>
        <w:tc>
          <w:tcPr>
            <w:tcW w:w="2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Paid to Non-CEO NEOs</w:t>
            </w:r>
          </w:p>
        </w:tc>
      </w:tr>
      <w:tr>
        <w:trPr/>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266"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1,205,110</w:t>
            </w:r>
          </w:p>
        </w:tc>
        <w:tc>
          <w:tcPr>
            <w:tcW w:w="266"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(560,722)</w:t>
            </w:r>
          </w:p>
        </w:tc>
        <w:tc>
          <w:tcPr>
            <w:tcW w:w="266" w:type="dxa"/>
            <w:tcBorders/>
            <w:shd w:fill="CCEEFF" w:val="clear"/>
            <w:vAlign w:val="center"/>
          </w:tcPr>
          <w:p>
            <w:pPr>
              <w:pStyle w:val="TableContents"/>
              <w:spacing w:before="0" w:after="0"/>
              <w:ind w:left="0" w:right="0" w:hanging="0"/>
              <w:rPr/>
            </w:pPr>
            <w:r>
              <w:rPr/>
              <w:t>​</w:t>
            </w:r>
          </w:p>
        </w:tc>
        <w:tc>
          <w:tcPr>
            <w:tcW w:w="4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959,645</w:t>
            </w:r>
          </w:p>
        </w:tc>
        <w:tc>
          <w:tcPr>
            <w:tcW w:w="266" w:type="dxa"/>
            <w:tcBorders/>
            <w:shd w:fill="CCEEFF" w:val="clear"/>
            <w:vAlign w:val="center"/>
          </w:tcPr>
          <w:p>
            <w:pPr>
              <w:pStyle w:val="TableContents"/>
              <w:spacing w:before="0" w:after="0"/>
              <w:ind w:left="0" w:right="0" w:hanging="0"/>
              <w:rPr/>
            </w:pPr>
            <w:r>
              <w:rPr/>
              <w:t>​</w:t>
            </w:r>
          </w:p>
        </w:tc>
        <w:tc>
          <w:tcPr>
            <w:tcW w:w="3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1,604,033</w:t>
            </w:r>
          </w:p>
        </w:tc>
      </w:tr>
      <w:tr>
        <w:trPr/>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2021</w:t>
            </w:r>
          </w:p>
        </w:tc>
        <w:tc>
          <w:tcPr>
            <w:tcW w:w="26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1,099,912</w:t>
            </w:r>
          </w:p>
        </w:tc>
        <w:tc>
          <w:tcPr>
            <w:tcW w:w="266" w:type="dxa"/>
            <w:tcBorders/>
            <w:shd w:fill="auto" w:val="clear"/>
            <w:vAlign w:val="center"/>
          </w:tcPr>
          <w:p>
            <w:pPr>
              <w:pStyle w:val="TableContents"/>
              <w:spacing w:before="0" w:after="0"/>
              <w:ind w:left="0" w:right="0" w:hanging="0"/>
              <w:rPr/>
            </w:pPr>
            <w:r>
              <w:rPr/>
              <w:t>​</w:t>
            </w:r>
          </w:p>
        </w:tc>
        <w:tc>
          <w:tcPr>
            <w:tcW w:w="3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(553,324)</w:t>
            </w:r>
          </w:p>
        </w:tc>
        <w:tc>
          <w:tcPr>
            <w:tcW w:w="266" w:type="dxa"/>
            <w:tcBorders/>
            <w:shd w:fill="auto" w:val="clear"/>
            <w:vAlign w:val="center"/>
          </w:tcPr>
          <w:p>
            <w:pPr>
              <w:pStyle w:val="TableContents"/>
              <w:spacing w:before="0" w:after="0"/>
              <w:ind w:left="0" w:right="0" w:hanging="0"/>
              <w:rPr/>
            </w:pPr>
            <w:r>
              <w:rPr/>
              <w:t>​</w:t>
            </w:r>
          </w:p>
        </w:tc>
        <w:tc>
          <w:tcPr>
            <w:tcW w:w="4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553,942</w:t>
            </w:r>
          </w:p>
        </w:tc>
        <w:tc>
          <w:tcPr>
            <w:tcW w:w="266" w:type="dxa"/>
            <w:tcBorders/>
            <w:shd w:fill="auto" w:val="clear"/>
            <w:vAlign w:val="center"/>
          </w:tcPr>
          <w:p>
            <w:pPr>
              <w:pStyle w:val="TableContents"/>
              <w:spacing w:before="0" w:after="0"/>
              <w:ind w:left="0" w:right="0" w:hanging="0"/>
              <w:rPr/>
            </w:pPr>
            <w:r>
              <w:rPr/>
              <w:t>​</w:t>
            </w:r>
          </w:p>
        </w:tc>
        <w:tc>
          <w:tcPr>
            <w:tcW w:w="3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9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1,100,530</w:t>
            </w:r>
          </w:p>
        </w:tc>
      </w:tr>
      <w:tr>
        <w:trPr/>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266"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1,322,165</w:t>
            </w:r>
          </w:p>
        </w:tc>
        <w:tc>
          <w:tcPr>
            <w:tcW w:w="266"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(609,865)</w:t>
            </w:r>
          </w:p>
        </w:tc>
        <w:tc>
          <w:tcPr>
            <w:tcW w:w="266" w:type="dxa"/>
            <w:tcBorders/>
            <w:shd w:fill="CCEEFF" w:val="clear"/>
            <w:vAlign w:val="center"/>
          </w:tcPr>
          <w:p>
            <w:pPr>
              <w:pStyle w:val="TableContents"/>
              <w:spacing w:before="0" w:after="0"/>
              <w:ind w:left="0" w:right="0" w:hanging="0"/>
              <w:rPr/>
            </w:pPr>
            <w:r>
              <w:rPr/>
              <w:t>​</w:t>
            </w:r>
          </w:p>
        </w:tc>
        <w:tc>
          <w:tcPr>
            <w:tcW w:w="4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510,027</w:t>
            </w:r>
          </w:p>
        </w:tc>
        <w:tc>
          <w:tcPr>
            <w:tcW w:w="266" w:type="dxa"/>
            <w:tcBorders/>
            <w:shd w:fill="CCEEFF" w:val="clear"/>
            <w:vAlign w:val="center"/>
          </w:tcPr>
          <w:p>
            <w:pPr>
              <w:pStyle w:val="TableContents"/>
              <w:spacing w:before="0" w:after="0"/>
              <w:ind w:left="0" w:right="0" w:hanging="0"/>
              <w:rPr/>
            </w:pPr>
            <w:r>
              <w:rPr/>
              <w:t>​</w:t>
            </w:r>
          </w:p>
        </w:tc>
        <w:tc>
          <w:tcPr>
            <w:tcW w:w="3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95"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1,222,327</w:t>
            </w:r>
          </w:p>
        </w:tc>
      </w:tr>
    </w:tbl>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average of the grant date fair value of the equity awards to our named executive officers (other than our CEO), as reported in the “Stock Awards” column in the SCT for each applicable year.</w:t>
            </w:r>
          </w:p>
        </w:tc>
      </w:tr>
    </w:tbl>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adjustments for the equity awards granted to our named executive officers (other than our CEO) to arrive at CAP, as itemized in the table below. No awards vested in the year they were granted.</w:t>
            </w:r>
          </w:p>
        </w:tc>
      </w:tr>
    </w:tbl>
    <w:tbl>
      <w:tblPr>
        <w:tblW w:w="10205" w:type="dxa"/>
        <w:jc w:val="left"/>
        <w:tblInd w:w="0" w:type="dxa"/>
        <w:tblCellMar>
          <w:top w:w="0" w:type="dxa"/>
          <w:left w:w="0" w:type="dxa"/>
          <w:bottom w:w="0" w:type="dxa"/>
          <w:right w:w="0" w:type="dxa"/>
        </w:tblCellMar>
      </w:tblPr>
      <w:tblGrid>
        <w:gridCol w:w="6723"/>
        <w:gridCol w:w="109"/>
        <w:gridCol w:w="211"/>
        <w:gridCol w:w="781"/>
        <w:gridCol w:w="109"/>
        <w:gridCol w:w="211"/>
        <w:gridCol w:w="795"/>
        <w:gridCol w:w="109"/>
        <w:gridCol w:w="211"/>
        <w:gridCol w:w="946"/>
      </w:tblGrid>
      <w:tr>
        <w:trPr/>
        <w:tc>
          <w:tcPr>
            <w:tcW w:w="67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269105" cy="175260"/>
                      <wp:effectExtent l="0" t="0" r="0" b="0"/>
                      <wp:wrapNone/>
                      <wp:docPr id="117" name="Frame100"/>
                      <a:graphic xmlns:a="http://schemas.openxmlformats.org/drawingml/2006/main">
                        <a:graphicData uri="http://schemas.microsoft.com/office/word/2010/wordprocessingShape">
                          <wps:wsp>
                            <wps:cNvSpPr txBox="1"/>
                            <wps:spPr>
                              <a:xfrm>
                                <a:off x="0" y="0"/>
                                <a:ext cx="4269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18" name="Frame1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19"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95935" cy="175260"/>
                      <wp:effectExtent l="0" t="0" r="0" b="0"/>
                      <wp:wrapNone/>
                      <wp:docPr id="120" name="Frame10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1" name="Frame1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2" name="Frame1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04825" cy="175260"/>
                      <wp:effectExtent l="0" t="0" r="0" b="0"/>
                      <wp:wrapNone/>
                      <wp:docPr id="123" name="Frame106"/>
                      <a:graphic xmlns:a="http://schemas.openxmlformats.org/drawingml/2006/main">
                        <a:graphicData uri="http://schemas.microsoft.com/office/word/2010/wordprocessingShape">
                          <wps:wsp>
                            <wps:cNvSpPr txBox="1"/>
                            <wps:spPr>
                              <a:xfrm>
                                <a:off x="0" y="0"/>
                                <a:ext cx="504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4" name="Frame1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25" name="Frame1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00710" cy="175260"/>
                      <wp:effectExtent l="0" t="0" r="0" b="0"/>
                      <wp:wrapNone/>
                      <wp:docPr id="126" name="Frame109"/>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2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Fair Value of Equity Awards for Non-CEO NEOs</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shd w:fill="auto" w:val="clear"/>
            <w:vAlign w:val="center"/>
          </w:tcPr>
          <w:p>
            <w:pPr>
              <w:pStyle w:val="TableContents"/>
              <w:spacing w:before="0" w:after="0"/>
              <w:ind w:left="0" w:right="0" w:hanging="0"/>
              <w:jc w:val="center"/>
              <w:rPr/>
            </w:pPr>
            <w:r>
              <w:rPr/>
              <w:t>​</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109" w:type="dxa"/>
            <w:tcBorders/>
            <w:shd w:fill="auto" w:val="clear"/>
            <w:vAlign w:val="center"/>
          </w:tcPr>
          <w:p>
            <w:pPr>
              <w:pStyle w:val="TableContents"/>
              <w:spacing w:before="0" w:after="0"/>
              <w:ind w:left="0" w:right="0" w:hanging="0"/>
              <w:jc w:val="center"/>
              <w:rPr/>
            </w:pPr>
            <w:r>
              <w:rPr/>
              <w:t>​</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r>
      <w:tr>
        <w:trPr/>
        <w:tc>
          <w:tcPr>
            <w:tcW w:w="67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 of year-end for awards granted during the year</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713,892</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551,651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675,443</w:t>
            </w:r>
          </w:p>
        </w:tc>
      </w:tr>
      <w:tr>
        <w:trPr/>
        <w:tc>
          <w:tcPr>
            <w:tcW w:w="67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Year-over-year increase (decrease) of unvested awards granted in prior years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232,133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(79,117)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(34,816)</w:t>
            </w:r>
          </w:p>
        </w:tc>
      </w:tr>
      <w:tr>
        <w:trPr/>
        <w:tc>
          <w:tcPr>
            <w:tcW w:w="67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Increase (decrease) from prior fiscal year-end for awards that vested during the year</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13,620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81,408</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(130,600)</w:t>
            </w:r>
          </w:p>
        </w:tc>
      </w:tr>
      <w:tr>
        <w:trPr/>
        <w:tc>
          <w:tcPr>
            <w:tcW w:w="67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 Award Adjustments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959,645</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553,942</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510,027</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Pay-for-Performance Alignment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following table identifies the seven most important financial performance measures used by our Compensation Committee to link the “compensation actually paid” (CAP) to our CEO and other NEOs in 2022, calculated in accordance with SEC regulations, to company performance.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Most Important Financial Performance Measures</w:t>
      </w:r>
    </w:p>
    <w:tbl>
      <w:tblPr>
        <w:tblW w:w="2016" w:type="dxa"/>
        <w:jc w:val="left"/>
        <w:tblInd w:w="0" w:type="dxa"/>
        <w:tblCellMar>
          <w:top w:w="28" w:type="dxa"/>
          <w:left w:w="28" w:type="dxa"/>
          <w:bottom w:w="28" w:type="dxa"/>
          <w:right w:w="28" w:type="dxa"/>
        </w:tblCellMar>
      </w:tblPr>
      <w:tblGrid>
        <w:gridCol w:w="124"/>
        <w:gridCol w:w="256"/>
        <w:gridCol w:w="1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6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r>
    </w:tbl>
    <w:tbl>
      <w:tblPr>
        <w:tblW w:w="1896" w:type="dxa"/>
        <w:jc w:val="left"/>
        <w:tblInd w:w="0" w:type="dxa"/>
        <w:tblCellMar>
          <w:top w:w="28" w:type="dxa"/>
          <w:left w:w="28" w:type="dxa"/>
          <w:bottom w:w="28" w:type="dxa"/>
          <w:right w:w="28" w:type="dxa"/>
        </w:tblCellMar>
      </w:tblPr>
      <w:tblGrid>
        <w:gridCol w:w="124"/>
        <w:gridCol w:w="256"/>
        <w:gridCol w:w="1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5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w:t>
            </w:r>
          </w:p>
        </w:tc>
      </w:tr>
    </w:tbl>
    <w:tbl>
      <w:tblPr>
        <w:tblW w:w="1941" w:type="dxa"/>
        <w:jc w:val="left"/>
        <w:tblInd w:w="0" w:type="dxa"/>
        <w:tblCellMar>
          <w:top w:w="28" w:type="dxa"/>
          <w:left w:w="28" w:type="dxa"/>
          <w:bottom w:w="28" w:type="dxa"/>
          <w:right w:w="28" w:type="dxa"/>
        </w:tblCellMar>
      </w:tblPr>
      <w:tblGrid>
        <w:gridCol w:w="124"/>
        <w:gridCol w:w="256"/>
        <w:gridCol w:w="1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on Equity</w:t>
            </w:r>
          </w:p>
        </w:tc>
      </w:tr>
    </w:tbl>
    <w:tbl>
      <w:tblPr>
        <w:tblW w:w="1776" w:type="dxa"/>
        <w:jc w:val="left"/>
        <w:tblInd w:w="0" w:type="dxa"/>
        <w:tblCellMar>
          <w:top w:w="28" w:type="dxa"/>
          <w:left w:w="28" w:type="dxa"/>
          <w:bottom w:w="28" w:type="dxa"/>
          <w:right w:w="28" w:type="dxa"/>
        </w:tblCellMar>
      </w:tblPr>
      <w:tblGrid>
        <w:gridCol w:w="124"/>
        <w:gridCol w:w="256"/>
        <w:gridCol w:w="1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p>
        </w:tc>
      </w:tr>
    </w:tbl>
    <w:tbl>
      <w:tblPr>
        <w:tblW w:w="2586" w:type="dxa"/>
        <w:jc w:val="left"/>
        <w:tblInd w:w="0" w:type="dxa"/>
        <w:tblCellMar>
          <w:top w:w="28" w:type="dxa"/>
          <w:left w:w="28" w:type="dxa"/>
          <w:bottom w:w="28" w:type="dxa"/>
          <w:right w:w="28" w:type="dxa"/>
        </w:tblCellMar>
      </w:tblPr>
      <w:tblGrid>
        <w:gridCol w:w="124"/>
        <w:gridCol w:w="256"/>
        <w:gridCol w:w="2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w:t>
            </w:r>
          </w:p>
        </w:tc>
      </w:tr>
    </w:tbl>
    <w:tbl>
      <w:tblPr>
        <w:tblW w:w="3516" w:type="dxa"/>
        <w:jc w:val="left"/>
        <w:tblInd w:w="0" w:type="dxa"/>
        <w:tblCellMar>
          <w:top w:w="28" w:type="dxa"/>
          <w:left w:w="28" w:type="dxa"/>
          <w:bottom w:w="28" w:type="dxa"/>
          <w:right w:w="28" w:type="dxa"/>
        </w:tblCellMar>
      </w:tblPr>
      <w:tblGrid>
        <w:gridCol w:w="124"/>
        <w:gridCol w:w="256"/>
        <w:gridCol w:w="3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Non-GAAP Diluted EPS</w:t>
            </w:r>
          </w:p>
        </w:tc>
      </w:tr>
    </w:tbl>
    <w:tbl>
      <w:tblPr>
        <w:tblW w:w="1461" w:type="dxa"/>
        <w:jc w:val="left"/>
        <w:tblInd w:w="0" w:type="dxa"/>
        <w:tblCellMar>
          <w:top w:w="28" w:type="dxa"/>
          <w:left w:w="28" w:type="dxa"/>
          <w:bottom w:w="28" w:type="dxa"/>
          <w:right w:w="28" w:type="dxa"/>
        </w:tblCellMar>
      </w:tblPr>
      <w:tblGrid>
        <w:gridCol w:w="124"/>
        <w:gridCol w:w="256"/>
        <w:gridCol w:w="10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r>
    </w:tbl>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Company Selected Metric</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performance. We also present Adjusted EBITDA because we believe it is frequently used by securities analysts, investors, and other interest parties as a measure of performance.</w:t>
      </w:r>
    </w:p>
    <w:p>
      <w:pPr>
        <w:pStyle w:val="TextBody"/>
        <w:spacing w:before="0" w:after="120"/>
        <w:ind w:left="0" w:right="0" w:hanging="0"/>
        <w:jc w:val="center"/>
        <w:rPr/>
      </w:pPr>
      <w:r>
        <w:rPr/>
        <w:drawing>
          <wp:inline distT="0" distB="0" distL="0" distR="0">
            <wp:extent cx="5723890" cy="3322320"/>
            <wp:effectExtent l="0" t="0" r="0" b="0"/>
            <wp:docPr id="1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8" descr=""/>
                    <pic:cNvPicPr>
                      <a:picLocks noChangeAspect="1" noChangeArrowheads="1"/>
                    </pic:cNvPicPr>
                  </pic:nvPicPr>
                  <pic:blipFill>
                    <a:blip r:embed="rId19"/>
                    <a:stretch>
                      <a:fillRect/>
                    </a:stretch>
                  </pic:blipFill>
                  <pic:spPr bwMode="auto">
                    <a:xfrm>
                      <a:off x="0" y="0"/>
                      <a:ext cx="5723890" cy="3322320"/>
                    </a:xfrm>
                    <a:prstGeom prst="rect">
                      <a:avLst/>
                    </a:prstGeom>
                  </pic:spPr>
                </pic:pic>
              </a:graphicData>
            </a:graphic>
          </wp:inline>
        </w:drawing>
      </w:r>
    </w:p>
    <w:p>
      <w:pPr>
        <w:pStyle w:val="TextBody"/>
        <w:spacing w:before="0" w:after="120"/>
        <w:ind w:left="0" w:right="0" w:hanging="0"/>
        <w:jc w:val="center"/>
        <w:rPr/>
      </w:pPr>
      <w:r>
        <w:rPr/>
        <w:t>​</w:t>
      </w:r>
    </w:p>
    <w:p>
      <w:pPr>
        <w:pStyle w:val="TextBody"/>
        <w:spacing w:before="0" w:after="120"/>
        <w:ind w:left="0" w:right="0" w:hanging="0"/>
        <w:jc w:val="center"/>
        <w:rPr/>
      </w:pPr>
      <w:r>
        <w:rPr/>
        <w:drawing>
          <wp:inline distT="0" distB="0" distL="0" distR="0">
            <wp:extent cx="5723890" cy="3608705"/>
            <wp:effectExtent l="0" t="0" r="0" b="0"/>
            <wp:docPr id="1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9" descr=""/>
                    <pic:cNvPicPr>
                      <a:picLocks noChangeAspect="1" noChangeArrowheads="1"/>
                    </pic:cNvPicPr>
                  </pic:nvPicPr>
                  <pic:blipFill>
                    <a:blip r:embed="rId20"/>
                    <a:stretch>
                      <a:fillRect/>
                    </a:stretch>
                  </pic:blipFill>
                  <pic:spPr bwMode="auto">
                    <a:xfrm>
                      <a:off x="0" y="0"/>
                      <a:ext cx="5723890" cy="3608705"/>
                    </a:xfrm>
                    <a:prstGeom prst="rect">
                      <a:avLst/>
                    </a:prstGeom>
                  </pic:spPr>
                </pic:pic>
              </a:graphicData>
            </a:graphic>
          </wp:inline>
        </w:drawing>
      </w:r>
    </w:p>
    <w:p>
      <w:pPr>
        <w:pStyle w:val="TextBody"/>
        <w:spacing w:before="0" w:after="12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pPr>
      <w:r>
        <w:rPr/>
        <w:drawing>
          <wp:inline distT="0" distB="0" distL="0" distR="0">
            <wp:extent cx="5723890" cy="3892550"/>
            <wp:effectExtent l="0" t="0" r="0" b="0"/>
            <wp:docPr id="1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0" descr=""/>
                    <pic:cNvPicPr>
                      <a:picLocks noChangeAspect="1" noChangeArrowheads="1"/>
                    </pic:cNvPicPr>
                  </pic:nvPicPr>
                  <pic:blipFill>
                    <a:blip r:embed="rId21"/>
                    <a:stretch>
                      <a:fillRect/>
                    </a:stretch>
                  </pic:blipFill>
                  <pic:spPr bwMode="auto">
                    <a:xfrm>
                      <a:off x="0" y="0"/>
                      <a:ext cx="5723890" cy="3892550"/>
                    </a:xfrm>
                    <a:prstGeom prst="rect">
                      <a:avLst/>
                    </a:prstGeom>
                  </pic:spPr>
                </pic:pic>
              </a:graphicData>
            </a:graphic>
          </wp:inline>
        </w:drawing>
      </w:r>
    </w:p>
    <w:p>
      <w:pPr>
        <w:pStyle w:val="TextBody"/>
        <w:spacing w:before="0" w:after="120"/>
        <w:ind w:left="0" w:right="0" w:hanging="0"/>
        <w:jc w:val="center"/>
        <w:rPr/>
      </w:pPr>
      <w:r>
        <w:rPr/>
        <w:t>​</w:t>
      </w:r>
    </w:p>
    <w:p>
      <w:pPr>
        <w:pStyle w:val="TextBody"/>
        <w:spacing w:before="0" w:after="120"/>
        <w:ind w:left="0" w:right="0" w:hanging="0"/>
        <w:jc w:val="center"/>
        <w:rPr/>
      </w:pPr>
      <w:r>
        <w:rPr/>
        <w:t>​</w:t>
      </w:r>
    </w:p>
    <w:p>
      <w:pPr>
        <w:pStyle w:val="TextBody"/>
        <w:spacing w:before="0" w:after="240"/>
        <w:ind w:left="0" w:right="0" w:hanging="0"/>
        <w:rPr>
          <w:rFonts w:ascii="Times New Roman;Times;serif" w:hAnsi="Times New Roman;Times;serif"/>
          <w:b/>
          <w:sz w:val="20"/>
        </w:rPr>
      </w:pPr>
      <w:bookmarkStart w:id="388" w:name="CompensationCommitteeReport_99522"/>
      <w:bookmarkEnd w:id="388"/>
      <w:r>
        <w:rPr>
          <w:rFonts w:ascii="Times New Roman;Times;serif" w:hAnsi="Times New Roman;Times;serif"/>
          <w:b/>
          <w:sz w:val="20"/>
        </w:rPr>
        <w:t>Compensation Committee Report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tbl>
      <w:tblPr>
        <w:tblW w:w="2465" w:type="dxa"/>
        <w:jc w:val="left"/>
        <w:tblInd w:w="0" w:type="dxa"/>
        <w:tblCellMar>
          <w:top w:w="0" w:type="dxa"/>
          <w:left w:w="0" w:type="dxa"/>
          <w:bottom w:w="0" w:type="dxa"/>
          <w:right w:w="0" w:type="dxa"/>
        </w:tblCellMar>
      </w:tblPr>
      <w:tblGrid>
        <w:gridCol w:w="124"/>
        <w:gridCol w:w="2341"/>
      </w:tblGrid>
      <w:tr>
        <w:trPr/>
        <w:tc>
          <w:tcPr>
            <w:tcW w:w="124" w:type="dxa"/>
            <w:tcBorders/>
            <w:shd w:fill="auto" w:val="clear"/>
            <w:vAlign w:val="center"/>
          </w:tcPr>
          <w:p>
            <w:pPr>
              <w:pStyle w:val="TableContents"/>
              <w:spacing w:before="0" w:after="0"/>
              <w:ind w:left="0" w:right="0" w:hanging="0"/>
              <w:rPr/>
            </w:pPr>
            <w:r>
              <w:rPr/>
              <w:t>​</w:t>
            </w:r>
          </w:p>
        </w:tc>
        <w:tc>
          <w:tcPr>
            <w:tcW w:w="234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Compensation Committee:</w:t>
            </w:r>
          </w:p>
        </w:tc>
      </w:tr>
      <w:tr>
        <w:trPr/>
        <w:tc>
          <w:tcPr>
            <w:tcW w:w="124" w:type="dxa"/>
            <w:tcBorders/>
            <w:shd w:fill="auto" w:val="clear"/>
            <w:vAlign w:val="center"/>
          </w:tcPr>
          <w:p>
            <w:pPr>
              <w:pStyle w:val="TableContents"/>
              <w:spacing w:before="0" w:after="0"/>
              <w:ind w:left="0" w:right="0" w:hanging="0"/>
              <w:rPr/>
            </w:pPr>
            <w:r>
              <w:rPr/>
              <w:t>​</w:t>
            </w:r>
          </w:p>
        </w:tc>
        <w:tc>
          <w:tcPr>
            <w:tcW w:w="234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34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Chevy Humphrey (Chair)</w:t>
            </w:r>
          </w:p>
        </w:tc>
      </w:tr>
      <w:tr>
        <w:trPr/>
        <w:tc>
          <w:tcPr>
            <w:tcW w:w="124" w:type="dxa"/>
            <w:tcBorders/>
            <w:shd w:fill="auto" w:val="clear"/>
            <w:vAlign w:val="center"/>
          </w:tcPr>
          <w:p>
            <w:pPr>
              <w:pStyle w:val="TableContents"/>
              <w:spacing w:before="0" w:after="0"/>
              <w:ind w:left="0" w:right="0" w:hanging="0"/>
              <w:rPr/>
            </w:pPr>
            <w:r>
              <w:rPr/>
              <w:t>​</w:t>
            </w:r>
          </w:p>
        </w:tc>
        <w:tc>
          <w:tcPr>
            <w:tcW w:w="234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Jack A. Henry</w:t>
            </w:r>
          </w:p>
        </w:tc>
      </w:tr>
      <w:tr>
        <w:trPr/>
        <w:tc>
          <w:tcPr>
            <w:tcW w:w="124" w:type="dxa"/>
            <w:tcBorders/>
            <w:shd w:fill="auto" w:val="clear"/>
            <w:vAlign w:val="center"/>
          </w:tcPr>
          <w:p>
            <w:pPr>
              <w:pStyle w:val="TableContents"/>
              <w:spacing w:before="0" w:after="0"/>
              <w:ind w:left="0" w:right="0" w:hanging="0"/>
              <w:rPr/>
            </w:pPr>
            <w:r>
              <w:rPr/>
              <w:t>​</w:t>
            </w:r>
          </w:p>
        </w:tc>
        <w:tc>
          <w:tcPr>
            <w:tcW w:w="234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Sara R. Dial</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Lisa Graham Keegan</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David M. Adame</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264" w:right="0" w:hanging="0"/>
        <w:jc w:val="center"/>
        <w:rPr>
          <w:rFonts w:ascii="Times New Roman;Times;serif" w:hAnsi="Times New Roman;Times;serif"/>
          <w:b/>
          <w:sz w:val="20"/>
        </w:rPr>
      </w:pPr>
      <w:bookmarkStart w:id="389" w:name="ProposalNO3_new"/>
      <w:bookmarkStart w:id="390" w:name="_ed905930_7e47_49af_84ec_e44254e904e5"/>
      <w:bookmarkEnd w:id="389"/>
      <w:bookmarkEnd w:id="390"/>
      <w:r>
        <w:rPr>
          <w:rFonts w:ascii="Times New Roman;Times;serif" w:hAnsi="Times New Roman;Times;serif"/>
          <w:b/>
          <w:sz w:val="20"/>
        </w:rPr>
        <w:t>PROPOSAL NO. 3</w:t>
      </w:r>
    </w:p>
    <w:p>
      <w:pPr>
        <w:pStyle w:val="TextBody"/>
        <w:spacing w:before="0" w:after="0"/>
        <w:ind w:left="264" w:right="0" w:hanging="0"/>
        <w:jc w:val="center"/>
        <w:rPr>
          <w:rFonts w:ascii="Times New Roman;Times;serif" w:hAnsi="Times New Roman;Times;serif"/>
          <w:b/>
          <w:sz w:val="20"/>
        </w:rPr>
      </w:pPr>
      <w:r>
        <w:rPr>
          <w:rFonts w:ascii="Times New Roman;Times;serif" w:hAnsi="Times New Roman;Times;serif"/>
          <w:b/>
          <w:sz w:val="20"/>
        </w:rPr>
        <w:t>ADVISORY (NON-BINDING) VOTE ON THE FREQUENCY</w:t>
      </w:r>
    </w:p>
    <w:p>
      <w:pPr>
        <w:pStyle w:val="TextBody"/>
        <w:spacing w:before="0" w:after="0"/>
        <w:ind w:left="264" w:right="0" w:hanging="0"/>
        <w:jc w:val="center"/>
        <w:rPr>
          <w:rFonts w:ascii="Times New Roman;Times;serif" w:hAnsi="Times New Roman;Times;serif"/>
          <w:b/>
          <w:sz w:val="20"/>
        </w:rPr>
      </w:pPr>
      <w:r>
        <w:rPr>
          <w:rFonts w:ascii="Times New Roman;Times;serif" w:hAnsi="Times New Roman;Times;serif"/>
          <w:b/>
          <w:sz w:val="20"/>
        </w:rPr>
        <w:t>OF FUTURE ADVISORY VOTES ON EXECUTIVE COMPENSATION</w:t>
      </w:r>
    </w:p>
    <w:p>
      <w:pPr>
        <w:pStyle w:val="TextBody"/>
        <w:spacing w:before="0" w:after="0"/>
        <w:ind w:left="0" w:right="0" w:hanging="0"/>
        <w:jc w:val="center"/>
        <w:rPr/>
      </w:pPr>
      <w:r>
        <w:rPr/>
        <w:t>​</w:t>
      </w:r>
    </w:p>
    <w:p>
      <w:pPr>
        <w:pStyle w:val="Normal"/>
        <w:spacing w:before="0" w:after="0"/>
        <w:ind w:left="0" w:right="0" w:hanging="0"/>
        <w:rPr>
          <w:sz w:val="4"/>
          <w:szCs w:val="4"/>
        </w:rPr>
      </w:pPr>
      <w:r>
        <w:rPr>
          <w:sz w:val="4"/>
          <w:szCs w:val="4"/>
        </w:rPr>
      </w:r>
      <w:bookmarkStart w:id="391" w:name="_cp_table_9_149"/>
      <w:bookmarkStart w:id="392" w:name="_cp_table_9_149"/>
      <w:bookmarkEnd w:id="392"/>
    </w:p>
    <w:tbl>
      <w:tblPr>
        <w:tblW w:w="10205" w:type="dxa"/>
        <w:jc w:val="left"/>
        <w:tblInd w:w="0" w:type="dxa"/>
        <w:tblCellMar>
          <w:top w:w="0" w:type="dxa"/>
          <w:left w:w="0" w:type="dxa"/>
          <w:bottom w:w="0" w:type="dxa"/>
          <w:right w:w="0" w:type="dxa"/>
        </w:tblCellMar>
      </w:tblPr>
      <w:tblGrid>
        <w:gridCol w:w="1491"/>
        <w:gridCol w:w="8714"/>
      </w:tblGrid>
      <w:tr>
        <w:trPr/>
        <w:tc>
          <w:tcPr>
            <w:tcW w:w="1491" w:type="dxa"/>
            <w:tcBorders/>
            <w:shd w:fill="auto" w:val="clear"/>
            <w:vAlign w:val="center"/>
          </w:tcPr>
          <w:p>
            <w:pPr>
              <w:pStyle w:val="TableContents"/>
              <w:spacing w:before="0" w:after="283"/>
              <w:ind w:left="0" w:right="0" w:hanging="0"/>
              <w:rPr>
                <w:sz w:val="4"/>
                <w:szCs w:val="4"/>
              </w:rPr>
            </w:pPr>
            <w:r>
              <w:rPr>
                <w:sz w:val="4"/>
                <w:szCs w:val="4"/>
              </w:rPr>
            </w:r>
          </w:p>
        </w:tc>
        <w:tc>
          <w:tcPr>
            <w:tcW w:w="8714" w:type="dxa"/>
            <w:tcBorders/>
            <w:shd w:fill="auto" w:val="clear"/>
            <w:vAlign w:val="center"/>
          </w:tcPr>
          <w:p>
            <w:pPr>
              <w:pStyle w:val="TableContents"/>
              <w:spacing w:before="0" w:after="283"/>
              <w:ind w:left="0" w:right="0" w:hanging="0"/>
              <w:rPr>
                <w:sz w:val="4"/>
                <w:szCs w:val="4"/>
              </w:rPr>
            </w:pPr>
            <w:r>
              <w:rPr>
                <w:sz w:val="4"/>
                <w:szCs w:val="4"/>
              </w:rPr>
            </w:r>
          </w:p>
        </w:tc>
      </w:tr>
      <w:tr>
        <w:trPr/>
        <w:tc>
          <w:tcPr>
            <w:tcW w:w="1491" w:type="dxa"/>
            <w:tcBorders>
              <w:top w:val="single" w:sz="2" w:space="0" w:color="000000"/>
              <w:left w:val="single" w:sz="2" w:space="0" w:color="000000"/>
            </w:tcBorders>
            <w:shd w:fill="auto" w:val="clear"/>
            <w:tcMar>
              <w:top w:w="28" w:type="dxa"/>
              <w:left w:w="98" w:type="dxa"/>
            </w:tcM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i/>
                <w:sz w:val="18"/>
              </w:rPr>
            </w:pPr>
            <w:r>
              <w:rPr>
                <w:rFonts w:ascii="Times New Roman;Times;serif" w:hAnsi="Times New Roman;Times;serif"/>
                <w:b/>
                <w:i/>
                <w:sz w:val="18"/>
              </w:rPr>
              <w:t>What am I voting on?</w:t>
            </w:r>
          </w:p>
        </w:tc>
        <w:tc>
          <w:tcPr>
            <w:tcW w:w="8714" w:type="dxa"/>
            <w:tcBorders>
              <w:top w:val="single" w:sz="2" w:space="0" w:color="000000"/>
              <w:right w:val="single" w:sz="2" w:space="0" w:color="000000"/>
            </w:tcBorders>
            <w:shd w:fill="auto" w:val="clear"/>
            <w:tcMar>
              <w:top w:w="28" w:type="dxa"/>
              <w:right w:w="98" w:type="dxa"/>
            </w:tcMar>
            <w:vAlign w:val="center"/>
          </w:tcPr>
          <w:p>
            <w:pPr>
              <w:pStyle w:val="TableContents"/>
              <w:spacing w:before="240" w:after="0"/>
              <w:ind w:left="0" w:right="0" w:hanging="0"/>
              <w:rPr>
                <w:rFonts w:ascii="Times New Roman;Times;serif" w:hAnsi="Times New Roman;Times;serif"/>
                <w:sz w:val="18"/>
              </w:rPr>
            </w:pPr>
            <w:r>
              <w:rPr>
                <w:rFonts w:ascii="Times New Roman;Times;serif" w:hAnsi="Times New Roman;Times;serif"/>
                <w:sz w:val="18"/>
              </w:rPr>
              <w:t>Stockholders are being asked to approve, on an advisory basis, the frequency of future advisory Say-on-Pay votes on the compensation of the Company’s named executive officers. Stockholders may cast a non-binding advisory vote on whether they would prefer that we hold the advisory Say-on-Pay vote every year, every two years or every three years. Stockholders may also abstain from voting on this matter</w:t>
            </w:r>
          </w:p>
        </w:tc>
      </w:tr>
      <w:tr>
        <w:trPr/>
        <w:tc>
          <w:tcPr>
            <w:tcW w:w="1491" w:type="dxa"/>
            <w:tcBorders>
              <w:left w:val="single" w:sz="2" w:space="0" w:color="000000"/>
            </w:tcBorders>
            <w:shd w:fill="auto" w:val="clear"/>
            <w:tcMar>
              <w:left w:w="98" w:type="dxa"/>
            </w:tcM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i/>
                <w:sz w:val="18"/>
              </w:rPr>
            </w:pPr>
            <w:r>
              <w:rPr>
                <w:rFonts w:ascii="Times New Roman;Times;serif" w:hAnsi="Times New Roman;Times;serif"/>
                <w:b/>
                <w:i/>
                <w:sz w:val="18"/>
              </w:rPr>
              <w:t>Voting recommendation:</w:t>
            </w:r>
          </w:p>
        </w:tc>
        <w:tc>
          <w:tcPr>
            <w:tcW w:w="8714" w:type="dxa"/>
            <w:tcBorders>
              <w:right w:val="single" w:sz="2" w:space="0" w:color="000000"/>
            </w:tcBorders>
            <w:shd w:fill="auto" w:val="clear"/>
            <w:tcMar>
              <w:right w:w="98" w:type="dxa"/>
            </w:tcMar>
            <w:vAlign w:val="center"/>
          </w:tcPr>
          <w:p>
            <w:pPr>
              <w:pStyle w:val="TableContents"/>
              <w:spacing w:before="240" w:after="0"/>
              <w:ind w:left="0" w:right="0" w:hanging="0"/>
              <w:rPr>
                <w:rFonts w:ascii="Times New Roman;Times;serif" w:hAnsi="Times New Roman;Times;serif"/>
                <w:sz w:val="18"/>
              </w:rPr>
            </w:pPr>
            <w:r>
              <w:rPr>
                <w:rFonts w:ascii="Times New Roman;Times;serif" w:hAnsi="Times New Roman;Times;serif"/>
                <w:sz w:val="18"/>
              </w:rPr>
              <w:t>Our Board of Directors unanimously recommends that you vote for the option of “</w:t>
            </w:r>
            <w:r>
              <w:rPr>
                <w:rFonts w:ascii="Times New Roman;Times;serif" w:hAnsi="Times New Roman;Times;serif"/>
                <w:b/>
                <w:sz w:val="18"/>
              </w:rPr>
              <w:t>EVERY YEAR</w:t>
            </w:r>
            <w:r>
              <w:rPr>
                <w:rFonts w:ascii="Times New Roman;Times;serif" w:hAnsi="Times New Roman;Times;serif"/>
                <w:sz w:val="18"/>
              </w:rPr>
              <w:t>” as the frequency of future Say-on-Pay votes.</w:t>
            </w:r>
          </w:p>
        </w:tc>
      </w:tr>
      <w:tr>
        <w:trPr/>
        <w:tc>
          <w:tcPr>
            <w:tcW w:w="1491" w:type="dxa"/>
            <w:tcBorders>
              <w:left w:val="single" w:sz="2" w:space="0" w:color="000000"/>
              <w:bottom w:val="single" w:sz="2" w:space="0" w:color="000000"/>
            </w:tcBorders>
            <w:shd w:fill="auto" w:val="clear"/>
            <w:tcMar>
              <w:left w:w="98" w:type="dxa"/>
              <w:bottom w:w="28" w:type="dxa"/>
            </w:tcMar>
            <w:vAlign w:val="center"/>
          </w:tcPr>
          <w:p>
            <w:pPr>
              <w:pStyle w:val="TableContents"/>
              <w:spacing w:before="0" w:after="0"/>
              <w:rPr/>
            </w:pPr>
            <w:r>
              <w:rPr/>
              <w:t>●</w:t>
            </w:r>
          </w:p>
          <w:p>
            <w:pPr>
              <w:pStyle w:val="TableContents"/>
              <w:spacing w:before="0" w:after="0"/>
              <w:ind w:left="0" w:right="0" w:hanging="0"/>
              <w:rPr>
                <w:rFonts w:ascii="Times New Roman;Times;serif" w:hAnsi="Times New Roman;Times;serif"/>
                <w:b/>
                <w:i/>
                <w:sz w:val="18"/>
              </w:rPr>
            </w:pPr>
            <w:r>
              <w:rPr>
                <w:rFonts w:ascii="Times New Roman;Times;serif" w:hAnsi="Times New Roman;Times;serif"/>
                <w:b/>
                <w:i/>
                <w:sz w:val="18"/>
              </w:rPr>
              <w:t>Vote required:</w:t>
            </w:r>
          </w:p>
        </w:tc>
        <w:tc>
          <w:tcPr>
            <w:tcW w:w="8714" w:type="dxa"/>
            <w:tcBorders>
              <w:bottom w:val="single" w:sz="2" w:space="0" w:color="000000"/>
              <w:right w:val="single" w:sz="2" w:space="0" w:color="000000"/>
            </w:tcBorders>
            <w:shd w:fill="auto" w:val="clear"/>
            <w:tcMar>
              <w:bottom w:w="28" w:type="dxa"/>
              <w:right w:w="98" w:type="dxa"/>
            </w:tcMar>
            <w:vAlign w:val="center"/>
          </w:tcPr>
          <w:p>
            <w:pPr>
              <w:pStyle w:val="TableContents"/>
              <w:spacing w:before="240" w:after="0"/>
              <w:ind w:left="0" w:right="0" w:hanging="0"/>
              <w:rPr>
                <w:rFonts w:ascii="Times New Roman;Times;serif" w:hAnsi="Times New Roman;Times;serif"/>
                <w:sz w:val="18"/>
              </w:rPr>
            </w:pPr>
            <w:r>
              <w:rPr>
                <w:rFonts w:ascii="Times New Roman;Times;serif" w:hAnsi="Times New Roman;Times;serif"/>
                <w:sz w:val="18"/>
              </w:rPr>
              <w:t xml:space="preserve">Not applicable. Stockholders are not voting to approve or disapprove of the Board’s recommendation. Rather, stockholders are being asked to express their preference regarding the frequency of future advisory votes to approve named executive officer compensation. If none of the frequency options receives majority support, the option receiving the greatest number of votes cast will be considered the frequency recommended by the Company’s stockholders. </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to holding an advisory say-on-pay vote on executive compensation (see Proposal 2), the Dodd-Frank Act also requires that we conduct a separate non-binding advisory vote on the frequency of future say-on-pay votes, commonly referred to as a “Say-When-on-Pay” vote. Stockholders may cast a non-binding advisory vote on whether they would prefer that we hold the advisory Say-on-Pay vote every year, every two years or every three years. Stockholders may also abstain from voting on this matter.</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At the Company’s 2017 annual meeting of stockholders, the stockholders voted on the second advisory Say-When-on-Pay vote, electing to hold an advisory Say-on-Pay vote every year. Accordingly, following the Company’s 2017 annual meeting of stockholders, the Board voluntarily determined to hold annual advisory votes on executive compensation.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are required to solicit stockholder approval of the frequency of future Say-on-Pay proposals at least once every six years, although we may seek stockholder input more frequently. For the reasons described below, our Board recommends that our stockholders select a frequency of every year, or an annual vote.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Board believes that the Company’s current executive compensation programs directly link executive compensation to our financial performance and align the interests of our executive officers with those of our stockholders. Our Board has determined that an advisory vote on executive compensation every year is the best approach for the Company based on a number of considerations, including the following:</w:t>
      </w:r>
    </w:p>
    <w:p>
      <w:pPr>
        <w:pStyle w:val="TextBody"/>
        <w:spacing w:before="0" w:after="0"/>
        <w:ind w:left="264" w:right="0" w:firstLine="462"/>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votes will allow stockholders to provide the Company with their direct input on the compensation philosophy, policies and practices as disclosed in the proxy statement every year;</w:t>
            </w:r>
          </w:p>
        </w:tc>
      </w:tr>
    </w:tbl>
    <w:p>
      <w:pPr>
        <w:pStyle w:val="TextBody"/>
        <w:spacing w:before="0" w:after="0"/>
        <w:ind w:left="1446"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votes are consistent with Company policies of seeking input, as and when necessary, from, and engaging in discussions with, the Company’s stockholders on corporate governance matters and executive compensation philosophy, policies and practices; and</w:t>
            </w:r>
          </w:p>
        </w:tc>
      </w:tr>
    </w:tbl>
    <w:p>
      <w:pPr>
        <w:pStyle w:val="TextBody"/>
        <w:spacing w:before="0" w:after="0"/>
        <w:ind w:left="1446" w:right="0" w:hanging="0"/>
        <w:rPr/>
      </w:pPr>
      <w:r>
        <w:rPr/>
        <w:t>​</w:t>
      </w:r>
    </w:p>
    <w:tbl>
      <w:tblPr>
        <w:tblW w:w="9036" w:type="dxa"/>
        <w:jc w:val="left"/>
        <w:tblInd w:w="0" w:type="dxa"/>
        <w:tblCellMar>
          <w:top w:w="28" w:type="dxa"/>
          <w:left w:w="28" w:type="dxa"/>
          <w:bottom w:w="28" w:type="dxa"/>
          <w:right w:w="28" w:type="dxa"/>
        </w:tblCellMar>
      </w:tblPr>
      <w:tblGrid>
        <w:gridCol w:w="124"/>
        <w:gridCol w:w="256"/>
        <w:gridCol w:w="8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frequent votes could allow an unpopular pay practice to continue too long without timely feedback.</w:t>
            </w:r>
          </w:p>
        </w:tc>
      </w:tr>
    </w:tbl>
    <w:p>
      <w:pPr>
        <w:pStyle w:val="TextBody"/>
        <w:spacing w:before="0" w:after="0"/>
        <w:ind w:left="264" w:right="0" w:firstLine="462"/>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Board believes that giving our stockholders the right to cast an advisory vote every year on their approval of the compensation arrangements of our named executive officers is a good corporate governance practice and is in the best interests of our stockholders. We understand that stockholders may have different views as to what is the best approach for the Company, and we look forward to hearing from our stockholders on this proposal.</w:t>
      </w:r>
    </w:p>
    <w:p>
      <w:pPr>
        <w:pStyle w:val="TextBody"/>
        <w:spacing w:before="0" w:after="0"/>
        <w:ind w:left="264" w:right="0" w:firstLine="462"/>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Stockholders are not voting to approve or disapprove the recommendation of our Board. Rather, stockholders are being provided with the opportunity to cast a non-binding advisory vote on whether the advisory Say-on-Pay vote should occur (i) every year, (ii) every two years or (iii) every three years, or to abstain from voting on the matter.</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vote on this proposal is advisory, and, therefore, is not binding on the Company, our Board or our Compensation Committee in any way. However, our Board and our Compensation Committee value the opinions of our stockholders and will take into account the outcome of the vote in determining the frequency of future advisory votes on the compensation of our named executive officers. </w:t>
      </w:r>
    </w:p>
    <w:p>
      <w:pPr>
        <w:pStyle w:val="TextBody"/>
        <w:spacing w:before="0" w:after="0"/>
        <w:ind w:left="264" w:right="0" w:firstLine="462"/>
        <w:rPr/>
      </w:pPr>
      <w:r>
        <w:rPr/>
        <w:t>​</w:t>
      </w:r>
    </w:p>
    <w:p>
      <w:pPr>
        <w:pStyle w:val="TextBody"/>
        <w:spacing w:before="220" w:after="0"/>
        <w:ind w:left="0" w:right="0" w:firstLine="720"/>
        <w:rPr>
          <w:rFonts w:ascii="Times New Roman;Times;serif" w:hAnsi="Times New Roman;Times;serif"/>
          <w:sz w:val="20"/>
        </w:rPr>
      </w:pPr>
      <w:r>
        <w:rPr>
          <w:rFonts w:ascii="Times New Roman;Times;serif" w:hAnsi="Times New Roman;Times;serif"/>
          <w:b/>
          <w:sz w:val="20"/>
        </w:rPr>
        <w:t>Our Board of Directors unanimously recommends that you vote FOR</w:t>
      </w:r>
      <w:r>
        <w:rPr>
          <w:rFonts w:ascii="Times New Roman;Times;serif" w:hAnsi="Times New Roman;Times;serif"/>
          <w:sz w:val="20"/>
        </w:rPr>
        <w:t xml:space="preserve"> </w:t>
      </w:r>
      <w:r>
        <w:rPr>
          <w:rFonts w:ascii="Times New Roman;Times;serif" w:hAnsi="Times New Roman;Times;serif"/>
          <w:b/>
          <w:sz w:val="20"/>
        </w:rPr>
        <w:t>the option of “EVERY YEAR” as the frequency with which stockholders are provided an advisory vote on executive compensation, as disclosed pursuant to Item 402 of Regulation S-K of the SEC rules.</w:t>
      </w:r>
    </w:p>
    <w:p>
      <w:pPr>
        <w:pStyle w:val="TextBody"/>
        <w:spacing w:before="0" w:after="24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93" w:name="PROPOSALNO3_912565"/>
      <w:bookmarkStart w:id="394" w:name="_593ef572_cf4b_4e12_8166_ca5cda5a93ff"/>
      <w:bookmarkEnd w:id="393"/>
      <w:bookmarkEnd w:id="394"/>
      <w:r>
        <w:rPr>
          <w:rFonts w:ascii="Times New Roman;Times;serif" w:hAnsi="Times New Roman;Times;serif"/>
          <w:b/>
          <w:sz w:val="20"/>
        </w:rPr>
        <w:t>PROPOSAL NO. 4</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RATIFICATION OF INDEPENDENT REGISTERED PUBLIC ACCOUNTING FIRM</w:t>
      </w:r>
    </w:p>
    <w:tbl>
      <w:tblPr>
        <w:tblW w:w="10205" w:type="dxa"/>
        <w:jc w:val="left"/>
        <w:tblInd w:w="0" w:type="dxa"/>
        <w:tblCellMar>
          <w:top w:w="28" w:type="dxa"/>
          <w:left w:w="28" w:type="dxa"/>
          <w:bottom w:w="0" w:type="dxa"/>
          <w:right w:w="0" w:type="dxa"/>
        </w:tblCellMar>
      </w:tblPr>
      <w:tblGrid>
        <w:gridCol w:w="1814"/>
        <w:gridCol w:w="326"/>
        <w:gridCol w:w="8065"/>
      </w:tblGrid>
      <w:tr>
        <w:trPr/>
        <w:tc>
          <w:tcPr>
            <w:tcW w:w="1814" w:type="dxa"/>
            <w:tcBorders>
              <w:top w:val="single" w:sz="2" w:space="0" w:color="000000"/>
              <w:left w:val="single" w:sz="2" w:space="0" w:color="000000"/>
            </w:tcBorders>
            <w:shd w:fill="auto" w:val="clear"/>
            <w:vAlign w:val="center"/>
          </w:tcPr>
          <w:p>
            <w:pPr>
              <w:pStyle w:val="TableContents"/>
              <w:spacing w:before="0" w:after="0"/>
              <w:ind w:left="0" w:right="0" w:hanging="0"/>
              <w:rPr/>
            </w:pPr>
            <w:r>
              <w:rPr/>
              <w:t>☐     </w:t>
            </w:r>
            <w:r>
              <w:rPr>
                <w:rFonts w:ascii="Times New Roman;Times;serif" w:hAnsi="Times New Roman;Times;serif"/>
                <w:b/>
                <w:i/>
                <w:sz w:val="20"/>
              </w:rPr>
              <w:t>What am I voting on?</w:t>
            </w:r>
          </w:p>
        </w:tc>
        <w:tc>
          <w:tcPr>
            <w:tcW w:w="326" w:type="dxa"/>
            <w:tcBorders>
              <w:top w:val="single" w:sz="2" w:space="0" w:color="000000"/>
            </w:tcBorders>
            <w:shd w:fill="auto" w:val="clear"/>
            <w:tcMar>
              <w:left w:w="0" w:type="dxa"/>
            </w:tcMar>
            <w:vAlign w:val="center"/>
          </w:tcPr>
          <w:p>
            <w:pPr>
              <w:pStyle w:val="TableContents"/>
              <w:spacing w:before="0" w:after="0"/>
              <w:ind w:left="0" w:right="0" w:hanging="0"/>
              <w:rPr/>
            </w:pPr>
            <w:r>
              <w:rPr/>
              <w:t>    </w:t>
            </w:r>
          </w:p>
        </w:tc>
        <w:tc>
          <w:tcPr>
            <w:tcW w:w="8065" w:type="dxa"/>
            <w:tcBorders>
              <w:top w:val="single" w:sz="2" w:space="0" w:color="000000"/>
              <w:right w:val="single" w:sz="2" w:space="0" w:color="000000"/>
            </w:tcBorders>
            <w:shd w:fill="auto" w:val="clear"/>
            <w:tcMar>
              <w:left w:w="0"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are being asked to ratify the appointment of KPMG LLP, a registered public accounting firm, to serve as the Company’s independent registered public accounting firm for the fiscal year ending December 31, 2023.</w:t>
            </w:r>
          </w:p>
        </w:tc>
      </w:tr>
      <w:tr>
        <w:trPr/>
        <w:tc>
          <w:tcPr>
            <w:tcW w:w="1814" w:type="dxa"/>
            <w:tcBorders>
              <w:left w:val="single" w:sz="2" w:space="0" w:color="000000"/>
            </w:tcBorders>
            <w:shd w:fill="auto" w:val="clear"/>
            <w:tcMar>
              <w:top w:w="0" w:type="dxa"/>
            </w:tcMar>
            <w:vAlign w:val="center"/>
          </w:tcPr>
          <w:p>
            <w:pPr>
              <w:pStyle w:val="TableContents"/>
              <w:spacing w:before="0" w:after="0"/>
              <w:ind w:left="0" w:right="0" w:hanging="0"/>
              <w:rPr/>
            </w:pPr>
            <w:r>
              <w:rPr/>
              <w:t>​</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065"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pPr>
            <w:r>
              <w:rPr/>
              <w:t>​</w:t>
            </w:r>
          </w:p>
        </w:tc>
      </w:tr>
      <w:tr>
        <w:trPr/>
        <w:tc>
          <w:tcPr>
            <w:tcW w:w="1814" w:type="dxa"/>
            <w:tcBorders>
              <w:left w:val="single" w:sz="2" w:space="0" w:color="000000"/>
            </w:tcBorders>
            <w:shd w:fill="auto" w:val="clear"/>
            <w:tcMar>
              <w:top w:w="0" w:type="dxa"/>
            </w:tcMar>
            <w:vAlign w:val="center"/>
          </w:tcPr>
          <w:p>
            <w:pPr>
              <w:pStyle w:val="TableContents"/>
              <w:spacing w:before="0" w:after="0"/>
              <w:ind w:left="0" w:right="0" w:hanging="0"/>
              <w:rPr/>
            </w:pPr>
            <w:r>
              <w:rPr/>
              <w:t>☐     </w:t>
            </w:r>
            <w:r>
              <w:rPr>
                <w:rFonts w:ascii="Times New Roman;Times;serif" w:hAnsi="Times New Roman;Times;serif"/>
                <w:b/>
                <w:i/>
                <w:sz w:val="20"/>
              </w:rPr>
              <w:t>Voting recommendation:</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065"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Our Board of Directors unanimously recommends that you vote “FOR” the ratification of the appointment of KPMG LLP as our independent registered public accounting firm for the fiscal year ending December 31, 2023.</w:t>
            </w:r>
          </w:p>
        </w:tc>
      </w:tr>
      <w:tr>
        <w:trPr/>
        <w:tc>
          <w:tcPr>
            <w:tcW w:w="1814" w:type="dxa"/>
            <w:tcBorders>
              <w:left w:val="single" w:sz="2" w:space="0" w:color="000000"/>
            </w:tcBorders>
            <w:shd w:fill="auto" w:val="clear"/>
            <w:tcMar>
              <w:top w:w="0" w:type="dxa"/>
            </w:tcMar>
            <w:vAlign w:val="center"/>
          </w:tcPr>
          <w:p>
            <w:pPr>
              <w:pStyle w:val="TableContents"/>
              <w:spacing w:before="0" w:after="0"/>
              <w:ind w:left="0" w:right="0" w:hanging="0"/>
              <w:rPr/>
            </w:pPr>
            <w:r>
              <w:rPr/>
              <w:t>​</w:t>
            </w:r>
          </w:p>
        </w:tc>
        <w:tc>
          <w:tcPr>
            <w:tcW w:w="326" w:type="dxa"/>
            <w:tcBorders/>
            <w:shd w:fill="auto" w:val="clear"/>
            <w:tcMar>
              <w:top w:w="0" w:type="dxa"/>
              <w:left w:w="0" w:type="dxa"/>
            </w:tcMar>
            <w:vAlign w:val="center"/>
          </w:tcPr>
          <w:p>
            <w:pPr>
              <w:pStyle w:val="TableContents"/>
              <w:spacing w:before="0" w:after="0"/>
              <w:ind w:left="0" w:right="0" w:hanging="0"/>
              <w:rPr/>
            </w:pPr>
            <w:r>
              <w:rPr/>
              <w:t>​</w:t>
            </w:r>
          </w:p>
        </w:tc>
        <w:tc>
          <w:tcPr>
            <w:tcW w:w="8065" w:type="dxa"/>
            <w:tcBorders>
              <w:right w:val="single" w:sz="2" w:space="0" w:color="000000"/>
            </w:tcBorders>
            <w:shd w:fill="auto" w:val="clear"/>
            <w:tcMar>
              <w:top w:w="0" w:type="dxa"/>
              <w:left w:w="0" w:type="dxa"/>
              <w:right w:w="28" w:type="dxa"/>
            </w:tcMar>
            <w:vAlign w:val="center"/>
          </w:tcPr>
          <w:p>
            <w:pPr>
              <w:pStyle w:val="TableContents"/>
              <w:spacing w:before="0" w:after="0"/>
              <w:ind w:left="0" w:right="0" w:hanging="0"/>
              <w:rPr/>
            </w:pPr>
            <w:r>
              <w:rPr/>
              <w:t>​</w:t>
            </w:r>
          </w:p>
        </w:tc>
      </w:tr>
      <w:tr>
        <w:trPr/>
        <w:tc>
          <w:tcPr>
            <w:tcW w:w="1814" w:type="dxa"/>
            <w:tcBorders>
              <w:left w:val="single" w:sz="2" w:space="0" w:color="000000"/>
              <w:bottom w:val="single" w:sz="2" w:space="0" w:color="000000"/>
            </w:tcBorders>
            <w:shd w:fill="auto" w:val="clear"/>
            <w:tcMar>
              <w:top w:w="0" w:type="dxa"/>
              <w:bottom w:w="28" w:type="dxa"/>
            </w:tcMar>
            <w:vAlign w:val="center"/>
          </w:tcPr>
          <w:p>
            <w:pPr>
              <w:pStyle w:val="TableContents"/>
              <w:spacing w:before="0" w:after="0"/>
              <w:ind w:left="0" w:right="0" w:hanging="0"/>
              <w:rPr/>
            </w:pPr>
            <w:r>
              <w:rPr/>
              <w:t>☐     </w:t>
            </w:r>
            <w:r>
              <w:rPr>
                <w:rFonts w:ascii="Times New Roman;Times;serif" w:hAnsi="Times New Roman;Times;serif"/>
                <w:b/>
                <w:i/>
                <w:sz w:val="20"/>
              </w:rPr>
              <w:t>Vote required:</w:t>
            </w:r>
          </w:p>
        </w:tc>
        <w:tc>
          <w:tcPr>
            <w:tcW w:w="326" w:type="dxa"/>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rPr/>
            </w:pPr>
            <w:r>
              <w:rPr/>
              <w:t>​</w:t>
            </w:r>
          </w:p>
        </w:tc>
        <w:tc>
          <w:tcPr>
            <w:tcW w:w="8065" w:type="dxa"/>
            <w:tcBorders>
              <w:bottom w:val="single" w:sz="2" w:space="0" w:color="000000"/>
              <w:right w:val="single" w:sz="2" w:space="0" w:color="000000"/>
            </w:tcBorders>
            <w:shd w:fill="auto" w:val="clear"/>
            <w:tcMar>
              <w:top w:w="0" w:type="dxa"/>
              <w:left w:w="0"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Audit Committee of the Board of Directors has selected KPMG LLP (“KPMG”), an independent registered public accounting firm, to audit our consolidated financial statements for the year ending December 31, 2023.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2023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2023.</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representative of KPMG will be present at the meeting, will be afforded an opportunity to make a statement if the representative so desires, and will be available to respond to appropriate questions during the meeting.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sz w:val="20"/>
        </w:rPr>
        <w:t>Our Board of Directors unanimously recommends that the stockholders vote FOR</w:t>
      </w:r>
      <w:r>
        <w:rPr>
          <w:rFonts w:ascii="Times New Roman;Times;serif" w:hAnsi="Times New Roman;Times;serif"/>
          <w:sz w:val="20"/>
        </w:rPr>
        <w:t xml:space="preserve"> </w:t>
      </w:r>
      <w:r>
        <w:rPr>
          <w:rFonts w:ascii="Times New Roman;Times;serif" w:hAnsi="Times New Roman;Times;serif"/>
          <w:b/>
          <w:sz w:val="20"/>
        </w:rPr>
        <w:t>the ratification of the appointment of KPMG LLP as our independent registered public accounting firm for the fiscal year ending December 31, 2023.</w:t>
      </w:r>
    </w:p>
    <w:p>
      <w:pPr>
        <w:pStyle w:val="TextBody"/>
        <w:spacing w:before="0" w:after="120"/>
        <w:ind w:left="0" w:right="0" w:hanging="0"/>
        <w:rPr>
          <w:rFonts w:ascii="Times New Roman;Times;serif" w:hAnsi="Times New Roman;Times;serif"/>
          <w:b/>
          <w:sz w:val="20"/>
        </w:rPr>
      </w:pPr>
      <w:bookmarkStart w:id="395" w:name="Fees_464615"/>
      <w:bookmarkEnd w:id="395"/>
      <w:r>
        <w:rPr>
          <w:rFonts w:ascii="Times New Roman;Times;serif" w:hAnsi="Times New Roman;Times;serif"/>
          <w:b/>
          <w:sz w:val="20"/>
        </w:rPr>
        <w:t>Fees</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For the years ended December 31, 2022 and 2021,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tbl>
      <w:tblPr>
        <w:tblW w:w="4452" w:type="dxa"/>
        <w:jc w:val="left"/>
        <w:tblInd w:w="0" w:type="dxa"/>
        <w:tblCellMar>
          <w:top w:w="0" w:type="dxa"/>
          <w:left w:w="0" w:type="dxa"/>
          <w:bottom w:w="0" w:type="dxa"/>
          <w:right w:w="0" w:type="dxa"/>
        </w:tblCellMar>
      </w:tblPr>
      <w:tblGrid>
        <w:gridCol w:w="1681"/>
        <w:gridCol w:w="326"/>
        <w:gridCol w:w="211"/>
        <w:gridCol w:w="826"/>
        <w:gridCol w:w="326"/>
        <w:gridCol w:w="211"/>
        <w:gridCol w:w="871"/>
      </w:tblGrid>
      <w:tr>
        <w:trPr/>
        <w:tc>
          <w:tcPr>
            <w:tcW w:w="1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r>
      <w:tr>
        <w:trPr/>
        <w:tc>
          <w:tcPr>
            <w:tcW w:w="16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Services Rendered</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681" w:type="dxa"/>
            <w:tcBorders>
              <w:top w:val="single" w:sz="2" w:space="0" w:color="000000"/>
            </w:tcBorders>
            <w:shd w:fill="CCEEFF" w:val="clear"/>
            <w:tcMar>
              <w:top w:w="28" w:type="dxa"/>
            </w:tcM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745,000 </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695,000 </w:t>
            </w:r>
          </w:p>
        </w:tc>
      </w:tr>
      <w:tr>
        <w:trPr/>
        <w:tc>
          <w:tcPr>
            <w:tcW w:w="16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Audit-Related Fees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  </w:t>
            </w:r>
          </w:p>
        </w:tc>
      </w:tr>
      <w:tr>
        <w:trPr/>
        <w:tc>
          <w:tcPr>
            <w:tcW w:w="16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Tax Fees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 </w:t>
            </w:r>
          </w:p>
        </w:tc>
      </w:tr>
      <w:tr>
        <w:trPr/>
        <w:tc>
          <w:tcPr>
            <w:tcW w:w="16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All Other Fees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r>
      <w:tr>
        <w:trPr/>
        <w:tc>
          <w:tcPr>
            <w:tcW w:w="16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Fees</w:t>
            </w:r>
          </w:p>
        </w:tc>
        <w:tc>
          <w:tcPr>
            <w:tcW w:w="326"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745,000 </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695,000 </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 2022 and 2021 relate to services rendered for the audits of our annual consolidated financial statements including accounting and reporting consultations, for the review of our quarterly financial statements, and for services that are normally provided by the auditor in connection with statutory and regulatory filings or engagements.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96" w:name="ApprovalofIndependentRegisteredPublicAcc"/>
      <w:bookmarkEnd w:id="396"/>
      <w:r>
        <w:rPr>
          <w:rFonts w:ascii="Times New Roman;Times;serif" w:hAnsi="Times New Roman;Times;serif"/>
          <w:b/>
          <w:sz w:val="20"/>
        </w:rPr>
        <w:t>Approval of Independent Registered Public Accounting Firm Services and Fees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 regular basis, management provides written updates to the Audit Committee regarding the amount of audit and non-audit service fees incurred to date. All of the services described above for fiscal years 2022 and 2021 were approved by our Audit Committee.</w:t>
      </w:r>
    </w:p>
    <w:p>
      <w:pPr>
        <w:pStyle w:val="TextBody"/>
        <w:spacing w:before="0" w:after="240"/>
        <w:ind w:left="0" w:right="0" w:hanging="0"/>
        <w:jc w:val="center"/>
        <w:rPr>
          <w:rFonts w:ascii="Times New Roman;Times;serif" w:hAnsi="Times New Roman;Times;serif"/>
          <w:b/>
          <w:sz w:val="20"/>
        </w:rPr>
      </w:pPr>
      <w:bookmarkStart w:id="397" w:name="AUDITCOMMITTEEREPORT_52457"/>
      <w:bookmarkStart w:id="398" w:name="_de6057b7_d84b_4922_81a0_54b8127fa12b"/>
      <w:bookmarkEnd w:id="397"/>
      <w:bookmarkEnd w:id="398"/>
      <w:r>
        <w:rPr>
          <w:rFonts w:ascii="Times New Roman;Times;serif" w:hAnsi="Times New Roman;Times;serif"/>
          <w:b/>
          <w:sz w:val="20"/>
        </w:rPr>
        <w:t>AUDIT COMMITTEE REPORT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Audit Committee operates under a written charter adopted by the Board that outlines its responsibilities and the practices it follows. You can view the charter on the Company’s website, </w:t>
      </w:r>
      <w:r>
        <w:rPr>
          <w:rFonts w:ascii="Times New Roman;Times;serif" w:hAnsi="Times New Roman;Times;serif"/>
          <w:i/>
          <w:sz w:val="20"/>
        </w:rPr>
        <w:t>www.gce.com</w:t>
      </w:r>
      <w:r>
        <w:rPr>
          <w:rFonts w:ascii="Times New Roman;Times;serif" w:hAnsi="Times New Roman;Times;serif"/>
          <w:sz w:val="20"/>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w:t>
      </w:r>
      <w:r>
        <w:rPr>
          <w:rFonts w:ascii="Times New Roman;Times;serif" w:hAnsi="Times New Roman;Times;serif"/>
          <w:i/>
          <w:sz w:val="20"/>
        </w:rPr>
        <w:t>Committees of Our Board of Directors</w:t>
      </w:r>
      <w:r>
        <w:rPr>
          <w:rFonts w:ascii="Times New Roman;Times;serif" w:hAnsi="Times New Roman;Times;serif"/>
          <w:sz w:val="20"/>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Audit Committee is composed of five, non-employee directors, each of whom the Board has determined meet the independence and financial literacy requirements of the Nasdaq Stock Market and additional, heightened independence criteria applicable to members of the Audit Committee under SEC and Nasdaq Stock Market rules. The Board has designated each of Mr. Jack A. Henry, Ms. Chevy Humphrey and Mr. David M. Adame as “audit committee financial experts” under the SEC rules.</w:t>
      </w:r>
    </w:p>
    <w:p>
      <w:pPr>
        <w:pStyle w:val="TextBody"/>
        <w:spacing w:before="0" w:after="240"/>
        <w:ind w:left="0" w:right="0" w:hanging="0"/>
        <w:rPr>
          <w:rFonts w:ascii="Times New Roman;Times;serif" w:hAnsi="Times New Roman;Times;serif"/>
          <w:b/>
          <w:sz w:val="20"/>
        </w:rPr>
      </w:pPr>
      <w:bookmarkStart w:id="399" w:name="PrimaryResponsibilitiesoftheAuditCommitt"/>
      <w:bookmarkEnd w:id="399"/>
      <w:r>
        <w:rPr>
          <w:rFonts w:ascii="Times New Roman;Times;serif" w:hAnsi="Times New Roman;Times;serif"/>
          <w:b/>
          <w:sz w:val="20"/>
        </w:rPr>
        <w:t>Primary Responsibilities of the Audit Committee and the Audit Committee’s Activities in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regulatory compliance and cybersecurity, among others), and the processes in place to monitor and control such exposures.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2022, among other things, the Audit Committee:</w:t>
      </w:r>
    </w:p>
    <w:tbl>
      <w:tblPr>
        <w:tblW w:w="4206" w:type="dxa"/>
        <w:jc w:val="left"/>
        <w:tblInd w:w="0" w:type="dxa"/>
        <w:tblCellMar>
          <w:top w:w="28" w:type="dxa"/>
          <w:left w:w="28" w:type="dxa"/>
          <w:bottom w:w="28" w:type="dxa"/>
          <w:right w:w="28" w:type="dxa"/>
        </w:tblCellMar>
      </w:tblPr>
      <w:tblGrid>
        <w:gridCol w:w="124"/>
        <w:gridCol w:w="256"/>
        <w:gridCol w:w="3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Engaged KPMG as our independent auditors;</w:t>
            </w:r>
          </w:p>
        </w:tc>
      </w:tr>
    </w:tbl>
    <w:tbl>
      <w:tblPr>
        <w:tblW w:w="7926" w:type="dxa"/>
        <w:jc w:val="left"/>
        <w:tblInd w:w="0" w:type="dxa"/>
        <w:tblCellMar>
          <w:top w:w="28" w:type="dxa"/>
          <w:left w:w="28" w:type="dxa"/>
          <w:bottom w:w="28" w:type="dxa"/>
          <w:right w:w="28" w:type="dxa"/>
        </w:tblCellMar>
      </w:tblPr>
      <w:tblGrid>
        <w:gridCol w:w="124"/>
        <w:gridCol w:w="256"/>
        <w:gridCol w:w="7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involved in the selection of the lead engagement partner and negotiation of audit fees;</w:t>
            </w:r>
          </w:p>
        </w:tc>
      </w:tr>
    </w:tbl>
    <w:tbl>
      <w:tblPr>
        <w:tblW w:w="4686" w:type="dxa"/>
        <w:jc w:val="left"/>
        <w:tblInd w:w="0" w:type="dxa"/>
        <w:tblCellMar>
          <w:top w:w="28" w:type="dxa"/>
          <w:left w:w="28" w:type="dxa"/>
          <w:bottom w:w="28" w:type="dxa"/>
          <w:right w:w="28" w:type="dxa"/>
        </w:tblCellMar>
      </w:tblPr>
      <w:tblGrid>
        <w:gridCol w:w="124"/>
        <w:gridCol w:w="256"/>
        <w:gridCol w:w="4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tenure of the independent audit firm;</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666" w:type="dxa"/>
        <w:jc w:val="left"/>
        <w:tblInd w:w="0" w:type="dxa"/>
        <w:tblCellMar>
          <w:top w:w="28" w:type="dxa"/>
          <w:left w:w="28" w:type="dxa"/>
          <w:bottom w:w="28" w:type="dxa"/>
          <w:right w:w="28" w:type="dxa"/>
        </w:tblCellMar>
      </w:tblPr>
      <w:tblGrid>
        <w:gridCol w:w="124"/>
        <w:gridCol w:w="256"/>
        <w:gridCol w:w="9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 with the senior members of the Company’s financial management team at each regularly scheduled meeting;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 separate private sessions, during its regularly scheduled meetings, with each of KPMG and our Chief Risk Officer, at which candid discussions regarding financial management, legal, accounting, auditing and internal control issues took place;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Discussed with KPMG the Company’s internal control assessment process, management’s assessment with respect thereto and KPMG’s evaluation of the Company’s system of internal control over financial reporting;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discussed with management and KPMG the Company’s periodic reports prior to filing with the SEC, including matters such as significant accounting policies, management judgements and accounting estimates;</w:t>
            </w:r>
          </w:p>
        </w:tc>
      </w:tr>
    </w:tbl>
    <w:tbl>
      <w:tblPr>
        <w:tblW w:w="9276" w:type="dxa"/>
        <w:jc w:val="left"/>
        <w:tblInd w:w="0" w:type="dxa"/>
        <w:tblCellMar>
          <w:top w:w="28" w:type="dxa"/>
          <w:left w:w="28" w:type="dxa"/>
          <w:bottom w:w="28" w:type="dxa"/>
          <w:right w:w="28" w:type="dxa"/>
        </w:tblCellMar>
      </w:tblPr>
      <w:tblGrid>
        <w:gridCol w:w="124"/>
        <w:gridCol w:w="256"/>
        <w:gridCol w:w="8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the Company’s internal audit plan and the performance of the Company’s internal audit function;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with management, including our Chief Risk Officer, Chief Information Security Officer and General Counsel, and KPMG significant risks and exposures identified by management, the overall adequacy and effectiveness of the Company’s legal, regulatory and ethical compliance programs, including the Company’s code of conduct, cybersecurity programs and climate-related risks for the Company.</w:t>
            </w:r>
          </w:p>
        </w:tc>
      </w:tr>
    </w:tbl>
    <w:p>
      <w:pPr>
        <w:pStyle w:val="TextBody"/>
        <w:spacing w:before="0" w:after="240"/>
        <w:ind w:left="0" w:right="0" w:hanging="0"/>
        <w:rPr>
          <w:rFonts w:ascii="Times New Roman;Times;serif" w:hAnsi="Times New Roman;Times;serif"/>
          <w:b/>
          <w:sz w:val="20"/>
        </w:rPr>
      </w:pPr>
      <w:bookmarkStart w:id="400" w:name="a2019AuditedFinancialStatements_445903"/>
      <w:bookmarkEnd w:id="400"/>
      <w:r>
        <w:rPr>
          <w:rFonts w:ascii="Times New Roman;Times;serif" w:hAnsi="Times New Roman;Times;serif"/>
          <w:b/>
          <w:sz w:val="20"/>
        </w:rPr>
        <w:t>2022 Audited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have (a) reviewed and discussed our Company’s audited financial statements for the fiscal year ended December 31, 2022, with management; (b) discussed with our Company’s independent registered public accounting firm the matters required to be discussed by Public Company Oversight Board (PCAOB) Auditing Standard Number 1301, </w:t>
      </w:r>
      <w:r>
        <w:rPr>
          <w:rFonts w:ascii="Times New Roman;Times;serif" w:hAnsi="Times New Roman;Times;serif"/>
          <w:i/>
          <w:sz w:val="20"/>
        </w:rPr>
        <w:t>Communications with Audit Committees</w:t>
      </w:r>
      <w:r>
        <w:rPr>
          <w:rFonts w:ascii="Times New Roman;Times;serif" w:hAnsi="Times New Roman;Times;serif"/>
          <w:sz w:val="20"/>
        </w:rPr>
        <w:t xml:space="preserve"> (PCAOB General Auditing Standards 1300, </w:t>
      </w:r>
      <w:r>
        <w:rPr>
          <w:rFonts w:ascii="Times New Roman;Times;serif" w:hAnsi="Times New Roman;Times;serif"/>
          <w:i/>
          <w:sz w:val="20"/>
        </w:rPr>
        <w:t>Auditor Communications</w:t>
      </w:r>
      <w:r>
        <w:rPr>
          <w:rFonts w:ascii="Times New Roman;Times;serif" w:hAnsi="Times New Roman;Times;serif"/>
          <w:sz w:val="20"/>
        </w:rPr>
        <w:t>); (c) received the written disclosures and presentation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2022, for filing with the Securities and Exchange Commission.</w:t>
      </w:r>
    </w:p>
    <w:tbl>
      <w:tblPr>
        <w:tblW w:w="2045" w:type="dxa"/>
        <w:jc w:val="left"/>
        <w:tblInd w:w="0" w:type="dxa"/>
        <w:tblCellMar>
          <w:top w:w="0" w:type="dxa"/>
          <w:left w:w="0" w:type="dxa"/>
          <w:bottom w:w="0" w:type="dxa"/>
          <w:right w:w="0" w:type="dxa"/>
        </w:tblCellMar>
      </w:tblPr>
      <w:tblGrid>
        <w:gridCol w:w="124"/>
        <w:gridCol w:w="192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921"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Audit Committee:</w:t>
            </w:r>
          </w:p>
        </w:tc>
      </w:tr>
      <w:tr>
        <w:trPr/>
        <w:tc>
          <w:tcPr>
            <w:tcW w:w="124" w:type="dxa"/>
            <w:tcBorders/>
            <w:shd w:fill="auto" w:val="clear"/>
            <w:vAlign w:val="center"/>
          </w:tcPr>
          <w:p>
            <w:pPr>
              <w:pStyle w:val="TableContents"/>
              <w:spacing w:before="0" w:after="0"/>
              <w:ind w:left="0" w:right="0" w:hanging="0"/>
              <w:rPr/>
            </w:pPr>
            <w:r>
              <w:rPr/>
              <w:t>​</w:t>
            </w:r>
          </w:p>
        </w:tc>
        <w:tc>
          <w:tcPr>
            <w:tcW w:w="192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92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Jack A. Henry (Chair)</w:t>
            </w:r>
          </w:p>
        </w:tc>
      </w:tr>
      <w:tr>
        <w:trPr/>
        <w:tc>
          <w:tcPr>
            <w:tcW w:w="124" w:type="dxa"/>
            <w:tcBorders/>
            <w:shd w:fill="auto" w:val="clear"/>
            <w:vAlign w:val="center"/>
          </w:tcPr>
          <w:p>
            <w:pPr>
              <w:pStyle w:val="TableContents"/>
              <w:spacing w:before="0" w:after="0"/>
              <w:ind w:left="0" w:right="0" w:hanging="0"/>
              <w:rPr/>
            </w:pPr>
            <w:r>
              <w:rPr/>
              <w:t>​</w:t>
            </w:r>
          </w:p>
        </w:tc>
        <w:tc>
          <w:tcPr>
            <w:tcW w:w="192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Sara R. Dial</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Lisa Graham Keegan</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Chevy Humphrey</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David M. Adame</w:t>
            </w:r>
          </w:p>
        </w:tc>
      </w:tr>
      <w:tr>
        <w:trPr/>
        <w:tc>
          <w:tcPr>
            <w:tcW w:w="124" w:type="dxa"/>
            <w:tcBorders/>
            <w:shd w:fill="auto" w:val="clear"/>
            <w:vAlign w:val="center"/>
          </w:tcPr>
          <w:p>
            <w:pPr>
              <w:pStyle w:val="TableContents"/>
              <w:spacing w:before="0" w:after="0"/>
              <w:ind w:left="0" w:right="0" w:hanging="0"/>
              <w:rPr/>
            </w:pPr>
            <w:r>
              <w:rPr/>
              <w:t>​</w:t>
            </w:r>
          </w:p>
        </w:tc>
        <w:tc>
          <w:tcPr>
            <w:tcW w:w="1921" w:type="dxa"/>
            <w:tcBorders/>
            <w:shd w:fill="auto" w:val="clear"/>
            <w:vAlign w:val="center"/>
          </w:tcPr>
          <w:p>
            <w:pPr>
              <w:pStyle w:val="TableContents"/>
              <w:spacing w:before="0" w:after="0"/>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01" w:name="BENEFICIALOWNERSHIPOFCOMMONSTOCK_351108"/>
      <w:bookmarkStart w:id="402" w:name="_46b8b89d_2d8e_4685_90fd_db49b197c7d2"/>
      <w:bookmarkEnd w:id="401"/>
      <w:bookmarkEnd w:id="402"/>
      <w:r>
        <w:rPr>
          <w:rFonts w:ascii="Times New Roman;Times;serif" w:hAnsi="Times New Roman;Times;serif"/>
          <w:b/>
          <w:sz w:val="20"/>
        </w:rPr>
        <w:t>BENEFICIAL OWNERSHIP OF COMMON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information regarding the beneficial ownership of our common stock as of March 31, 2023 for:</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to us to own beneficially 5% or more of our outstanding common stock;</w:t>
            </w:r>
          </w:p>
        </w:tc>
      </w:tr>
    </w:tbl>
    <w:tbl>
      <w:tblPr>
        <w:tblW w:w="2241" w:type="dxa"/>
        <w:jc w:val="left"/>
        <w:tblInd w:w="0" w:type="dxa"/>
        <w:tblCellMar>
          <w:top w:w="28" w:type="dxa"/>
          <w:left w:w="28" w:type="dxa"/>
          <w:bottom w:w="28" w:type="dxa"/>
          <w:right w:w="28" w:type="dxa"/>
        </w:tblCellMar>
      </w:tblPr>
      <w:tblGrid>
        <w:gridCol w:w="124"/>
        <w:gridCol w:w="256"/>
        <w:gridCol w:w="18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bl>
    <w:tbl>
      <w:tblPr>
        <w:tblW w:w="3906" w:type="dxa"/>
        <w:jc w:val="left"/>
        <w:tblInd w:w="0" w:type="dxa"/>
        <w:tblCellMar>
          <w:top w:w="28" w:type="dxa"/>
          <w:left w:w="28" w:type="dxa"/>
          <w:bottom w:w="28" w:type="dxa"/>
          <w:right w:w="28" w:type="dxa"/>
        </w:tblCellMar>
      </w:tblPr>
      <w:tblGrid>
        <w:gridCol w:w="124"/>
        <w:gridCol w:w="256"/>
        <w:gridCol w:w="3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bl>
    <w:tbl>
      <w:tblPr>
        <w:tblW w:w="5346" w:type="dxa"/>
        <w:jc w:val="left"/>
        <w:tblInd w:w="0" w:type="dxa"/>
        <w:tblCellMar>
          <w:top w:w="28" w:type="dxa"/>
          <w:left w:w="28" w:type="dxa"/>
          <w:bottom w:w="28" w:type="dxa"/>
          <w:right w:w="28" w:type="dxa"/>
        </w:tblCellMar>
      </w:tblPr>
      <w:tblGrid>
        <w:gridCol w:w="124"/>
        <w:gridCol w:w="256"/>
        <w:gridCol w:w="49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named executive officers as a group.</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2600 W. Camelback Road, Phoenix, Arizona 85017.</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calculations of beneficial ownership in this table are based on 30,822,933 shares outstanding at March 31, 2023</w:t>
      </w:r>
      <w:r>
        <w:rPr>
          <w:rFonts w:ascii="Times New Roman;Times;serif" w:hAnsi="Times New Roman;Times;serif"/>
          <w:b/>
          <w:sz w:val="20"/>
        </w:rPr>
        <w:t>.</w:t>
      </w:r>
    </w:p>
    <w:tbl>
      <w:tblPr>
        <w:tblW w:w="9206" w:type="dxa"/>
        <w:jc w:val="left"/>
        <w:tblInd w:w="0" w:type="dxa"/>
        <w:tblCellMar>
          <w:top w:w="0" w:type="dxa"/>
          <w:left w:w="0" w:type="dxa"/>
          <w:bottom w:w="0" w:type="dxa"/>
          <w:right w:w="0" w:type="dxa"/>
        </w:tblCellMar>
      </w:tblPr>
      <w:tblGrid>
        <w:gridCol w:w="5056"/>
        <w:gridCol w:w="326"/>
        <w:gridCol w:w="1756"/>
        <w:gridCol w:w="326"/>
        <w:gridCol w:w="1426"/>
        <w:gridCol w:w="316"/>
      </w:tblGrid>
      <w:tr>
        <w:trPr/>
        <w:tc>
          <w:tcPr>
            <w:tcW w:w="50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0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0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50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75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and Nature of</w:t>
              <w:br/>
              <w:t>Beneficial Ownership</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426" w:type="dxa"/>
            <w:tcBorders>
              <w:top w:val="single" w:sz="2" w:space="0" w:color="000000"/>
              <w:bottom w:val="single" w:sz="2" w:space="0" w:color="000000"/>
            </w:tcBorders>
            <w:shd w:fill="auto" w:val="clear"/>
            <w:tcMar>
              <w:top w:w="28" w:type="dxa"/>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Percent of Class</w:t>
            </w:r>
            <w:r>
              <w:rPr>
                <w:rFonts w:ascii="Times New Roman;Times;serif" w:hAnsi="Times New Roman;Times;serif"/>
                <w:b/>
                <w:sz w:val="12"/>
              </w:rPr>
              <w:t>(1)</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505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Principal Stockholders:</w:t>
            </w:r>
          </w:p>
        </w:tc>
        <w:tc>
          <w:tcPr>
            <w:tcW w:w="326" w:type="dxa"/>
            <w:tcBorders/>
            <w:shd w:fill="CCEEFF" w:val="clear"/>
            <w:vAlign w:val="center"/>
          </w:tcPr>
          <w:p>
            <w:pPr>
              <w:pStyle w:val="TableContents"/>
              <w:spacing w:before="0" w:after="0"/>
              <w:ind w:left="0" w:right="0" w:hanging="0"/>
              <w:rPr/>
            </w:pPr>
            <w:r>
              <w:rPr/>
              <w:t>​</w:t>
            </w:r>
          </w:p>
        </w:tc>
        <w:tc>
          <w:tcPr>
            <w:tcW w:w="17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056"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BlackRock, Inc.</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1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3,008,983 </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The Vanguard Group– 23-1945930</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2,918,849 </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9.5 </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Riverbridge Partners LLC</w:t>
            </w:r>
            <w:r>
              <w:rPr>
                <w:rFonts w:ascii="Times New Roman;Times;serif" w:hAnsi="Times New Roman;Times;serif"/>
                <w:sz w:val="15"/>
              </w:rPr>
              <w:t>(4)</w:t>
            </w:r>
          </w:p>
        </w:tc>
        <w:tc>
          <w:tcPr>
            <w:tcW w:w="326" w:type="dxa"/>
            <w:tcBorders/>
            <w:shd w:fill="CCEEFF" w:val="clear"/>
            <w:vAlign w:val="center"/>
          </w:tcPr>
          <w:p>
            <w:pPr>
              <w:pStyle w:val="TableContents"/>
              <w:spacing w:before="0" w:after="0"/>
              <w:ind w:left="0" w:right="0" w:hanging="0"/>
              <w:rPr/>
            </w:pPr>
            <w:r>
              <w:rPr/>
              <w:t>​</w:t>
            </w:r>
          </w:p>
        </w:tc>
        <w:tc>
          <w:tcPr>
            <w:tcW w:w="1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1,839,431 </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Directors and Named Executive Officers:</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0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Brian E. Mueller </w:t>
            </w:r>
          </w:p>
        </w:tc>
        <w:tc>
          <w:tcPr>
            <w:tcW w:w="326" w:type="dxa"/>
            <w:tcBorders/>
            <w:shd w:fill="CCEEFF" w:val="clear"/>
            <w:vAlign w:val="center"/>
          </w:tcPr>
          <w:p>
            <w:pPr>
              <w:pStyle w:val="TableContents"/>
              <w:spacing w:before="0" w:after="0"/>
              <w:ind w:left="0" w:right="0" w:hanging="0"/>
              <w:rPr/>
            </w:pPr>
            <w:r>
              <w:rPr/>
              <w:t>​</w:t>
            </w:r>
          </w:p>
        </w:tc>
        <w:tc>
          <w:tcPr>
            <w:tcW w:w="1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304,117 </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Dr. W. Stan Meyer </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110,427 </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0.4 </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Daniel E. Bachus </w:t>
            </w:r>
          </w:p>
        </w:tc>
        <w:tc>
          <w:tcPr>
            <w:tcW w:w="326" w:type="dxa"/>
            <w:tcBorders/>
            <w:shd w:fill="CCEEFF" w:val="clear"/>
            <w:vAlign w:val="center"/>
          </w:tcPr>
          <w:p>
            <w:pPr>
              <w:pStyle w:val="TableContents"/>
              <w:spacing w:before="0" w:after="0"/>
              <w:ind w:left="0" w:right="0" w:hanging="0"/>
              <w:rPr/>
            </w:pPr>
            <w:r>
              <w:rPr/>
              <w:t>​</w:t>
            </w:r>
          </w:p>
        </w:tc>
        <w:tc>
          <w:tcPr>
            <w:tcW w:w="1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116,314 </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Dilek Marsh</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25,393 </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0.1 </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spacing w:before="0" w:after="0"/>
              <w:ind w:left="0" w:right="0" w:hanging="0"/>
              <w:rPr/>
            </w:pPr>
            <w:r>
              <w:rPr/>
              <w:t>​</w:t>
            </w:r>
          </w:p>
        </w:tc>
        <w:tc>
          <w:tcPr>
            <w:tcW w:w="1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22,800 </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Sara R. Dial</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3,972 </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pPr>
            <w:r>
              <w:rPr/>
              <w:t>​</w:t>
            </w:r>
          </w:p>
        </w:tc>
      </w:tr>
      <w:tr>
        <w:trPr/>
        <w:tc>
          <w:tcPr>
            <w:tcW w:w="50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Jack A. Henry</w:t>
            </w:r>
          </w:p>
        </w:tc>
        <w:tc>
          <w:tcPr>
            <w:tcW w:w="326" w:type="dxa"/>
            <w:tcBorders/>
            <w:shd w:fill="CCEEFF" w:val="clear"/>
            <w:vAlign w:val="center"/>
          </w:tcPr>
          <w:p>
            <w:pPr>
              <w:pStyle w:val="TableContents"/>
              <w:spacing w:before="0" w:after="0"/>
              <w:ind w:left="0" w:right="0" w:hanging="0"/>
              <w:rPr/>
            </w:pPr>
            <w:r>
              <w:rPr/>
              <w:t>​</w:t>
            </w:r>
          </w:p>
        </w:tc>
        <w:tc>
          <w:tcPr>
            <w:tcW w:w="1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17,993 </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Lisa Graham Keegan</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2,706 </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pPr>
            <w:r>
              <w:rPr/>
              <w:t>​</w:t>
            </w:r>
          </w:p>
        </w:tc>
      </w:tr>
      <w:tr>
        <w:trPr/>
        <w:tc>
          <w:tcPr>
            <w:tcW w:w="50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Chevy Humphrey</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2,606 </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pPr>
            <w:r>
              <w:rPr/>
              <w:t>​</w:t>
            </w:r>
          </w:p>
        </w:tc>
      </w:tr>
      <w:tr>
        <w:trPr/>
        <w:tc>
          <w:tcPr>
            <w:tcW w:w="50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David M. Adame</w:t>
            </w:r>
          </w:p>
        </w:tc>
        <w:tc>
          <w:tcPr>
            <w:tcW w:w="326" w:type="dxa"/>
            <w:tcBorders/>
            <w:shd w:fill="CCEEFF" w:val="clear"/>
            <w:vAlign w:val="center"/>
          </w:tcPr>
          <w:p>
            <w:pPr>
              <w:pStyle w:val="TableContents"/>
              <w:spacing w:before="0" w:after="0"/>
              <w:ind w:left="0" w:right="0" w:hanging="0"/>
              <w:rPr/>
            </w:pPr>
            <w:r>
              <w:rPr/>
              <w:t>​</w:t>
            </w:r>
          </w:p>
        </w:tc>
        <w:tc>
          <w:tcPr>
            <w:tcW w:w="1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1,909 </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0"/>
              <w:ind w:left="0" w:right="0" w:hanging="0"/>
              <w:rPr/>
            </w:pPr>
            <w:r>
              <w:rPr/>
              <w:t>​</w:t>
            </w:r>
          </w:p>
        </w:tc>
      </w:tr>
      <w:tr>
        <w:trPr/>
        <w:tc>
          <w:tcPr>
            <w:tcW w:w="5056"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All directors and executive officers as a group (10 persons)</w:t>
            </w:r>
          </w:p>
        </w:tc>
        <w:tc>
          <w:tcPr>
            <w:tcW w:w="326" w:type="dxa"/>
            <w:tcBorders/>
            <w:shd w:fill="auto" w:val="clear"/>
            <w:vAlign w:val="center"/>
          </w:tcPr>
          <w:p>
            <w:pPr>
              <w:pStyle w:val="TableContents"/>
              <w:spacing w:before="0" w:after="0"/>
              <w:ind w:left="0" w:right="0" w:hanging="0"/>
              <w:rPr/>
            </w:pPr>
            <w:r>
              <w:rPr/>
              <w:t>​</w:t>
            </w:r>
          </w:p>
        </w:tc>
        <w:tc>
          <w:tcPr>
            <w:tcW w:w="1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608,237 </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2.0 </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tbl>
      <w:tblPr>
        <w:tblW w:w="4427" w:type="dxa"/>
        <w:jc w:val="left"/>
        <w:tblInd w:w="0" w:type="dxa"/>
        <w:tblCellMar>
          <w:top w:w="0" w:type="dxa"/>
          <w:left w:w="0" w:type="dxa"/>
          <w:bottom w:w="0" w:type="dxa"/>
          <w:right w:w="0" w:type="dxa"/>
        </w:tblCellMar>
      </w:tblPr>
      <w:tblGrid>
        <w:gridCol w:w="226"/>
        <w:gridCol w:w="4201"/>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420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Represents beneficial ownership of less than 0.1%</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0081"/>
      </w:tblGrid>
      <w:tr>
        <w:trPr/>
        <w:tc>
          <w:tcPr>
            <w:tcW w:w="124" w:type="dxa"/>
            <w:tcBorders/>
            <w:shd w:fill="auto" w:val="clear"/>
            <w:vAlign w:val="center"/>
          </w:tcPr>
          <w:p>
            <w:pPr>
              <w:pStyle w:val="TableContents"/>
              <w:spacing w:before="0" w:after="283"/>
              <w:rPr>
                <w:sz w:val="4"/>
                <w:szCs w:val="4"/>
              </w:rPr>
            </w:pPr>
            <w:r>
              <w:rPr>
                <w:sz w:val="4"/>
                <w:szCs w:val="4"/>
              </w:rPr>
            </w:r>
          </w:p>
        </w:tc>
        <w:tc>
          <w:tcPr>
            <w:tcW w:w="100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 power within 60 days after such date. Consequently, the denominator for calculating beneficial ownership percentages may be different for each beneficial owner. </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4" w:type="dxa"/>
            <w:tcBorders/>
            <w:shd w:fill="auto" w:val="cle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This information for BlackRock, Inc. (“BlackRock”) is based on a Schedule 13G/A filed with the Securities and Exchange Commission on February 7, 2023. The address for BlackRock is 55 East 52</w:t>
            </w:r>
            <w:r>
              <w:rPr>
                <w:rFonts w:ascii="Times New Roman;Times;serif" w:hAnsi="Times New Roman;Times;serif"/>
                <w:b w:val="false"/>
                <w:i w:val="false"/>
                <w:caps w:val="false"/>
                <w:smallCaps w:val="false"/>
                <w:sz w:val="15"/>
              </w:rPr>
              <w:t>nd</w:t>
            </w:r>
            <w:r>
              <w:rPr>
                <w:caps w:val="false"/>
                <w:smallCaps w:val="false"/>
              </w:rPr>
              <w:t xml:space="preserve"> </w:t>
            </w:r>
            <w:r>
              <w:rPr>
                <w:rFonts w:ascii="Times New Roman;Times;serif" w:hAnsi="Times New Roman;Times;serif"/>
                <w:b w:val="false"/>
                <w:i w:val="false"/>
                <w:caps w:val="false"/>
                <w:smallCaps w:val="false"/>
                <w:sz w:val="20"/>
              </w:rPr>
              <w:t>Street, New York, NY 10055. BlackRock reported that it had sole voting power over 2,848,509 shares, shared voting power over 0 shares, sole dispositive power over 3,008,983 shares, and shared dispositive power over 0 shares.</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0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This information for the Vanguard Group – 23-1945930 (“Vanguard”) is based on a Schedule 13G/A filed with the Securities and Exchange Commission on February 9, 2023. The address for Vanguard is 100 Vanguard Blvd., Malvern, PA 19355. Vanguard reported that it had sole voting power over 0 shares, shared voting power over 11,452 shares, sole dispositive power over 2,876,589 shares, and shared dispositive power over 42,260 shares.</w:t>
            </w:r>
            <w:r>
              <w:rPr>
                <w:caps w:val="false"/>
                <w:smallCaps w:val="false"/>
              </w:rPr>
              <w:t xml:space="preserve"> </w:t>
            </w:r>
          </w:p>
        </w:tc>
      </w:tr>
    </w:tbl>
    <w:p>
      <w:pPr>
        <w:pStyle w:val="Normal"/>
        <w:spacing w:before="0" w:after="0"/>
        <w:rPr>
          <w:sz w:val="4"/>
          <w:szCs w:val="4"/>
        </w:rPr>
      </w:pPr>
      <w:r>
        <w:rPr>
          <w:sz w:val="4"/>
          <w:szCs w:val="4"/>
        </w:rPr>
      </w:r>
      <w:bookmarkStart w:id="403" w:name="_cp_text_1_388"/>
      <w:bookmarkStart w:id="404" w:name="_cp_text_1_387"/>
      <w:bookmarkStart w:id="405" w:name="_cp_text_1_388"/>
      <w:bookmarkStart w:id="406" w:name="_cp_text_1_387"/>
      <w:bookmarkEnd w:id="405"/>
      <w:bookmarkEnd w:id="406"/>
    </w:p>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for Riverbridge Partners LLC (“Riverbridge”) is based on a Schedule 13G/A filed with the Securities and Exchange Commission on February 8, 2023. The address for Riverbridge is 80 South Eighth St., Suite 1200, Minneapolis, MN 55402. Riverbridge reported that it had sole voting power over 1,498,182 shares, shared voting power over 0 shares, sole dispositive power over 1,839,431 shares, and shared dispositive power over 0 shares.</w:t>
            </w:r>
          </w:p>
        </w:tc>
      </w:tr>
    </w:tbl>
    <w:p>
      <w:pPr>
        <w:pStyle w:val="TextBody"/>
        <w:spacing w:before="0" w:after="240"/>
        <w:ind w:left="0" w:right="0" w:hanging="0"/>
        <w:jc w:val="center"/>
        <w:rPr>
          <w:rFonts w:ascii="Times New Roman;Times;serif" w:hAnsi="Times New Roman;Times;serif"/>
          <w:b/>
          <w:sz w:val="20"/>
        </w:rPr>
      </w:pPr>
      <w:bookmarkStart w:id="407" w:name="CERTAINRELATIONSHIPSANDRELATEDTRANSACTIO"/>
      <w:bookmarkStart w:id="408" w:name="_2b62d03c_1a9d_4dc3_ab67_41c99097b144"/>
      <w:bookmarkEnd w:id="407"/>
      <w:bookmarkEnd w:id="408"/>
      <w:r>
        <w:rPr>
          <w:rFonts w:ascii="Times New Roman;Times;serif" w:hAnsi="Times New Roman;Times;serif"/>
          <w:b/>
          <w:sz w:val="20"/>
        </w:rPr>
        <w:t>CERTAIN RELATIONSHIPS AND RELATED TRANSACTIONS</w:t>
      </w:r>
    </w:p>
    <w:p>
      <w:pPr>
        <w:pStyle w:val="TextBody"/>
        <w:spacing w:before="0" w:after="240"/>
        <w:ind w:left="0" w:right="0" w:hanging="0"/>
        <w:rPr>
          <w:rFonts w:ascii="Times New Roman;Times;serif" w:hAnsi="Times New Roman;Times;serif"/>
          <w:b/>
          <w:sz w:val="20"/>
        </w:rPr>
      </w:pPr>
      <w:bookmarkStart w:id="409" w:name="PoliciesandProceduresforRelatedPartyTran"/>
      <w:bookmarkEnd w:id="409"/>
      <w:r>
        <w:rPr>
          <w:rFonts w:ascii="Times New Roman;Times;serif" w:hAnsi="Times New Roman;Times;serif"/>
          <w:b/>
          <w:sz w:val="20"/>
        </w:rPr>
        <w:t>Policies and Procedures for Related Party Transactions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Mr. Brian E. Mueller has served as the Chief Executive Officer of the Company since 2008 and the Chairman of the Board of the Company since 2017 and has also served as the President of GCU since 2012. In connection with the sale of GCU to Grand Canyon University, an Arizona non-profit corporation, in 2018, the Board of Directors of the Company and the board of trustees of GCU each independently determined that Mr. Mueller should retain those roles. Accordingly, Mr. Mueller remains the Chairman of the Board and Chief Executive Officer of the Company and as the President of GCU, although he is prohibited from serving on the board of trustees of GCU. Our Board and the board of trustees of GCU each recognized that Mr. Mueller’s dual role could raise conflict of interest issues. Accordingly, at the time of the sale of GCU, GCU adopted governance provisions that prohibit Mr. Mueller from serving on the board of trustees of GCU. We also jointly imposed a structure, through GCU’s governance documents and through express provisions of the Master Services Agreement, that prevent Mr. Mueller from participating in day-to-day management of, or negotiations between the Company and GCU relating to, the Master Services Agreement. Aside from Mr. Mueller, no other employee of GCU or GCE has a dual role in both organizations. Beginning July 1, 2018, the base salary under Mr. Mueller’s employment agreement with the Company was decreased by 50% to $321,000, reflecting his dual employment by GCE and GCU.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GCU’s relationship with the Company, and (iii) prohibits any trustee from having any financial interest in, or role with, the Company. In addition, an operational structure has been put in place that prevents Mr. Mueller from participating in operational matters involving the Company and GCU. Accordingly, the Company’s relationship with GCU, both pursuant to the master services agreement between the two companies and operationally, is no longer as owner and operator, but as a third-party service provider to an independent customer. While the Company believes that its relationship with GCU will remain strong, GCU’s board of trustees and management have fiduciary and other duties that require them to focus on the best interests of GCU and over time those interests could diverge from those of the Company.</w:t>
      </w:r>
    </w:p>
    <w:p>
      <w:pPr>
        <w:pStyle w:val="TextBody"/>
        <w:spacing w:before="0" w:after="220"/>
        <w:ind w:left="0" w:right="0" w:hanging="0"/>
        <w:rPr>
          <w:rFonts w:ascii="Times New Roman;Times;serif" w:hAnsi="Times New Roman;Times;serif"/>
          <w:b/>
          <w:sz w:val="20"/>
        </w:rPr>
      </w:pPr>
      <w:bookmarkStart w:id="410" w:name="CertainTransactions_743659"/>
      <w:bookmarkEnd w:id="410"/>
      <w:r>
        <w:rPr>
          <w:rFonts w:ascii="Times New Roman;Times;serif" w:hAnsi="Times New Roman;Times;serif"/>
          <w:b/>
          <w:sz w:val="20"/>
        </w:rPr>
        <w:t>Certain Transactions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Set forth below is a summary of certain transactions since January 1, 2022,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GCE Community Fund (“GCECF”)</w:t>
      </w:r>
      <w:r>
        <w:rPr>
          <w:rFonts w:ascii="Times New Roman;Times;serif" w:hAnsi="Times New Roman;Times;serif"/>
          <w:sz w:val="20"/>
        </w:rPr>
        <w:t xml:space="preserve"> – GCECF was initially formed in 2014. GCECF makes grants for charitable, educational, literary, religious or scientific purposes within the meaning of Section 501(c )(3) of the Internal Revenue Code. Mr. Mueller serves as the president of GCECF, and the board of directors of GCECF is composed of Company executives. The Company is not the primary beneficiary of GCECF, and accordingly, the Company does not consolidate GCECF’s statement of activities with its financial results. The Company contributed $1.2 million for the year ended December 31, 2022, of which no amounts were owed at December 31, 2022.</w:t>
      </w:r>
    </w:p>
    <w:p>
      <w:pPr>
        <w:pStyle w:val="TextBody"/>
        <w:spacing w:before="0" w:after="220"/>
        <w:ind w:left="0" w:right="0" w:hanging="0"/>
        <w:jc w:val="center"/>
        <w:rPr>
          <w:rFonts w:ascii="Times New Roman;Times;serif" w:hAnsi="Times New Roman;Times;serif"/>
          <w:b/>
          <w:sz w:val="20"/>
        </w:rPr>
      </w:pPr>
      <w:bookmarkStart w:id="411" w:name="HOUSEHOLDINGOFPROXYMATERIALS_178462"/>
      <w:bookmarkStart w:id="412" w:name="_de800796_b156_4fe4_a0d1_3c983f73b3b8"/>
      <w:bookmarkEnd w:id="411"/>
      <w:bookmarkEnd w:id="412"/>
      <w:r>
        <w:rPr>
          <w:rFonts w:ascii="Times New Roman;Times;serif" w:hAnsi="Times New Roman;Times;serif"/>
          <w:b/>
          <w:sz w:val="20"/>
        </w:rPr>
        <w:t>HOUSEHOLDING OF PROXY MATERIALS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2600 W. Camelback Road, Phoenix, Arizona, 85017, Attn: Investor Relations, or by calling (602) 247-4400.</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20"/>
        <w:ind w:left="0" w:right="0" w:hanging="0"/>
        <w:jc w:val="center"/>
        <w:rPr>
          <w:rFonts w:ascii="Times New Roman;Times;serif" w:hAnsi="Times New Roman;Times;serif"/>
          <w:b/>
          <w:sz w:val="20"/>
        </w:rPr>
      </w:pPr>
      <w:bookmarkStart w:id="413" w:name="ADDITIONALINFORMATION_301982"/>
      <w:bookmarkStart w:id="414" w:name="_1f13b793_3bea_4069_aa91_2ccf0dc79407"/>
      <w:bookmarkEnd w:id="413"/>
      <w:bookmarkEnd w:id="414"/>
      <w:r>
        <w:rPr>
          <w:rFonts w:ascii="Times New Roman;Times;serif" w:hAnsi="Times New Roman;Times;serif"/>
          <w:b/>
          <w:sz w:val="20"/>
        </w:rPr>
        <w:t>ADDITIONAL INFORMATION</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Our 2022 annual report and our Annual Report on Form 10-K for fiscal year 2022, including financial statements, are available electronically along with our proxy statement to all stockholders of record as of April 26, 2023, including those stockholders whose shares are held in a brokerage, bank or similar account, who will receive the same mailing from the organization holding the account. </w:t>
      </w:r>
      <w:r>
        <w:rPr>
          <w:rFonts w:ascii="Times New Roman;Times;serif" w:hAnsi="Times New Roman;Times;serif"/>
          <w:b/>
          <w:sz w:val="20"/>
        </w:rPr>
        <w:t>Stockholders who wish to obtain a copy of our Annual Report on Form 10-K, for the fiscal year ended December 31, 2022, and our proxy statement may do so without charge by writing to Investor Relations, Grand Canyon Education, Inc., 2600 W. Camelback Road, Phoenix, Arizona 85017.</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tbl>
      <w:tblPr>
        <w:tblW w:w="3410" w:type="dxa"/>
        <w:jc w:val="left"/>
        <w:tblInd w:w="0" w:type="dxa"/>
        <w:tblCellMar>
          <w:top w:w="0" w:type="dxa"/>
          <w:left w:w="0" w:type="dxa"/>
          <w:bottom w:w="0" w:type="dxa"/>
          <w:right w:w="0" w:type="dxa"/>
        </w:tblCellMar>
      </w:tblPr>
      <w:tblGrid>
        <w:gridCol w:w="3256"/>
        <w:gridCol w:w="154"/>
      </w:tblGrid>
      <w:tr>
        <w:trPr/>
        <w:tc>
          <w:tcPr>
            <w:tcW w:w="325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 Order of the Board of Directors,</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Chief Executive Officer and Chairman</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April 26, 2023</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tbl>
      <w:tblPr>
        <w:tblW w:w="13010" w:type="dxa"/>
        <w:jc w:val="left"/>
        <w:tblInd w:w="0" w:type="dxa"/>
        <w:tblCellMar>
          <w:top w:w="0" w:type="dxa"/>
          <w:left w:w="0" w:type="dxa"/>
          <w:bottom w:w="0" w:type="dxa"/>
          <w:right w:w="0" w:type="dxa"/>
        </w:tblCellMar>
      </w:tblPr>
      <w:tblGrid>
        <w:gridCol w:w="12750"/>
        <w:gridCol w:w="260"/>
      </w:tblGrid>
      <w:tr>
        <w:trPr/>
        <w:tc>
          <w:tcPr>
            <w:tcW w:w="12750" w:type="dxa"/>
            <w:tcBorders/>
            <w:shd w:fill="auto" w:val="clear"/>
            <w:vAlign w:val="center"/>
          </w:tcPr>
          <w:p>
            <w:pPr>
              <w:pStyle w:val="TableContents"/>
              <w:spacing w:before="0" w:after="0"/>
              <w:ind w:left="0" w:right="0" w:hanging="0"/>
              <w:rPr/>
            </w:pPr>
            <w:r>
              <w:rPr/>
              <w:drawing>
                <wp:inline distT="0" distB="0" distL="0" distR="0">
                  <wp:extent cx="8096250" cy="10477500"/>
                  <wp:effectExtent l="0" t="0" r="0" b="0"/>
                  <wp:docPr id="1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1" descr=""/>
                          <pic:cNvPicPr>
                            <a:picLocks noChangeAspect="1" noChangeArrowheads="1"/>
                          </pic:cNvPicPr>
                        </pic:nvPicPr>
                        <pic:blipFill>
                          <a:blip r:embed="rId22"/>
                          <a:stretch>
                            <a:fillRect/>
                          </a:stretch>
                        </pic:blipFill>
                        <pic:spPr bwMode="auto">
                          <a:xfrm>
                            <a:off x="0" y="0"/>
                            <a:ext cx="8096250" cy="10477500"/>
                          </a:xfrm>
                          <a:prstGeom prst="rect">
                            <a:avLst/>
                          </a:prstGeom>
                        </pic:spPr>
                      </pic:pic>
                    </a:graphicData>
                  </a:graphic>
                </wp:inline>
              </w:drawing>
            </w:r>
          </w:p>
        </w:tc>
        <w:tc>
          <w:tcPr>
            <w:tcW w:w="26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3. To approve, on an advisory basis, the frequency of future advisory votes on the compensation of the Company’s named executive officers. Every 2 Years Every 3 Years Abstain Every Year 01 - Brian E. Mueller 04 - Lisa Graham Keegan 02 - Sara R. Dial 05 - Chevy Humphrey 03 - Jack A. Henry For Against Abstain For Against Abstain For Against Abstain 1UPX 06 - David M. Adame Using a black ink pen, mark your votes with an X as shown in this example. Please do not write outside the designated areas. 03SWKC + + A Proposals — The Board of Directors recommends a vote FOR all the nominees listed. 1. Election of Directors: For Against Abstain Please sign exactly as your name(s) appear on the proxy. If held in joint tenancy, all persons must sign. Trustee, administrators, etc., should include title and authority. Corporations should provide the full name of corporation and the title of the authorized officer signing the proxy. Date (mm/dd/yyyy) — Please print date below. Signature 1 — Please keep signature within the box. Signature 2 — Please keep signature within the box. B Authorized Signatures — This section must be completed for your vote to count. Please date and sign below. 2. To approve, on an advisory basis, the compensation of our named executive officers as disclosed in the Proxy Statement. q IF VOTING BY MAIL, SIGN, DETACH AND RETURN THE BOTTOM PORTION IN THE ENCLOSED ENVELOPE. q 2023 Annual Meeting Proxy Card The Board of Directors recommends a vote FOR Proposals 2 and 4 and for EVERY YEAR for Proposal 3. 4. To ratify the appointment of KPMG LLP as our independent registered public accounting firm for the fiscal year ending December 31, 2023. You may vote online or by phone instead of mailing this card. Online Go to www.envisionreports.com/LOPE or scan the QR code — login details are located in the shaded bar below. Save paper, time and money! Sign up for electronic delivery at www.envisionreports.com/LOPE Phone Call toll free 1-800-652-VOTE (8683) within the USA, US territories and Canada Votes submitted electronically must be received by 11:00 p.m., Pacific Time, on Monday, June 19, 2023. Your vote matters – here’s how to vote!</w:t>
            </w:r>
          </w:p>
        </w:tc>
      </w:tr>
    </w:tbl>
    <w:tbl>
      <w:tblPr>
        <w:tblW w:w="13010" w:type="dxa"/>
        <w:jc w:val="left"/>
        <w:tblInd w:w="0" w:type="dxa"/>
        <w:tblCellMar>
          <w:top w:w="0" w:type="dxa"/>
          <w:left w:w="0" w:type="dxa"/>
          <w:bottom w:w="0" w:type="dxa"/>
          <w:right w:w="0" w:type="dxa"/>
        </w:tblCellMar>
      </w:tblPr>
      <w:tblGrid>
        <w:gridCol w:w="12750"/>
        <w:gridCol w:w="260"/>
      </w:tblGrid>
      <w:tr>
        <w:trPr/>
        <w:tc>
          <w:tcPr>
            <w:tcW w:w="12750" w:type="dxa"/>
            <w:tcBorders/>
            <w:shd w:fill="auto" w:val="clear"/>
            <w:vAlign w:val="center"/>
          </w:tcPr>
          <w:p>
            <w:pPr>
              <w:pStyle w:val="TableContents"/>
              <w:spacing w:before="0" w:after="0"/>
              <w:ind w:left="0" w:right="0" w:hanging="0"/>
              <w:rPr/>
            </w:pPr>
            <w:r>
              <w:rPr/>
              <w:drawing>
                <wp:inline distT="0" distB="0" distL="0" distR="0">
                  <wp:extent cx="8096250" cy="10477500"/>
                  <wp:effectExtent l="0" t="0" r="0" b="0"/>
                  <wp:docPr id="1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2" descr=""/>
                          <pic:cNvPicPr>
                            <a:picLocks noChangeAspect="1" noChangeArrowheads="1"/>
                          </pic:cNvPicPr>
                        </pic:nvPicPr>
                        <pic:blipFill>
                          <a:blip r:embed="rId23"/>
                          <a:stretch>
                            <a:fillRect/>
                          </a:stretch>
                        </pic:blipFill>
                        <pic:spPr bwMode="auto">
                          <a:xfrm>
                            <a:off x="0" y="0"/>
                            <a:ext cx="8096250" cy="10477500"/>
                          </a:xfrm>
                          <a:prstGeom prst="rect">
                            <a:avLst/>
                          </a:prstGeom>
                        </pic:spPr>
                      </pic:pic>
                    </a:graphicData>
                  </a:graphic>
                </wp:inline>
              </w:drawing>
            </w:r>
          </w:p>
        </w:tc>
        <w:tc>
          <w:tcPr>
            <w:tcW w:w="26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Small steps make an impact. Help the environment by consenting to receive electronic delivery, sign up at www.envisionreports.com/LOPE Notice of 2023 Annual Meeting of Stockholders Grand Canyon Education, Inc. 2600 W. Camelback Road Phoenix, Arizona 85017 Proxy Solicited by Board of Directors for Annual Meeting — Tuesday, June 20, 2023 Brian E. Mueller, Daniel E. Bachus, and Sarah S. Collins, or any of them, each with the power of substitution, are hereby authorized to represent and vote the shares of the undersigned, with all the powers which the undersigned would possess if personally present, at the Annual Meeting of Stockholders of Grand Canyon Education, Inc. to be held on Tuesday, June 20, 2023 or at any postponement or adjournment thereof. THIS PROXY WHEN PROPERLY EXECUTED WILL BE VOTED AS DIRECTED OR, IF NO DIRECTION IS GIVEN, WILL BE VOTED “FOR” EACH OF THE NOMINEES LISTED ON THE REVERSE SIDE OF THIS PROXY CARD, “FOR” PROPOSALS 2 AND 4 AND FOR “EVERY YEAR” FOR PROPOSAL 3. In their discretion, the Proxies are authorized to vote upon such other business as may properly come before the meeting. (Items to be voted appear on reverse side) Grand Canyon Education, Inc. q IF VOTING BY MAIL, SIGN, DETACH AND RETURN THE BOTTOM PORTION IN THE ENCLOSED ENVELOPE. q Change of Address — Please print new address below. Comments — Please print your comments below. C Non-Voting Items + + Important Notice Regarding the Availability of Proxy Materials for the Stockholder Meeting to Be Held on June 20, 2023. This proxy statement and our annual report for the year ended December 31, 2022, are available and may be viewed at: www.edocumentview.com/LOPE Annual Meeting of Stockholders Tuesday, June 20, 2023 10:30 a.m. Arizona time Grand Canyon Education, Inc. 2600 W. Camelback Road Phoenix, Arizona 85017</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alibri">
    <w:altName w:val="Helvetica"/>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34264</Words>
  <CharactersWithSpaces>221582</CharactersWithSpaces>
  <Paragraphs>4328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