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total number of shares of common stock outstanding as of October 27, 2017, was 48,120,857.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6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18"/>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90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Item 3</w:t>
              </w:r>
            </w:hyperlink>
          </w:p>
        </w:tc>
        <w:tc>
          <w:tcPr>
            <w:tcW w:w="4380" w:type="dxa"/>
            <w:vAlign w:val="bottom"/>
            <w:tcBorders>
              <w:top w:val="single" w:sz="8" w:color="0000EE"/>
              <w:bottom w:val="single" w:sz="8" w:color="0000EE"/>
            </w:tcBorders>
            <w:gridSpan w:val="15"/>
          </w:tcPr>
          <w:p>
            <w:pPr>
              <w:ind w:left="20"/>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140" w:type="dxa"/>
            <w:vAlign w:val="bottom"/>
            <w:tcBorders>
              <w:top w:val="single" w:sz="8" w:color="0000EE"/>
            </w:tcBorders>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Item 4</w:t>
              </w:r>
            </w:hyperlink>
          </w:p>
        </w:tc>
        <w:tc>
          <w:tcPr>
            <w:tcW w:w="180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87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060" w:type="dxa"/>
            <w:vAlign w:val="bottom"/>
            <w:gridSpan w:val="1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Item 1</w:t>
              </w:r>
            </w:hyperlink>
          </w:p>
        </w:tc>
        <w:tc>
          <w:tcPr>
            <w:tcW w:w="136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1000" w:type="dxa"/>
            <w:vAlign w:val="bottom"/>
            <w:tcBorders>
              <w:top w:val="single" w:sz="8" w:color="0000EE"/>
            </w:tcBorders>
            <w:gridSpan w:val="6"/>
          </w:tcPr>
          <w:p>
            <w:pPr>
              <w:spacing w:after="0"/>
              <w:rPr>
                <w:sz w:val="24"/>
                <w:szCs w:val="24"/>
                <w:color w:val="auto"/>
              </w:rPr>
            </w:pPr>
          </w:p>
        </w:tc>
        <w:tc>
          <w:tcPr>
            <w:tcW w:w="820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 Risk Factors</w:t>
              </w:r>
            </w:hyperlink>
          </w:p>
        </w:tc>
        <w:tc>
          <w:tcPr>
            <w:tcW w:w="950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Item 2</w:t>
              </w:r>
            </w:hyperlink>
          </w:p>
        </w:tc>
        <w:tc>
          <w:tcPr>
            <w:tcW w:w="10560" w:type="dxa"/>
            <w:vAlign w:val="bottom"/>
            <w:gridSpan w:val="17"/>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 xml:space="preserve">Item   </w:t>
              </w:r>
            </w:hyperlink>
            <w:r>
              <w:rPr>
                <w:rFonts w:ascii="Arial" w:cs="Arial" w:eastAsia="Arial" w:hAnsi="Arial"/>
                <w:sz w:val="18"/>
                <w:szCs w:val="18"/>
                <w:color w:val="0000EE"/>
                <w:w w:val="79"/>
              </w:rPr>
              <w:t>3</w:t>
            </w:r>
          </w:p>
        </w:tc>
        <w:tc>
          <w:tcPr>
            <w:tcW w:w="436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62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 xml:space="preserve">Item   </w:t>
              </w:r>
            </w:hyperlink>
            <w:r>
              <w:rPr>
                <w:rFonts w:ascii="Arial" w:cs="Arial" w:eastAsia="Arial" w:hAnsi="Arial"/>
                <w:sz w:val="18"/>
                <w:szCs w:val="18"/>
                <w:color w:val="0000EE"/>
                <w:w w:val="79"/>
              </w:rPr>
              <w:t>4</w:t>
            </w:r>
          </w:p>
        </w:tc>
        <w:tc>
          <w:tcPr>
            <w:tcW w:w="234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822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 xml:space="preserve">Item   </w:t>
              </w:r>
            </w:hyperlink>
            <w:r>
              <w:rPr>
                <w:rFonts w:ascii="Arial" w:cs="Arial" w:eastAsia="Arial" w:hAnsi="Arial"/>
                <w:sz w:val="18"/>
                <w:szCs w:val="18"/>
                <w:color w:val="0000EE"/>
                <w:w w:val="79"/>
              </w:rPr>
              <w:t>5</w:t>
            </w:r>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 xml:space="preserve">Item   </w:t>
              </w:r>
            </w:hyperlink>
            <w:r>
              <w:rPr>
                <w:rFonts w:ascii="Arial" w:cs="Arial" w:eastAsia="Arial" w:hAnsi="Arial"/>
                <w:sz w:val="18"/>
                <w:szCs w:val="18"/>
                <w:color w:val="0000EE"/>
                <w:w w:val="79"/>
              </w:rPr>
              <w:t>6</w:t>
            </w:r>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99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101.</w:t>
            </w:r>
            <w:r>
              <w:rPr>
                <w:rFonts w:ascii="Arial" w:cs="Arial" w:eastAsia="Arial" w:hAnsi="Arial"/>
                <w:sz w:val="18"/>
                <w:szCs w:val="18"/>
                <w:u w:val="single" w:color="auto"/>
                <w:color w:val="auto"/>
                <w:w w:val="92"/>
              </w:rPr>
              <w:t>INS</w:t>
            </w:r>
            <w:r>
              <w:rPr>
                <w:rFonts w:ascii="Arial" w:cs="Arial" w:eastAsia="Arial" w:hAnsi="Arial"/>
                <w:sz w:val="18"/>
                <w:szCs w:val="18"/>
                <w:color w:val="auto"/>
                <w:w w:val="92"/>
              </w:rPr>
              <w:t xml:space="preserve"> XBRL Instance Document</w:t>
            </w:r>
          </w:p>
        </w:tc>
        <w:tc>
          <w:tcPr>
            <w:tcW w:w="8480" w:type="dxa"/>
            <w:vAlign w:val="bottom"/>
            <w:gridSpan w:val="8"/>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101.</w:t>
            </w:r>
            <w:r>
              <w:rPr>
                <w:rFonts w:ascii="Arial" w:cs="Arial" w:eastAsia="Arial" w:hAnsi="Arial"/>
                <w:sz w:val="18"/>
                <w:szCs w:val="18"/>
                <w:u w:val="single" w:color="auto"/>
                <w:color w:val="auto"/>
                <w:w w:val="91"/>
              </w:rPr>
              <w:t>SCH</w:t>
            </w:r>
            <w:r>
              <w:rPr>
                <w:rFonts w:ascii="Arial" w:cs="Arial" w:eastAsia="Arial" w:hAnsi="Arial"/>
                <w:sz w:val="18"/>
                <w:szCs w:val="18"/>
                <w:color w:val="auto"/>
                <w:w w:val="91"/>
              </w:rPr>
              <w:t xml:space="preserve"> XBRL Taxonomy Extension Schema</w:t>
            </w:r>
          </w:p>
        </w:tc>
        <w:tc>
          <w:tcPr>
            <w:tcW w:w="766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101.CAL XBRL Taxonomy Extension Calculation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101.LAB 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101.PRE 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101.DEF XBRL Taxonomy Extension Definition Linkbase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620" w:type="dxa"/>
            <w:vAlign w:val="bottom"/>
            <w:gridSpan w:val="2"/>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98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080" w:type="dxa"/>
            <w:vAlign w:val="bottom"/>
            <w:gridSpan w:val="3"/>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70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rPr>
              <w:t>GRAND CANYON EDUCATION, INC.</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Consolidated Income Statements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70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3"/>
              </w:rPr>
              <w:t>(Unaudited)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980" w:type="dxa"/>
            <w:vAlign w:val="bottom"/>
            <w:gridSpan w:val="5"/>
            <w:vMerge w:val="continue"/>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68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236,209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210,444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702,716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628,681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104,303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301,907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340"/>
              <w:spacing w:after="0"/>
              <w:rPr>
                <w:sz w:val="20"/>
                <w:szCs w:val="20"/>
                <w:color w:val="auto"/>
              </w:rPr>
            </w:pPr>
            <w:r>
              <w:rPr>
                <w:rFonts w:ascii="Arial" w:cs="Arial" w:eastAsia="Arial" w:hAnsi="Arial"/>
                <w:sz w:val="18"/>
                <w:szCs w:val="18"/>
                <w:color w:val="auto"/>
              </w:rPr>
              <w:t>Admissions advisory and related</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31,426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28,814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94,483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74,930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340"/>
              <w:spacing w:after="0"/>
              <w:rPr>
                <w:sz w:val="20"/>
                <w:szCs w:val="20"/>
                <w:color w:val="auto"/>
              </w:rPr>
            </w:pPr>
            <w:r>
              <w:rPr>
                <w:rFonts w:ascii="Arial" w:cs="Arial" w:eastAsia="Arial" w:hAnsi="Arial"/>
                <w:sz w:val="18"/>
                <w:szCs w:val="18"/>
                <w:color w:val="auto"/>
              </w:rPr>
              <w:t>Marketing and promotional</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340"/>
              <w:spacing w:after="0"/>
              <w:rPr>
                <w:sz w:val="20"/>
                <w:szCs w:val="20"/>
                <w:color w:val="auto"/>
              </w:rPr>
            </w:pPr>
            <w:r>
              <w:rPr>
                <w:rFonts w:ascii="Arial" w:cs="Arial" w:eastAsia="Arial" w:hAnsi="Arial"/>
                <w:sz w:val="18"/>
                <w:szCs w:val="18"/>
                <w:color w:val="auto"/>
              </w:rPr>
              <w:t>Lease termination costs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176,517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163,378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511,308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468,176</w:t>
            </w:r>
          </w:p>
        </w:tc>
        <w:tc>
          <w:tcPr>
            <w:tcW w:w="0" w:type="dxa"/>
            <w:vAlign w:val="bottom"/>
          </w:tcPr>
          <w:p>
            <w:pPr>
              <w:spacing w:after="0"/>
              <w:rPr>
                <w:sz w:val="1"/>
                <w:szCs w:val="1"/>
                <w:color w:val="auto"/>
              </w:rPr>
            </w:pPr>
          </w:p>
        </w:tc>
      </w:tr>
      <w:tr>
        <w:trPr>
          <w:trHeight w:val="223"/>
        </w:trPr>
        <w:tc>
          <w:tcPr>
            <w:tcW w:w="3980" w:type="dxa"/>
            <w:vAlign w:val="bottom"/>
            <w:gridSpan w:val="5"/>
          </w:tcPr>
          <w:p>
            <w:pPr>
              <w:spacing w:after="0"/>
              <w:rPr>
                <w:sz w:val="20"/>
                <w:szCs w:val="20"/>
                <w:color w:val="auto"/>
              </w:rPr>
            </w:pPr>
            <w:r>
              <w:rPr>
                <w:rFonts w:ascii="Arial" w:cs="Arial" w:eastAsia="Arial" w:hAnsi="Arial"/>
                <w:sz w:val="18"/>
                <w:szCs w:val="18"/>
                <w:b w:val="1"/>
                <w:bCs w:val="1"/>
                <w:color w:val="auto"/>
              </w:rPr>
              <w:t>Operating income</w:t>
            </w:r>
          </w:p>
        </w:tc>
        <w:tc>
          <w:tcPr>
            <w:tcW w:w="3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59,692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191,408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160,505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340"/>
              <w:spacing w:after="0"/>
              <w:rPr>
                <w:sz w:val="20"/>
                <w:szCs w:val="20"/>
                <w:color w:val="auto"/>
              </w:rPr>
            </w:pPr>
            <w:r>
              <w:rPr>
                <w:rFonts w:ascii="Arial" w:cs="Arial" w:eastAsia="Arial" w:hAnsi="Arial"/>
                <w:sz w:val="18"/>
                <w:szCs w:val="18"/>
                <w:color w:val="auto"/>
              </w:rPr>
              <w:t>Interest and other income</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191,952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159,724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Income tax expense</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21,266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56,889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135,063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100,535</w:t>
            </w:r>
          </w:p>
        </w:tc>
        <w:tc>
          <w:tcPr>
            <w:tcW w:w="0" w:type="dxa"/>
            <w:vAlign w:val="bottom"/>
          </w:tcPr>
          <w:p>
            <w:pPr>
              <w:spacing w:after="0"/>
              <w:rPr>
                <w:sz w:val="1"/>
                <w:szCs w:val="1"/>
                <w:color w:val="auto"/>
              </w:rPr>
            </w:pPr>
          </w:p>
        </w:tc>
      </w:tr>
      <w:tr>
        <w:trPr>
          <w:trHeight w:val="20"/>
        </w:trPr>
        <w:tc>
          <w:tcPr>
            <w:tcW w:w="39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5"/>
            <w:vMerge w:val="continue"/>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vMerge w:val="continue"/>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w w:val="95"/>
              </w:rPr>
              <w:t>Basic weighted average shares outstanding</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w w:val="92"/>
              </w:rPr>
              <w:t>Diluted weighted average shares outstanding</w:t>
            </w: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vMerge w:val="continue"/>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48,292</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48,197</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780" w:type="dxa"/>
            <w:vAlign w:val="bottom"/>
            <w:gridSpan w:val="3"/>
            <w:vMerge w:val="continue"/>
          </w:tcPr>
          <w:p>
            <w:pPr>
              <w:spacing w:after="0"/>
              <w:rPr>
                <w:sz w:val="12"/>
                <w:szCs w:val="12"/>
                <w:color w:val="auto"/>
              </w:rPr>
            </w:pPr>
          </w:p>
        </w:tc>
        <w:tc>
          <w:tcPr>
            <w:tcW w:w="58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6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$39,304</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$29,244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$135,063</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$100,535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Unrealized gains (losses) on available-for-sale securities, net of taxes of $25 and $88 for the three</w:t>
            </w: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months ended September 30, 2017 and 2016, respectively, and $257 and $5 for the nine months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ended September 30, 2017 and 2016, respectively</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Unrealized losses on hedging derivatives, net of taxes of $20 and $2 for the three months ended</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520"/>
              <w:spacing w:after="0"/>
              <w:rPr>
                <w:sz w:val="20"/>
                <w:szCs w:val="20"/>
                <w:color w:val="auto"/>
              </w:rPr>
            </w:pPr>
            <w:r>
              <w:rPr>
                <w:rFonts w:ascii="Arial" w:cs="Arial" w:eastAsia="Arial" w:hAnsi="Arial"/>
                <w:sz w:val="18"/>
                <w:szCs w:val="18"/>
                <w:color w:val="auto"/>
              </w:rPr>
              <w:t>September 30, 2017 and 2016, respectively, and $65 and $203 for the nine months ended</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2"/>
          </w:tcPr>
          <w:p>
            <w:pPr>
              <w:ind w:left="520"/>
              <w:spacing w:after="0"/>
              <w:rPr>
                <w:sz w:val="20"/>
                <w:szCs w:val="20"/>
                <w:color w:val="auto"/>
              </w:rPr>
            </w:pPr>
            <w:r>
              <w:rPr>
                <w:rFonts w:ascii="Arial" w:cs="Arial" w:eastAsia="Arial" w:hAnsi="Arial"/>
                <w:sz w:val="18"/>
                <w:szCs w:val="18"/>
                <w:color w:val="auto"/>
              </w:rPr>
              <w:t>September 30, 2017 and 2016, respectively</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(104)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39,314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29,098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135,375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100,201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46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180" w:type="dxa"/>
            <w:vAlign w:val="bottom"/>
            <w:shd w:val="clear" w:color="auto" w:fill="CCEEFF"/>
          </w:tcPr>
          <w:p>
            <w:pPr>
              <w:ind w:left="206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180,142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75,604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12,243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386,846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897,540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3"/>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1,290,930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1,092,493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180" w:type="dxa"/>
            <w:vAlign w:val="bottom"/>
            <w:shd w:val="clear" w:color="auto" w:fill="CCEEFF"/>
          </w:tcPr>
          <w:p>
            <w:pPr>
              <w:ind w:left="17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24,377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10,750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116,438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31,636</w:t>
            </w:r>
          </w:p>
        </w:tc>
        <w:tc>
          <w:tcPr>
            <w:tcW w:w="0" w:type="dxa"/>
            <w:vAlign w:val="bottom"/>
          </w:tcPr>
          <w:p>
            <w:pPr>
              <w:spacing w:after="0"/>
              <w:rPr>
                <w:sz w:val="1"/>
                <w:szCs w:val="1"/>
                <w:color w:val="auto"/>
              </w:rPr>
            </w:pPr>
          </w:p>
        </w:tc>
      </w:tr>
      <w:tr>
        <w:trPr>
          <w:trHeight w:val="223"/>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285,063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27,209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66,616</w:t>
            </w: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375,209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$0.01 par value, 10,000 shares authorized; 0 shares issued and outstanding at September 30, 2017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gridSpan w:val="2"/>
          </w:tcPr>
          <w:p>
            <w:pPr>
              <w:spacing w:after="0" w:line="201" w:lineRule="exact"/>
              <w:rPr>
                <w:sz w:val="20"/>
                <w:szCs w:val="20"/>
                <w:color w:val="auto"/>
              </w:rPr>
            </w:pPr>
            <w:r>
              <w:rPr>
                <w:rFonts w:ascii="Arial" w:cs="Arial" w:eastAsia="Arial" w:hAnsi="Arial"/>
                <w:sz w:val="18"/>
                <w:szCs w:val="18"/>
                <w:color w:val="auto"/>
                <w:w w:val="96"/>
              </w:rPr>
              <w:t>Common stock, $0.01 par value, 100,000 shares authorized; 52,238 and 51,509 shares issued and 48,120 and 47,559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gridSpan w:val="2"/>
          </w:tcPr>
          <w:p>
            <w:pPr>
              <w:ind w:left="160"/>
              <w:spacing w:after="0"/>
              <w:rPr>
                <w:sz w:val="20"/>
                <w:szCs w:val="20"/>
                <w:color w:val="auto"/>
              </w:rPr>
            </w:pPr>
            <w:r>
              <w:rPr>
                <w:rFonts w:ascii="Arial" w:cs="Arial" w:eastAsia="Arial" w:hAnsi="Arial"/>
                <w:sz w:val="18"/>
                <w:szCs w:val="18"/>
                <w:color w:val="auto"/>
              </w:rPr>
              <w:t>shares outstanding at September 30, 2017 and December 31, 2016,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Treasury stock, at cost, 4,118 and 3,950 shares of common stock at September 30, 2017 and December 31, 2016,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(99,051)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228,928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785,920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915,721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773,686</w:t>
            </w:r>
          </w:p>
        </w:tc>
        <w:tc>
          <w:tcPr>
            <w:tcW w:w="0" w:type="dxa"/>
            <w:vAlign w:val="bottom"/>
          </w:tcPr>
          <w:p>
            <w:pPr>
              <w:spacing w:after="0"/>
              <w:rPr>
                <w:sz w:val="1"/>
                <w:szCs w:val="1"/>
                <w:color w:val="auto"/>
              </w:rPr>
            </w:pPr>
          </w:p>
        </w:tc>
      </w:tr>
      <w:tr>
        <w:trPr>
          <w:trHeight w:val="223"/>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1,290,930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1,092,493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15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Par Value</w:t>
            </w:r>
          </w:p>
        </w:tc>
        <w:tc>
          <w:tcPr>
            <w:tcW w:w="240" w:type="dxa"/>
            <w:vAlign w:val="bottom"/>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5"/>
              </w:rPr>
              <w:t>Loss</w:t>
            </w: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51,509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515</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3,950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$(89,394)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$212,559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1"/>
              </w:rPr>
              <w:t>(910)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$650,916</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$773,686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Cumulative effect from the adoption of accounting</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pronouncements, net of taxes</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135,063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(9,657)</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tcPr>
          <w:p>
            <w:pPr>
              <w:ind w:left="280"/>
              <w:spacing w:after="0"/>
              <w:rPr>
                <w:sz w:val="20"/>
                <w:szCs w:val="20"/>
                <w:color w:val="auto"/>
              </w:rPr>
            </w:pPr>
            <w:r>
              <w:rPr>
                <w:rFonts w:ascii="Arial" w:cs="Arial" w:eastAsia="Arial" w:hAnsi="Arial"/>
                <w:sz w:val="18"/>
                <w:szCs w:val="18"/>
                <w:color w:val="auto"/>
                <w:w w:val="86"/>
              </w:rPr>
              <w:t>537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5</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52,238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522</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4,118</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(99,051)</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228,928</w:t>
            </w:r>
          </w:p>
        </w:tc>
        <w:tc>
          <w:tcPr>
            <w:tcW w:w="3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(598)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785,920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915,721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8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16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135,063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40,467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(15,595)</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700"/>
              <w:spacing w:after="0"/>
              <w:rPr>
                <w:sz w:val="20"/>
                <w:szCs w:val="20"/>
                <w:color w:val="auto"/>
              </w:rPr>
            </w:pPr>
            <w:r>
              <w:rPr>
                <w:rFonts w:ascii="Arial" w:cs="Arial" w:eastAsia="Arial" w:hAnsi="Arial"/>
                <w:sz w:val="18"/>
                <w:szCs w:val="18"/>
                <w:color w:val="auto"/>
              </w:rPr>
              <w:t>Income taxes receivable/payable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75,699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Student deposits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269,927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213,265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(75,604)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(157,584)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land, building and golf course improvements related to off-site development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Return of equity method investment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Purchases of investments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(76,630)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65,807</w:t>
            </w:r>
          </w:p>
        </w:tc>
        <w:tc>
          <w:tcPr>
            <w:tcW w:w="0" w:type="dxa"/>
            <w:vAlign w:val="bottom"/>
          </w:tcPr>
          <w:p>
            <w:pPr>
              <w:spacing w:after="0"/>
              <w:rPr>
                <w:sz w:val="1"/>
                <w:szCs w:val="1"/>
                <w:color w:val="auto"/>
              </w:rPr>
            </w:pP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(112,084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(163,500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Net borrowings from revolving line of credit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(9,657)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23"/>
        </w:trPr>
        <w:tc>
          <w:tcPr>
            <w:tcW w:w="816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124,839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130,907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98,420</w:t>
            </w:r>
          </w:p>
        </w:tc>
        <w:tc>
          <w:tcPr>
            <w:tcW w:w="0" w:type="dxa"/>
            <w:vAlign w:val="bottom"/>
          </w:tcPr>
          <w:p>
            <w:pPr>
              <w:spacing w:after="0"/>
              <w:rPr>
                <w:sz w:val="1"/>
                <w:szCs w:val="1"/>
                <w:color w:val="auto"/>
              </w:rPr>
            </w:pPr>
          </w:p>
        </w:tc>
      </w:tr>
      <w:tr>
        <w:trPr>
          <w:trHeight w:val="223"/>
        </w:trPr>
        <w:tc>
          <w:tcPr>
            <w:tcW w:w="816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1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255,746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Grand Canyon Education, Inc. (together with its subsidiaries, the “University”) is a comprehensive regionally accredited university that offers over 220 graduate and undergraduate degree programs, emphases and certificates across nine colleges both online and on ground at our over 270 acre campus in Phoenix, Arizona, at leased facilities and at facilities owned by third party employers. Our undergraduate programs are designed to be innovative and to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wholly-owned subsidiaries are primarily used to facilitate expansion of the University campus.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and pursuant to the rules and regulations of the United States Securities and Exchange Commission and the instructions to Form 10-Q and Article 10.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2016 from which the December 31, 2016 balance sheet information was derived.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and cash equivalents. The majority of these funds remains as restricted for an average of 60 to 90 days from the date of receipt.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University considers its investments in municipal securities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On February 27, 2013, the University entered into an interest rate corridor to manage its 30 Day LIBOR interest exposure related to its variable rate debt. The fair value of the interest rate corridor instrument as of September 30, 2017 and December 31, 2016 was $322 and $490,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$169 and $531 for the nine months ended September 30, 2017 and 2016, respectively, for the effective portion of the losses on the derivatives is included as a component of other comprehensive income, net of taxes.</w:t>
      </w:r>
    </w:p>
    <w:p>
      <w:pPr>
        <w:spacing w:after="0" w:line="193"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$68,333 as of September 30, 2017.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71"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As of September 30, 2017, no derivative ineffectiveness was identified. Any ineffectiveness in the University’s derivative instrument designated as a hedge is reported in interest expense in the income statement. At September 30, 2017, the University does not expect to reclassify gains or losses on derivative instruments from accumulated other comprehensive income (loss) into earnings during the next 12 months.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The carrying value of cash and cash equivalents, investments, accounts receivable, accounts payable, accrued compensation and benefits, and accrued liabilities expenses approximate their fair value based on the liquidity or the short-term maturities of these instruments. The carrying value of notes payable approximates fair value as it is based on variable rate index. Derivative financial instruments are carried at fair value, determined using Level 2 of the hierarchy of valuation inputs, with the use of inputs other than quoted prices that are observable for the asset or liability.</w:t>
      </w:r>
    </w:p>
    <w:p>
      <w:pPr>
        <w:spacing w:after="0" w:line="154"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The fair value of investments, primarily municipal securities, were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on ground at its over 270 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nine months ended September 30, 2017 and 2016, the University’s revenue was reduced by approximately $135,630 and $123,112,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of such money to the Department of Education under Title IV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Marketing and promotional expenses include salaries, benefits and share-based compensation for marketing personnel, and other promotional expenses. This category also includes an allocation of depreciation, amortization, rent, and occupancy costs attributable to marketing and promotional activities. Marketing and promotional costs are expensed as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 in 2017</w:t>
      </w:r>
    </w:p>
    <w:p>
      <w:pPr>
        <w:spacing w:after="0" w:line="11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In March 2016, the FASB issued “Compensation – Stock Compensation: Improvement to Employee Share-Based Payment Accounting,” to simplify certain aspects of the accounting for share-based payment transactions to employees. The new standard requires excess tax benefits and tax deficiencies to be recorded in the consolidated statements of income as a component of the provision for income taxes when stock awards vest or options are exercised. In addition, it eliminates the requirement to reclassify cash flows related to excess tax benefits from operating activities to financing activities on the consolidated statements of cash flows. The standard also provides an accounting policy election to account for forfeitures as they occur, allows us to withhold more of an employee’s vesting shares for tax withholding purposes without triggering liability accounting, and clarifies that all cash payments made to tax authorities on an employee’s behalf for withheld shares should be presented as a financing activity on our consolidated cash flows statement.</w:t>
      </w:r>
    </w:p>
    <w:p>
      <w:pPr>
        <w:spacing w:after="0" w:line="16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The University adopted the new guidance in the first quarter of 2017 which required us to reflect any adjustments as of January 1, 2017. Upon adoption, excess tax benefits or deficiencies from share-based awards or options are now reflected in the consolidated statement of income as a component of the provision for income taxes, whereas previously they were recognized in equity. The University elected to account for forfeitures as they occur, rather than estimate expected forfeitures. The net cumulative effect of this change increased additional paid-in capital and decreased retained earnings as of January 1, 2017 by $59, net of tax. The University did not have any previously unrecognized excess tax effects that had not been recorded as a reduction to tax liability.</w:t>
      </w:r>
    </w:p>
    <w:p>
      <w:pPr>
        <w:spacing w:after="0" w:line="158"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The University adopted the provisions of the standard impacting the cash flow presentation retrospectively, and accordingly, to conform to the current period presentation, we reclassified $7,370 of excess tax benefits which had been included as a financing activity to an operating activity for the nine months ended September 30, 2016 in our consolidated statement of cash flows. The presentation requirement for cash flows related to employee taxes paid for withheld shares had no impact on our consolidated statement of cash flows since such cash flows have historically been presented as a financing activity.</w:t>
      </w:r>
    </w:p>
    <w:p>
      <w:pPr>
        <w:spacing w:after="0" w:line="154"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Adoption of the provision of the new standard related to income taxes was adopted prospectively and resulted in a reduction to our provision for income taxes of $15,374 for the nine months ended September 30, 2017, due to the recognition of excess tax benefits from restricted stock awards that vested or stock options that were exercised in 2017. Our restricted stock awards vest in March each year so the excess tax benefits and deficiencies is greatest in the first quarter each year.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 August 2016, the FASB issued a new standard that clarifies how certain cash receipts and cash payments are presented and classified in the consolidated statement of cash flows. The University elected to early adopt this guidance in the first quarter of 2017 on a retrospective basis. There was no reclassification impact of the adoption on our consolidated statement of cash flows for the nine months ended September 30, 2017 and 2016, as our historical statements have been presented in accordance with this new guidance.</w:t>
      </w:r>
    </w:p>
    <w:p>
      <w:pPr>
        <w:spacing w:after="0" w:line="18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November 2016, the FASB issued a new standard that requires restricted cash and cash equivalents to be included with the amount of cash and cash equivalents that are reconciled on the consolidated statement of cash flows. The University elected to early adopt this guidance in the first quarter of 2017 on a retrospective basis, and accordingly, to conform to the current period presentation, we reclassified our restricted cash and cash equivalents to be included in the total of cash and cash equivalents presented at the bottom of our consolidated statement of cash flows for both the beginning and ending periods for our nine months ended September 30, 2017 and 2016. As a result, the amount of the change in our net cash provided by operating activities no longer includes the impact of the change in restricted cash and cash equivalents for either period.</w:t>
      </w:r>
    </w:p>
    <w:p>
      <w:pPr>
        <w:spacing w:after="0" w:line="17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following table summarizes the effects related to the adoption of both accounting standards (share-based compensation and restricted cash and cash equivalents) for the nine months ended September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Data:</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 2016</w:t>
            </w:r>
          </w:p>
        </w:tc>
      </w:tr>
      <w:tr>
        <w:trPr>
          <w:trHeight w:val="142"/>
        </w:trPr>
        <w:tc>
          <w:tcPr>
            <w:tcW w:w="5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As reported</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20" w:type="dxa"/>
            <w:vAlign w:val="bottom"/>
          </w:tcPr>
          <w:p>
            <w:pPr>
              <w:spacing w:after="0"/>
              <w:rPr>
                <w:sz w:val="12"/>
                <w:szCs w:val="12"/>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214,451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213,265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(166,000)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(163,500)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52,107</w:t>
            </w:r>
          </w:p>
        </w:tc>
        <w:tc>
          <w:tcPr>
            <w:tcW w:w="2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46,051</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beginning of period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98,420</w:t>
            </w:r>
          </w:p>
        </w:tc>
        <w:tc>
          <w:tcPr>
            <w:tcW w:w="120" w:type="dxa"/>
            <w:vAlign w:val="bottom"/>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75,143</w:t>
            </w:r>
          </w:p>
        </w:tc>
        <w:tc>
          <w:tcPr>
            <w:tcW w:w="24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144,471</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May 2014, the FASB issued “Revenue from Contracts with Customers, as amended.”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accounting guidance also requires additional disclosure about the nature, amount, timing and uncertainty of revenue and cash flows arising from customer contracts, including significant judgements and changes in judgements and assets recognized from costs incurred to obtain or fulfill a contract. In July 2015, the FASB approved a one-year delay in the effective date. The University will adopt this new standard January 1, 2018 using the modified retrospective method and providing certain additional disclosure as defined within the standard. The University has elected to apply this guidance retrospectively to all contracts at the date of initial application. Management has undertaken a review of contracts and revenue streams for all of our net revenues. The majority of our revenues are related to tuition, net of scholarships, due from our students. Tuition revenues, net of scholarships, are currently recognized pro-rata over the applicable period of instruction which the University believes is consistent with the revenue recognition method required by the new standard. The University will provide expanded disclosures pertaining to revenue recognition in our quarterly filings beginning in the period of adoption. The University will clarify further its receivables and contract liabilities reported in its consolidated balance sheets. The University does not expect to have any contract assets. The University will elect the short-term contract exemption with respect to its performance obligations as all performance obligations as of the end of any reporting period are completed within less than a year. We anticipate the adoption of this standard will not have a material impact on our consolidated financial statements, cash flows or results of operations. The University is continuing to evaluate the impact the adoption of this standard will have on our accounting systems and system of internal controls and does not anticipate significant changes to our accounting systems and expects that there may be some enhancements in internal controls as a result of implementing the new standard.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January 2016, the FASB issued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The standard addresses certain aspects of recognition, measurement, presentation, and disclosure of financial instruments. Most prominent among</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is the requirement for changes in the fair value of equity investments, with certain exceptions, to be recognized through net income rather than other comprehensive income (“OCI”). This standard is effective for fiscal years, and interim periods within those years, beginning after December 15, 2017, and early adoption is not permitted. Accordingly, the standard is effective for us on January 1, 2018. We are currently evaluating the impact that the standard will have on our consolidated financial statements.</w:t>
      </w:r>
    </w:p>
    <w:p>
      <w:pPr>
        <w:spacing w:after="0" w:line="193"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In February 2016, the FASB issued “</w:t>
      </w:r>
      <w:r>
        <w:rPr>
          <w:rFonts w:ascii="Arial" w:cs="Arial" w:eastAsia="Arial" w:hAnsi="Arial"/>
          <w:sz w:val="17"/>
          <w:szCs w:val="17"/>
          <w:i w:val="1"/>
          <w:iCs w:val="1"/>
          <w:color w:val="auto"/>
        </w:rPr>
        <w:t>Leases</w:t>
      </w:r>
      <w:r>
        <w:rPr>
          <w:rFonts w:ascii="Arial" w:cs="Arial" w:eastAsia="Arial" w:hAnsi="Arial"/>
          <w:sz w:val="17"/>
          <w:szCs w:val="17"/>
          <w:color w:val="auto"/>
        </w:rPr>
        <w:t>.” The standard establishes a right-of-use (“ROU”) model that requires a lessee to recognize a ROU asset and a lease liability on the balance sheet for all leases with lease terms longer than 12 months. Leases will be classified as either finance or operating, with classification affecting the pattern of expense recognition in the income statement. This standard is effective for fiscal years, and interim periods within those years, beginning after December 15, 2018, and early adoption is permitted. Accordingly, the standard is effective for us on January 1, 2019 using a modified retrospective transition approach. A modified retrospective transition approach is required for lessees for capital and operating leases existing at, or entered into after, the beginning of the earliest comparative period presented in the financial statements, with certain practical expedients available. The University has begun evaluating the impact that the future adoption of this standard will have on our consolidated financial statements and we believe the adoption will slightly increase our assets and liabilities, and will increase our financial statement disclosures.</w:t>
      </w:r>
    </w:p>
    <w:p>
      <w:pPr>
        <w:spacing w:after="0" w:line="17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In June 2016, the FASB issued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The new guidance revises the accounting requirements related to the measurement of credit losses on financial instruments and the timing of when such losses are recorded. The standard is effective for fiscal years, and interim periods within those years, beginning after December 15, 2019. Early adoption is permitted for fiscal years and interim periods within those years, beginning after December 15, 2018. Accordingly, the standard is effective for us on January 1, 2020 using a modified retrospective approach, and we are currently evaluating the impact that the standard will have on our consolidated financial statements.</w:t>
      </w:r>
    </w:p>
    <w:p>
      <w:pPr>
        <w:spacing w:after="0" w:line="15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could otherwise have a material impact on its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The following is a summary of investments as of September 30, 2017 and December 31, 2016. The University considers all investments as available for sale.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 September 30, 2017</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116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5"/>
              </w:rPr>
              <w:t>Gross</w:t>
            </w: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(Losses)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89,631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$ 89,609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December 31, 2016</w:t>
            </w: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116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5"/>
              </w:rPr>
              <w:t>Gross</w:t>
            </w: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(Losses)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62,769</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580" w:type="dxa"/>
            <w:vAlign w:val="bottom"/>
            <w:tcBorders>
              <w:top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$ 62,596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cash flows of municipal securities are backed by the issuing municipality’s credit worthiness. All municipal securities are due in one year or less as of September 30, 2017. For the nine months ended September 30, 2017, the net unrealized losses on available-for-sale securities was $14, net of taxes.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8"/>
              </w:rPr>
              <w:t>Three Months Ended</w:t>
            </w: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740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4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47,316</w:t>
            </w:r>
          </w:p>
        </w:tc>
        <w:tc>
          <w:tcPr>
            <w:tcW w:w="2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46,231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47,083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45,953</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48,292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47,175</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48,197</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47,009</w:t>
            </w:r>
          </w:p>
        </w:tc>
        <w:tc>
          <w:tcPr>
            <w:tcW w:w="6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Diluted weighted average shares outstanding exclude the incremental effect of unvested restricted stock and shares that would be issued upon the assumed exercise of stock options in accordance with the treasury stock method. For the nine months ended September 30, 2017 and 2016, approximately 3 and 458, respectively, of the University’s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w w:val="97"/>
              </w:rPr>
              <w:t>Balance at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1"/>
              </w:rPr>
              <w:t>Charged to</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w w:val="90"/>
              </w:rPr>
              <w:t>Deductions</w:t>
            </w:r>
            <w:r>
              <w:rPr>
                <w:rFonts w:ascii="Arial" w:cs="Arial" w:eastAsia="Arial" w:hAnsi="Arial"/>
                <w:sz w:val="12"/>
                <w:szCs w:val="12"/>
                <w:b w:val="1"/>
                <w:bCs w:val="1"/>
                <w:color w:val="auto"/>
                <w:w w:val="90"/>
              </w:rPr>
              <w:t>(1)</w:t>
            </w: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Period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Expense</w:t>
            </w:r>
          </w:p>
        </w:tc>
        <w:tc>
          <w:tcPr>
            <w:tcW w:w="14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2017</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3"/>
              </w:rPr>
              <w:t>13,351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Nine months ended September 30, 2016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5,137</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12,812</w:t>
            </w:r>
          </w:p>
        </w:tc>
        <w:tc>
          <w:tcPr>
            <w:tcW w:w="400" w:type="dxa"/>
            <w:vAlign w:val="bottom"/>
          </w:tcPr>
          <w:p>
            <w:pPr>
              <w:spacing w:after="0"/>
              <w:rPr>
                <w:sz w:val="20"/>
                <w:szCs w:val="20"/>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(11,766)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445"/>
        </w:trPr>
        <w:tc>
          <w:tcPr>
            <w:tcW w:w="638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8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consist of the following:</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gridSpan w:val="5"/>
          </w:tcPr>
          <w:p>
            <w:pPr>
              <w:ind w:left="42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142,013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Land improvements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25,119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23,158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593,913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559,791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116,935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105,168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116,650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108,551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62,651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59,300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34,729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30,407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18,898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19,112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1,118,021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1,040,375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(220,481)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(184,847)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897,540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855,528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ectPr>
          <w:pgSz w:w="11900" w:h="16838" w:orient="portrait"/>
          <w:cols w:equalWidth="0" w:num="1">
            <w:col w:w="11400"/>
          </w:cols>
          <w:pgMar w:left="240" w:top="459" w:right="25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The University reserve is not material for tax matters where its ultimate exposure is considered probable and the potential loss can be reasonably estimated.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Incentive Plans</w:t>
      </w:r>
    </w:p>
    <w:p>
      <w:pPr>
        <w:spacing w:after="0" w:line="11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University has made grants of restricted stock and stock options under its 2008 Equity Incentive Plan (the “2008 Plan”). In January 2017, the Board of Directors of the University approved, and at the University’s 2017 annual meeting of stockholders held on June 14, 2017, the University’s stockholders adopted, a 2017 Equity Incentive Plan (the “2017 Plan”). All future grants of equity incentives will be made from the 2017 Plan.</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During the nine months ended September 30, 2017, the University granted 188 shares of common stock under the 2008 Plan with a service vesting condition to certain of its executives, officers, faculty and employees. The restricted shares have voting rights and vest in five annual installments of 20%, with this first installment vesting in March of the calendar year following the date of grant (the “first vesting date”) and on each of the four anniversaries of the first vesting date. Upon vesting, shares will be held in lieu of taxes equivalent to the minimum statutory tax withholding required to be paid when the restricted stock vests. During the nine months ended September 30, 2017, the University withheld 149 shares of common stock in lieu of taxes at a cost of $9,657 on the restricted stock vesting dates. In June 2017, following the annual stockholders meeting, the University granted 4 shares of common stock under the 2017 Plan to the non-employee members of the University’s board of directors. The restricted shares granted to these directors have voting rights and vest on the earlier of (a) the one year anniversary of the date of grant or (b) immediately prior to the following year’s annual stockholders’ meeting.</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summary of the activity related to restricted stock granted under the 2008 Plan and the 2017 Plan since December 31, 2016 is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4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2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18"/>
                <w:szCs w:val="18"/>
                <w:color w:val="auto"/>
              </w:rPr>
            </w:pP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(371)</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58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25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80" w:type="dxa"/>
            <w:vAlign w:val="bottom"/>
            <w:vMerge w:val="restart"/>
          </w:tcPr>
          <w:p>
            <w:pPr>
              <w:jc w:val="right"/>
              <w:ind w:right="1654"/>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During the nine months ended September 30, 2017, no options were granted. A summary of the activity since December 31, 2016 related to stock options granted under the 2008 Plan is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3"/>
              </w:rPr>
              <w:t>Summary of Stock Options Outstanding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12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1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Term (Years)</w:t>
            </w: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12.57</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16.35</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53,939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September 30, 2017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5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September 29, 2017 ($90.82) in excess of the exercise price multiplied by the number of shares underlying options outstanding or exercisable, as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nine months ended September 30, 2017 and 2016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$ 5,992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$ 5,462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19"/>
                <w:szCs w:val="19"/>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9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(3,825)</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(3,614)</w:t>
            </w:r>
          </w:p>
        </w:tc>
      </w:tr>
      <w:tr>
        <w:trPr>
          <w:trHeight w:val="27"/>
        </w:trPr>
        <w:tc>
          <w:tcPr>
            <w:tcW w:w="6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$ 5,737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$ 5,420</w:t>
            </w:r>
          </w:p>
        </w:tc>
        <w:tc>
          <w:tcPr>
            <w:tcW w:w="120" w:type="dxa"/>
            <w:vAlign w:val="bottom"/>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University’s accreditation has been reaffirmed by the Higher Learning Commission (“HLC”) after a comprehensive review of the institution’s academic offerings, governance and administration, mission, finances and resources during an on-site visit in November 2016. The accreditation was reaffirmed by the HLC’s Institutional Actions council at its meeting on February 28, 2017 with no requirements for any monitoring or interim reports. The comprehensive review occurs every 10 years, along with a mid-term report in year four. As of September 30, 2017, management believes the University is in compliance with the applicable regulations in all material respects. The University has a program participation agreement with full certification from the Department of Education, which gives the University the ability to participate in the Title IV programs through December 31, 2020.</w:t>
      </w:r>
    </w:p>
    <w:p>
      <w:pPr>
        <w:spacing w:after="0" w:line="183" w:lineRule="exact"/>
        <w:rPr>
          <w:sz w:val="20"/>
          <w:szCs w:val="20"/>
          <w:color w:val="auto"/>
        </w:rPr>
      </w:pPr>
    </w:p>
    <w:p>
      <w:pPr>
        <w:ind w:right="240" w:firstLine="913"/>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460" w:right="80" w:hanging="547"/>
        <w:spacing w:after="0" w:line="308" w:lineRule="auto"/>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460" w:hanging="547"/>
        <w:spacing w:after="0" w:line="342" w:lineRule="auto"/>
        <w:tabs>
          <w:tab w:leader="none" w:pos="1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1460" w:right="58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other universities in our geographic region and market sector, including competition for students, qualified executives and other personnel;</w:t>
      </w:r>
    </w:p>
    <w:p>
      <w:pPr>
        <w:spacing w:after="0" w:line="75" w:lineRule="exact"/>
        <w:rPr>
          <w:rFonts w:ascii="Arial" w:cs="Arial" w:eastAsia="Arial" w:hAnsi="Arial"/>
          <w:sz w:val="18"/>
          <w:szCs w:val="18"/>
          <w:color w:val="auto"/>
        </w:rPr>
      </w:pPr>
    </w:p>
    <w:p>
      <w:pPr>
        <w:ind w:left="1460" w:right="80" w:hanging="547"/>
        <w:spacing w:after="0" w:line="342" w:lineRule="auto"/>
        <w:tabs>
          <w:tab w:leader="none" w:pos="1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the expansion of our campus, potential acquisitions or divestitures of, or investments in, new businesses, acquisitions of new properties, or the development of new campuses;</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1460" w:right="180" w:hanging="547"/>
        <w:spacing w:after="0" w:line="308" w:lineRule="auto"/>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2016,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are a comprehensive regionally accredited university that offers over 220 graduate and undergraduate degree programs, emphases and certificates across nine colleges both online and on ground at our over 270 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believe the growing brand of the University and the value proposition for both traditional aged students attending on our campus in Phoenix, Arizona and working adult students attending on our campus or at off-site locations in cohorts (referred to by us as professional studies students) or online, has enabled us to increase enrollment to approximately 91,200 at September 30, 2017.</w:t>
      </w:r>
    </w:p>
    <w:p>
      <w:pPr>
        <w:spacing w:after="0" w:line="17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End-of-period enrollment increased 10.7% between September 30, 2017 and September 30, 2016, as ground enrollment increased 9.5% and online enrollment increased 11.0% over the prior year. We attribute the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our largest local competitor’s undergraduate tuition for online programs ranges from $510 to $718 per credit hour and its graduate tuition for online programs ranges from $512 to $1,312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Net revenues increased 11.8% over the first nine months of the prior year primarily due to the enrollment growth and due to an increase in ancillary revenues resulting from the increased traditional student enrollment (e.g. housing, food, etc.). The increase in revenue per student between years is primarily due to a higher percentage of students residing on campus resulting in higher room and board related revenue as compared to the prior year. Additionally, we recognized one additional day of traditional campus revenue in the fall semester of 2017 as compared to 2016 due to a favorable shift in the timing of our residential traditional campus start dates. We have not raised our tuition for our traditional ground programs in nine years and we have not raised tuition for our working adult students since September 2015. Operating income was $191.4 million for the nine months ended September 30, 2017, an increase of 19.3% over the $160.5 million in operating income for the nine months ended September 30, 2016.</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September 30, 2017 and 2016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color w:val="auto"/>
              </w:rPr>
              <w:t>(1)</w:t>
            </w:r>
          </w:p>
        </w:tc>
        <w:tc>
          <w:tcPr>
            <w:tcW w:w="6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color w:val="auto"/>
              </w:rPr>
              <w:t>(1)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 of Total</w:t>
            </w:r>
          </w:p>
        </w:tc>
        <w:tc>
          <w:tcPr>
            <w:tcW w:w="6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38,059</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33,337</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Undergraduate degree</w:t>
            </w:r>
          </w:p>
        </w:tc>
        <w:tc>
          <w:tcPr>
            <w:tcW w:w="820" w:type="dxa"/>
            <w:vAlign w:val="bottom"/>
          </w:tcPr>
          <w:p>
            <w:pPr>
              <w:jc w:val="right"/>
              <w:spacing w:after="0"/>
              <w:rPr>
                <w:sz w:val="20"/>
                <w:szCs w:val="20"/>
                <w:color w:val="auto"/>
              </w:rPr>
            </w:pPr>
            <w:r>
              <w:rPr>
                <w:rFonts w:ascii="Arial" w:cs="Arial" w:eastAsia="Arial" w:hAnsi="Arial"/>
                <w:sz w:val="18"/>
                <w:szCs w:val="18"/>
                <w:color w:val="auto"/>
              </w:rPr>
              <w:t>53,171</w:t>
            </w:r>
          </w:p>
        </w:tc>
        <w:tc>
          <w:tcPr>
            <w:tcW w:w="5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58.3%</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49,085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91,230</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82,422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color w:val="auto"/>
              </w:rPr>
              <w:t>(1)</w:t>
            </w:r>
          </w:p>
        </w:tc>
        <w:tc>
          <w:tcPr>
            <w:tcW w:w="6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color w:val="auto"/>
              </w:rPr>
              <w:t>(1)</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 of Students</w:t>
            </w:r>
          </w:p>
        </w:tc>
        <w:tc>
          <w:tcPr>
            <w:tcW w:w="540" w:type="dxa"/>
            <w:vAlign w:val="bottom"/>
            <w:vMerge w:val="restart"/>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 of Students</w:t>
            </w:r>
          </w:p>
        </w:tc>
        <w:tc>
          <w:tcPr>
            <w:tcW w:w="540" w:type="dxa"/>
            <w:vAlign w:val="bottom"/>
            <w:vMerge w:val="restart"/>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6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72,188</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65,038</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19,042</w:t>
            </w:r>
          </w:p>
        </w:tc>
        <w:tc>
          <w:tcPr>
            <w:tcW w:w="5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20.9%</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17,384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91,230</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82,422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80" w:hanging="452"/>
        <w:spacing w:after="0" w:line="274"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Enrollment at September 30, 2017 and 2016 represents individual students who attended a course during the last two months of the calendar quarter. Included in enrollment at September 30, 2017 and 2016 are students pursuing non-degree certificates of 1,063 and 932, respectively.</w:t>
      </w: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7,781 and 7,213 students pursuing doctoral degrees at September 30, 2017 and 2016, respectively.</w:t>
      </w:r>
    </w:p>
    <w:p>
      <w:pPr>
        <w:spacing w:after="0" w:line="9" w:lineRule="exact"/>
        <w:rPr>
          <w:rFonts w:ascii="Arial" w:cs="Arial" w:eastAsia="Arial" w:hAnsi="Arial"/>
          <w:sz w:val="15"/>
          <w:szCs w:val="15"/>
          <w:color w:val="auto"/>
        </w:rPr>
      </w:pPr>
    </w:p>
    <w:p>
      <w:pPr>
        <w:ind w:left="460" w:right="420" w:hanging="452"/>
        <w:spacing w:after="0" w:line="25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As of September 30, 2017 and 2016, 50.8% and 49.3%, respectively, of our working adult students (online and professional studies students) were pursuing graduate degrees.</w:t>
      </w: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and our professional studies students.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2016. During the nine months ended September 30, 2017, there have been no significant changes in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key trends, developments and challenges facing the University are disclosed in our Annual Report on Form 10-K for the fiscal year ended December 31, 2016. During the nine months ended September 30, 2017, there have been no significant changes in these trends. See Item 7, “Management’s Discussion and Analysis of Financial Condition and Results of Operations – Key Trends, Developments and Challenges” in our Annual Report on Form 10-K for our fiscal year ended December 31, 2016, which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9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9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44.2</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43.6</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13.3</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13.7</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13.4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Lease termination costs</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74.7</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77.6</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4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25.6</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tax expense</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9.0</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7.2</w:t>
            </w: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to Three Months Ended September 30, 2016</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three months ended September 30, 2017 was $236.2 million, an increase of $25.8 million, or 12.2%,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net revenue of $210.4 million for the three months ended September 30, 2016. This increase was primarily due to an increase in ground and online enrollment and, to a lesser extent, an increase in room and board and other student fees and ancillary revenues, partially offset by an increase in institutional scholarships. We have not raised our tuition for our traditional ground program in nine years and we have not raised tuition for our working adult students since September 2015. End-of-period enrollment increased 10.7% between September 30, 2017 and September 30, 2016, as ground enrollment increased 9.5%, and online enrollment increased 11.0% over the prior year. The majority of the ground enrollment growth between September 30, 2016 and September 30, 2017 is due to an increase in the number of residential students at our ground traditional campus in Phoenix, Arizona. We attribute the growth in our enrollment between years to our increasing brand recognition and the value proposition we believe we provide to students and their parents.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increase in revenue per student between years is primarily due to one additional day of traditional campus revenue in the fall semester of 2017 as compared to 2016 due to a favorable shift in the timing of our residential traditional campus start dates, and six additional days of revenue from our Summer term in 2017 as compared to 2016. Additionally, we have a higher percentage of students residing on campus resulting in higher room and board and other related revenues as compared to the prior year.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Instructional costs and services expenses. Our instructional costs and services expenses for the three months ended September 30, 2017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$104.3 million, an increase of $12.6 million, or 13.7%, as compared to instructional costs and services expenses of $91.7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This increase was primarily due to increases in employee compensation and related expenses including share 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faculty compensation, depreciation and amortization and occupancy expense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including disposals, and other instructional costs and services, of $4.0 million, $2.6 million, $3.3 million, and $2.7 million, respectively. The increase in employee compensation and related expenses and faculty compensation are primarily due to the increase in the number of staff and faculty needed to support the increasing number of students attending the University. In addition, we have incurred an increase in benefit costs between years. The increase in depreciation, amortization and occupancy costs including disposals is the result of our placing into service additional buildings to support the growing number of students. In addition, during the third quarter of 2017 we wrote-off the remaining book value of two buildings that will be replaced by a new classroom building that is needed for Fall 2018. The increase in other instructional costs and services is primarily due to higher food and other expenses as a result of the increased ancillary revenues. Our instructional costs and services expenses as a percentage of net revenues increased 0.6% to 44.2% for the three months ended September 30, 2017, from 43.6% for the three months ended September 30, 2016 primarily due to an increase in depreciation, amortization and occupancy costs including disposals as a percentage of revenue over the prior year primarily due to the asset disposal as well as depreciation increasing at a rate higher than net revenues due to significant fixed asset additions during the past twelve months, as well as an increase in employee compensation and related expenses primarily due to an increase in benefit costs over the prior year. Bad debt expense stayed flat at 2.3% for the three months ended September 30, 2017 and 2016, while other instructional costs and services were down as a percentage of net revenue over the prior year.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three months ended September 30, 2017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$31.4 million, an increase of $2.6 million, or 9.1%, as compared to admissions advisory and related expenses of $28.8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This increase is primarily the result of increases in employee compensation and related expenses including share based compensation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 million, primarily due to tenure based salary adjustments and an increase in benefits costs over the prior year. Our admissions advisory and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as a percentage of revenue decreased 0.4% to 13.3% for the three months ended September 30, 2017, from 13.7%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primarily due to our ability to leverage our admissions advisory personnel across an increasing revenue base.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Advertising expenses</w:t>
      </w:r>
      <w:r>
        <w:rPr>
          <w:rFonts w:ascii="Arial" w:cs="Arial" w:eastAsia="Arial" w:hAnsi="Arial"/>
          <w:sz w:val="16"/>
          <w:szCs w:val="16"/>
          <w:color w:val="auto"/>
        </w:rPr>
        <w:t>. Our advertising expenses for the three months ended September 30, 2017 were $25.5 million, an increase of $1.6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6.8%, as compared to advertising expenses of $23.9 million for the three months ended September 30, 2016. This increase is primarily the result of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brand advertising. Our advertising expenses as a percentage of net revenue decreased by 0.6% to 10.8% for the three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from 11.4% for the three months ended September 30, 2016.</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three months ended September 30, 2017 were $2.3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$0.2 million, or 10.5%, as compared to marketing and promotional expenses of $2.1 million for the three months ended September 30, 2016. This increase is primarily the result of increases in employee compensation and related expenses including stock based compensation of $0.3 million, partially offset by decreases in other promotional expenses of $0.1 million. Our marketing and promotional expenses as a percentage of net revenue stayed flat at 1.0% for the three months ended September 30, 2017 and 2016.</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three months ended September 30, 2017 were $12.9 million,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$0.5 million, or 3.8%, as compared to general and administrative expenses of $13.4 million for the three months ended September 30, 2016. This decrease was primarily due to a decrease in contributions made in lieu of state income taxes to school sponsoring organizations from $4.0 million in the three months ended September 30, 2016 to $2.0 million for the three months ended September 30, 2017. This decrease was partially offset by increases in employee compensation and related expenses including stock based compensation, and increases in other general and administrative costs of $0.8 million, and $0.7 million, respectively. The increase in employee compensation and related expenses is primarily due to headcount increases to support our growing enrollment and higher benefit costs. The increase in other general and administrative costs is primarily due to higher insurance and other expenses. Our general and administrative expenses as a percentage of net revenue decreased to 5.5% for the three months ended September 30, 2017, from 6.4% for the three months ended September 30, 2016 primarily due to the lower contributions made in lieu of state income taxes.</w:t>
      </w:r>
    </w:p>
    <w:p>
      <w:pPr>
        <w:spacing w:after="0" w:line="16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i w:val="1"/>
          <w:iCs w:val="1"/>
          <w:color w:val="auto"/>
        </w:rPr>
        <w:t>Lease termination costs</w:t>
      </w:r>
      <w:r>
        <w:rPr>
          <w:rFonts w:ascii="Arial" w:cs="Arial" w:eastAsia="Arial" w:hAnsi="Arial"/>
          <w:sz w:val="16"/>
          <w:szCs w:val="16"/>
          <w:color w:val="auto"/>
        </w:rPr>
        <w:t>. In July 2016, we notified a current landlord or our intent to vacate leased space by the fourth quarter of 2016. As a result, we</w:t>
      </w:r>
      <w:r>
        <w:rPr>
          <w:rFonts w:ascii="Arial" w:cs="Arial" w:eastAsia="Arial" w:hAnsi="Arial"/>
          <w:sz w:val="16"/>
          <w:szCs w:val="16"/>
          <w:i w:val="1"/>
          <w:iCs w:val="1"/>
          <w:color w:val="auto"/>
        </w:rPr>
        <w:t xml:space="preserve"> </w:t>
      </w:r>
      <w:r>
        <w:rPr>
          <w:rFonts w:ascii="Arial" w:cs="Arial" w:eastAsia="Arial" w:hAnsi="Arial"/>
          <w:sz w:val="16"/>
          <w:szCs w:val="16"/>
          <w:color w:val="auto"/>
        </w:rPr>
        <w:t>were required to pay a termination fee to terminate the lease resulting in $3.4 million of expense in the three months ended September 30, 2016.</w:t>
      </w:r>
    </w:p>
    <w:p>
      <w:pPr>
        <w:spacing w:after="0" w:line="12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for the three months ended September 30, 2017 was $0.6 million, an increase of $0.3 million, as compared to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$0.3 million for the three months ended September 30, 2016. This increase was primarily due to lower capitalized interest as compared to the prior year due to a decrease in capital spending in 2017, partially offset by the decrease in the average balance of our loan facility. Our interest expense as a percentage of net revenue stayed flat at 0.2% for the three months ended September 30, 2017 and 2016.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September 30, 2017 was $1.4 million, an increase of $3.7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loss of $2.3 million in the three months ended September 30, 2016. Interest income was higher in 2017 as compared to 2016 primarily due to higher average investment balances between years. Included in 2017 is our proportional share of equity income of $0.7 million related to our former ownership interest in LoudCloud that was received in the third quarter of 2017. The loss in the prior year was primarily due to an impairment charge on an investment recorded in the third quarter of 2016.</w:t>
      </w:r>
    </w:p>
    <w:p>
      <w:pPr>
        <w:spacing w:after="0" w:line="18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three months ended September 30, 2017 was $21.3 million, an increase of $6.1 million, or 40.0%,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income tax expense of $15.2 million for the three months ended September 30, 2016. This increase is the result of higher taxable income between periods. The effective tax rates for both quarters were lower than our annual effective tax rates due to the contributions made in lieu of state income taxes to school sponsoring organizations. Our contributions decreased from $4.0 million in the three months ended September 30, 2016 to $2.0 million for the three months ended September 30, 2017. The decrease in contributions over the prior year was partially offset by the adoption of the share-based compensation standard in the first quarter of 2017, which resulted in the recognition of excess tax benefits from share-based compensation awards that vested or settled in 2017 in the consolidated income statement.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w:t>
      </w:r>
    </w:p>
    <w:p>
      <w:pPr>
        <w:spacing w:after="0" w:line="167"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September 30, 2017 was $39.3 million, an increase of $10.1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$29.2 million for the three months ended September 30, 2016, due to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to Nine Months Ended September 30, 2016</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nine months ended September 30, 2017 was $702.7 million, an increase of $74.0 million, or 11.8%,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net revenue of $628.7 million for the nine months ended September 30, 2016. This increase was primarily due to an increase in ground and online enrollment and, to a lesser extent, an increase in room and board and other student fees and ancillary revenues, partially offset by an increase in institutional scholarships. We have not raised our tuition for our traditional ground program in nine years and we have not raised tuition for our working adult students since September 2015. End-of-period enrollment increased 10.7% between September 30, 2017 and September 30, 2016, as ground enrollment increased 9.5%, and online enrollment increased 11.0% over the prior year. The majority of the ground enrollment growth between September 30, 2016 and September 30, 2017 is due to an increase in the number of residential students at our ground traditional campus in Phoenix, Arizona. We attribute the growth in our enrollment between years to our increasing brand recognition and the value proposition we believe we provide to students and their parents.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increase in revenue per student between years is primarily due to a higher percentage of students residing on campus resulting in higher room and board and related revenue as compared to the prior year, Additionally, we recognized one additional day of traditional campus revenue in the fall semester of 2017 as compared to 2016 due to a favorable shift in the timing of our residential traditional campus start dates.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nine months ended September 30, 2017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$301.9 million, an increase of $30.9 million, or 11.4%, as compared to instructional costs and services expenses of $271.0 million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This increase was primarily due to increases in employee compensation and related expenses including share 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faculty compensation, depreciation and amortization and occupancy expense including disposals, and other instructional costs and services, of $8.5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$7.8 million, $9.0 million, and $5.6 million, respectively. The increase in employee compensation and related expenses and faculty compensation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the increase in the number of staff and faculty needed to support the increasing number of students attending the University. In addition,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incurred an increase in benefit costs between years. The increase in depreciation, amortization and occupancy costs including disposals is the result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placing into service additional buildings to support the growing number of students. In addition, during the third quarter of 2017 we wrote-off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remaining book value of two buildings that will be replaced by a new classroom building that is needed for Fall 2018. The increase in other instructional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services is primarily due to higher food and other expenses as a result of the increased ancillary revenues. Our instructional costs and services expenses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percentage of net revenues decreased 0.1% to 43.0% for the nine months ended September 30, 2017, from 43.1% for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primarily due to a decrease in employee compensation and related expenses, and other instructional costs and services as a percentage of net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an increase in depreciation, amortization and occupancy expense including disposals as a percentage of revenue over the prior year.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these expenses as a percentage of revenue between years is due to our ability to leverage them across an increasing revenue base.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depreciation, amortization and occupancy expenses is primarily due to the asset disposal as well as depreciation increasing at a rate higher than net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significant fixed asset additions during the past twelve months. Bad debt expense decreased to 1.9% for the nine months ended September 30,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2.0% for the nine months ended September 30,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nine months ended September 30, 2017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$94.5 million, an increase of $7.3 million, or 8.3%, as compared to admissions advisory and related expenses of $87.2 million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This increase is primarily the result of increases in employee compensation and related expenses including share based compensation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 million, partially offset by a decrease in other advisory related expenses of $0.2 million. The increase in employee compensation and related expenses 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primarily due to tenure based salary adjustments and an increase in benefit costs between years. Our admissions advisory and related expenses as a percentage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revenue decreased 0.5% to 13.4% for the nine months ended September 30, 2017, from 13.9% for the nine months ended September 30, 2016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our ability to leverage our admissions advisory personnel across an increasing revenue base.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Advertising expenses</w:t>
      </w:r>
      <w:r>
        <w:rPr>
          <w:rFonts w:ascii="Arial" w:cs="Arial" w:eastAsia="Arial" w:hAnsi="Arial"/>
          <w:sz w:val="16"/>
          <w:szCs w:val="16"/>
          <w:color w:val="auto"/>
        </w:rPr>
        <w:t>. Our advertising expenses for the nine months ended September 30, 2017 were $74.9 million, an increase of $7.7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11.6%, as compared to advertising expenses of $67.2 million for the nine months ended September 30, 2016. This increase is primarily the result of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brand advertising. Our advertising expenses as a percentage of net revenue stayed flat at 10.7% for both the nine months ended September 30,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2016.</w:t>
      </w:r>
    </w:p>
    <w:p>
      <w:pPr>
        <w:spacing w:after="0" w:line="21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nine months ended September 30, 2017 were $7.1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$0.6 million, or 9.2%, as compared to marketing and promotional expenses of $6.5 million for the nine months ended September 30, 2016. This increase is primarily the result of increases in employee compensation and related expenses including stock based compensation of $0.8 million, partially offset by a decrease in other promotional expenses of $0.2 million. Our marketing and promotional expenses as a percentage of net revenue stayed flat at 1.0% for both the nine months ended September 30, 2017 and 2016.</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nine months ended September 30, 2017 were $32.9 million,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of $0.1 million, as compared to general and administrative expenses of $33.0 million for the nine months ended September 30, 2016. This decrease was primarily due to a decrease in our contributions made in lieu of state income taxes to school sponsoring organizations from $4.0 million in the nine months ended September 30, 2016 to $2.0 million for the nine months ended September 30, 2017 and a decrease in other general and administrative costs of $0.1 million, partially offset by an increase in employee compensation and related expenses including shared based compensation of $2.0 million. The increase in employee compensation and related expenses is due to headcount increases to support our growing enrollment and higher benefit costs. Our general and administrative expenses as a percentage of net revenue decreased by 0.5% to 4.7% for the nine months ended September 30, 2017, from 5.2% for the nine months ended September 30, 2016 due to the decreased contributions made in lieu of state income taxes and our ability to leverage our general and administrative costs across an increasing revenue base.</w:t>
      </w:r>
    </w:p>
    <w:p>
      <w:pPr>
        <w:spacing w:after="0" w:line="182"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i w:val="1"/>
          <w:iCs w:val="1"/>
          <w:color w:val="auto"/>
        </w:rPr>
        <w:t>Lease termination costs</w:t>
      </w:r>
      <w:r>
        <w:rPr>
          <w:rFonts w:ascii="Arial" w:cs="Arial" w:eastAsia="Arial" w:hAnsi="Arial"/>
          <w:sz w:val="16"/>
          <w:szCs w:val="16"/>
          <w:color w:val="auto"/>
        </w:rPr>
        <w:t>. In July 2016, we notified a current landlord or our intent to vacate leased space by the fourth quarter of 2016. As a result, we</w:t>
      </w:r>
      <w:r>
        <w:rPr>
          <w:rFonts w:ascii="Arial" w:cs="Arial" w:eastAsia="Arial" w:hAnsi="Arial"/>
          <w:sz w:val="16"/>
          <w:szCs w:val="16"/>
          <w:i w:val="1"/>
          <w:iCs w:val="1"/>
          <w:color w:val="auto"/>
        </w:rPr>
        <w:t xml:space="preserve"> </w:t>
      </w:r>
      <w:r>
        <w:rPr>
          <w:rFonts w:ascii="Arial" w:cs="Arial" w:eastAsia="Arial" w:hAnsi="Arial"/>
          <w:sz w:val="16"/>
          <w:szCs w:val="16"/>
          <w:color w:val="auto"/>
        </w:rPr>
        <w:t>were required to pay a termination fee to terminate the lease resulting in $3.4 million of expense in the nine months ended September 30, 2016.</w:t>
      </w:r>
    </w:p>
    <w:p>
      <w:pPr>
        <w:spacing w:after="0" w:line="12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nine months ended September 30, 2017 was $1.6 million, an increase of $0.8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$0.8 million for the nine months ended September 30, 2016. This increase was primarily due to higher interest costs from the draw on our revolving line of credit during the first quarter of 2017 and lower capitalized interest due to a decrease in capital spending in 2017. Our interest expense increased as a percentage of net revenue by 0.1% to 0.2% for the nine months ended September 30, 2017, from 0.1% for the nine months ended September 30, 2016.</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i w:val="1"/>
          <w:iCs w:val="1"/>
          <w:color w:val="auto"/>
        </w:rPr>
        <w:t>Interest and other income</w:t>
      </w:r>
      <w:r>
        <w:rPr>
          <w:rFonts w:ascii="Arial" w:cs="Arial" w:eastAsia="Arial" w:hAnsi="Arial"/>
          <w:sz w:val="17"/>
          <w:szCs w:val="17"/>
          <w:color w:val="auto"/>
        </w:rPr>
        <w:t>. Interest and other income for the nine months ended September 30, 2017 was $2.2 million, an increase of $2.1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interest and other income of $0.1 million in the nine months ended September 30, 2016. Interest income was higher primarily due to higher average investment balances between years. Included in 2017 interest income is our proportional share of equity income of $0.7 million related to our former ownership interest in LoudCloud that was received in the third quarter of 2017. In the first nine months of 2016, interest income and the University’s proportional share of equity income related to our former ownership interest in LoudCloud of $1.8 million that was received in the first quarter of 2016 was offset by an impairment charge on an investment of $2.5 million included in the nine months ended September 30, 2016.</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nine months ended September 30, 2017 was $56.9 million, a decrease of $2.3 million, or 3.9%,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income tax expense of $59.2 million for the nine months ended September 30, 2016. This decrease is the result of a decrease in our effective tax rate from 37.1% in the first nine months of 2016 to 29.6% during the first nine months of 2017 partially offset by higher taxable income between periods. The lower effective tax rate year over year is due to our adoption of the share-based compensation standard in the first quarter of 2017, which resulted in the recognition of excess tax benefits from share-based compensation awards that vested or settled in 2017 in the consolidated income statement.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stock vests in March each year so the favorable benefit is greatest in the first quarter each year. The decrease in the effective tax rate from excess tax benefits was partially offset by a lower contribution in lieu of state income taxes to school sponsoring organizations in the nine months ended September 30, 2017 of $2.0 million as compared to the $4.0 million contribution made in the nine months ended September 30, 2016.</w:t>
      </w:r>
    </w:p>
    <w:p>
      <w:pPr>
        <w:spacing w:after="0" w:line="166"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nine months ended September 30, 2017 was $135.1 million, an increase of $34.6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$100.5 million for the nine months ended September 30, 2016,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nine months ended September 30, 2017 and 2016 primarily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Our unrestricted cash and cash equivalents and investments were $269.8 million and $108.6 million at September 30, 2017 and December 31, 2016, respectively. Our restricted cash and cash equivalents at September 30, 2017 and December 31, 2016 were $75.6 million and $84.9 million, respectively. In December 2012, we entered into a new credit agreement, which increased our term loan to $100 million with a maturity date of December 2019. Additionally, this facility, as amended in January 2016, provides a revolving line of credit in the amount of $150 million through December 2017 to be utilized for working capital, capital expenditures and other general corporate purposes. Indebtedness under the credit facility is secured by our assets and is guaranteed by certain of our subsidiaries. No amounts were drawn on the revolver as of September 30, 2017.</w:t>
      </w:r>
    </w:p>
    <w:p>
      <w:pPr>
        <w:spacing w:after="0" w:line="16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our common stock, from time to time, depending on market conditions and other considerations. The current expiration date on the repurchase authorization by our Board of Directors is December 31, 2018. Repurchases occur at the University’s discretion.</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Since the inception of our share repurchase program, the University has purchased 3.5 million shares of common stock at an aggregate cost of $75.8 million. During the nine months ended September 30, 2017 no shares were repurchased by the University. At September 30, 2017, there remains $99.2 million available under our share repurchase authorization.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right="440" w:firstLine="456"/>
        <w:spacing w:after="0" w:line="302"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nine months ended September 30, 2017 was $269.9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$213.3 million for the nine months ended September 30, 2016. The increase in cash generated from operating activities between the nine months ended September 30, 2016 and the nine months ended September 30, 2017 is primarily due to increased net income and non-cash charges such as depreciation expense as well as changes in other working capital such as accounts payable, accrued liabilities and deferred revenue.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$112.1 million and $163.5 million for the nine months ended September 30, 2017 and</w:t>
      </w:r>
      <w:r>
        <w:rPr>
          <w:rFonts w:ascii="Arial" w:cs="Arial" w:eastAsia="Arial" w:hAnsi="Arial"/>
          <w:sz w:val="16"/>
          <w:szCs w:val="16"/>
          <w:i w:val="1"/>
          <w:iCs w:val="1"/>
          <w:color w:val="auto"/>
        </w:rPr>
        <w:t xml:space="preserve"> </w:t>
      </w:r>
      <w:r>
        <w:rPr>
          <w:rFonts w:ascii="Arial" w:cs="Arial" w:eastAsia="Arial" w:hAnsi="Arial"/>
          <w:sz w:val="16"/>
          <w:szCs w:val="16"/>
          <w:color w:val="auto"/>
        </w:rPr>
        <w:t>2016, respectively. Our cash used in investing activities was primarily related to the purchase of short-term investments and capital expenditures. Purchases of short-term investments, net of proceeds of these investments, was $27.0 million for the nine months ended September 30, 2017. Proceeds from investment, net of purchases of short term investments, was $33.7 million for the nine months ended September 30, 2016. Capital expenditures were $75.6 million and $157.6 million for the nine months ended September 30, 2017 and 2016, respectively. During the nine-month period for 2017, capital expenditures primarily consisted of the construction of an additional dormitory, other ground campus building projects and land acquisitions adjacent to our campus to support our growing traditional student enrollment, as well as purchases of computer equipment, other internal use software projects and furniture and equipment to support our increasing employee headcount. Included in off-site development for 2017 is $10.2 million we spent to finish the building and parking garage in close proximity to our ground traditional campus. Employees that work in two leased office buildings in the Phoenix area were relocated to this new building by the end of 2016. During the nine-month period for 2016, capital expenditures primarily consisted of ground campus building projects that started in late 2015 such as three more apartment style residence halls, a 170,000 square foot classroom building for our College of Science, Engineering and Technology, a student service center, and a fourth parking structure, as well as land purchases adjacent to or near our Phoenix campus, and purchases of computer equipment, other internal use software projects and furniture and equipment to support our increasing employee headcount. Included in off-site development during 2016 is $41.9 million related to the off-site office building and parking garage. In addition, during the first nine months of 2017 and 2016, we received a $0.7 million and $1.8 million, respectively, distribution related to our ownership interest in LoudCloud upon its sale to a third party.</w:t>
      </w:r>
    </w:p>
    <w:p>
      <w:pPr>
        <w:spacing w:after="0" w:line="16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$33.0 million and $3.7 million for the nine months ended September 30, 2017 and 2016,</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During the nine-month period for 2017, $25.0 million was used to repay the revolving line of credit, $9.7 million was used to purchase common shares withheld in lieu of income taxes resulting from restricted share awards and principal payments on notes payable and capital leases totaled $5.1 million, which amounts were partially offset by proceeds from the exercise of stock options of $6.8 million. During the nine-month period for 2016, $20.0 million was used to purchase common shares withheld in lieu of income taxes resulting from restricted share awards and principal payments on notes payable and capital leases totaled $5.5 million and debt issuance costs for the increase in our revolving line of credit totaled $0.2 million, which amounts were partially offset by proceeds of $12.0 million from net borrowings from the revolving line of credit and $10.0 million in proceeds from the exercise of stock options.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table sets forth, as of September 30, 2017,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4"/>
              </w:rPr>
              <w:t>Payments Due by Period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240" w:type="dxa"/>
            <w:vAlign w:val="bottom"/>
          </w:tcPr>
          <w:p>
            <w:pPr>
              <w:spacing w:after="0"/>
              <w:rPr>
                <w:sz w:val="10"/>
                <w:szCs w:val="10"/>
                <w:color w:val="auto"/>
              </w:rPr>
            </w:pPr>
          </w:p>
        </w:tc>
        <w:tc>
          <w:tcPr>
            <w:tcW w:w="10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86"/>
              </w:rPr>
              <w:t>4-5 Years</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1 Year </w:t>
            </w:r>
            <w:r>
              <w:rPr>
                <w:rFonts w:ascii="Arial" w:cs="Arial" w:eastAsia="Arial" w:hAnsi="Arial"/>
                <w:sz w:val="14"/>
                <w:szCs w:val="14"/>
                <w:color w:val="auto"/>
              </w:rPr>
              <w:t>(1)</w:t>
            </w:r>
          </w:p>
        </w:tc>
        <w:tc>
          <w:tcPr>
            <w:tcW w:w="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$68.3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000" w:type="dxa"/>
            <w:vAlign w:val="bottom"/>
            <w:gridSpan w:val="3"/>
          </w:tcPr>
          <w:p>
            <w:pPr>
              <w:jc w:val="right"/>
              <w:ind w:right="22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3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3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97.0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October 1, 2017 through December 31, 2017.</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September 30,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nine months ended September 30, 2017</w:t>
      </w:r>
      <w:r>
        <w:rPr>
          <w:rFonts w:ascii="Arial" w:cs="Arial" w:eastAsia="Arial" w:hAnsi="Arial"/>
          <w:sz w:val="17"/>
          <w:szCs w:val="17"/>
          <w:i w:val="1"/>
          <w:iCs w:val="1"/>
          <w:color w:val="auto"/>
        </w:rPr>
        <w:t xml:space="preserve"> </w:t>
      </w:r>
      <w:r>
        <w:rPr>
          <w:rFonts w:ascii="Arial" w:cs="Arial" w:eastAsia="Arial" w:hAnsi="Arial"/>
          <w:sz w:val="17"/>
          <w:szCs w:val="17"/>
          <w:color w:val="auto"/>
        </w:rPr>
        <w:t>or 2016. There can be no assurance that future inflation will not have an adverse impact on our operating results and financial condition.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 Day LIBOR interest exposure from the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debt matures in December 2019. The corridor instrument, which hedges variable interest rate risk starting March 1, 2013 through December 20, 2019 with a notional amount of $68.3 million as of September 30, 2017,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58"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4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through the instruments noted above and by investing excess funds in cash equivalents,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mutual funds tied to various market indices and municipal bonds with a BBB rating or higher bearing variable interest rates, or individual bond coupon rates. Our future interest income may fall short of expectations due to changes in interest rates or we may suffer losses in principal if we are forced to sell securities that have declined in market value due to changes in interest rates. At September 30, 2017, a 10% increase or decrease in interest rates would not have a material impact on our future earnings, fair values, or cash flows. For information regarding our variable rate debt, see “Market risk” above.</w:t>
      </w:r>
    </w:p>
    <w:p>
      <w:pPr>
        <w:spacing w:after="0" w:line="3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September 30, 2017,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2016.</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common stock, from time to time, depending on market conditions and other considerations. The current expiration date on the repurchase authorization is December 31, 2018.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nine months ended September 30, 2017, we did not repurchase any shares of common stock. At September 30, 2017, there remains $99.2 million available under our share repurchase authorization.</w:t>
      </w:r>
    </w:p>
    <w:p>
      <w:pPr>
        <w:spacing w:after="0" w:line="193"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8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Average</w:t>
            </w:r>
          </w:p>
        </w:tc>
        <w:tc>
          <w:tcPr>
            <w:tcW w:w="5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480" w:type="dxa"/>
            <w:vAlign w:val="bottom"/>
          </w:tcPr>
          <w:p>
            <w:pPr>
              <w:spacing w:after="0"/>
              <w:rPr>
                <w:sz w:val="12"/>
                <w:szCs w:val="12"/>
                <w:color w:val="auto"/>
              </w:rPr>
            </w:pPr>
          </w:p>
        </w:tc>
        <w:tc>
          <w:tcPr>
            <w:tcW w:w="11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8"/>
              </w:rPr>
              <w:t>Value 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Total Number of</w:t>
            </w:r>
          </w:p>
        </w:tc>
        <w:tc>
          <w:tcPr>
            <w:tcW w:w="4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8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9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6"/>
              </w:rPr>
              <w:t>Period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Price Paid</w:t>
            </w:r>
          </w:p>
        </w:tc>
        <w:tc>
          <w:tcPr>
            <w:tcW w:w="5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48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Purchased Under</w:t>
            </w:r>
          </w:p>
        </w:tc>
        <w:tc>
          <w:tcPr>
            <w:tcW w:w="0" w:type="dxa"/>
            <w:vAlign w:val="bottom"/>
          </w:tcPr>
          <w:p>
            <w:pPr>
              <w:spacing w:after="0"/>
              <w:rPr>
                <w:sz w:val="1"/>
                <w:szCs w:val="1"/>
                <w:color w:val="auto"/>
              </w:rPr>
            </w:pPr>
          </w:p>
        </w:tc>
      </w:tr>
      <w:tr>
        <w:trPr>
          <w:trHeight w:val="171"/>
        </w:trPr>
        <w:tc>
          <w:tcPr>
            <w:tcW w:w="90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w w:val="90"/>
              </w:rPr>
              <w:t>Shares Purchased</w:t>
            </w:r>
          </w:p>
        </w:tc>
        <w:tc>
          <w:tcPr>
            <w:tcW w:w="4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5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Share</w:t>
            </w:r>
          </w:p>
        </w:tc>
        <w:tc>
          <w:tcPr>
            <w:tcW w:w="1060" w:type="dxa"/>
            <w:vAlign w:val="bottom"/>
            <w:tcBorders>
              <w:top w:val="single" w:sz="8" w:color="CCEEFF"/>
              <w:bottom w:val="single" w:sz="8" w:color="auto"/>
            </w:tcBorders>
            <w:gridSpan w:val="3"/>
            <w:shd w:val="clear" w:color="auto" w:fill="CCEEFF"/>
          </w:tcPr>
          <w:p>
            <w:pPr>
              <w:ind w:left="80"/>
              <w:spacing w:after="0" w:line="156" w:lineRule="exact"/>
              <w:rPr>
                <w:sz w:val="20"/>
                <w:szCs w:val="20"/>
                <w:color w:val="auto"/>
              </w:rPr>
            </w:pPr>
            <w:r>
              <w:rPr>
                <w:rFonts w:ascii="Arial" w:cs="Arial" w:eastAsia="Arial" w:hAnsi="Arial"/>
                <w:sz w:val="18"/>
                <w:szCs w:val="18"/>
                <w:b w:val="1"/>
                <w:bCs w:val="1"/>
                <w:color w:val="auto"/>
                <w:w w:val="84"/>
              </w:rPr>
              <w:t>Repurchases</w:t>
            </w:r>
          </w:p>
        </w:tc>
        <w:tc>
          <w:tcPr>
            <w:tcW w:w="34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July 1, 2017 – July 31, 2017</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August 1, 2017 – August 31, 2017</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September 1, 2017 – September 30, 2017</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Total</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183"/>
        </w:trPr>
        <w:tc>
          <w:tcPr>
            <w:tcW w:w="5340" w:type="dxa"/>
            <w:vAlign w:val="bottom"/>
            <w:gridSpan w:val="6"/>
          </w:tcPr>
          <w:p>
            <w:pPr>
              <w:ind w:left="460"/>
              <w:spacing w:after="0" w:line="182" w:lineRule="exact"/>
              <w:rPr>
                <w:sz w:val="20"/>
                <w:szCs w:val="20"/>
                <w:color w:val="auto"/>
              </w:rPr>
            </w:pPr>
            <w:r>
              <w:rPr>
                <w:rFonts w:ascii="Arial" w:cs="Arial" w:eastAsia="Arial" w:hAnsi="Arial"/>
                <w:sz w:val="18"/>
                <w:szCs w:val="18"/>
                <w:b w:val="1"/>
                <w:bCs w:val="1"/>
                <w:color w:val="auto"/>
              </w:rPr>
              <w:t>Tax Withholdings</w:t>
            </w:r>
          </w:p>
        </w:tc>
        <w:tc>
          <w:tcPr>
            <w:tcW w:w="11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July 1, 2017 – July 31, 2017</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August 1, 2017 – August 31, 2017</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September 1, 2017 – September 30, 2017</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 w:type="dxa"/>
            <w:vAlign w:val="bottom"/>
            <w:gridSpan w:val="3"/>
          </w:tcPr>
          <w:p>
            <w:pPr>
              <w:ind w:left="460"/>
              <w:spacing w:after="0"/>
              <w:rPr>
                <w:sz w:val="20"/>
                <w:szCs w:val="20"/>
                <w:color w:val="auto"/>
              </w:rPr>
            </w:pPr>
            <w:r>
              <w:rPr>
                <w:rFonts w:ascii="Arial" w:cs="Arial" w:eastAsia="Arial" w:hAnsi="Arial"/>
                <w:sz w:val="18"/>
                <w:szCs w:val="18"/>
                <w:b w:val="1"/>
                <w:bCs w:val="1"/>
                <w:color w:val="auto"/>
                <w:w w:val="97"/>
              </w:rPr>
              <w:t>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440" w:type="dxa"/>
            <w:vAlign w:val="bottom"/>
            <w:gridSpan w:val="3"/>
          </w:tcPr>
          <w:p>
            <w:pPr>
              <w:ind w:left="20"/>
              <w:spacing w:after="0"/>
              <w:rPr>
                <w:sz w:val="20"/>
                <w:szCs w:val="20"/>
                <w:color w:val="auto"/>
              </w:rPr>
            </w:pPr>
            <w:r>
              <w:rPr>
                <w:rFonts w:ascii="Arial" w:cs="Arial" w:eastAsia="Arial" w:hAnsi="Arial"/>
                <w:sz w:val="18"/>
                <w:szCs w:val="18"/>
                <w:b w:val="1"/>
                <w:bCs w:val="1"/>
                <w:color w:val="auto"/>
              </w:rPr>
              <w:t>Defaults Upon Senior Securities</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None.</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440" w:type="dxa"/>
            <w:vAlign w:val="bottom"/>
            <w:gridSpan w:val="3"/>
          </w:tcPr>
          <w:p>
            <w:pPr>
              <w:ind w:left="20"/>
              <w:spacing w:after="0"/>
              <w:rPr>
                <w:sz w:val="20"/>
                <w:szCs w:val="20"/>
                <w:color w:val="auto"/>
              </w:rPr>
            </w:pPr>
            <w:r>
              <w:rPr>
                <w:rFonts w:ascii="Arial" w:cs="Arial" w:eastAsia="Arial" w:hAnsi="Arial"/>
                <w:sz w:val="18"/>
                <w:szCs w:val="18"/>
                <w:b w:val="1"/>
                <w:bCs w:val="1"/>
                <w:color w:val="auto"/>
              </w:rPr>
              <w:t>Mine Safety Disclosures</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None.</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444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Information</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None.</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459" w:right="339" w:bottom="1440" w:gutter="0" w:footer="0" w:header="0"/>
        </w:sect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380" w:type="dxa"/>
            <w:vAlign w:val="bottom"/>
            <w:gridSpan w:val="17"/>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800" w:type="dxa"/>
            <w:vAlign w:val="bottom"/>
          </w:tcPr>
          <w:p>
            <w:pPr>
              <w:spacing w:after="0"/>
              <w:rPr>
                <w:sz w:val="24"/>
                <w:szCs w:val="24"/>
                <w:color w:val="auto"/>
              </w:rPr>
            </w:pPr>
          </w:p>
        </w:tc>
        <w:tc>
          <w:tcPr>
            <w:tcW w:w="5380" w:type="dxa"/>
            <w:vAlign w:val="bottom"/>
            <w:gridSpan w:val="17"/>
          </w:tcPr>
          <w:p>
            <w:pPr>
              <w:ind w:left="120"/>
              <w:spacing w:after="0"/>
              <w:rPr>
                <w:sz w:val="20"/>
                <w:szCs w:val="20"/>
                <w:color w:val="auto"/>
              </w:rPr>
            </w:pPr>
            <w:r>
              <w:rPr>
                <w:rFonts w:ascii="Arial" w:cs="Arial" w:eastAsia="Arial" w:hAnsi="Arial"/>
                <w:sz w:val="18"/>
                <w:szCs w:val="18"/>
                <w:color w:val="auto"/>
              </w:rPr>
              <w:t>(a) Exhibits</w:t>
            </w:r>
          </w:p>
        </w:tc>
      </w:tr>
      <w:tr>
        <w:trPr>
          <w:trHeight w:val="405"/>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4"/>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2"/>
                <w:szCs w:val="22"/>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Amended and Restated Certificate of Incorporation.</w:t>
              </w:r>
            </w:hyperlink>
          </w:p>
        </w:tc>
        <w:tc>
          <w:tcPr>
            <w:tcW w:w="1380" w:type="dxa"/>
            <w:vAlign w:val="bottom"/>
            <w:gridSpan w:val="8"/>
          </w:tcPr>
          <w:p>
            <w:pPr>
              <w:spacing w:after="0"/>
              <w:rPr>
                <w:sz w:val="22"/>
                <w:szCs w:val="22"/>
                <w:color w:val="auto"/>
              </w:rPr>
            </w:pPr>
          </w:p>
        </w:tc>
      </w:tr>
      <w:tr>
        <w:trPr>
          <w:trHeight w:val="73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Certificate of Amendment of Amended and Restated Certificate of</w:t>
              </w:r>
            </w:hyperlink>
          </w:p>
        </w:tc>
        <w:tc>
          <w:tcPr>
            <w:tcW w:w="32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20" w:type="dxa"/>
            <w:vAlign w:val="bottom"/>
            <w:gridSpan w:val="16"/>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Incorporation.</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20"/>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5120" w:type="dxa"/>
            <w:vAlign w:val="bottom"/>
            <w:gridSpan w:val="16"/>
          </w:tcPr>
          <w:p>
            <w:pPr>
              <w:spacing w:after="0"/>
              <w:rPr>
                <w:rFonts w:ascii="Arial" w:cs="Arial" w:eastAsia="Arial" w:hAnsi="Arial"/>
                <w:sz w:val="18"/>
                <w:szCs w:val="18"/>
                <w:color w:val="0000EE"/>
              </w:rPr>
            </w:pPr>
            <w:hyperlink r:id="rId47">
              <w:r>
                <w:rPr>
                  <w:rFonts w:ascii="Arial" w:cs="Arial" w:eastAsia="Arial" w:hAnsi="Arial"/>
                  <w:sz w:val="18"/>
                  <w:szCs w:val="18"/>
                  <w:color w:val="0000EE"/>
                </w:rPr>
                <w:t>Third Amended and Restated Bylaws.</w:t>
              </w:r>
            </w:hyperlink>
          </w:p>
        </w:tc>
      </w:tr>
      <w:tr>
        <w:trPr>
          <w:trHeight w:val="520"/>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2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Specimen of Stock Certificate.</w:t>
              </w:r>
            </w:hyperlink>
          </w:p>
        </w:tc>
        <w:tc>
          <w:tcPr>
            <w:tcW w:w="520" w:type="dxa"/>
            <w:vAlign w:val="bottom"/>
            <w:tcBorders>
              <w:top w:val="single" w:sz="8" w:color="0000EE"/>
            </w:tcBorders>
          </w:tcPr>
          <w:p>
            <w:pPr>
              <w:spacing w:after="0"/>
              <w:rPr>
                <w:sz w:val="24"/>
                <w:szCs w:val="24"/>
                <w:color w:val="auto"/>
              </w:rPr>
            </w:pPr>
          </w:p>
        </w:tc>
        <w:tc>
          <w:tcPr>
            <w:tcW w:w="2380" w:type="dxa"/>
            <w:vAlign w:val="bottom"/>
            <w:gridSpan w:val="10"/>
          </w:tcPr>
          <w:p>
            <w:pPr>
              <w:spacing w:after="0"/>
              <w:rPr>
                <w:sz w:val="24"/>
                <w:szCs w:val="24"/>
                <w:color w:val="auto"/>
              </w:rPr>
            </w:pPr>
          </w:p>
        </w:tc>
      </w:tr>
      <w:tr>
        <w:trPr>
          <w:trHeight w:val="736"/>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44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Principal Executive Officer pursuant to Rules</w:t>
              </w:r>
            </w:hyperlink>
          </w:p>
        </w:tc>
        <w:tc>
          <w:tcPr>
            <w:tcW w:w="68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20" w:type="dxa"/>
            <w:vAlign w:val="bottom"/>
            <w:gridSpan w:val="16"/>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13a-14(a) and 15d-14(a), as adopted pursuant to Section 302 of the</w:t>
              </w:r>
            </w:hyperlink>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Sarbanes-Oxley Act of 2002.</w:t>
              </w:r>
            </w:hyperlink>
          </w:p>
        </w:tc>
        <w:tc>
          <w:tcPr>
            <w:tcW w:w="26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51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Principal Financial Officer pursuant to Rules 13a-14(a)</w:t>
              </w:r>
            </w:hyperlink>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and 15d-14(a), as adopted pursuant to Section 302 of the Sarbanes-</w:t>
              </w:r>
            </w:hyperlink>
          </w:p>
        </w:tc>
        <w:tc>
          <w:tcPr>
            <w:tcW w:w="2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Oxley Act of 2002.</w:t>
              </w:r>
            </w:hyperlink>
          </w:p>
        </w:tc>
        <w:tc>
          <w:tcPr>
            <w:tcW w:w="3720" w:type="dxa"/>
            <w:vAlign w:val="bottom"/>
            <w:gridSpan w:val="14"/>
          </w:tcPr>
          <w:p>
            <w:pPr>
              <w:spacing w:after="0"/>
              <w:rPr>
                <w:sz w:val="17"/>
                <w:szCs w:val="17"/>
                <w:color w:val="auto"/>
              </w:rPr>
            </w:pPr>
          </w:p>
        </w:tc>
      </w:tr>
      <w:tr>
        <w:trPr>
          <w:trHeight w:val="304"/>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474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Principal Executive Officer pursuant to 18 U.S.C.</w:t>
              </w:r>
            </w:hyperlink>
          </w:p>
        </w:tc>
        <w:tc>
          <w:tcPr>
            <w:tcW w:w="38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20" w:type="dxa"/>
            <w:vAlign w:val="bottom"/>
            <w:gridSpan w:val="16"/>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Section 1350, as adopted pursuant to Section 906 of the Sarbanes-</w:t>
              </w:r>
            </w:hyperlink>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Oxley Act of 2002. ††</w:t>
              </w:r>
            </w:hyperlink>
          </w:p>
        </w:tc>
        <w:tc>
          <w:tcPr>
            <w:tcW w:w="3140" w:type="dxa"/>
            <w:vAlign w:val="bottom"/>
            <w:tcBorders>
              <w:top w:val="single" w:sz="8" w:color="0000EE"/>
            </w:tcBorders>
            <w:gridSpan w:val="9"/>
          </w:tcPr>
          <w:p>
            <w:pPr>
              <w:spacing w:after="0"/>
              <w:rPr>
                <w:sz w:val="17"/>
                <w:szCs w:val="17"/>
                <w:color w:val="auto"/>
              </w:rPr>
            </w:pPr>
          </w:p>
        </w:tc>
        <w:tc>
          <w:tcPr>
            <w:tcW w:w="360" w:type="dxa"/>
            <w:vAlign w:val="bottom"/>
            <w:gridSpan w:val="4"/>
          </w:tcPr>
          <w:p>
            <w:pPr>
              <w:spacing w:after="0"/>
              <w:rPr>
                <w:sz w:val="17"/>
                <w:szCs w:val="17"/>
                <w:color w:val="auto"/>
              </w:rPr>
            </w:pPr>
          </w:p>
        </w:tc>
      </w:tr>
      <w:tr>
        <w:trPr>
          <w:trHeight w:val="304"/>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512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Certification of Principal Financial Officer pursuant to 18 U.S.C.</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gridSpan w:val="10"/>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20" w:type="dxa"/>
            <w:vAlign w:val="bottom"/>
            <w:gridSpan w:val="16"/>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Section 1350, as adopted pursuant to Section 906 of the Sarbanes-</w:t>
              </w:r>
            </w:hyperlink>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Oxley Act of 2002. ††</w:t>
              </w:r>
            </w:hyperlink>
          </w:p>
        </w:tc>
        <w:tc>
          <w:tcPr>
            <w:tcW w:w="3140" w:type="dxa"/>
            <w:vAlign w:val="bottom"/>
            <w:tcBorders>
              <w:top w:val="single" w:sz="8" w:color="0000EE"/>
            </w:tcBorders>
            <w:gridSpan w:val="9"/>
          </w:tcPr>
          <w:p>
            <w:pPr>
              <w:spacing w:after="0"/>
              <w:rPr>
                <w:sz w:val="17"/>
                <w:szCs w:val="17"/>
                <w:color w:val="auto"/>
              </w:rPr>
            </w:pPr>
          </w:p>
        </w:tc>
        <w:tc>
          <w:tcPr>
            <w:tcW w:w="360" w:type="dxa"/>
            <w:vAlign w:val="bottom"/>
            <w:gridSpan w:val="4"/>
          </w:tcPr>
          <w:p>
            <w:pPr>
              <w:spacing w:after="0"/>
              <w:rPr>
                <w:sz w:val="17"/>
                <w:szCs w:val="17"/>
                <w:color w:val="auto"/>
              </w:rPr>
            </w:pPr>
          </w:p>
        </w:tc>
      </w:tr>
      <w:tr>
        <w:trPr>
          <w:trHeight w:val="345"/>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Incorporated by reference to Appendix A to the University’s Proxy Statement for its 2016 Annual meeting of Stockholders, filed with the SEC on April 29, 2016.</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180" w:space="220"/>
            <w:col w:w="4920"/>
          </w:cols>
          <w:pgMar w:left="240" w:top="459" w:right="339" w:bottom="1440" w:gutter="0" w:footer="0" w:header="0"/>
          <w:type w:val="continuous"/>
        </w:sectPr>
      </w:pPr>
    </w:p>
    <w:p>
      <w:pPr>
        <w:spacing w:after="0" w:line="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right="32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1, 2017</w:t>
      </w:r>
      <w:r>
        <w:rPr>
          <w:sz w:val="20"/>
          <w:szCs w:val="20"/>
          <w:color w:val="auto"/>
        </w:rPr>
        <w:tab/>
      </w:r>
      <w:r>
        <w:rPr>
          <w:rFonts w:ascii="Arial" w:cs="Arial" w:eastAsia="Arial" w:hAnsi="Arial"/>
          <w:sz w:val="16"/>
          <w:szCs w:val="16"/>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40"/>
          </w:cols>
          <w:pgMar w:left="240" w:top="459" w:right="9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2017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 2017</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2017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 2017</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September 30, 2017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52" w:lineRule="exact"/>
        <w:rPr>
          <w:sz w:val="20"/>
          <w:szCs w:val="20"/>
          <w:color w:val="auto"/>
        </w:rPr>
      </w:pPr>
    </w:p>
    <w:p>
      <w:pPr>
        <w:ind w:left="460" w:right="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September 30, 2017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52" w:lineRule="exact"/>
        <w:rPr>
          <w:sz w:val="20"/>
          <w:szCs w:val="20"/>
          <w:color w:val="auto"/>
        </w:rPr>
      </w:pPr>
    </w:p>
    <w:p>
      <w:pPr>
        <w:ind w:left="460" w:right="2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45" Type="http://schemas.openxmlformats.org/officeDocument/2006/relationships/hyperlink" Target="http://www.sec.gov/Archives/edgar/data/1434588/000095015308001925/p75463a6exv3w1.htm" TargetMode="External"/><Relationship Id="rId46" Type="http://schemas.openxmlformats.org/officeDocument/2006/relationships/hyperlink" Target="http://www.sec.gov/Archives/edgar/data/1434588/000119312516566183/d117924ddef14a.htm#toc117924_54" TargetMode="External"/><Relationship Id="rId47" Type="http://schemas.openxmlformats.org/officeDocument/2006/relationships/hyperlink" Target="http://www.sec.gov/Archives/edgar/data/1434588/000119312514387149/d812440dex31.htm" TargetMode="External"/><Relationship Id="rId48"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2019-12-29T03:17:32Z</dcterms:created>
  <dcterms:modified xsi:type="dcterms:W3CDTF">2019-12-29T03:17:32Z</dcterms:modified>
</cp:coreProperties>
</file>