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197485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5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99060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3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107315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730" w:right="2800" w:hanging="3730"/>
        <w:spacing w:after="0" w:line="322" w:lineRule="auto"/>
        <w:tabs>
          <w:tab w:leader="none" w:pos="4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01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250" w:type="dxa"/>
        <w:tblCellMar>
          <w:top w:w="0" w:type="dxa"/>
          <w:left w:w="0" w:type="dxa"/>
          <w:bottom w:w="0" w:type="dxa"/>
          <w:right w:w="0" w:type="dxa"/>
        </w:tblCellMar>
      </w:tblPr>
      <w:tr>
        <w:trPr>
          <w:trHeight w:val="190"/>
        </w:trPr>
        <w:tc>
          <w:tcPr>
            <w:tcW w:w="2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 to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580" w:type="dxa"/>
            <w:vAlign w:val="bottom"/>
          </w:tcPr>
          <w:p>
            <w:pPr>
              <w:spacing w:after="0"/>
              <w:rPr>
                <w:sz w:val="18"/>
                <w:szCs w:val="18"/>
                <w:color w:val="auto"/>
              </w:rPr>
            </w:pP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Commission file number: 001-34211</w:t>
            </w:r>
          </w:p>
        </w:tc>
        <w:tc>
          <w:tcPr>
            <w:tcW w:w="580" w:type="dxa"/>
            <w:vAlign w:val="bottom"/>
          </w:tcPr>
          <w:p>
            <w:pPr>
              <w:spacing w:after="0"/>
              <w:rPr>
                <w:sz w:val="18"/>
                <w:szCs w:val="18"/>
                <w:color w:val="auto"/>
              </w:rPr>
            </w:pPr>
          </w:p>
        </w:tc>
      </w:tr>
      <w:tr>
        <w:trPr>
          <w:trHeight w:val="64"/>
        </w:trPr>
        <w:tc>
          <w:tcPr>
            <w:tcW w:w="580" w:type="dxa"/>
            <w:vAlign w:val="bottom"/>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r>
    </w:tbl>
    <w:p>
      <w:pPr>
        <w:spacing w:after="0" w:line="8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4"/>
          <w:szCs w:val="34"/>
          <w:b w:val="1"/>
          <w:bCs w:val="1"/>
          <w:color w:val="auto"/>
        </w:rPr>
        <w:t>GRAND CANYON EDUCATION, INC.</w:t>
      </w:r>
    </w:p>
    <w:p>
      <w:pPr>
        <w:spacing w:after="0" w:line="3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90805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940" w:type="dxa"/>
            <w:vAlign w:val="bottom"/>
          </w:tcPr>
          <w:p>
            <w:pPr>
              <w:jc w:val="center"/>
              <w:ind w:left="2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20-3356009</w:t>
            </w:r>
          </w:p>
        </w:tc>
        <w:tc>
          <w:tcPr>
            <w:tcW w:w="2200" w:type="dxa"/>
            <w:vAlign w:val="bottom"/>
          </w:tcPr>
          <w:p>
            <w:pPr>
              <w:spacing w:after="0"/>
              <w:rPr>
                <w:sz w:val="13"/>
                <w:szCs w:val="13"/>
                <w:color w:val="auto"/>
              </w:rPr>
            </w:pPr>
          </w:p>
        </w:tc>
      </w:tr>
      <w:tr>
        <w:trPr>
          <w:trHeight w:val="148"/>
        </w:trPr>
        <w:tc>
          <w:tcPr>
            <w:tcW w:w="6960" w:type="dxa"/>
            <w:vAlign w:val="bottom"/>
            <w:gridSpan w:val="4"/>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80" w:type="dxa"/>
            <w:vAlign w:val="bottom"/>
            <w:gridSpan w:val="2"/>
          </w:tcPr>
          <w:p>
            <w:pPr>
              <w:jc w:val="center"/>
              <w:ind w:right="18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960" w:type="dxa"/>
            <w:vAlign w:val="bottom"/>
            <w:gridSpan w:val="4"/>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80" w:type="dxa"/>
            <w:vAlign w:val="bottom"/>
            <w:gridSpan w:val="2"/>
          </w:tcPr>
          <w:p>
            <w:pPr>
              <w:jc w:val="center"/>
              <w:ind w:right="18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174"/>
        </w:trPr>
        <w:tc>
          <w:tcPr>
            <w:tcW w:w="2940" w:type="dxa"/>
            <w:vAlign w:val="bottom"/>
          </w:tcPr>
          <w:p>
            <w:pPr>
              <w:spacing w:after="0"/>
              <w:rPr>
                <w:sz w:val="15"/>
                <w:szCs w:val="15"/>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2600 W. Camelback Road, Phoenix, Arizona 85017</w:t>
            </w:r>
          </w:p>
        </w:tc>
        <w:tc>
          <w:tcPr>
            <w:tcW w:w="10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190"/>
        </w:trPr>
        <w:tc>
          <w:tcPr>
            <w:tcW w:w="2940" w:type="dxa"/>
            <w:vAlign w:val="bottom"/>
          </w:tcPr>
          <w:p>
            <w:pPr>
              <w:spacing w:after="0"/>
              <w:rPr>
                <w:sz w:val="16"/>
                <w:szCs w:val="16"/>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0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16"/>
        </w:trPr>
        <w:tc>
          <w:tcPr>
            <w:tcW w:w="2940" w:type="dxa"/>
            <w:vAlign w:val="bottom"/>
          </w:tcPr>
          <w:p>
            <w:pPr>
              <w:spacing w:after="0"/>
              <w:rPr>
                <w:sz w:val="18"/>
                <w:szCs w:val="18"/>
                <w:color w:val="auto"/>
              </w:rPr>
            </w:pPr>
          </w:p>
        </w:tc>
        <w:tc>
          <w:tcPr>
            <w:tcW w:w="5100" w:type="dxa"/>
            <w:vAlign w:val="bottom"/>
            <w:gridSpan w:val="4"/>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(602) 247-4400</w:t>
            </w:r>
          </w:p>
        </w:tc>
        <w:tc>
          <w:tcPr>
            <w:tcW w:w="2200" w:type="dxa"/>
            <w:vAlign w:val="bottom"/>
          </w:tcPr>
          <w:p>
            <w:pPr>
              <w:spacing w:after="0"/>
              <w:rPr>
                <w:sz w:val="18"/>
                <w:szCs w:val="18"/>
                <w:color w:val="auto"/>
              </w:rPr>
            </w:pPr>
          </w:p>
        </w:tc>
      </w:tr>
      <w:tr>
        <w:trPr>
          <w:trHeight w:val="364"/>
        </w:trPr>
        <w:tc>
          <w:tcPr>
            <w:tcW w:w="2940" w:type="dxa"/>
            <w:vAlign w:val="bottom"/>
          </w:tcPr>
          <w:p>
            <w:pPr>
              <w:spacing w:after="0"/>
              <w:rPr>
                <w:sz w:val="24"/>
                <w:szCs w:val="24"/>
                <w:color w:val="auto"/>
              </w:rPr>
            </w:pPr>
          </w:p>
        </w:tc>
        <w:tc>
          <w:tcPr>
            <w:tcW w:w="4020" w:type="dxa"/>
            <w:vAlign w:val="bottom"/>
            <w:gridSpan w:val="3"/>
          </w:tcPr>
          <w:p>
            <w:pPr>
              <w:jc w:val="center"/>
              <w:ind w:left="2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45"/>
        </w:trPr>
        <w:tc>
          <w:tcPr>
            <w:tcW w:w="2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r>
      <w:tr>
        <w:trPr>
          <w:trHeight w:val="142"/>
        </w:trPr>
        <w:tc>
          <w:tcPr>
            <w:tcW w:w="2940" w:type="dxa"/>
            <w:vAlign w:val="bottom"/>
            <w:tcBorders>
              <w:left w:val="single" w:sz="8" w:color="auto"/>
              <w:bottom w:val="single" w:sz="8" w:color="auto"/>
            </w:tcBorders>
          </w:tcPr>
          <w:p>
            <w:pPr>
              <w:jc w:val="center"/>
              <w:ind w:left="748"/>
              <w:spacing w:after="0" w:line="142"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Trading Symbol(s)</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42"/>
        </w:trPr>
        <w:tc>
          <w:tcPr>
            <w:tcW w:w="2940" w:type="dxa"/>
            <w:vAlign w:val="bottom"/>
            <w:tcBorders>
              <w:left w:val="single" w:sz="8" w:color="auto"/>
              <w:bottom w:val="single" w:sz="8" w:color="auto"/>
            </w:tcBorders>
          </w:tcPr>
          <w:p>
            <w:pPr>
              <w:jc w:val="center"/>
              <w:ind w:left="728"/>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Borders>
              <w:bottom w:val="single" w:sz="8" w:color="auto"/>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LOPE</w:t>
            </w:r>
          </w:p>
        </w:tc>
        <w:tc>
          <w:tcPr>
            <w:tcW w:w="440" w:type="dxa"/>
            <w:vAlign w:val="bottom"/>
            <w:tcBorders>
              <w:bottom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center"/>
              <w:ind w:right="428"/>
              <w:spacing w:after="0" w:line="142" w:lineRule="exact"/>
              <w:rPr>
                <w:sz w:val="20"/>
                <w:szCs w:val="20"/>
                <w:color w:val="auto"/>
              </w:rPr>
            </w:pPr>
            <w:r>
              <w:rPr>
                <w:rFonts w:ascii="Times New Roman" w:cs="Times New Roman" w:eastAsia="Times New Roman" w:hAnsi="Times New Roman"/>
                <w:sz w:val="14"/>
                <w:szCs w:val="14"/>
                <w:color w:val="auto"/>
              </w:rPr>
              <w:t>Nasdaq Global Select Market</w:t>
            </w:r>
          </w:p>
        </w:tc>
      </w:tr>
      <w:tr>
        <w:trPr>
          <w:trHeight w:val="478"/>
        </w:trPr>
        <w:tc>
          <w:tcPr>
            <w:tcW w:w="8040" w:type="dxa"/>
            <w:vAlign w:val="bottom"/>
            <w:gridSpan w:val="5"/>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20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243"/>
        </w:trPr>
        <w:tc>
          <w:tcPr>
            <w:tcW w:w="8040" w:type="dxa"/>
            <w:vAlign w:val="bottom"/>
            <w:gridSpan w:val="5"/>
          </w:tcPr>
          <w:p>
            <w:pPr>
              <w:ind w:left="6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2200" w:type="dxa"/>
            <w:vAlign w:val="bottom"/>
          </w:tcPr>
          <w:p>
            <w:pPr>
              <w:jc w:val="center"/>
              <w:ind w:right="1468"/>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9" w:lineRule="exact"/>
        <w:rPr>
          <w:sz w:val="24"/>
          <w:szCs w:val="24"/>
          <w:color w:val="auto"/>
        </w:rPr>
      </w:pPr>
    </w:p>
    <w:p>
      <w:pPr>
        <w:ind w:left="10" w:right="200" w:firstLine="648"/>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70"/>
        <w:spacing w:after="0" w:line="161" w:lineRule="exact"/>
        <w:tabs>
          <w:tab w:leader="none" w:pos="61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8" w:lineRule="exact"/>
        <w:rPr>
          <w:sz w:val="24"/>
          <w:szCs w:val="24"/>
          <w:color w:val="auto"/>
        </w:rPr>
      </w:pPr>
    </w:p>
    <w:p>
      <w:pPr>
        <w:ind w:left="10" w:right="8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left="10" w:right="300" w:firstLine="648"/>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4" w:lineRule="exact"/>
        <w:rPr>
          <w:sz w:val="24"/>
          <w:szCs w:val="24"/>
          <w:color w:val="auto"/>
        </w:rPr>
      </w:pPr>
    </w:p>
    <w:tbl>
      <w:tblPr>
        <w:tblLayout w:type="fixed"/>
        <w:tblInd w:w="10" w:type="dxa"/>
        <w:tblCellMar>
          <w:top w:w="0" w:type="dxa"/>
          <w:left w:w="0" w:type="dxa"/>
          <w:bottom w:w="0" w:type="dxa"/>
          <w:right w:w="0" w:type="dxa"/>
        </w:tblCellMar>
      </w:tblPr>
      <w:tr>
        <w:trPr>
          <w:trHeight w:val="242"/>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40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6" w:lineRule="exact"/>
        <w:rPr>
          <w:sz w:val="24"/>
          <w:szCs w:val="24"/>
          <w:color w:val="auto"/>
        </w:rPr>
      </w:pPr>
    </w:p>
    <w:p>
      <w:pPr>
        <w:ind w:left="10" w:right="14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36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1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4"/>
          <w:szCs w:val="24"/>
          <w:color w:val="auto"/>
        </w:rPr>
      </w:pPr>
    </w:p>
    <w:p>
      <w:pPr>
        <w:ind w:left="10" w:right="120" w:firstLine="648"/>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ind w:left="650" w:right="1420"/>
        <w:spacing w:after="0" w:line="22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Securities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The total number of shares of common stock outstanding as of February 14, 2025 was 28,724,845.</w:t>
      </w:r>
    </w:p>
    <w:p>
      <w:pPr>
        <w:spacing w:after="0" w:line="29" w:lineRule="exact"/>
        <w:rPr>
          <w:sz w:val="24"/>
          <w:szCs w:val="24"/>
          <w:color w:val="auto"/>
        </w:rPr>
      </w:pPr>
    </w:p>
    <w:p>
      <w:pPr>
        <w:ind w:left="10" w:right="40" w:firstLine="648"/>
        <w:spacing w:after="0" w:line="261"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registrant’s common stock was listed on the NASDAQ Global Market. As of June 28, 2024, the aggregate market value of the registrant’s common stock held by non-affiliates was approximately $4.1 billion.</w:t>
      </w:r>
    </w:p>
    <w:p>
      <w:pPr>
        <w:spacing w:after="0" w:line="1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left="10" w:right="400" w:firstLine="648"/>
        <w:spacing w:after="0" w:line="261"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2025 Annual Meeting of Stockholders (which is expected to be filed with the Commission within 120 days after the end of the registrant’s 2024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426720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32385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49530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3"/>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91"/>
        </w:trPr>
        <w:tc>
          <w:tcPr>
            <w:tcW w:w="5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3280" w:type="dxa"/>
            <w:vAlign w:val="bottom"/>
            <w:tcBorders>
              <w:top w:val="single" w:sz="8" w:color="0000EE"/>
            </w:tcBorders>
            <w:gridSpan w:val="18"/>
          </w:tcPr>
          <w:p>
            <w:pPr>
              <w:spacing w:after="0"/>
              <w:rPr>
                <w:sz w:val="24"/>
                <w:szCs w:val="24"/>
                <w:color w:val="auto"/>
              </w:rPr>
            </w:pPr>
          </w:p>
        </w:tc>
        <w:tc>
          <w:tcPr>
            <w:tcW w:w="4600" w:type="dxa"/>
            <w:vAlign w:val="bottom"/>
            <w:gridSpan w:val="11"/>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1"/>
        </w:trPr>
        <w:tc>
          <w:tcPr>
            <w:tcW w:w="420" w:type="dxa"/>
            <w:vAlign w:val="bottom"/>
          </w:tcPr>
          <w:p>
            <w:pPr>
              <w:spacing w:after="0"/>
              <w:rPr>
                <w:sz w:val="24"/>
                <w:szCs w:val="24"/>
                <w:color w:val="auto"/>
              </w:rPr>
            </w:pPr>
          </w:p>
        </w:tc>
        <w:tc>
          <w:tcPr>
            <w:tcW w:w="12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6840" w:type="dxa"/>
            <w:vAlign w:val="bottom"/>
            <w:gridSpan w:val="2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0"/>
        </w:trPr>
        <w:tc>
          <w:tcPr>
            <w:tcW w:w="42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440" w:type="dxa"/>
            <w:vAlign w:val="bottom"/>
            <w:gridSpan w:val="1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1"/>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1B. Unresolved Staff Comments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90"/>
        </w:trPr>
        <w:tc>
          <w:tcPr>
            <w:tcW w:w="420" w:type="dxa"/>
            <w:vAlign w:val="bottom"/>
          </w:tcPr>
          <w:p>
            <w:pPr>
              <w:spacing w:after="0"/>
              <w:rPr>
                <w:sz w:val="24"/>
                <w:szCs w:val="24"/>
                <w:color w:val="auto"/>
              </w:rPr>
            </w:pPr>
          </w:p>
        </w:tc>
        <w:tc>
          <w:tcPr>
            <w:tcW w:w="27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1C. Cybersecurity</w:t>
            </w:r>
          </w:p>
        </w:tc>
        <w:tc>
          <w:tcPr>
            <w:tcW w:w="5320" w:type="dxa"/>
            <w:vAlign w:val="bottom"/>
            <w:gridSpan w:val="1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91"/>
        </w:trPr>
        <w:tc>
          <w:tcPr>
            <w:tcW w:w="420" w:type="dxa"/>
            <w:vAlign w:val="bottom"/>
          </w:tcPr>
          <w:p>
            <w:pPr>
              <w:spacing w:after="0"/>
              <w:rPr>
                <w:sz w:val="24"/>
                <w:szCs w:val="24"/>
                <w:color w:val="auto"/>
              </w:rPr>
            </w:pPr>
          </w:p>
        </w:tc>
        <w:tc>
          <w:tcPr>
            <w:tcW w:w="16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2. Properties</w:t>
            </w:r>
          </w:p>
        </w:tc>
        <w:tc>
          <w:tcPr>
            <w:tcW w:w="6360" w:type="dxa"/>
            <w:vAlign w:val="bottom"/>
            <w:gridSpan w:val="1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19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Legal Proceedings</w:t>
            </w:r>
          </w:p>
        </w:tc>
        <w:tc>
          <w:tcPr>
            <w:tcW w:w="6140" w:type="dxa"/>
            <w:vAlign w:val="bottom"/>
            <w:gridSpan w:val="1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91"/>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8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 Equity</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7320" w:type="dxa"/>
            <w:vAlign w:val="bottom"/>
            <w:gridSpan w:val="2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6. [Reserved]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702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 Operations</w:t>
            </w:r>
          </w:p>
        </w:tc>
        <w:tc>
          <w:tcPr>
            <w:tcW w:w="10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0"/>
        </w:trPr>
        <w:tc>
          <w:tcPr>
            <w:tcW w:w="420" w:type="dxa"/>
            <w:vAlign w:val="bottom"/>
          </w:tcPr>
          <w:p>
            <w:pPr>
              <w:spacing w:after="0"/>
              <w:rPr>
                <w:sz w:val="24"/>
                <w:szCs w:val="24"/>
                <w:color w:val="auto"/>
              </w:rPr>
            </w:pPr>
          </w:p>
        </w:tc>
        <w:tc>
          <w:tcPr>
            <w:tcW w:w="50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304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90"/>
        </w:trPr>
        <w:tc>
          <w:tcPr>
            <w:tcW w:w="420" w:type="dxa"/>
            <w:vAlign w:val="bottom"/>
          </w:tcPr>
          <w:p>
            <w:pPr>
              <w:spacing w:after="0"/>
              <w:rPr>
                <w:sz w:val="24"/>
                <w:szCs w:val="24"/>
                <w:color w:val="auto"/>
              </w:rPr>
            </w:pPr>
          </w:p>
        </w:tc>
        <w:tc>
          <w:tcPr>
            <w:tcW w:w="48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8. Consolidated Financial Statements and Supplementary Data</w:t>
            </w:r>
          </w:p>
        </w:tc>
        <w:tc>
          <w:tcPr>
            <w:tcW w:w="31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91"/>
        </w:trPr>
        <w:tc>
          <w:tcPr>
            <w:tcW w:w="42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600" w:type="dxa"/>
            <w:vAlign w:val="bottom"/>
            <w:tcBorders>
              <w:top w:val="single" w:sz="8" w:color="0000EE"/>
            </w:tcBorders>
            <w:gridSpan w:val="10"/>
          </w:tcPr>
          <w:p>
            <w:pPr>
              <w:spacing w:after="0"/>
              <w:rPr>
                <w:sz w:val="24"/>
                <w:szCs w:val="24"/>
                <w:color w:val="auto"/>
              </w:rPr>
            </w:pPr>
          </w:p>
        </w:tc>
        <w:tc>
          <w:tcPr>
            <w:tcW w:w="9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90"/>
        </w:trPr>
        <w:tc>
          <w:tcPr>
            <w:tcW w:w="420" w:type="dxa"/>
            <w:vAlign w:val="bottom"/>
          </w:tcPr>
          <w:p>
            <w:pPr>
              <w:spacing w:after="0"/>
              <w:rPr>
                <w:sz w:val="24"/>
                <w:szCs w:val="24"/>
                <w:color w:val="auto"/>
              </w:rPr>
            </w:pPr>
          </w:p>
        </w:tc>
        <w:tc>
          <w:tcPr>
            <w:tcW w:w="20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9B. Other Information</w:t>
            </w:r>
          </w:p>
        </w:tc>
        <w:tc>
          <w:tcPr>
            <w:tcW w:w="6040" w:type="dxa"/>
            <w:vAlign w:val="bottom"/>
            <w:gridSpan w:val="1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90"/>
        </w:trPr>
        <w:tc>
          <w:tcPr>
            <w:tcW w:w="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3"/>
              </w:rPr>
              <w:t>PART III</w:t>
            </w:r>
          </w:p>
        </w:tc>
        <w:tc>
          <w:tcPr>
            <w:tcW w:w="7740" w:type="dxa"/>
            <w:vAlign w:val="bottom"/>
            <w:gridSpan w:val="26"/>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90"/>
        </w:trPr>
        <w:tc>
          <w:tcPr>
            <w:tcW w:w="420" w:type="dxa"/>
            <w:vAlign w:val="bottom"/>
          </w:tcPr>
          <w:p>
            <w:pPr>
              <w:spacing w:after="0"/>
              <w:rPr>
                <w:sz w:val="24"/>
                <w:szCs w:val="24"/>
                <w:color w:val="auto"/>
              </w:rPr>
            </w:pPr>
          </w:p>
        </w:tc>
        <w:tc>
          <w:tcPr>
            <w:tcW w:w="47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Item 11. Executive Compensation</w:t>
            </w:r>
          </w:p>
        </w:tc>
        <w:tc>
          <w:tcPr>
            <w:tcW w:w="3300" w:type="dxa"/>
            <w:vAlign w:val="bottom"/>
            <w:gridSpan w:val="9"/>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4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80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w:t>
            </w:r>
          </w:p>
        </w:tc>
        <w:tc>
          <w:tcPr>
            <w:tcW w:w="4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w:t>
            </w:r>
          </w:p>
        </w:tc>
        <w:tc>
          <w:tcPr>
            <w:tcW w:w="6780" w:type="dxa"/>
            <w:vAlign w:val="bottom"/>
            <w:tcBorders>
              <w:top w:val="single" w:sz="8" w:color="0000EE"/>
            </w:tcBorders>
            <w:gridSpan w:val="23"/>
          </w:tcPr>
          <w:p>
            <w:pPr>
              <w:spacing w:after="0"/>
              <w:rPr>
                <w:sz w:val="17"/>
                <w:szCs w:val="17"/>
                <w:color w:val="auto"/>
              </w:rPr>
            </w:pPr>
          </w:p>
        </w:tc>
        <w:tc>
          <w:tcPr>
            <w:tcW w:w="70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90"/>
        </w:trPr>
        <w:tc>
          <w:tcPr>
            <w:tcW w:w="420" w:type="dxa"/>
            <w:vAlign w:val="bottom"/>
          </w:tcPr>
          <w:p>
            <w:pPr>
              <w:spacing w:after="0"/>
              <w:rPr>
                <w:sz w:val="24"/>
                <w:szCs w:val="24"/>
                <w:color w:val="auto"/>
              </w:rPr>
            </w:pPr>
          </w:p>
        </w:tc>
        <w:tc>
          <w:tcPr>
            <w:tcW w:w="610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19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90"/>
        </w:trPr>
        <w:tc>
          <w:tcPr>
            <w:tcW w:w="420" w:type="dxa"/>
            <w:vAlign w:val="bottom"/>
          </w:tcPr>
          <w:p>
            <w:pPr>
              <w:spacing w:after="0"/>
              <w:rPr>
                <w:sz w:val="24"/>
                <w:szCs w:val="24"/>
                <w:color w:val="auto"/>
              </w:rPr>
            </w:pPr>
          </w:p>
        </w:tc>
        <w:tc>
          <w:tcPr>
            <w:tcW w:w="3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Item 14. Principal Accounting Fees and Services</w:t>
            </w:r>
          </w:p>
        </w:tc>
        <w:tc>
          <w:tcPr>
            <w:tcW w:w="4520" w:type="dxa"/>
            <w:vAlign w:val="bottom"/>
            <w:gridSpan w:val="10"/>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90"/>
        </w:trPr>
        <w:tc>
          <w:tcPr>
            <w:tcW w:w="846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16"/>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48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Item 15. Exhibits and Consolidated Financial Statement Schedules</w:t>
            </w:r>
          </w:p>
        </w:tc>
        <w:tc>
          <w:tcPr>
            <w:tcW w:w="3240" w:type="dxa"/>
            <w:vAlign w:val="bottom"/>
            <w:gridSpan w:val="8"/>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91"/>
        </w:trPr>
        <w:tc>
          <w:tcPr>
            <w:tcW w:w="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7480" w:type="dxa"/>
            <w:vAlign w:val="bottom"/>
            <w:gridSpan w:val="2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90"/>
        </w:trPr>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4"/>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This Annual Report on Form 10-K, including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contains certain “forward-looking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meaning of Section 27A of the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 You can also identify forward-looking statements by discussions of strategy, plans or intentions of management.</w:t>
      </w:r>
    </w:p>
    <w:p>
      <w:pPr>
        <w:spacing w:after="0" w:line="84"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p>
      <w:pPr>
        <w:spacing w:after="0" w:line="81" w:lineRule="exact"/>
        <w:rPr>
          <w:sz w:val="20"/>
          <w:szCs w:val="20"/>
          <w:color w:val="auto"/>
        </w:rPr>
      </w:pPr>
    </w:p>
    <w:p>
      <w:pPr>
        <w:jc w:val="both"/>
        <w:ind w:left="1500" w:right="199" w:hanging="329"/>
        <w:spacing w:after="0" w:line="257"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actions taken against us related to our services business, or against our university partners that impact their businesses and that directly or indirectly reduce the service revenue we can earn under our master services agreements;</w:t>
      </w:r>
    </w:p>
    <w:p>
      <w:pPr>
        <w:spacing w:after="0" w:line="1" w:lineRule="exact"/>
        <w:rPr>
          <w:rFonts w:ascii="Times New Roman" w:cs="Times New Roman" w:eastAsia="Times New Roman" w:hAnsi="Times New Roman"/>
          <w:sz w:val="18"/>
          <w:szCs w:val="18"/>
          <w:color w:val="auto"/>
        </w:rPr>
      </w:pPr>
    </w:p>
    <w:p>
      <w:pPr>
        <w:ind w:left="1500" w:right="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any of the key university partner agreements;</w:t>
      </w:r>
    </w:p>
    <w:p>
      <w:pPr>
        <w:ind w:left="1500" w:right="27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 w:lineRule="exact"/>
        <w:rPr>
          <w:rFonts w:ascii="Times New Roman" w:cs="Times New Roman" w:eastAsia="Times New Roman" w:hAnsi="Times New Roman"/>
          <w:sz w:val="18"/>
          <w:szCs w:val="18"/>
          <w:color w:val="auto"/>
        </w:rPr>
      </w:pPr>
    </w:p>
    <w:p>
      <w:pPr>
        <w:ind w:left="1500" w:right="23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p>
      <w:pPr>
        <w:spacing w:after="0" w:line="1" w:lineRule="exact"/>
        <w:rPr>
          <w:rFonts w:ascii="Times New Roman" w:cs="Times New Roman" w:eastAsia="Times New Roman" w:hAnsi="Times New Roman"/>
          <w:sz w:val="18"/>
          <w:szCs w:val="18"/>
          <w:color w:val="auto"/>
        </w:rPr>
      </w:pPr>
    </w:p>
    <w:p>
      <w:pPr>
        <w:ind w:left="1500" w:right="45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harm to our business, results of operations, and financial condition, and harm to our university partners resulting from epidemics, pandemics, or public health crises;</w:t>
      </w:r>
    </w:p>
    <w:p>
      <w:pPr>
        <w:ind w:left="1500" w:right="5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harm to our business and our ability to retract and retain students resulting from capacity constraints, system disruptions, or security breaches in our online computer networks and phone systems:</w:t>
      </w:r>
    </w:p>
    <w:p>
      <w:pPr>
        <w:spacing w:after="0" w:line="1" w:lineRule="exact"/>
        <w:rPr>
          <w:rFonts w:ascii="Times New Roman" w:cs="Times New Roman" w:eastAsia="Times New Roman" w:hAnsi="Times New Roman"/>
          <w:sz w:val="18"/>
          <w:szCs w:val="18"/>
          <w:color w:val="auto"/>
        </w:rPr>
      </w:pPr>
    </w:p>
    <w:p>
      <w:pPr>
        <w:ind w:left="1500" w:right="23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university partners’ students to obtain federal Title IV funds, state financial aid, and private financing;</w:t>
      </w:r>
    </w:p>
    <w:p>
      <w:pPr>
        <w:jc w:val="both"/>
        <w:ind w:left="1500" w:right="57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 w:lineRule="exact"/>
        <w:rPr>
          <w:rFonts w:ascii="Times New Roman" w:cs="Times New Roman" w:eastAsia="Times New Roman" w:hAnsi="Times New Roman"/>
          <w:sz w:val="18"/>
          <w:szCs w:val="18"/>
          <w:color w:val="auto"/>
        </w:rPr>
      </w:pPr>
    </w:p>
    <w:p>
      <w:pPr>
        <w:ind w:left="1500" w:right="29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federal and state laws and regulations and accrediting commission standards, including pending rulemaking by the United States Department of Education (“ED”) applicable to us directly or indirectly through our university partners;</w:t>
      </w:r>
    </w:p>
    <w:p>
      <w:pPr>
        <w:spacing w:after="0" w:line="1" w:lineRule="exact"/>
        <w:rPr>
          <w:rFonts w:ascii="Times New Roman" w:cs="Times New Roman" w:eastAsia="Times New Roman" w:hAnsi="Times New Roman"/>
          <w:sz w:val="18"/>
          <w:szCs w:val="18"/>
          <w:color w:val="auto"/>
        </w:rPr>
      </w:pPr>
    </w:p>
    <w:p>
      <w:pPr>
        <w:ind w:left="1500" w:right="559" w:hanging="329"/>
        <w:spacing w:after="0" w:line="250"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education service companies in our geographic region and market sector, including competition for students, qualified executives and other personnel;</w:t>
      </w: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tax payments and tax rate;</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train new, and develop and train existing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growth of our university partners’ enrollment and its effect on the pace of our own growth;</w:t>
      </w:r>
    </w:p>
    <w:p>
      <w:pPr>
        <w:spacing w:after="0" w:line="27"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revenues due to seasonality;</w:t>
      </w:r>
    </w:p>
    <w:p>
      <w:pPr>
        <w:spacing w:after="0" w:line="9" w:lineRule="exact"/>
        <w:rPr>
          <w:rFonts w:ascii="Times New Roman" w:cs="Times New Roman" w:eastAsia="Times New Roman" w:hAnsi="Times New Roman"/>
          <w:sz w:val="18"/>
          <w:szCs w:val="18"/>
          <w:color w:val="auto"/>
        </w:rPr>
      </w:pPr>
    </w:p>
    <w:p>
      <w:pPr>
        <w:ind w:left="1500" w:right="35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on behalf of our university partners, convert prospective students to enrolled students and to retain active students to graduation;</w:t>
      </w:r>
    </w:p>
    <w:p>
      <w:pPr>
        <w:ind w:left="1500" w:right="13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updating and expanding the content of existing programs and developing new programs in a cost-effective manner or on a timely basis for our university partners;</w:t>
      </w:r>
    </w:p>
    <w:p>
      <w:pPr>
        <w:ind w:left="1500" w:right="65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competitive environment for marketing the programs of our university partners;</w:t>
      </w:r>
    </w:p>
    <w:p>
      <w:pPr>
        <w:ind w:left="1500" w:right="29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keep up with advances in technology that could enhance the experience for our university partners’ students;</w:t>
      </w: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9" w:lineRule="exact"/>
        <w:rPr>
          <w:rFonts w:ascii="Times New Roman" w:cs="Times New Roman" w:eastAsia="Times New Roman" w:hAnsi="Times New Roman"/>
          <w:sz w:val="18"/>
          <w:szCs w:val="18"/>
          <w:color w:val="auto"/>
        </w:rPr>
      </w:pPr>
    </w:p>
    <w:p>
      <w:pPr>
        <w:ind w:left="1500" w:right="699" w:hanging="329"/>
        <w:spacing w:after="0" w:line="25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adverse economic conditions or other developments that affect the job prospects of our university partners’ students; and</w:t>
      </w:r>
    </w:p>
    <w:p>
      <w:pPr>
        <w:ind w:left="1500" w:right="139" w:hanging="329"/>
        <w:spacing w:after="0" w:line="260"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headings “Risk Factors,” “Management’s Discussion and Analysis of Financial Condition and Results of Operations,” “Business,” and “Regulation.”</w:t>
      </w:r>
    </w:p>
    <w:p>
      <w:pPr>
        <w:spacing w:after="0" w:line="73" w:lineRule="exact"/>
        <w:rPr>
          <w:sz w:val="20"/>
          <w:szCs w:val="20"/>
          <w:color w:val="auto"/>
        </w:rPr>
      </w:pPr>
    </w:p>
    <w:p>
      <w:pPr>
        <w:jc w:val="both"/>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a Delaware corporation (“GCE” or the “Company”)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eight off-campus classroom and laboratory sites. As of December 31, 2024, GCE provided education services and support to approximately 127,150 students with more than 123,100 students enrolled in GCU’s programs, emphases and certificates.</w:t>
      </w:r>
    </w:p>
    <w:p>
      <w:pPr>
        <w:spacing w:after="0" w:line="8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also provide education services to numerous university partners across the United States.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2024, GCE provides education services to 22 university partners across the United States.</w:t>
      </w:r>
    </w:p>
    <w:p>
      <w:pPr>
        <w:spacing w:after="0" w:line="7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seek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We do disclose significant information for GCU, such as enrollments, due to its size in comparison to our other university partners.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GCE is an education services company with 22 university partners as of December 31, 2024. We have invested more than $345 million in the last 16 years in technology which includes the cost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We provide these services to our university partners pursuant to master services agreements that define the scope of our engagement, the types of services provided and other key terms of the engagement. Our investments also include the cost to build our off-site classroom and laboratory sites (including the specialized equipment) that are used by our university partners to educate healthcare students.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Suite of Services</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Academic Services</w:t>
      </w:r>
    </w:p>
    <w:p>
      <w:pPr>
        <w:spacing w:after="0" w:line="121"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We provide technology and academic services that can include the ongoing maintenance of our university partners’ educational infrastructure, including online course delivery and management, student records, assessment, customer relations management and other internal administrative systems. These services can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high-quality educational environment and that give us the capability to grow our university partners’ programs and enrollment.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Technology Services may include the following:</w:t>
      </w:r>
    </w:p>
    <w:p>
      <w:pPr>
        <w:spacing w:after="0" w:line="117" w:lineRule="exact"/>
        <w:rPr>
          <w:sz w:val="20"/>
          <w:szCs w:val="20"/>
          <w:color w:val="auto"/>
        </w:rPr>
      </w:pPr>
    </w:p>
    <w:p>
      <w:pPr>
        <w:ind w:left="1500" w:right="79" w:hanging="329"/>
        <w:spacing w:after="0" w:line="251"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Management System (“LMS”) - GCE designed and offers to its university partners its own proprietary LMS, called Halo. All of GCU’s students, online and ground use this LMS. The basic functionality includes an interactive course syllabus, discussion questions and forums, instruction interaction, class quizzes, group assignments, written assignment submission and rubrics, grading, participation, attendance and integration with our student information system. The functions in Halo have been reimagined to work more intuitively with new user interface design and more seamless ways of accomplishing the same tasks. Halo was designed as a “cloud native” application taking advantage of all the performance and reliability features of the cloud. Halo supports small classes that are instructor led, highly interactive and collaborative. 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This platform can easily and reliably scale as student populations increase. The platform provides in-depth analytics that allow us to closely monitor student success and the quality of instructional resources. GCE also designed its previous learning management system, LoudCloud which GCU used prior to HALO.</w:t>
      </w:r>
    </w:p>
    <w:p>
      <w:pPr>
        <w:spacing w:after="0" w:line="10" w:lineRule="exact"/>
        <w:rPr>
          <w:rFonts w:ascii="Times New Roman" w:cs="Times New Roman" w:eastAsia="Times New Roman" w:hAnsi="Times New Roman"/>
          <w:sz w:val="18"/>
          <w:szCs w:val="18"/>
          <w:color w:val="auto"/>
        </w:rPr>
      </w:pPr>
    </w:p>
    <w:p>
      <w:pPr>
        <w:ind w:left="1500" w:right="159" w:hanging="329"/>
        <w:spacing w:after="0" w:line="25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2" w:lineRule="exact"/>
        <w:rPr>
          <w:rFonts w:ascii="Times New Roman" w:cs="Times New Roman" w:eastAsia="Times New Roman" w:hAnsi="Times New Roman"/>
          <w:sz w:val="18"/>
          <w:szCs w:val="18"/>
          <w:color w:val="auto"/>
        </w:rPr>
      </w:pPr>
    </w:p>
    <w:p>
      <w:pPr>
        <w:ind w:left="1500" w:right="99" w:hanging="329"/>
        <w:spacing w:after="0" w:line="265" w:lineRule="auto"/>
        <w:tabs>
          <w:tab w:leader="none" w:pos="15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 We operate two data centers, one at GCU’s campus and one at another Phoenix-area location. Our infrastructure supports IT for GCE and we can provide it for our customers.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spacing w:after="0" w:line="1" w:lineRule="exact"/>
        <w:rPr>
          <w:rFonts w:ascii="Times New Roman" w:cs="Times New Roman" w:eastAsia="Times New Roman" w:hAnsi="Times New Roman"/>
          <w:sz w:val="17"/>
          <w:szCs w:val="17"/>
          <w:color w:val="auto"/>
        </w:rPr>
      </w:pPr>
    </w:p>
    <w:p>
      <w:pPr>
        <w:ind w:left="1500" w:right="99" w:hanging="329"/>
        <w:spacing w:after="0" w:line="260" w:lineRule="auto"/>
        <w:tabs>
          <w:tab w:leader="none" w:pos="1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 We provide 18/7 technical support for students and faculty. There are two systems utilized by GCE to provide these services.</w:t>
      </w:r>
    </w:p>
    <w:p>
      <w:pPr>
        <w:spacing w:after="0" w:line="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Academic Services may include the following:</w:t>
      </w:r>
    </w:p>
    <w:p>
      <w:pPr>
        <w:spacing w:after="0" w:line="117" w:lineRule="exact"/>
        <w:rPr>
          <w:sz w:val="20"/>
          <w:szCs w:val="20"/>
          <w:color w:val="auto"/>
        </w:rPr>
      </w:pPr>
    </w:p>
    <w:p>
      <w:pPr>
        <w:ind w:left="1500" w:right="99" w:hanging="329"/>
        <w:spacing w:after="0" w:line="254"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pacing w:after="0" w:line="3" w:lineRule="exact"/>
        <w:rPr>
          <w:rFonts w:ascii="Times New Roman" w:cs="Times New Roman" w:eastAsia="Times New Roman" w:hAnsi="Times New Roman"/>
          <w:sz w:val="18"/>
          <w:szCs w:val="18"/>
          <w:color w:val="auto"/>
        </w:rPr>
      </w:pPr>
    </w:p>
    <w:p>
      <w:pPr>
        <w:ind w:left="1500" w:right="139" w:hanging="329"/>
        <w:spacing w:after="0" w:line="250"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 Many of the health sciences specific faculty development resources are accredited by the International Association for Continuing Education and Training and the American Nurses Credentialing Center allowing faculty to earn continuing education credits.</w:t>
      </w:r>
    </w:p>
    <w:p>
      <w:pPr>
        <w:spacing w:after="0" w:line="3" w:lineRule="exact"/>
        <w:rPr>
          <w:rFonts w:ascii="Times New Roman" w:cs="Times New Roman" w:eastAsia="Times New Roman" w:hAnsi="Times New Roman"/>
          <w:sz w:val="18"/>
          <w:szCs w:val="18"/>
          <w:color w:val="auto"/>
        </w:rPr>
      </w:pPr>
    </w:p>
    <w:p>
      <w:pPr>
        <w:jc w:val="both"/>
        <w:ind w:left="1500" w:right="139" w:hanging="329"/>
        <w:spacing w:after="0" w:line="255"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Scheduling – GCE has a class scheduling department and has developed a proprietary system to provide these services to our university partners. Our scheduling software provides students the ability to set their class schedule and flexibility to make changes and create opportunities to complete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259"/>
        <w:spacing w:after="0" w:line="261" w:lineRule="auto"/>
        <w:rPr>
          <w:sz w:val="20"/>
          <w:szCs w:val="20"/>
          <w:color w:val="auto"/>
        </w:rPr>
      </w:pPr>
      <w:r>
        <w:rPr>
          <w:rFonts w:ascii="Times New Roman" w:cs="Times New Roman" w:eastAsia="Times New Roman" w:hAnsi="Times New Roman"/>
          <w:sz w:val="18"/>
          <w:szCs w:val="18"/>
          <w:color w:val="auto"/>
        </w:rPr>
        <w:t>courses in a myriad of online or onsite options. We optimize class size prior to course starts based on university partner standards, in order to maximize class resources and faculty utilization.</w:t>
      </w:r>
    </w:p>
    <w:p>
      <w:pPr>
        <w:ind w:left="1500" w:right="259" w:hanging="329"/>
        <w:spacing w:after="0" w:line="251" w:lineRule="auto"/>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Skills and Simulation Lab Sites – GCE secures, develops and finances off-campus classroom and laboratory sites for use in various programs offered by our university partners, including the accelerated Bachelor of Science in Nursing (ABSN). Off-campus classroom and laboratory sites are branded for specific university partners and all classrooms, faculty, counselors, staff and specialized equipment are centralized and made accessible to every university partner student. The laboratories contain the latest in skills and simulation learning technology; including computer-based scenarios, hands-on work with physical simulators and internally developed Mixed Reality with state-of-the-art technology, which help students gain unique experiences in an alternative clinical setting.</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Counseling Services and Support</w:t>
      </w:r>
    </w:p>
    <w:p>
      <w:pPr>
        <w:spacing w:after="0" w:line="12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Counseling Services and Support may include the following:</w:t>
      </w:r>
    </w:p>
    <w:p>
      <w:pPr>
        <w:spacing w:after="0" w:line="117" w:lineRule="exact"/>
        <w:rPr>
          <w:sz w:val="20"/>
          <w:szCs w:val="20"/>
          <w:color w:val="auto"/>
        </w:rPr>
      </w:pPr>
    </w:p>
    <w:p>
      <w:pPr>
        <w:ind w:left="1500" w:right="219" w:hanging="329"/>
        <w:spacing w:after="0" w:line="253"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5" w:lineRule="exact"/>
        <w:rPr>
          <w:rFonts w:ascii="Times New Roman" w:cs="Times New Roman" w:eastAsia="Times New Roman" w:hAnsi="Times New Roman"/>
          <w:sz w:val="18"/>
          <w:szCs w:val="18"/>
          <w:color w:val="auto"/>
        </w:rPr>
      </w:pPr>
    </w:p>
    <w:p>
      <w:pPr>
        <w:ind w:left="1500" w:right="79" w:hanging="329"/>
        <w:spacing w:after="0" w:line="250"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spacing w:after="0" w:line="3" w:lineRule="exact"/>
        <w:rPr>
          <w:rFonts w:ascii="Times New Roman" w:cs="Times New Roman" w:eastAsia="Times New Roman" w:hAnsi="Times New Roman"/>
          <w:sz w:val="18"/>
          <w:szCs w:val="18"/>
          <w:color w:val="auto"/>
        </w:rPr>
      </w:pPr>
    </w:p>
    <w:p>
      <w:pPr>
        <w:ind w:left="1500" w:right="79" w:hanging="329"/>
        <w:spacing w:after="0" w:line="250"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pacing w:after="0" w:line="3" w:lineRule="exact"/>
        <w:rPr>
          <w:rFonts w:ascii="Times New Roman" w:cs="Times New Roman" w:eastAsia="Times New Roman" w:hAnsi="Times New Roman"/>
          <w:sz w:val="18"/>
          <w:szCs w:val="18"/>
          <w:color w:val="auto"/>
        </w:rPr>
      </w:pPr>
    </w:p>
    <w:p>
      <w:pPr>
        <w:ind w:left="1500" w:right="99" w:hanging="329"/>
        <w:spacing w:after="0" w:line="251" w:lineRule="auto"/>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Experience Counseling – For university partner students pursuing programs that lead to external credentials (e.g., teaching, nursing, counseling, social work,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 requirements are met well in advance of deadlines. GCE assists in gathering all required documentation, verifying it as official, and storing it as part of the student’s record.</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and Communication</w:t>
      </w:r>
    </w:p>
    <w:p>
      <w:pPr>
        <w:spacing w:after="0" w:line="121"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provide marketing and communication services that include lead acquisition, digital communication strategies, brand identity advertising, media planning and strategy, video, data science and analysis and other promotional and communication services.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GCE’s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university partners.</w:t>
      </w:r>
    </w:p>
    <w:p>
      <w:pPr>
        <w:spacing w:after="0" w:line="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Marketing and Communication services may include the following:</w:t>
      </w:r>
    </w:p>
    <w:p>
      <w:pPr>
        <w:spacing w:after="0" w:line="117" w:lineRule="exact"/>
        <w:rPr>
          <w:sz w:val="20"/>
          <w:szCs w:val="20"/>
          <w:color w:val="auto"/>
        </w:rPr>
      </w:pPr>
    </w:p>
    <w:p>
      <w:pPr>
        <w:ind w:left="1500" w:right="159" w:hanging="329"/>
        <w:spacing w:after="0" w:line="272" w:lineRule="auto"/>
        <w:tabs>
          <w:tab w:leader="none" w:pos="1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spacing w:after="0" w:line="1" w:lineRule="exact"/>
        <w:rPr>
          <w:rFonts w:ascii="Times New Roman" w:cs="Times New Roman" w:eastAsia="Times New Roman" w:hAnsi="Times New Roman"/>
          <w:sz w:val="17"/>
          <w:szCs w:val="17"/>
          <w:color w:val="auto"/>
        </w:rPr>
      </w:pPr>
    </w:p>
    <w:p>
      <w:pPr>
        <w:ind w:left="1500" w:right="119" w:hanging="329"/>
        <w:spacing w:after="0" w:line="250"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Communications Strategy – GCE’s subject matter experts utilize best-in-class technologies through marketing automation, integrated email, SMS text messaging and social media. GCE develops effective communication strategies that encompass the entire student lifecycle from prospect through alumni.</w:t>
      </w:r>
    </w:p>
    <w:p>
      <w:pPr>
        <w:spacing w:after="0" w:line="1" w:lineRule="exact"/>
        <w:rPr>
          <w:rFonts w:ascii="Times New Roman" w:cs="Times New Roman" w:eastAsia="Times New Roman" w:hAnsi="Times New Roman"/>
          <w:sz w:val="18"/>
          <w:szCs w:val="18"/>
          <w:color w:val="auto"/>
        </w:rPr>
      </w:pPr>
    </w:p>
    <w:p>
      <w:pPr>
        <w:ind w:left="1500" w:right="139" w:hanging="329"/>
        <w:spacing w:after="0" w:line="250"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Identity – GCE’s award-winning team of specialists have proven track records of developing strong brands and ensuring the right image is exposed to the consumer. GCE specializes in storytelling shaped by logo creation, positioning taglines, campaign and content development, custom music, and sonic branding.</w:t>
      </w:r>
    </w:p>
    <w:p>
      <w:pPr>
        <w:spacing w:after="0" w:line="1" w:lineRule="exact"/>
        <w:rPr>
          <w:rFonts w:ascii="Times New Roman" w:cs="Times New Roman" w:eastAsia="Times New Roman" w:hAnsi="Times New Roman"/>
          <w:sz w:val="18"/>
          <w:szCs w:val="18"/>
          <w:color w:val="auto"/>
        </w:rPr>
      </w:pPr>
    </w:p>
    <w:p>
      <w:pPr>
        <w:ind w:left="1500" w:right="279" w:hanging="329"/>
        <w:spacing w:after="0" w:line="250"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Planning and Strategy –GCE offers full-service media planning and strategies that are built to grow sophisticated brands through traditional and digital media platforms. GCE understands today’s culture and how content is consumed in the everchanging world of media. GCE creates robust strategies that build long lasting connections with proven results.</w:t>
      </w:r>
    </w:p>
    <w:p>
      <w:pPr>
        <w:spacing w:after="0" w:line="1" w:lineRule="exact"/>
        <w:rPr>
          <w:rFonts w:ascii="Times New Roman" w:cs="Times New Roman" w:eastAsia="Times New Roman" w:hAnsi="Times New Roman"/>
          <w:sz w:val="18"/>
          <w:szCs w:val="18"/>
          <w:color w:val="auto"/>
        </w:rPr>
      </w:pPr>
    </w:p>
    <w:p>
      <w:pPr>
        <w:ind w:left="1500" w:right="219" w:hanging="329"/>
        <w:spacing w:after="0" w:line="265" w:lineRule="auto"/>
        <w:tabs>
          <w:tab w:leader="none" w:pos="1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Video – GCE’s team of in-house video experts specialize in high-quality content expanding across a wide variety of marketing channels. Capabilities include broadcast-quality commercials, explainer videos, mini- and full-length documentaries, original programming, animations, motion graphics, and short, stackable video content for a variety of social media channels. GCE enhances its internal team with preferred partners to help offset workload and provide scalability of production requirements.</w:t>
      </w:r>
    </w:p>
    <w:p>
      <w:pPr>
        <w:ind w:left="1500" w:right="159" w:hanging="329"/>
        <w:spacing w:after="0" w:line="250"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and Data Science – GCE employs a team of in-house data analysis professionals who apply descriptive and prescriptive analytics to help understand the marketplace and facilitate important business decisions. GCE specializes in all aspects of data analytics and science, including predictive modeling, data mining and visualization to enrich today’s technology and data-driven marketplace, while providing the information required for success.</w:t>
      </w:r>
    </w:p>
    <w:p>
      <w:pPr>
        <w:spacing w:after="0" w:line="1" w:lineRule="exact"/>
        <w:rPr>
          <w:rFonts w:ascii="Times New Roman" w:cs="Times New Roman" w:eastAsia="Times New Roman" w:hAnsi="Times New Roman"/>
          <w:sz w:val="18"/>
          <w:szCs w:val="18"/>
          <w:color w:val="auto"/>
        </w:rPr>
      </w:pPr>
    </w:p>
    <w:p>
      <w:pPr>
        <w:ind w:left="1500" w:right="119" w:hanging="329"/>
        <w:spacing w:after="0" w:line="253"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Research – GCE’s market research professionals survey market, population and job data for various locations across the country in order to make data-driven recommendations for new sites, partnerships, and educational offerings that will maximize reach and impact and provide education and career training to the areas where it will be most impactful.</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Back-Office Services</w:t>
      </w:r>
    </w:p>
    <w:p>
      <w:pPr>
        <w:spacing w:after="0" w:line="121"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In addition, we currently provide certain requested back-office services to GCU that include finance, human resources, audit, and other corporate functions.</w:t>
      </w:r>
    </w:p>
    <w:p>
      <w:pPr>
        <w:spacing w:after="0" w:line="52" w:lineRule="exact"/>
        <w:rPr>
          <w:sz w:val="20"/>
          <w:szCs w:val="20"/>
          <w:color w:val="auto"/>
        </w:rPr>
      </w:pPr>
    </w:p>
    <w:p>
      <w:pPr>
        <w:jc w:val="both"/>
        <w:ind w:left="1500" w:right="139" w:hanging="329"/>
        <w:spacing w:after="0" w:line="258"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Finance and accounting </w:t>
      </w:r>
      <w:r>
        <w:rPr>
          <w:rFonts w:ascii="Times New Roman" w:cs="Times New Roman" w:eastAsia="Times New Roman" w:hAnsi="Times New Roman"/>
          <w:sz w:val="18"/>
          <w:szCs w:val="18"/>
          <w:color w:val="auto"/>
        </w:rPr>
        <w:t>- Finance and accounting services include administration of payroll,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general ledger, student accounting, financial reporting, budgeting and taxes at the direction of GCU.</w:t>
      </w:r>
    </w:p>
    <w:p>
      <w:pPr>
        <w:ind w:left="1500" w:right="37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Human Resources </w:t>
      </w:r>
      <w:r>
        <w:rPr>
          <w:rFonts w:ascii="Times New Roman" w:cs="Times New Roman" w:eastAsia="Times New Roman" w:hAnsi="Times New Roman"/>
          <w:sz w:val="18"/>
          <w:szCs w:val="18"/>
          <w:color w:val="auto"/>
        </w:rPr>
        <w:t>- Human resources services include administration of performance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policies, recruitment and onboarding of new personnel, and benefit plan design and procurement, among others.</w:t>
      </w:r>
    </w:p>
    <w:p>
      <w:pPr>
        <w:spacing w:after="0" w:line="1" w:lineRule="exact"/>
        <w:rPr>
          <w:rFonts w:ascii="Times New Roman" w:cs="Times New Roman" w:eastAsia="Times New Roman" w:hAnsi="Times New Roman"/>
          <w:sz w:val="18"/>
          <w:szCs w:val="18"/>
          <w:color w:val="auto"/>
        </w:rPr>
      </w:pPr>
    </w:p>
    <w:p>
      <w:pPr>
        <w:ind w:left="1500" w:right="439" w:hanging="329"/>
        <w:spacing w:after="0" w:line="250"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w:t>
      </w:r>
      <w:r>
        <w:rPr>
          <w:rFonts w:ascii="Times New Roman" w:cs="Times New Roman" w:eastAsia="Times New Roman" w:hAnsi="Times New Roman"/>
          <w:sz w:val="18"/>
          <w:szCs w:val="18"/>
          <w:color w:val="auto"/>
        </w:rPr>
        <w:t>- Audit services include development and administration of a GCU approved annual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plan and execution of the audit plan for the service period.</w:t>
      </w:r>
    </w:p>
    <w:p>
      <w:pPr>
        <w:ind w:left="1500" w:right="159" w:hanging="329"/>
        <w:spacing w:after="0" w:line="255" w:lineRule="auto"/>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Procurement </w:t>
      </w:r>
      <w:r>
        <w:rPr>
          <w:rFonts w:ascii="Times New Roman" w:cs="Times New Roman" w:eastAsia="Times New Roman" w:hAnsi="Times New Roman"/>
          <w:sz w:val="18"/>
          <w:szCs w:val="18"/>
          <w:color w:val="auto"/>
        </w:rPr>
        <w:t>- Procurement services include management of purchasing and vendor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travel services, review of vendor contracts, and maintenance of contracts in the procurement system.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Social Responsibility and Human Capital Development</w:t>
      </w:r>
    </w:p>
    <w:p>
      <w:pPr>
        <w:spacing w:after="0" w:line="12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Social responsibility and human capital development are a significant focus of the Company. Our efforts are led by our Chief Executive Officer and a portion of his compensation is tied to our success in these areas. To this end, our business was created and continues to evolve to meet the needs of the local community in which we operate as well as those outside our community. We started by identifying what we believe to be the educational challenges that our country is facing and then worked to find solutions to these challenges. We believe these challenges include:</w:t>
      </w:r>
    </w:p>
    <w:p>
      <w:pPr>
        <w:spacing w:after="0" w:line="75" w:lineRule="exact"/>
        <w:rPr>
          <w:sz w:val="20"/>
          <w:szCs w:val="20"/>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University education is too expensive;</w:t>
      </w:r>
    </w:p>
    <w:p>
      <w:pPr>
        <w:spacing w:after="0" w:line="27"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Students are taking on too much debt;</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Bachelor’s degrees are taking too long to complete;</w:t>
      </w:r>
    </w:p>
    <w:p>
      <w:pPr>
        <w:spacing w:after="0" w:line="9" w:lineRule="exact"/>
        <w:rPr>
          <w:rFonts w:ascii="Times New Roman" w:cs="Times New Roman" w:eastAsia="Times New Roman" w:hAnsi="Times New Roman"/>
          <w:sz w:val="18"/>
          <w:szCs w:val="18"/>
          <w:color w:val="auto"/>
        </w:rPr>
      </w:pPr>
    </w:p>
    <w:p>
      <w:pPr>
        <w:ind w:left="1500" w:right="139" w:hanging="329"/>
        <w:spacing w:after="0" w:line="250"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are not targeted enough toward careers. Recent surveys show that a large percentage of college students would change majors if starting over, and a significant number of recent graduates are under employed or are in jobs that don’t required degrees;</w:t>
      </w:r>
    </w:p>
    <w:p>
      <w:pPr>
        <w:spacing w:after="0" w:line="1"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tuition increases, diversity decreases;</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Universities have inadequate counseling and support services, especially for distance learners;</w:t>
      </w:r>
    </w:p>
    <w:p>
      <w:pPr>
        <w:spacing w:after="0" w:line="9" w:lineRule="exact"/>
        <w:rPr>
          <w:rFonts w:ascii="Times New Roman" w:cs="Times New Roman" w:eastAsia="Times New Roman" w:hAnsi="Times New Roman"/>
          <w:sz w:val="18"/>
          <w:szCs w:val="18"/>
          <w:color w:val="auto"/>
        </w:rPr>
      </w:pPr>
    </w:p>
    <w:p>
      <w:pPr>
        <w:ind w:left="1500" w:hanging="329"/>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university professors have no formal training in teaching, learning or course design;</w:t>
      </w:r>
    </w:p>
    <w:p>
      <w:pPr>
        <w:spacing w:after="0" w:line="9" w:lineRule="exact"/>
        <w:rPr>
          <w:rFonts w:ascii="Times New Roman" w:cs="Times New Roman" w:eastAsia="Times New Roman" w:hAnsi="Times New Roman"/>
          <w:sz w:val="18"/>
          <w:szCs w:val="18"/>
          <w:color w:val="auto"/>
        </w:rPr>
      </w:pPr>
    </w:p>
    <w:p>
      <w:pPr>
        <w:ind w:left="1500" w:right="759" w:hanging="329"/>
        <w:spacing w:after="0" w:line="260"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Universities are under significant financial pressure, which has only been enhanced due to the pandemic and a declining number of high school graduates attending college.</w:t>
      </w:r>
    </w:p>
    <w:p>
      <w:pPr>
        <w:spacing w:after="0" w:line="7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provide the capital, technology and expertise to our university partners to lessen the challenges in each of the areas listed above (see </w:t>
      </w:r>
      <w:r>
        <w:rPr>
          <w:rFonts w:ascii="Times New Roman" w:cs="Times New Roman" w:eastAsia="Times New Roman" w:hAnsi="Times New Roman"/>
          <w:sz w:val="18"/>
          <w:szCs w:val="18"/>
          <w:i w:val="1"/>
          <w:iCs w:val="1"/>
          <w:color w:val="auto"/>
        </w:rPr>
        <w:t>Item 1. Business – Suite of Services</w:t>
      </w:r>
      <w:r>
        <w:rPr>
          <w:rFonts w:ascii="Times New Roman" w:cs="Times New Roman" w:eastAsia="Times New Roman" w:hAnsi="Times New Roman"/>
          <w:sz w:val="18"/>
          <w:szCs w:val="18"/>
          <w:color w:val="auto"/>
        </w:rPr>
        <w:t>).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GCE provides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And our business model has helped our university partners as changes in the educational landscape has put pressure on their financial condition.</w:t>
      </w:r>
    </w:p>
    <w:p>
      <w:pPr>
        <w:spacing w:after="0" w:line="8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GCE is committed to hiring policies and practices that identify the most qualified candidate for a given position. We believe that we must have the best talent, including employees who possess a diverse range of experiences, backgrounds and skills, in order to anticipate and meet the needs of our business and those of our university partners. 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 Our employees take advantage of these opportunities and share our commitment to and enthusiasm for community service projects, as well as charitable organizations throughout the Phoenix area. Through these activities, our employees have the opportunity to volunteer and provide servant leadership that benefits the surrounding neighborhoods and West Phoenix community.</w:t>
      </w:r>
    </w:p>
    <w:p>
      <w:pPr>
        <w:spacing w:after="0" w:line="8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Learning and Development (ELD) Services </w:t>
      </w:r>
      <w:r>
        <w:rPr>
          <w:rFonts w:ascii="Times New Roman" w:cs="Times New Roman" w:eastAsia="Times New Roman" w:hAnsi="Times New Roman"/>
          <w:sz w:val="18"/>
          <w:szCs w:val="18"/>
          <w:color w:val="auto"/>
        </w:rPr>
        <w:t>– We provide learning and development support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through numerous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 stays current with regulatory and other compliance requirements. These programs and curricula are offered virtually as both synchronous and self-paced.</w:t>
      </w:r>
    </w:p>
    <w:p>
      <w:pPr>
        <w:spacing w:after="0" w:line="75"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Tuition Benefit </w:t>
      </w:r>
      <w:r>
        <w:rPr>
          <w:rFonts w:ascii="Times New Roman" w:cs="Times New Roman" w:eastAsia="Times New Roman" w:hAnsi="Times New Roman"/>
          <w:sz w:val="18"/>
          <w:szCs w:val="18"/>
          <w:color w:val="auto"/>
        </w:rPr>
        <w:t>– GCE promotes the concept of lifelong learning and supports this concept by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employees a generous Tuition Benefit program through its university partner, GCU. After 3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admitted to GCU receives a 100% tuition reduction on undergraduate programs and a 50% tuition reduction on graduate programs.</w:t>
      </w:r>
    </w:p>
    <w:p>
      <w:pPr>
        <w:spacing w:after="0" w:line="5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Monitoring employee engagement and satisfaction </w:t>
      </w:r>
      <w:r>
        <w:rPr>
          <w:rFonts w:ascii="Times New Roman" w:cs="Times New Roman" w:eastAsia="Times New Roman" w:hAnsi="Times New Roman"/>
          <w:sz w:val="18"/>
          <w:szCs w:val="18"/>
          <w:color w:val="auto"/>
        </w:rPr>
        <w:t>– GCE administers an annual survey of all of its employees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 employee engagement and satisfaction. GCE received responses from 1,330 employees on the 2024 survey. The survey asked a number of questions regarding employee engagement and satisfaction including whether they are actively engaged with their work, whether they have a sense of pride in what they do and whether they enjoy the type of work assigned to them. The responses to each question were overwhelmingly positive. To the prompt, “I plan to continue my career at GCE for at least two more years”; “I would recommend employment at GCE to a friend”; “I am actively engaged with my work at GCE”; and “Overall I am satisfied with GCE as an employer,” less than 12% of the responders disagreed with any of these statements. This survey also inquired about the importance of Environmental, Social and Governance topics that employees felt are important to GCE’s business performance and financial success both internal and external impacts. The top five selected in the survey by employees and the percentage of the responders that selected that topic were Employee Health and Wellbeing (59%), Professional Integrity (47%), Human Capital Management (41%), Community Engagement (36%) and Workforce Diversity and Engagement (20%). 92% of those that responded to the survey confirmed GCE enables a culture of diversity.</w:t>
      </w:r>
    </w:p>
    <w:p>
      <w:pPr>
        <w:spacing w:after="0" w:line="7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Whistleblower hotline </w:t>
      </w:r>
      <w:r>
        <w:rPr>
          <w:rFonts w:ascii="Times New Roman" w:cs="Times New Roman" w:eastAsia="Times New Roman" w:hAnsi="Times New Roman"/>
          <w:sz w:val="18"/>
          <w:szCs w:val="18"/>
          <w:color w:val="auto"/>
        </w:rPr>
        <w:t>– GCE has a whistleblower hotline available to both internal and external parties.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whistleblower policy is disclosed on the GCE intranet for employees and disclosed on the GCE investor relations website for external parties. Hotline activity is managed by a third party and all claims are reviewed and monitored by the Chief Risk Officer and General Counsel. All claims are discussed at the quarterly Audit Committee meetings.</w:t>
      </w:r>
    </w:p>
    <w:p>
      <w:pPr>
        <w:spacing w:after="0" w:line="72"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Community Involvement by GCE and its Employees. </w:t>
      </w:r>
      <w:r>
        <w:rPr>
          <w:rFonts w:ascii="Times New Roman" w:cs="Times New Roman" w:eastAsia="Times New Roman" w:hAnsi="Times New Roman"/>
          <w:sz w:val="18"/>
          <w:szCs w:val="18"/>
          <w:color w:val="auto"/>
        </w:rPr>
        <w:t>Examples of activities in which we and our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include:</w:t>
      </w:r>
    </w:p>
    <w:p>
      <w:pPr>
        <w:spacing w:after="0" w:line="50" w:lineRule="exact"/>
        <w:rPr>
          <w:sz w:val="20"/>
          <w:szCs w:val="20"/>
          <w:color w:val="auto"/>
        </w:rPr>
      </w:pPr>
    </w:p>
    <w:p>
      <w:pPr>
        <w:ind w:left="1040" w:right="99" w:hanging="315"/>
        <w:spacing w:after="0" w:line="25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Our Neighborhood and Increased Home Values - </w:t>
      </w:r>
      <w:r>
        <w:rPr>
          <w:rFonts w:ascii="Times New Roman" w:cs="Times New Roman" w:eastAsia="Times New Roman" w:hAnsi="Times New Roman"/>
          <w:sz w:val="18"/>
          <w:szCs w:val="18"/>
          <w:color w:val="auto"/>
        </w:rPr>
        <w:t>Together with Habitat for Humanity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concert with our largest university partner, we are participating in the largest home renovation project in the country in the West Phoenix area surrounding GCU’s campus. As of December 31, 2024, 1,446 projects have been completed in which 37,757 hours have been logged by volunteers. These efforts, combined with GCE and GCU’s expanded presence in the community, have contributed to a significant increase in home values since 2011 in the 85017 zip code.</w:t>
      </w:r>
    </w:p>
    <w:p>
      <w:pPr>
        <w:spacing w:after="0" w:line="74" w:lineRule="exact"/>
        <w:rPr>
          <w:rFonts w:ascii="Times New Roman" w:cs="Times New Roman" w:eastAsia="Times New Roman" w:hAnsi="Times New Roman"/>
          <w:sz w:val="18"/>
          <w:szCs w:val="18"/>
          <w:color w:val="auto"/>
        </w:rPr>
      </w:pPr>
    </w:p>
    <w:p>
      <w:pPr>
        <w:ind w:left="1040" w:right="199" w:hanging="315"/>
        <w:spacing w:after="0" w:line="26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Furthering Job Creation - </w:t>
      </w:r>
      <w:r>
        <w:rPr>
          <w:rFonts w:ascii="Times New Roman" w:cs="Times New Roman" w:eastAsia="Times New Roman" w:hAnsi="Times New Roman"/>
          <w:sz w:val="18"/>
          <w:szCs w:val="18"/>
          <w:color w:val="auto"/>
        </w:rPr>
        <w:t>We, along with GCU have launched a number of new business enterprises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reduced costs, provided management opportunities for recent graduates and employment opportunities for students and neighborhood residents, while spurring economic growth in the area.</w:t>
      </w:r>
    </w:p>
    <w:p>
      <w:pPr>
        <w:spacing w:after="0" w:line="65" w:lineRule="exact"/>
        <w:rPr>
          <w:rFonts w:ascii="Times New Roman" w:cs="Times New Roman" w:eastAsia="Times New Roman" w:hAnsi="Times New Roman"/>
          <w:sz w:val="18"/>
          <w:szCs w:val="18"/>
          <w:color w:val="auto"/>
        </w:rPr>
      </w:pPr>
    </w:p>
    <w:p>
      <w:pPr>
        <w:ind w:left="1040" w:right="159" w:hanging="315"/>
        <w:spacing w:after="0" w:line="26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Youth Opportunity Foundation - </w:t>
      </w:r>
      <w:r>
        <w:rPr>
          <w:rFonts w:ascii="Times New Roman" w:cs="Times New Roman" w:eastAsia="Times New Roman" w:hAnsi="Times New Roman"/>
          <w:sz w:val="18"/>
          <w:szCs w:val="18"/>
          <w:color w:val="auto"/>
        </w:rPr>
        <w:t>Our employees volunteer and donate time and funds to the Youth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Foundation which provides advocacy, clinical treatment, education and workforce development for at-risk young people in underprivileged areas.</w:t>
      </w:r>
    </w:p>
    <w:p>
      <w:pPr>
        <w:spacing w:after="0" w:line="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GCE also invests in the following activities that benefit the community.</w:t>
      </w:r>
    </w:p>
    <w:p>
      <w:pPr>
        <w:spacing w:after="0" w:line="115" w:lineRule="exact"/>
        <w:rPr>
          <w:sz w:val="20"/>
          <w:szCs w:val="20"/>
          <w:color w:val="auto"/>
        </w:rPr>
      </w:pPr>
    </w:p>
    <w:p>
      <w:pPr>
        <w:ind w:left="1040" w:right="199" w:hanging="315"/>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Funding of Student Tuition Organizations - </w:t>
      </w:r>
      <w:r>
        <w:rPr>
          <w:rFonts w:ascii="Times New Roman" w:cs="Times New Roman" w:eastAsia="Times New Roman" w:hAnsi="Times New Roman"/>
          <w:sz w:val="18"/>
          <w:szCs w:val="18"/>
          <w:color w:val="auto"/>
        </w:rPr>
        <w:t>GCE contributes to private school tuition organizations,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entities that allocate financial contributions toward tuition assistance and scholarships for disadvantaged students to attend Arizona private schools. In 2024 and 2023, we contributed $4.5 million and $3.5 million, respectively, to these organizations.</w:t>
      </w:r>
    </w:p>
    <w:p>
      <w:pPr>
        <w:spacing w:after="0" w:line="71" w:lineRule="exact"/>
        <w:rPr>
          <w:rFonts w:ascii="Times New Roman" w:cs="Times New Roman" w:eastAsia="Times New Roman" w:hAnsi="Times New Roman"/>
          <w:sz w:val="18"/>
          <w:szCs w:val="18"/>
          <w:color w:val="auto"/>
        </w:rPr>
      </w:pPr>
    </w:p>
    <w:p>
      <w:pPr>
        <w:ind w:left="1040" w:right="219" w:hanging="315"/>
        <w:spacing w:after="0" w:line="258"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Encouraging Employee Giving - </w:t>
      </w:r>
      <w:r>
        <w:rPr>
          <w:rFonts w:ascii="Times New Roman" w:cs="Times New Roman" w:eastAsia="Times New Roman" w:hAnsi="Times New Roman"/>
          <w:sz w:val="18"/>
          <w:szCs w:val="18"/>
          <w:color w:val="auto"/>
        </w:rPr>
        <w:t>We participate in Donate to Elevate, a program that encourages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participate in the Arizona individual tax credit program, which allows individual taxpayers to contribute money in lieu of state income tax payments to benefit private schools and other non-profit entities in Arizona, as well as local public schools and public charter schools. Employees are encouraged to designate tax dollars to the school or program of their choice.</w:t>
      </w:r>
    </w:p>
    <w:p>
      <w:pPr>
        <w:spacing w:after="0" w:line="75" w:lineRule="exact"/>
        <w:rPr>
          <w:rFonts w:ascii="Times New Roman" w:cs="Times New Roman" w:eastAsia="Times New Roman" w:hAnsi="Times New Roman"/>
          <w:sz w:val="18"/>
          <w:szCs w:val="18"/>
          <w:color w:val="auto"/>
        </w:rPr>
      </w:pPr>
    </w:p>
    <w:p>
      <w:pPr>
        <w:ind w:left="1040" w:right="239" w:hanging="315"/>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Students Inspiring Students - </w:t>
      </w:r>
      <w:r>
        <w:rPr>
          <w:rFonts w:ascii="Times New Roman" w:cs="Times New Roman" w:eastAsia="Times New Roman" w:hAnsi="Times New Roman"/>
          <w:sz w:val="18"/>
          <w:szCs w:val="18"/>
          <w:color w:val="auto"/>
        </w:rPr>
        <w:t>GCE continues to support GCU’s free tutoring/mentoring program that serves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Phoenix-area K-12 schools. Students who seek academic assistance in the GCU Learning Lounge may become eligible to receive the Students Inspiring Students full-tuition scholarship. To serve our university partners and community, we seek donations to fund this neighborhood scholarship program.</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right="159" w:hanging="315"/>
        <w:spacing w:after="0" w:line="255"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Sponsoring K-12 Educational Development - </w:t>
      </w:r>
      <w:r>
        <w:rPr>
          <w:rFonts w:ascii="Times New Roman" w:cs="Times New Roman" w:eastAsia="Times New Roman" w:hAnsi="Times New Roman"/>
          <w:sz w:val="18"/>
          <w:szCs w:val="18"/>
          <w:color w:val="auto"/>
        </w:rPr>
        <w:t>GCE supports GCU’s K-12 Educational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through sponsorship of GCU’s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76"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Community Involvement - </w:t>
      </w:r>
      <w:r>
        <w:rPr>
          <w:rFonts w:ascii="Times New Roman" w:cs="Times New Roman" w:eastAsia="Times New Roman" w:hAnsi="Times New Roman"/>
          <w:sz w:val="18"/>
          <w:szCs w:val="18"/>
          <w:color w:val="auto"/>
        </w:rPr>
        <w:t>GCE and our employees partner in countless other community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projects throughout the year. We offer our full-time employees a maximum of 16 hours of PTO annually for community service. This time is used to volunteer at an approved charitable organization. Over 40 organizations are approved for employee volunteerism, including Habitat for Humanity.</w:t>
      </w:r>
    </w:p>
    <w:p>
      <w:pPr>
        <w:spacing w:after="0" w:line="74"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In addition, GCE has historically partnered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employees also went out into our surrounding neighborhoods to participate in programs such as Serve the City, Canyon Kids, Salute Our Troops, Colter Commons senior home visits and the Run to Fight Children’s Cancer.</w:t>
      </w:r>
    </w:p>
    <w:p>
      <w:pPr>
        <w:spacing w:after="0" w:line="77" w:lineRule="exact"/>
        <w:rPr>
          <w:sz w:val="20"/>
          <w:szCs w:val="20"/>
          <w:color w:val="auto"/>
        </w:rPr>
      </w:pPr>
    </w:p>
    <w:p>
      <w:pPr>
        <w:ind w:left="60" w:right="1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Commitment to Diversity. </w:t>
      </w:r>
      <w:r>
        <w:rPr>
          <w:rFonts w:ascii="Times New Roman" w:cs="Times New Roman" w:eastAsia="Times New Roman" w:hAnsi="Times New Roman"/>
          <w:sz w:val="18"/>
          <w:szCs w:val="18"/>
          <w:color w:val="auto"/>
        </w:rPr>
        <w:t>A growing body of evidence suggests that diverse teams improve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outcomes and support innovation, resiliency, and productivity. GCE’s commitment to fostering diversity in its community is evident in the following:</w:t>
      </w:r>
    </w:p>
    <w:p>
      <w:pPr>
        <w:spacing w:after="0" w:line="65" w:lineRule="exact"/>
        <w:rPr>
          <w:sz w:val="20"/>
          <w:szCs w:val="20"/>
          <w:color w:val="auto"/>
        </w:rPr>
      </w:pPr>
    </w:p>
    <w:p>
      <w:pPr>
        <w:ind w:left="1040" w:right="119" w:hanging="315"/>
        <w:spacing w:after="0" w:line="253"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Diversity Statement - </w:t>
      </w:r>
      <w:r>
        <w:rPr>
          <w:rFonts w:ascii="Times New Roman" w:cs="Times New Roman" w:eastAsia="Times New Roman" w:hAnsi="Times New Roman"/>
          <w:sz w:val="18"/>
          <w:szCs w:val="18"/>
          <w:color w:val="auto"/>
        </w:rPr>
        <w:t>Grand Canyon Education is a faith-friendly shared services provider that embraces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worldview which outlines a responsibility to both charity and stewardship which simply stated is, ‘to love others as yourself’. We are a community of people who value the pursuit of truth and find great understanding in the convergence of differing viewpoints, backgrounds and ideas. We welcome employees from all walks of life which has contributed to a growing diversity within our population. Our diversity encompasses a multitude of dimensions, including age, disability, national origin, race, color, religion, gender, veteran status and more. Our Christian perspective compels us to treat every individual equally with respect and compassion. All community members deserve a comfortable space to express their feelings, so that every voice is heard. All members of the Company will be welcomed, valued, and provided safety in this community. Finally, diversity not only enriches the workplace and the educational endeavors of our partners it is critical to it. Maintaining a diverse environment requires a measure of tolerance and understanding commensurate with the dignity and value of all human life. In sum, GCE values diversity because it values every employee and university partners’ students entrusted to its care.</w:t>
      </w:r>
    </w:p>
    <w:p>
      <w:pPr>
        <w:spacing w:after="0" w:line="79" w:lineRule="exact"/>
        <w:rPr>
          <w:rFonts w:ascii="Times New Roman" w:cs="Times New Roman" w:eastAsia="Times New Roman" w:hAnsi="Times New Roman"/>
          <w:sz w:val="18"/>
          <w:szCs w:val="18"/>
          <w:color w:val="auto"/>
        </w:rPr>
      </w:pPr>
    </w:p>
    <w:p>
      <w:pPr>
        <w:ind w:left="1040" w:right="439" w:hanging="315"/>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Diverse Leadership </w:t>
      </w:r>
      <w:r>
        <w:rPr>
          <w:rFonts w:ascii="Times New Roman" w:cs="Times New Roman" w:eastAsia="Times New Roman" w:hAnsi="Times New Roman"/>
          <w:sz w:val="18"/>
          <w:szCs w:val="18"/>
          <w:color w:val="auto"/>
        </w:rPr>
        <w:t>- Our ability to attract and retain diverse talent is reflected at both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(the “Board”) and management levels. Three of our six directors are women and two directors identify with an underrepresented diverse ethnicity. In addition, for all of our employees at the level of manager and above totaling 644 persons, 70.2% are held by women and other diverse persons.</w:t>
      </w:r>
    </w:p>
    <w:p>
      <w:pPr>
        <w:spacing w:after="0" w:line="71" w:lineRule="exact"/>
        <w:rPr>
          <w:rFonts w:ascii="Times New Roman" w:cs="Times New Roman" w:eastAsia="Times New Roman" w:hAnsi="Times New Roman"/>
          <w:sz w:val="18"/>
          <w:szCs w:val="18"/>
          <w:color w:val="auto"/>
        </w:rPr>
      </w:pPr>
    </w:p>
    <w:p>
      <w:pPr>
        <w:ind w:left="1040" w:right="299" w:hanging="315"/>
        <w:spacing w:after="0" w:line="255"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Diverse Workforce </w:t>
      </w:r>
      <w:r>
        <w:rPr>
          <w:rFonts w:ascii="Times New Roman" w:cs="Times New Roman" w:eastAsia="Times New Roman" w:hAnsi="Times New Roman"/>
          <w:sz w:val="18"/>
          <w:szCs w:val="18"/>
          <w:color w:val="auto"/>
        </w:rPr>
        <w:t>- As of December 31, 2024, 80.3% of our 5,830 employees are women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diverse persons. As of December 31, 2024, GCE employed approximately 4,092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as of December 31, 2024, GCE employed approximately 1,738 part-time employees most of whom are student workers. None of our employees are a party to any collective bargaining or similar agreement with us. We consider our relations with our employees to be strong.</w:t>
      </w:r>
    </w:p>
    <w:p>
      <w:pPr>
        <w:spacing w:after="0" w:line="76" w:lineRule="exact"/>
        <w:rPr>
          <w:rFonts w:ascii="Times New Roman" w:cs="Times New Roman" w:eastAsia="Times New Roman" w:hAnsi="Times New Roman"/>
          <w:sz w:val="18"/>
          <w:szCs w:val="18"/>
          <w:color w:val="auto"/>
        </w:rPr>
      </w:pPr>
    </w:p>
    <w:p>
      <w:pPr>
        <w:ind w:left="1040" w:right="239" w:hanging="315"/>
        <w:spacing w:after="0" w:line="281" w:lineRule="auto"/>
        <w:tabs>
          <w:tab w:leader="none" w:pos="10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Our Hiring Practices and Policies </w:t>
      </w:r>
      <w:r>
        <w:rPr>
          <w:rFonts w:ascii="Times New Roman" w:cs="Times New Roman" w:eastAsia="Times New Roman" w:hAnsi="Times New Roman"/>
          <w:sz w:val="17"/>
          <w:szCs w:val="17"/>
          <w:color w:val="auto"/>
        </w:rPr>
        <w:t>- Our hiring policies and practices include an Equal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Opportunity Policy, Nondiscrimination and Anti-Harassment Policy and Complaint Procedure, and the Disability Accommodation Policy. We post all open positions to a variety of job boards to ensure we attract diverse candidates. We also collect and analyze employee demographic data to identify current trends.</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right="37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w:t>
      </w:r>
      <w:r>
        <w:rPr>
          <w:rFonts w:ascii="Times New Roman" w:cs="Times New Roman" w:eastAsia="Times New Roman" w:hAnsi="Times New Roman"/>
          <w:sz w:val="18"/>
          <w:szCs w:val="18"/>
          <w:color w:val="auto"/>
        </w:rPr>
        <w:t>- We provide employees and management with regular training. New hires all complete anti-discrimination and harassment training within 3 months of starting at GCE. Thereafter, all employees complete the training every other year, while management undertakes it annually. We have also provided Implicit Bias Training to all employees.</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Awareness</w:t>
      </w:r>
    </w:p>
    <w:p>
      <w:pPr>
        <w:spacing w:after="0" w:line="121"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Online education is inherently more environmentally friendly than traditional campus education with a reduction in greenhouse gas (“GHG”) production caused by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materials and there is no shipment required.</w:t>
      </w:r>
    </w:p>
    <w:p>
      <w:pPr>
        <w:spacing w:after="0" w:line="79" w:lineRule="exact"/>
        <w:rPr>
          <w:sz w:val="20"/>
          <w:szCs w:val="20"/>
          <w:color w:val="auto"/>
        </w:rPr>
      </w:pPr>
    </w:p>
    <w:p>
      <w:pPr>
        <w:ind w:left="60" w:right="419" w:firstLine="648"/>
        <w:spacing w:after="0" w:line="258" w:lineRule="auto"/>
        <w:rPr>
          <w:sz w:val="20"/>
          <w:szCs w:val="20"/>
          <w:color w:val="auto"/>
        </w:rPr>
      </w:pPr>
      <w:r>
        <w:rPr>
          <w:rFonts w:ascii="Times New Roman" w:cs="Times New Roman" w:eastAsia="Times New Roman" w:hAnsi="Times New Roman"/>
          <w:sz w:val="18"/>
          <w:szCs w:val="18"/>
          <w:color w:val="auto"/>
        </w:rPr>
        <w:t>GCE owns a four-story 325,000 square foot administrative building, which includes office space for approximately 2,700 employees, and a parking garage at our headquarters in Phoenix, Arizona. We constructed these facilities in 2016 and, as with every one of our projects over the past 16 years, we designed them to maximize energy efficiency and minimize electricity usage and environmental impact, which ultimately lowers our operating costs. Our headquarters building includes the following design features:</w:t>
      </w:r>
    </w:p>
    <w:p>
      <w:pPr>
        <w:spacing w:after="0" w:line="73" w:lineRule="exact"/>
        <w:rPr>
          <w:sz w:val="20"/>
          <w:szCs w:val="20"/>
          <w:color w:val="auto"/>
        </w:rPr>
      </w:pPr>
    </w:p>
    <w:p>
      <w:pPr>
        <w:ind w:left="1160" w:right="239" w:hanging="327"/>
        <w:spacing w:after="0" w:line="267"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North/South Building Orientation - </w:t>
      </w:r>
      <w:r>
        <w:rPr>
          <w:rFonts w:ascii="Times New Roman" w:cs="Times New Roman" w:eastAsia="Times New Roman" w:hAnsi="Times New Roman"/>
          <w:sz w:val="18"/>
          <w:szCs w:val="18"/>
          <w:color w:val="auto"/>
        </w:rPr>
        <w:t>GCE’s office building is orientated with north/south exposure in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minimize direct sun and thereby reduce power usage. Exterior courtyards were arranged to ensure summer shade thus creating outdoor areas that can be used by our employees throughout the year.</w:t>
      </w:r>
    </w:p>
    <w:p>
      <w:pPr>
        <w:spacing w:after="0" w:line="65" w:lineRule="exact"/>
        <w:rPr>
          <w:rFonts w:ascii="Times New Roman" w:cs="Times New Roman" w:eastAsia="Times New Roman" w:hAnsi="Times New Roman"/>
          <w:sz w:val="18"/>
          <w:szCs w:val="18"/>
          <w:color w:val="auto"/>
        </w:rPr>
      </w:pPr>
    </w:p>
    <w:p>
      <w:pPr>
        <w:ind w:left="1160" w:right="259" w:hanging="327"/>
        <w:spacing w:after="0" w:line="261"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Window Glazing - </w:t>
      </w:r>
      <w:r>
        <w:rPr>
          <w:rFonts w:ascii="Times New Roman" w:cs="Times New Roman" w:eastAsia="Times New Roman" w:hAnsi="Times New Roman"/>
          <w:sz w:val="18"/>
          <w:szCs w:val="18"/>
          <w:color w:val="auto"/>
        </w:rPr>
        <w:t>Our building utilizes significant window glazing to allow for daylighting thus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reducing the need for supplemental electrical lighting. As a result, the building is designed to use just .41 watts per square foot of electrical energy for lighting, which is half of what a typical environmentally efficient building uses.</w:t>
      </w:r>
    </w:p>
    <w:p>
      <w:pPr>
        <w:spacing w:after="0" w:line="71" w:lineRule="exact"/>
        <w:rPr>
          <w:rFonts w:ascii="Times New Roman" w:cs="Times New Roman" w:eastAsia="Times New Roman" w:hAnsi="Times New Roman"/>
          <w:sz w:val="18"/>
          <w:szCs w:val="18"/>
          <w:color w:val="auto"/>
        </w:rPr>
      </w:pPr>
    </w:p>
    <w:p>
      <w:pPr>
        <w:ind w:left="1160" w:right="319" w:hanging="327"/>
        <w:spacing w:after="0" w:line="261"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Water Consumption - </w:t>
      </w:r>
      <w:r>
        <w:rPr>
          <w:rFonts w:ascii="Times New Roman" w:cs="Times New Roman" w:eastAsia="Times New Roman" w:hAnsi="Times New Roman"/>
          <w:sz w:val="18"/>
          <w:szCs w:val="18"/>
          <w:color w:val="auto"/>
        </w:rPr>
        <w:t>Water usage is another environmental factor for office space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magnified by the Arizona weather. GCE’s office building utilizes numerous water conservation methods including push-tap faucets, waterless urinals, and a rooftop rainwater collection system for irrigating the landscaping below, which significantly reduces our water consumption.</w:t>
      </w:r>
    </w:p>
    <w:p>
      <w:pPr>
        <w:spacing w:after="0" w:line="71" w:lineRule="exact"/>
        <w:rPr>
          <w:rFonts w:ascii="Times New Roman" w:cs="Times New Roman" w:eastAsia="Times New Roman" w:hAnsi="Times New Roman"/>
          <w:sz w:val="18"/>
          <w:szCs w:val="18"/>
          <w:color w:val="auto"/>
        </w:rPr>
      </w:pPr>
    </w:p>
    <w:p>
      <w:pPr>
        <w:ind w:left="1160" w:right="259" w:hanging="327"/>
        <w:spacing w:after="0" w:line="267"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Design Features - </w:t>
      </w:r>
      <w:r>
        <w:rPr>
          <w:rFonts w:ascii="Times New Roman" w:cs="Times New Roman" w:eastAsia="Times New Roman" w:hAnsi="Times New Roman"/>
          <w:sz w:val="18"/>
          <w:szCs w:val="18"/>
          <w:color w:val="auto"/>
        </w:rPr>
        <w:t>Additional environment-friendly design features include low VOC paints,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recycled building materials, interior and exterior LED light bulbs, motion sensor lighting and implementation of an energy-efficient VRF mechanical system.</w:t>
      </w:r>
    </w:p>
    <w:p>
      <w:pPr>
        <w:spacing w:after="0" w:line="67"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In addition to our efficient facilities, we have undertaken other measures to minimize our environmental impact, including, among others:</w:t>
      </w:r>
    </w:p>
    <w:p>
      <w:pPr>
        <w:spacing w:after="0" w:line="54" w:lineRule="exact"/>
        <w:rPr>
          <w:sz w:val="20"/>
          <w:szCs w:val="20"/>
          <w:color w:val="auto"/>
        </w:rPr>
      </w:pPr>
    </w:p>
    <w:p>
      <w:pPr>
        <w:ind w:left="1160" w:right="619" w:hanging="327"/>
        <w:spacing w:after="0" w:line="282"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Trip Reduction Program, which provides incentives to employees who participate in carpooling or take public transportation to work;</w:t>
      </w:r>
    </w:p>
    <w:p>
      <w:pPr>
        <w:spacing w:after="0" w:line="53" w:lineRule="exact"/>
        <w:rPr>
          <w:rFonts w:ascii="Times New Roman" w:cs="Times New Roman" w:eastAsia="Times New Roman" w:hAnsi="Times New Roman"/>
          <w:sz w:val="18"/>
          <w:szCs w:val="18"/>
          <w:color w:val="auto"/>
        </w:rPr>
      </w:pPr>
    </w:p>
    <w:p>
      <w:pPr>
        <w:ind w:left="1160" w:hanging="327"/>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telecommute option for a significant number of positions; and</w:t>
      </w:r>
    </w:p>
    <w:p>
      <w:pPr>
        <w:spacing w:after="0" w:line="117" w:lineRule="exact"/>
        <w:rPr>
          <w:rFonts w:ascii="Times New Roman" w:cs="Times New Roman" w:eastAsia="Times New Roman" w:hAnsi="Times New Roman"/>
          <w:sz w:val="18"/>
          <w:szCs w:val="18"/>
          <w:color w:val="auto"/>
        </w:rPr>
      </w:pPr>
    </w:p>
    <w:p>
      <w:pPr>
        <w:ind w:left="1160" w:hanging="327"/>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recycling program aimed at minimizing the volume of waste products generated by GCE.</w:t>
      </w:r>
    </w:p>
    <w:p>
      <w:pPr>
        <w:spacing w:after="0" w:line="11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Due to our significant investment in infrastructure, since March 2020, when the World Health Organization declared the COVID-19 a global pandemic, a significant portion of our diverse workforce is continuing to work remotely. This has not only increased employee satisfaction but has also resulted in savings in the areas of waste, janitorial costs, and travel costs related to business travel and commuting.</w:t>
      </w:r>
    </w:p>
    <w:p>
      <w:pPr>
        <w:spacing w:after="0" w:line="72"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Our off-campus classroom and laboratory sites are all designed with the same efficient footprint in the 45 sites opened as of December 31, 2024.</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Climate Disclosures</w:t>
      </w:r>
    </w:p>
    <w:p>
      <w:pPr>
        <w:spacing w:after="0" w:line="121"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We do not operate in a high-risk industry for climate risks. We believe that we have low climate risk with respect to our physical environment (e.g., fires, drought, hailstorms, increasing weather pattern changes). A significant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percentage of our workforce is continuing to work remotely. We have insurance policies in place to cover any damage for our property, plant and equipment. Our Audit Committee is tasked with oversight of climate-related risks for the Company.</w:t>
      </w:r>
    </w:p>
    <w:p>
      <w:pPr>
        <w:spacing w:after="0" w:line="54"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spacing w:after="0" w:line="68"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We do not have significant risk from a transition to a low-carbon economy, which could result in changing customer behavior. Our customers are university partners located in the United States.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We believe that effective corporate governance is critical to our ability to create long term value for our stockholders. The following highlights certain key aspects of our corporate governance framework:</w:t>
      </w:r>
    </w:p>
    <w:p>
      <w:pPr>
        <w:spacing w:after="0" w:line="52" w:lineRule="exact"/>
        <w:rPr>
          <w:sz w:val="20"/>
          <w:szCs w:val="20"/>
          <w:color w:val="auto"/>
        </w:rPr>
      </w:pPr>
    </w:p>
    <w:p>
      <w:pPr>
        <w:ind w:left="1040" w:right="299" w:hanging="315"/>
        <w:spacing w:after="0" w:line="315" w:lineRule="auto"/>
        <w:tabs>
          <w:tab w:leader="none" w:pos="1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Have an Independent and Diverse Board - </w:t>
      </w:r>
      <w:r>
        <w:rPr>
          <w:rFonts w:ascii="Times New Roman" w:cs="Times New Roman" w:eastAsia="Times New Roman" w:hAnsi="Times New Roman"/>
          <w:sz w:val="17"/>
          <w:szCs w:val="17"/>
          <w:color w:val="auto"/>
        </w:rPr>
        <w:t>Five of our six directors are independent. Three of our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are diverse persons, and two of our directors identify with an under-represented diverse ethnicity.</w:t>
      </w:r>
    </w:p>
    <w:p>
      <w:pPr>
        <w:spacing w:after="0" w:line="26" w:lineRule="exact"/>
        <w:rPr>
          <w:rFonts w:ascii="Times New Roman" w:cs="Times New Roman" w:eastAsia="Times New Roman" w:hAnsi="Times New Roman"/>
          <w:sz w:val="17"/>
          <w:szCs w:val="17"/>
          <w:color w:val="auto"/>
        </w:rPr>
      </w:pPr>
    </w:p>
    <w:p>
      <w:pPr>
        <w:ind w:left="1040" w:right="35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Majority Voting for Directors - </w:t>
      </w:r>
      <w:r>
        <w:rPr>
          <w:rFonts w:ascii="Times New Roman" w:cs="Times New Roman" w:eastAsia="Times New Roman" w:hAnsi="Times New Roman"/>
          <w:sz w:val="18"/>
          <w:szCs w:val="18"/>
          <w:color w:val="auto"/>
        </w:rPr>
        <w:t>We have adopted majority voting for directors pursuant to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 who fail to achieve an affirmative majority of votes cast must submit their resignation.</w:t>
      </w:r>
    </w:p>
    <w:p>
      <w:pPr>
        <w:spacing w:after="0" w:line="5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Hold Annual Elections for Directors - </w:t>
      </w:r>
      <w:r>
        <w:rPr>
          <w:rFonts w:ascii="Times New Roman" w:cs="Times New Roman" w:eastAsia="Times New Roman" w:hAnsi="Times New Roman"/>
          <w:sz w:val="18"/>
          <w:szCs w:val="18"/>
          <w:color w:val="auto"/>
        </w:rPr>
        <w:t>We do not have a staggered board.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Assess Board Performance - </w:t>
      </w:r>
      <w:r>
        <w:rPr>
          <w:rFonts w:ascii="Times New Roman" w:cs="Times New Roman" w:eastAsia="Times New Roman" w:hAnsi="Times New Roman"/>
          <w:sz w:val="18"/>
          <w:szCs w:val="18"/>
          <w:color w:val="auto"/>
        </w:rPr>
        <w:t>We conduct regular evaluations of our Board of Directors and Committees.</w:t>
      </w:r>
    </w:p>
    <w:p>
      <w:pPr>
        <w:spacing w:after="0" w:line="117" w:lineRule="exact"/>
        <w:rPr>
          <w:rFonts w:ascii="Times New Roman" w:cs="Times New Roman" w:eastAsia="Times New Roman" w:hAnsi="Times New Roman"/>
          <w:sz w:val="18"/>
          <w:szCs w:val="18"/>
          <w:color w:val="auto"/>
        </w:rPr>
      </w:pPr>
    </w:p>
    <w:p>
      <w:pPr>
        <w:ind w:left="1040" w:right="71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Independent Directors Meet Without Management - </w:t>
      </w:r>
      <w:r>
        <w:rPr>
          <w:rFonts w:ascii="Times New Roman" w:cs="Times New Roman" w:eastAsia="Times New Roman" w:hAnsi="Times New Roman"/>
          <w:sz w:val="18"/>
          <w:szCs w:val="18"/>
          <w:color w:val="auto"/>
        </w:rPr>
        <w:t>Our independent directors meet regularly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sessions without management present.</w:t>
      </w:r>
    </w:p>
    <w:p>
      <w:pPr>
        <w:spacing w:after="0" w:line="50" w:lineRule="exact"/>
        <w:rPr>
          <w:rFonts w:ascii="Times New Roman" w:cs="Times New Roman" w:eastAsia="Times New Roman" w:hAnsi="Times New Roman"/>
          <w:sz w:val="18"/>
          <w:szCs w:val="18"/>
          <w:color w:val="auto"/>
        </w:rPr>
      </w:pPr>
    </w:p>
    <w:p>
      <w:pPr>
        <w:ind w:left="1040" w:right="53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 Stock Ownership Policy - </w:t>
      </w:r>
      <w:r>
        <w:rPr>
          <w:rFonts w:ascii="Times New Roman" w:cs="Times New Roman" w:eastAsia="Times New Roman" w:hAnsi="Times New Roman"/>
          <w:sz w:val="18"/>
          <w:szCs w:val="18"/>
          <w:color w:val="auto"/>
        </w:rPr>
        <w:t>We require both our named executive officers and our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meaningful ownership stake at levels specified in our stock ownership policy.</w:t>
      </w:r>
    </w:p>
    <w:p>
      <w:pPr>
        <w:spacing w:after="0" w:line="50" w:lineRule="exact"/>
        <w:rPr>
          <w:rFonts w:ascii="Times New Roman" w:cs="Times New Roman" w:eastAsia="Times New Roman" w:hAnsi="Times New Roman"/>
          <w:sz w:val="18"/>
          <w:szCs w:val="18"/>
          <w:color w:val="auto"/>
        </w:rPr>
      </w:pPr>
    </w:p>
    <w:p>
      <w:pPr>
        <w:ind w:left="1040" w:right="379" w:hanging="315"/>
        <w:spacing w:after="0" w:line="284"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Key Committees are Independent - </w:t>
      </w:r>
      <w:r>
        <w:rPr>
          <w:rFonts w:ascii="Times New Roman" w:cs="Times New Roman" w:eastAsia="Times New Roman" w:hAnsi="Times New Roman"/>
          <w:sz w:val="18"/>
          <w:szCs w:val="18"/>
          <w:color w:val="auto"/>
        </w:rPr>
        <w:t>We have fully independent Audit, Compensation and Nominating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Corporate Governance Committees.</w:t>
      </w:r>
    </w:p>
    <w:p>
      <w:pPr>
        <w:spacing w:after="0" w:line="5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Do Not Have a “Poison Pill” </w:t>
      </w:r>
      <w:r>
        <w:rPr>
          <w:rFonts w:ascii="Times New Roman" w:cs="Times New Roman" w:eastAsia="Times New Roman" w:hAnsi="Times New Roman"/>
          <w:sz w:val="18"/>
          <w:szCs w:val="18"/>
          <w:color w:val="auto"/>
        </w:rPr>
        <w:t>- We do not maintain a stockholder rights plan.</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service revenue normally fluctuates due to changes in our university partners’ enrollment which tends to be higher in the Spring and Fall periods and lower in the Summer. Our expenses do not normally fluctuate significantly during the year which results in fluctuations in operating income between quarters. See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 – Seasonality</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The largest companies in this sector have historically been Pearson Online Learning Services, Academic Partnerships and 2U, Inc.</w:t>
      </w:r>
    </w:p>
    <w:p>
      <w:pPr>
        <w:spacing w:after="0" w:line="7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education services market, particularly with regard to those companies that help traditional universities develop new degree programs often delivered online, has historically been characterized by a full-service, revenue-sharing model, based on the premise that most traditional institutions are not only operationally unprepared to offer these programs at scale but also are not equipped to make the significant upfront investments necessary to develop these programs organically. In recent years, an alternative unbundled fee-for-service model has emerged, in which the companies offer the same services, or some subset of services, for the market price of those services. Finally, other industry providers affiliate with university partners to offer massive open online courses, which are aimed at unlimited participation and open access via the web at little or no cost to the student.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68"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brand awareness;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university partner base and performance track record;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sales efforts;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robustness and evolution of technology solutions;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services offerings;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convenient, flexible and dependable access to programs and classes;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student support services;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student and faculty experience;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programs;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necessary to earn a degree.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12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as a Delaware corporation in 2008 and completed our initial public offering in November 2008. Our principal executive offices are located at 2600 West Camelback Road, Phoenix, Arizona 85017, our telephone number is (602) 247-4400 and our Internet address is www.gce.com.</w:t>
      </w:r>
    </w:p>
    <w:p>
      <w:pPr>
        <w:spacing w:after="0" w:line="68"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(the “SEC”). In addition, our earnings conference calls are web cast live via our website. In addition 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 OF OUR EDUCATION SERVICES BUSINESS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Prior to July 1, 2018, GCE, owned and operated GCU. On July 1, 2018, GCE sold GCU to an independent, Arizona non-profit corporation (the “Transaction”). As a result of the Transaction, we no longer own and operate an institution of higher education, nor do we directly participate in Title IV programs regulated and overseen by ED under the Higher Education Act (“HEA”). Instead, we operate as an education service company to institutions of higher education that do participate in Title IV programs. Nevertheless, we are required to comply with certain regulations promulgated by ED for the following reasons:</w:t>
      </w:r>
    </w:p>
    <w:p>
      <w:pPr>
        <w:spacing w:after="0" w:line="79" w:lineRule="exact"/>
        <w:rPr>
          <w:sz w:val="20"/>
          <w:szCs w:val="20"/>
          <w:color w:val="auto"/>
        </w:rPr>
      </w:pPr>
    </w:p>
    <w:p>
      <w:pPr>
        <w:ind w:left="1040" w:right="79" w:hanging="315"/>
        <w:spacing w:after="0" w:line="255"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ED, and be certified as an eligible institution by ED.</w:t>
      </w:r>
    </w:p>
    <w:p>
      <w:pPr>
        <w:spacing w:after="0" w:line="80" w:lineRule="exact"/>
        <w:rPr>
          <w:rFonts w:ascii="Times New Roman" w:cs="Times New Roman" w:eastAsia="Times New Roman" w:hAnsi="Times New Roman"/>
          <w:sz w:val="18"/>
          <w:szCs w:val="18"/>
          <w:color w:val="auto"/>
        </w:rPr>
      </w:pPr>
    </w:p>
    <w:p>
      <w:pPr>
        <w:ind w:left="1040" w:right="139" w:hanging="315"/>
        <w:spacing w:after="0" w:line="254"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80" w:lineRule="exact"/>
        <w:rPr>
          <w:sz w:val="20"/>
          <w:szCs w:val="20"/>
          <w:color w:val="auto"/>
        </w:rPr>
      </w:pPr>
    </w:p>
    <w:p>
      <w:pPr>
        <w:ind w:left="1700" w:right="359" w:hanging="327"/>
        <w:spacing w:after="0" w:line="254" w:lineRule="auto"/>
        <w:tabs>
          <w:tab w:leader="none" w:pos="170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Comply with all statutory provisions of or applicable to Title IV of the HEA, including the requirement to use any funds that the servicer administers under any Title IV program and any interest or other earnings thereon solely for the purposes specified in and in accordance with that program;</w:t>
      </w:r>
    </w:p>
    <w:p>
      <w:pPr>
        <w:spacing w:after="0" w:line="79" w:lineRule="exact"/>
        <w:rPr>
          <w:rFonts w:ascii="Courier New" w:cs="Courier New" w:eastAsia="Courier New" w:hAnsi="Courier New"/>
          <w:sz w:val="18"/>
          <w:szCs w:val="18"/>
          <w:color w:val="auto"/>
        </w:rPr>
      </w:pPr>
    </w:p>
    <w:p>
      <w:pPr>
        <w:ind w:left="1700" w:right="139" w:hanging="327"/>
        <w:spacing w:after="0" w:line="253" w:lineRule="auto"/>
        <w:tabs>
          <w:tab w:leader="none" w:pos="170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program or an applicant for Title IV program assistance might have engaged in fraud or other criminal misconduct in connection with his or her application; and</w:t>
      </w:r>
    </w:p>
    <w:p>
      <w:pPr>
        <w:spacing w:after="0" w:line="81" w:lineRule="exact"/>
        <w:rPr>
          <w:rFonts w:ascii="Courier New" w:cs="Courier New" w:eastAsia="Courier New" w:hAnsi="Courier New"/>
          <w:sz w:val="18"/>
          <w:szCs w:val="18"/>
          <w:color w:val="auto"/>
        </w:rPr>
      </w:pPr>
    </w:p>
    <w:p>
      <w:pPr>
        <w:ind w:left="1700" w:right="239" w:hanging="327"/>
        <w:spacing w:after="0" w:line="274" w:lineRule="auto"/>
        <w:tabs>
          <w:tab w:leader="none" w:pos="1700" w:val="left"/>
        </w:tabs>
        <w:numPr>
          <w:ilvl w:val="0"/>
          <w:numId w:val="22"/>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6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a number of data security and privacy regulations given our role as a third-party service provider, the compliance with which can materially impact our business model. In addition, as more fully described below, we are subject to some of the regulations imposed on our university partners by virtue of the nature of the services we provide.</w:t>
      </w:r>
    </w:p>
    <w:p>
      <w:pPr>
        <w:spacing w:after="0" w:line="72"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HEA and the regulations promulgated thereunder are frequently revised, repealed or expanded and the scope of services covered by regulations may evolve and change over time.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partners.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For example, in February 2023, ED released DCL 23-03, a guidance document expanding the definition of what activities are considered as third-party servicer activities.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After substantial community outreach to ED, and a number of notices that the guidance would be delayed, on November 14, 2024, the Department formally rescinded DCL 23-03. Previously issued guidance on this topic (Dear Colleague Letters GEN 12-08, GEN 15-01, GEN 16-15 (as modified by the March 8, 2017 electronic announcement), and GEN-23-08) remains in effect. Regarding data security matters, in Electronic Announcement GEN 23-09, ED stated that “[t]he Department will issue guidance on NIST 800-171 compliance in a future Electronic Announcement.” While it does not appear ED has addressed this issue in 2024 through rulemaking or otherwise, we believe data security is an area of importance and, like all ED guidance, is subject to change and may impact our business model.</w:t>
      </w:r>
    </w:p>
    <w:p>
      <w:pPr>
        <w:spacing w:after="0" w:line="81" w:lineRule="exact"/>
        <w:rPr>
          <w:sz w:val="20"/>
          <w:szCs w:val="20"/>
          <w:color w:val="auto"/>
        </w:rPr>
      </w:pPr>
    </w:p>
    <w:p>
      <w:pPr>
        <w:jc w:val="both"/>
        <w:ind w:left="60" w:right="619" w:firstLine="648"/>
        <w:spacing w:after="0" w:line="312" w:lineRule="auto"/>
        <w:rPr>
          <w:sz w:val="20"/>
          <w:szCs w:val="20"/>
          <w:color w:val="auto"/>
        </w:rPr>
      </w:pPr>
      <w:r>
        <w:rPr>
          <w:rFonts w:ascii="Times New Roman" w:cs="Times New Roman" w:eastAsia="Times New Roman" w:hAnsi="Times New Roman"/>
          <w:sz w:val="17"/>
          <w:szCs w:val="17"/>
          <w:color w:val="auto"/>
        </w:rPr>
        <w:t>We are also regulated (depending upon the applicable activity being regulated) by other federal agencies or departments including the SEC, the Internal Revenue Service (“IRS”), and the Federal Trade Commission (“FTC”).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 OF OUR UNIVERSITY PARTNERS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Institutions of higher education in America are subject to extensive regulation by state post-secondary, licensure and certification agencies, accrediting commissions, and the federal government through ED under the HEA, as well as (depending upon the applicable activity being regulated) other federal agencies and departments including the U.S. Department of Veterans Affairs (“VA”), the FTC, the IRS, and for institutions who issue bonds, the SEC. The regulations, standards, and policies of these agencies cover the vast majority of operations of colleges and universities, including educational programs, facilities, instructional and administrative staff, administrative procedures, marketing, recruiting, financing and financial operations, athletics and financial condition.</w:t>
      </w:r>
    </w:p>
    <w:p>
      <w:pPr>
        <w:spacing w:after="0" w:line="8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pacing w:after="0" w:line="8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Although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as an education services provider to institutions of higher education generally.</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 Post-Secondary Education Regulation</w:t>
      </w:r>
    </w:p>
    <w:p>
      <w:pPr>
        <w:spacing w:after="0" w:line="12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university partners are authorized to offer education by the relevant state authorizing agencies for the state in which such university partner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State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pacing w:after="0" w:line="8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State regulatory requirements for online education have historically varied among the states. To address this issue and to meet ED requirements many schools have applied and been approved to be institutional participants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 administered by the Western Interstate Commission for Higher Education (referred to as W-SARA). There is a yearly renewal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participating in NC-SARA and AZ-SARA and institutions must agree to meet certain requirements to participate. As of December 31, 2024, all states other than California are members of SARA.</w:t>
      </w:r>
    </w:p>
    <w:p>
      <w:pPr>
        <w:spacing w:after="0" w:line="54"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state that does not participate in SARA may impose regulatory requirements on out-of-state post-secondary institutions operating within its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non-SARA jurisdiction, or fails to obtain licenses or authorizations when required, it could lose its license or authorization by that jurisdiction or be subject to other sanctions, including restrictions on its activities in, and fines and penalties imposed by, that jurisdiction, as well as fines, penalties, and sanctions imposed by ED. The loss of licensure or authorization in any non-SARA jurisdiction by a university partner institution could prohibit us from recruiting prospective students or offering services to current students in that jurisdiction, which could significantly reduce such university partner’s enrollments.</w:t>
      </w:r>
    </w:p>
    <w:p>
      <w:pPr>
        <w:spacing w:after="0" w:line="8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 In addition, state laws can indirectly regulate how we provide its services to its university partners. For example, some states have considered new requirements that would dictate what information we must convey to students and prospective students and impose reporting requirements related to the nature of our services. To the extent such requirements were ultimately enacted into law, they could significantly affect our business.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 Professional Licensure</w:t>
      </w:r>
    </w:p>
    <w:p>
      <w:pPr>
        <w:spacing w:after="0" w:line="121"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Many states have specific requirements that an individual must satisfy in order to be licensed as a professional in specified fields, including fields such as healthcare, education,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72" w:lineRule="exact"/>
        <w:rPr>
          <w:sz w:val="20"/>
          <w:szCs w:val="20"/>
          <w:color w:val="auto"/>
        </w:rPr>
      </w:pPr>
    </w:p>
    <w:p>
      <w:pPr>
        <w:ind w:left="1040" w:right="17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were approved by the state in which the graduate seeks licensure, or by a professional association;</w:t>
      </w:r>
    </w:p>
    <w:p>
      <w:pPr>
        <w:ind w:left="1040" w:right="279" w:hanging="315"/>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program from which the student graduated meets all requirements for professional licensure in that state;</w:t>
      </w: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are accredited and, if so, by what accrediting commissions;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institution’s degrees are recognized by other states in which a student may seek to work.</w:t>
      </w:r>
    </w:p>
    <w:p>
      <w:pPr>
        <w:spacing w:after="0" w:line="9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68"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Prior to opening a new off-campus classroom and laboratory site, university partners often require approval from the applicable state board to offer its programs at that location. This can delay the site opening and timing can vary based on the state and the university partner.</w:t>
      </w:r>
    </w:p>
    <w:p>
      <w:pPr>
        <w:spacing w:after="0" w:line="68"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Although not directly regulated by these entities, we must be mindful of the requirements placed by state professional licensure bodies on our university partner institutions to ensure those institutions maintain that licensure.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Accreditation</w:t>
      </w:r>
    </w:p>
    <w:p>
      <w:pPr>
        <w:spacing w:after="0" w:line="12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periodic review by its accrediting commissions to determine whether it continues to meet the performance, integrity and quality required for accreditation.</w:t>
      </w:r>
    </w:p>
    <w:p>
      <w:pPr>
        <w:spacing w:after="0" w:line="54"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Our most significant university partner, GCU has been regionally accredited by the HLC and its predecessor since 1968, most recently obtaining reaccreditation in 2017 for the ten-year period through 2027. The HLC is an accrediting agency recognized by the Secretary of Education and accredits entire institutions of higher education. The HLC has historically been categorized as a regional accreditor.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university.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6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University partners other than GCU may be accredited by different accrediting bodies that are likely to have standards that are different from those of the HLC. Moreover, our other university partners hold various programmatic accreditations that set additional requirements related to specific programs, including for their nursing programs. As we work with university partners in different regions we will need to work with those accrediting bodies and tailor our services to meet the requirements of those accreditors.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Regulation of Federal Student Financial Aid Programs</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7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7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Significant regulations and other factors relating to the Title IV programs that could adversely affect us include the following:</w:t>
      </w:r>
    </w:p>
    <w:p>
      <w:pPr>
        <w:spacing w:after="0" w:line="5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Congressional 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Congress must reauthorize the HEA on a periodic basis, usually every five to six years,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recent reauthorization through September 30, 2013, occurred in August 2008. The reauthorized HEA 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77"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 and certification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institution must apply periodically to ED for continued certification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participate in the Title IV programs. Such recertification generally is required every six years, but may be required earlier, including when an institution undergoes a change in control. To the extent ED suspends, limits, modifies, conditions, or terminates any university partner institution’s eligibility to participate in the Title IV, including by disallowing the institution from adding new programs or terminating the institution from Title IV eligibility programs, that action is likely to have a negative impact on our business.</w:t>
      </w:r>
    </w:p>
    <w:p>
      <w:pPr>
        <w:spacing w:after="0" w:line="78" w:lineRule="exact"/>
        <w:rPr>
          <w:sz w:val="20"/>
          <w:szCs w:val="20"/>
          <w:color w:val="auto"/>
        </w:rPr>
      </w:pPr>
    </w:p>
    <w:p>
      <w:pPr>
        <w:jc w:val="both"/>
        <w:ind w:left="60" w:right="459" w:firstLine="648"/>
        <w:spacing w:after="0" w:line="289" w:lineRule="auto"/>
        <w:rPr>
          <w:sz w:val="20"/>
          <w:szCs w:val="20"/>
          <w:color w:val="auto"/>
        </w:rPr>
      </w:pPr>
      <w:r>
        <w:rPr>
          <w:rFonts w:ascii="Times New Roman" w:cs="Times New Roman" w:eastAsia="Times New Roman" w:hAnsi="Times New Roman"/>
          <w:sz w:val="17"/>
          <w:szCs w:val="17"/>
          <w:color w:val="auto"/>
        </w:rPr>
        <w:t>ED may also grant an institution the ability to participate in Title IV programs on a provisional basis while it completes its review of the institution’s application. For an institution that is certified on a provisional basis, ED may revoke the institution’s certification without advance notice or advance opportunity for the institution to challenge that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action. For an institution that is certified on a month-to-month basis, ED may allow the institution’s certification to expire at the end of any month without advance notice, and without any formal procedure for review of such action. To our knowledge, either such action is very rare and has only occurred upon a determination that an institution is in substantial violation of material Title IV requirements. Our primary university partner, GCU, currently operates under a provisional program participation agreement that expires on June 30, 2026.</w:t>
      </w:r>
    </w:p>
    <w:p>
      <w:pPr>
        <w:spacing w:after="0" w:line="71" w:lineRule="exact"/>
        <w:rPr>
          <w:sz w:val="20"/>
          <w:szCs w:val="20"/>
          <w:color w:val="auto"/>
        </w:rPr>
      </w:pPr>
    </w:p>
    <w:p>
      <w:pPr>
        <w:jc w:val="both"/>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Administrative capability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 regulations specify extensive criteria by which an institution must establish that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the requisite “administrative capability” to participate in the Title IV programs. To meet the administrative capability standards, an institution must, among other things:</w:t>
      </w:r>
    </w:p>
    <w:p>
      <w:pPr>
        <w:spacing w:after="0" w:line="67"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Title IV program requirements;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adequate number of qualified personnel to administer the Title IV programs;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acceptable standards for measuring the satisfactory academic progress of its students;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student loan cohort default rates above specified levels;</w:t>
      </w:r>
    </w:p>
    <w:p>
      <w:pPr>
        <w:spacing w:after="0" w:line="9" w:lineRule="exact"/>
        <w:rPr>
          <w:rFonts w:ascii="Times New Roman" w:cs="Times New Roman" w:eastAsia="Times New Roman" w:hAnsi="Times New Roman"/>
          <w:sz w:val="18"/>
          <w:szCs w:val="18"/>
          <w:color w:val="auto"/>
        </w:rPr>
      </w:pPr>
    </w:p>
    <w:p>
      <w:pPr>
        <w:ind w:left="1040" w:right="89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various procedures in place for awarding, disbursing and safeguarding Title IV funds and for maintaining required records;</w:t>
      </w: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Title IV programs with adequate checks and balances in its system of internal controls;</w:t>
      </w:r>
    </w:p>
    <w:p>
      <w:pPr>
        <w:spacing w:after="0" w:line="9" w:lineRule="exact"/>
        <w:rPr>
          <w:rFonts w:ascii="Times New Roman" w:cs="Times New Roman" w:eastAsia="Times New Roman" w:hAnsi="Times New Roman"/>
          <w:sz w:val="18"/>
          <w:szCs w:val="18"/>
          <w:color w:val="auto"/>
        </w:rPr>
      </w:pPr>
    </w:p>
    <w:p>
      <w:pPr>
        <w:ind w:left="1040" w:right="51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and not have any principal or affiliate who is, debarred or suspended from federal contracting or engaging in activity that is cause for debarment or suspension;</w:t>
      </w: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aid counseling to its students;</w:t>
      </w:r>
    </w:p>
    <w:p>
      <w:pPr>
        <w:spacing w:after="0" w:line="9" w:lineRule="exact"/>
        <w:rPr>
          <w:rFonts w:ascii="Times New Roman" w:cs="Times New Roman" w:eastAsia="Times New Roman" w:hAnsi="Times New Roman"/>
          <w:sz w:val="18"/>
          <w:szCs w:val="18"/>
          <w:color w:val="auto"/>
        </w:rPr>
      </w:pPr>
    </w:p>
    <w:p>
      <w:pPr>
        <w:ind w:left="1040" w:right="579" w:hanging="315"/>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all required reports and consolidated financial statements in a timely manner;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otherwise appear to lack administrative capability.</w:t>
      </w:r>
    </w:p>
    <w:p>
      <w:pPr>
        <w:spacing w:after="0" w:line="9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68"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institution to repay Title IV funds its students previously received;</w:t>
      </w:r>
    </w:p>
    <w:p>
      <w:pPr>
        <w:spacing w:after="0" w:line="27"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institution from the advance method of payment of Title IV funds to heightened cash monitoring status or the reimbursement system of payment;</w:t>
      </w: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institution on provisional certification status; or</w:t>
      </w:r>
    </w:p>
    <w:p>
      <w:pPr>
        <w:spacing w:after="0" w:line="9" w:lineRule="exact"/>
        <w:rPr>
          <w:rFonts w:ascii="Times New Roman" w:cs="Times New Roman" w:eastAsia="Times New Roman" w:hAnsi="Times New Roman"/>
          <w:sz w:val="18"/>
          <w:szCs w:val="18"/>
          <w:color w:val="auto"/>
        </w:rPr>
      </w:pPr>
    </w:p>
    <w:p>
      <w:pPr>
        <w:ind w:left="1040" w:right="99" w:hanging="315"/>
        <w:spacing w:after="0" w:line="26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proceeding to impose a fine or to limit, suspend or terminate the institution’s participation in the Title IV programs.</w:t>
      </w:r>
    </w:p>
    <w:p>
      <w:pPr>
        <w:spacing w:after="0" w:line="73"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Imposition of these sanctions on any of our university partners could have a negative impact on our ability to conduct our business.</w:t>
      </w:r>
    </w:p>
    <w:p>
      <w:pPr>
        <w:spacing w:after="0" w:line="50" w:lineRule="exact"/>
        <w:rPr>
          <w:sz w:val="20"/>
          <w:szCs w:val="20"/>
          <w:color w:val="auto"/>
        </w:rPr>
      </w:pPr>
    </w:p>
    <w:p>
      <w:pPr>
        <w:ind w:left="60" w:right="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responsibility. </w:t>
      </w:r>
      <w:r>
        <w:rPr>
          <w:rFonts w:ascii="Times New Roman" w:cs="Times New Roman" w:eastAsia="Times New Roman" w:hAnsi="Times New Roman"/>
          <w:sz w:val="18"/>
          <w:szCs w:val="18"/>
          <w:color w:val="auto"/>
        </w:rPr>
        <w:t>The HEA and ED regulations establish extensive standards of financial responsibility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78"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ratio, which measures the institution’s capital resources, financial viability and ability to borrow;</w:t>
      </w:r>
    </w:p>
    <w:p>
      <w:pPr>
        <w:spacing w:after="0" w:line="27"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reserve ratio, which measures the institution’s ability to support current operations from expendable resources; and</w:t>
      </w: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ratio, which measures the institution’s ability to operate at a profit or within its means.</w:t>
      </w:r>
    </w:p>
    <w:p>
      <w:pPr>
        <w:spacing w:after="0" w:line="9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ED assigns a strength factor to the results of each of these ratios on a scale from negative 1.0 to positive 3.0, with negative 1.0 reflecting financial weakness and positive 3.0 reflecting financial strength. ED then assigns a</w:t>
      </w:r>
    </w:p>
    <w:p>
      <w:pPr>
        <w:jc w:val="both"/>
        <w:ind w:left="60" w:right="199"/>
        <w:spacing w:after="0" w:line="255" w:lineRule="auto"/>
        <w:rPr>
          <w:sz w:val="20"/>
          <w:szCs w:val="20"/>
          <w:color w:val="auto"/>
        </w:rPr>
      </w:pPr>
      <w:r>
        <w:rPr>
          <w:rFonts w:ascii="Times New Roman" w:cs="Times New Roman" w:eastAsia="Times New Roman" w:hAnsi="Times New Roman"/>
          <w:sz w:val="18"/>
          <w:szCs w:val="18"/>
          <w:color w:val="auto"/>
        </w:rPr>
        <w:t>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7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an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 number of programs it offers or the number of students it enrolls, any of which sanctions on our university partners could also adversely affect our business. In addition, because other regulators may use the composite score for their purposes, a poor composite score could have additional effects. For example, NC-SARA utilizes an institution’s composite score in determining whether such institution is eligible to participate in SARA.</w:t>
      </w:r>
    </w:p>
    <w:p>
      <w:pPr>
        <w:spacing w:after="0" w:line="8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Based on the data derived from the audited financial statements of GCU as of each of June 30, 2024 and 2023, GCU’s composite score was 1.9 and 1.8, respectively, using the proprietary school calculation methodology. If GCU’s future composite scores do not exceed 1.5, ED could impose sanctions. If any such sanctions were imposed, it could have a negative impact on our ability to conduct our business.</w:t>
      </w:r>
    </w:p>
    <w:p>
      <w:pPr>
        <w:spacing w:after="0" w:line="68"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Return of Title IV funds for students who withdraw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a student who has received Title IV program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withdraws 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Additionally, in January 2025, ED published new regulations, that become effective on July 1, 2026, related to a number of areas, including those concerning return to Title IV. We are in the process of reviewing the regulations and have not formed a view as to the impact on our business.</w:t>
      </w:r>
    </w:p>
    <w:p>
      <w:pPr>
        <w:spacing w:after="0" w:line="8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“90/10 Rule.” </w:t>
      </w:r>
      <w:r>
        <w:rPr>
          <w:rFonts w:ascii="Times New Roman" w:cs="Times New Roman" w:eastAsia="Times New Roman" w:hAnsi="Times New Roman"/>
          <w:sz w:val="18"/>
          <w:szCs w:val="18"/>
          <w:color w:val="auto"/>
        </w:rPr>
        <w:t>A requirement of the HEA, commonly referred to as the “90/10 Rule,” that is applicable only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ED. If an institution’s rate exceeds 90% for any single fiscal year, it will be placed on provisional certification for at least two fiscal years.</w:t>
      </w:r>
    </w:p>
    <w:p>
      <w:pPr>
        <w:spacing w:after="0" w:line="8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Based on new regulations that went into effect on January 1, 2023, the 90/10 Rule was modified to include tuition assistance programs offered by the U.S. Department of Defense and the U.S. Veterans Administration as part of the 90% threshold, in addition to the Title IV programs already covered by the 90/10 Rule. This means that institutions subject to the 90/10 Rule will be required to limit the combined amount of Title IV funds and applicable “Federal funds” revenue in a fiscal year to no more than 90% in a fiscal year as calculated under the rule, and the change to the 90/10 Rule is thus expected to increase the 90/10 Rule calculations for institutions subject to the rule. Using ED’s cash-basis, regulatory formula under the 90/10 Rule as currently in effect, GCU derived approximately 67.2% and 65.5% of its 90/10 Rule revenue from Title IV program funds for the fiscal years ended June 30, 2024 and 2023, respectively, per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GCU’s audited financial statements. Accordingly, even if ED continues to treat GCU as a proprietary institution for Title IV purposes, we do not expect this rule to have any material impact on GCU.</w:t>
      </w:r>
    </w:p>
    <w:p>
      <w:pPr>
        <w:spacing w:after="0" w:line="54"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Legislation has been introduced in both chambers of Congress that seeks to further modify the 90/10 Rule, including proposals to change the ratio requirement to 85/15 (federal to nonfederal revenue), or to eliminate the 90/10 Rule. We cannot predict whether or how legislative or regulatory changes will affect the 90/10 Rule.</w:t>
      </w:r>
    </w:p>
    <w:p>
      <w:pPr>
        <w:spacing w:after="0" w:line="64"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Student loan defaults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HEA, an educational institution may lose its eligibility to participate in some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(known as the “three-year method”).</w:t>
      </w:r>
    </w:p>
    <w:p>
      <w:pPr>
        <w:spacing w:after="0" w:line="78" w:lineRule="exact"/>
        <w:rPr>
          <w:sz w:val="20"/>
          <w:szCs w:val="20"/>
          <w:color w:val="auto"/>
        </w:rPr>
      </w:pPr>
    </w:p>
    <w:p>
      <w:pPr>
        <w:ind w:left="60" w:right="219" w:firstLine="648"/>
        <w:spacing w:after="0" w:line="268" w:lineRule="auto"/>
        <w:rPr>
          <w:sz w:val="20"/>
          <w:szCs w:val="20"/>
          <w:color w:val="auto"/>
        </w:rPr>
      </w:pPr>
      <w:r>
        <w:rPr>
          <w:rFonts w:ascii="Times New Roman" w:cs="Times New Roman" w:eastAsia="Times New Roman" w:hAnsi="Times New Roman"/>
          <w:sz w:val="17"/>
          <w:szCs w:val="17"/>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w:t>
      </w:r>
    </w:p>
    <w:p>
      <w:pPr>
        <w:ind w:left="60" w:right="299"/>
        <w:spacing w:after="0" w:line="260" w:lineRule="auto"/>
        <w:rPr>
          <w:sz w:val="20"/>
          <w:szCs w:val="20"/>
          <w:color w:val="auto"/>
        </w:rPr>
      </w:pPr>
      <w:r>
        <w:rPr>
          <w:rFonts w:ascii="Times New Roman" w:cs="Times New Roman" w:eastAsia="Times New Roman" w:hAnsi="Times New Roman"/>
          <w:sz w:val="18"/>
          <w:szCs w:val="18"/>
          <w:color w:val="auto"/>
        </w:rPr>
        <w:t>fiscal years. If an institution’s cohort default rate for any single federal fiscal year equals or exceeds 30%, ED may place the institution on provisional certification status.</w:t>
      </w:r>
    </w:p>
    <w:p>
      <w:pPr>
        <w:spacing w:after="0" w:line="7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Incentive compensation rule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institution that participates in the Title IV programs may not provide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 bonus, or other incentive payment based directly or indirectly on success in securing enrollments or financial aid to any person or entity engaged in any student recruitment, admissions, or financial aid awarding activity. Since we are involved in recruiting and admission activities on behalf of our university partners, under current regulations,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 work on financial aid matters (if any), any bonus or incentive-based compensation based on the award of financial aid to students enrolled in a postsecondary institution.</w:t>
      </w:r>
    </w:p>
    <w:p>
      <w:pPr>
        <w:spacing w:after="0" w:line="8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the incentive compensation rule raises the question as to whether companies like ours, as an entity, are prohibited from entering into tuition revenue-sharing arrangements with university partners. On March 17, 2011, ED 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82" w:lineRule="exact"/>
        <w:rPr>
          <w:sz w:val="20"/>
          <w:szCs w:val="20"/>
          <w:color w:val="auto"/>
        </w:rPr>
      </w:pPr>
    </w:p>
    <w:p>
      <w:pPr>
        <w:ind w:left="700" w:right="199"/>
        <w:spacing w:after="0" w:line="266" w:lineRule="auto"/>
        <w:rPr>
          <w:sz w:val="20"/>
          <w:szCs w:val="20"/>
          <w:color w:val="auto"/>
        </w:rPr>
      </w:pPr>
      <w:r>
        <w:rPr>
          <w:rFonts w:ascii="Times New Roman" w:cs="Times New Roman" w:eastAsia="Times New Roman" w:hAnsi="Times New Roman"/>
          <w:sz w:val="18"/>
          <w:szCs w:val="18"/>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19"/>
        <w:spacing w:after="0" w:line="258" w:lineRule="auto"/>
        <w:rPr>
          <w:sz w:val="20"/>
          <w:szCs w:val="20"/>
          <w:color w:val="auto"/>
        </w:rPr>
      </w:pPr>
      <w:r>
        <w:rPr>
          <w:rFonts w:ascii="Times New Roman" w:cs="Times New Roman" w:eastAsia="Times New Roman" w:hAnsi="Times New Roman"/>
          <w:sz w:val="18"/>
          <w:szCs w:val="18"/>
          <w:color w:val="auto"/>
        </w:rPr>
        <w:t>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75"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7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 in ways that could be detrimental to our business.</w:t>
      </w:r>
    </w:p>
    <w:p>
      <w:pPr>
        <w:spacing w:after="0" w:line="75" w:lineRule="exact"/>
        <w:rPr>
          <w:sz w:val="20"/>
          <w:szCs w:val="20"/>
          <w:color w:val="auto"/>
        </w:rPr>
      </w:pPr>
    </w:p>
    <w:p>
      <w:pPr>
        <w:ind w:left="60" w:right="119" w:firstLine="648"/>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Borrower Defense to Repayment regulations</w:t>
      </w:r>
      <w:r>
        <w:rPr>
          <w:rFonts w:ascii="Times New Roman" w:cs="Times New Roman" w:eastAsia="Times New Roman" w:hAnsi="Times New Roman"/>
          <w:sz w:val="17"/>
          <w:szCs w:val="17"/>
          <w:color w:val="auto"/>
        </w:rPr>
        <w:t>. Under the HEA and its implementing regulations, students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file a claim with ED to discharge their FDL Loans if, generally, they believe their institution misled them or engaged in other misconduct related to the making of their federal loans or the provision of their educational services. This is referred to as a “borrower defense to repayment” or “BDR” claim. The regulations governing the standards and processes pursuant to which BDR claims are adjudicated have been revised multiple times since their introduction in 1994, with the result that the current regulatory framework is extraordinarily complex. It is generally the case that an individual BDR claim would be adjudicated by an ED staff member and any subsequent recoupment process against the applicable institution initiated by ED would be overseen by a hearing official. But the specific standards and processes that apply vary depending on when the underlying loan was made, and certain versions of the law permit the formation of a group claims process by ED.</w:t>
      </w:r>
    </w:p>
    <w:p>
      <w:pPr>
        <w:spacing w:after="0" w:line="6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November 2022, the Biden administration promulgated a revised version of the BDR rule, which took effect on July 1, 2023. In August 2023, the U.S. Court of Appeals for the Fifth Circuit issued a nationwide preliminary injunction, enjoining the implementation of the borrower defense and closed school provisions of that rule. While this case is decided, the previous versions of the borrower defense and closed school provisions are in effect.</w:t>
      </w:r>
    </w:p>
    <w:p>
      <w:pPr>
        <w:spacing w:after="0" w:line="72"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Litigation related to the various iterations of the BDR regulations, and the enforcement of these regulations has made this area complicated for all parties to understand and assess. Further, the lack of adjudications in this area has also made things less clear. Nonetheless, if our university partners are determined to have violated this regulation there could be significant sanctions imposed, whether related to the recoupment of any loans extinguished by ED, the imposition of letters of credit, or other sanctions under the financial responsibility or administrative capability regulations (among others). This could put a financial strain on our university partners and negatively affect our business. Also, if we were determined to have been the cause of the meritorious BDTR claim, our partners may have claims against us.</w:t>
      </w:r>
    </w:p>
    <w:p>
      <w:pPr>
        <w:spacing w:after="0" w:line="81"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Note, the borrower defense to repayment regulations discussed herein were and are extensive and this does not attempt to discuss all the facets of any of the versions of these regulations. We cannot determine what effect, if any, these regulations may have on out university partners or on us.</w:t>
      </w:r>
    </w:p>
    <w:p>
      <w:pPr>
        <w:spacing w:after="0" w:line="6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Compliance reviews. </w:t>
      </w:r>
      <w:r>
        <w:rPr>
          <w:rFonts w:ascii="Times New Roman" w:cs="Times New Roman" w:eastAsia="Times New Roman" w:hAnsi="Times New Roman"/>
          <w:sz w:val="18"/>
          <w:szCs w:val="18"/>
          <w:color w:val="auto"/>
        </w:rPr>
        <w:t>Our university partners institutions are subject to announced and unannounced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and audits 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79" w:lineRule="exact"/>
        <w:rPr>
          <w:sz w:val="20"/>
          <w:szCs w:val="20"/>
          <w:color w:val="auto"/>
        </w:rPr>
      </w:pPr>
    </w:p>
    <w:p>
      <w:pPr>
        <w:ind w:left="60" w:right="319" w:firstLine="648"/>
        <w:spacing w:after="0" w:line="312" w:lineRule="auto"/>
        <w:rPr>
          <w:sz w:val="20"/>
          <w:szCs w:val="20"/>
          <w:color w:val="auto"/>
        </w:rPr>
      </w:pPr>
      <w:r>
        <w:rPr>
          <w:rFonts w:ascii="Times New Roman" w:cs="Times New Roman" w:eastAsia="Times New Roman" w:hAnsi="Times New Roman"/>
          <w:sz w:val="17"/>
          <w:szCs w:val="17"/>
          <w:color w:val="auto"/>
        </w:rPr>
        <w:t>As a third-party servicer, not only are our university partners subject to reviews and audits that may require our involvement, but we are also subject to program reviews from ED and the Office of the Inspector General. Further, we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also have an obligation to annually submit to ED a Title IV compliance audit conducted by an independent certified public accountant in accordance with applicable federal and ED audit standards.</w:t>
      </w:r>
    </w:p>
    <w:p>
      <w:pPr>
        <w:spacing w:after="0" w:line="5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Gainful employment rule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HEA, proprietary schools are eligible to participate in Title IV programs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 While this change was effective July 1, 2020, ED also permitted institutions to enact this change as early as July 1, 2019, so long as any such institution made manifest its intention to be subject to the rescinded regulations. It is our understanding that GCU had made manifest that intention and, as of July 1, 2019, was no longer subject to the gainful employment rules. Given that GCU is currently our only university partner that is considered a proprietary school by ED, the gainful employment rules apply to it but not to our other university partners. While GCU largely complied with the previously published gainful employment rules, those rules did indicate that four current degree programs were in the “Zone” – that is, potentially faced sanctions in the future if GCU could not reform the programs to comply with the regulations – including three undergraduate education programs and the Masters in Theology.</w:t>
      </w:r>
    </w:p>
    <w:p>
      <w:pPr>
        <w:spacing w:after="0" w:line="86"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ED published new gainful employment regulations in 2023, which became effective July 1, 2024. These new regulations establish rules for annually evaluating GCU’s educational programs based on the calculation of debt-to-earnings rates (an annual debt-to-earnings rate and a discretionary debt-to-earnings rate) and a median earnings measure. ED will calculate these rates and measures under complex regulatory formulas outlined in the regulations and using data such as student debt (including not only Title IV loans but also certain private loans and extensions of credit), student earnings data, and comparative median earnings data for young working adults with only a high school diploma or GED. If GCU’s programs were to yield debt-to-earnings rates or a median earnings measure that do not comply with regulatory benchmarks for two of three consecutive years, they would lose Title IV eligibility for each of the impacted educational programs. The regulations will also require institutions to provide warnings to current and prospective students for programs in danger of losing Title IV eligibility (which could deter prospective students from enrolling and current students from continuing their respective programs). The regulations also include provisions for providing certifications and reporting data to ED and providing required student disclosures related to gainful employment.</w:t>
      </w:r>
    </w:p>
    <w:p>
      <w:pPr>
        <w:spacing w:after="0" w:line="82" w:lineRule="exact"/>
        <w:rPr>
          <w:sz w:val="20"/>
          <w:szCs w:val="20"/>
          <w:color w:val="auto"/>
        </w:rPr>
      </w:pPr>
    </w:p>
    <w:p>
      <w:pPr>
        <w:ind w:left="60" w:right="159" w:firstLine="648"/>
        <w:spacing w:after="0" w:line="270" w:lineRule="auto"/>
        <w:rPr>
          <w:sz w:val="20"/>
          <w:szCs w:val="20"/>
          <w:color w:val="auto"/>
        </w:rPr>
      </w:pPr>
      <w:r>
        <w:rPr>
          <w:rFonts w:ascii="Times New Roman" w:cs="Times New Roman" w:eastAsia="Times New Roman" w:hAnsi="Times New Roman"/>
          <w:sz w:val="17"/>
          <w:szCs w:val="17"/>
          <w:color w:val="auto"/>
        </w:rPr>
        <w:t>The regulations include gainful employment rates and measures that will be based in part on data that is not readily accessible to us or GCU, which makes it difficult for us to predict with certainty how GCU’s educational programs will perform under the new gainful employment benchmarks and the extent to which certain programs could become ineligible for Title IV participation. ED released performance data at the time it published the proposed regulations that calculates rates for each school’s programs while acknowledging that the methodology used to produce the calculations differs from the methodology in the proposed regulations due to limitations in data availability. Because neither we nor GCU nor ED have access to all of the data that will ultimately be used to evaluate GCU’s programs, we cannot predict whether, or the extent to which, GCU’s programs could fail to comply with the new gainful employment benchmarks. Moreover, we do not have control over some of the factors that could impact the rates and measures for GCU’s programs which will limit our ability to eliminate or mitigate the impact of the regulations on us and GCU’s educational programs.</w:t>
      </w:r>
    </w:p>
    <w:p>
      <w:pPr>
        <w:spacing w:after="0" w:line="6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Although we cannot predict how GCU’s programs will perform under the new gainful employment metrics, the performance data released suggests that in general the programs that were in the “Zone” under the previous gainful employment rules - certain undergraduate teacher education and theology programs as well as certain Master’s in Counseling programs - are in jeopardy of failing under the new rules. Given that the primary issue for the undergraduate programs that are in jeopardy of failing the new rules is not high average debt levels but rather relatively low earnings rates for first year teachers, it will be difficult for GCU to make material changes to ensure these programs do not fail. The Master’s of Counseling programs that are in jeopardy of failing are long duration programs as required by the programmatic accreditation standards and the Title IV regulations allow graduate students to borrow substantially more than is required to pay tuition. Accordingly, the debt levels for these programs are higher than the university’s average. Thus, the implementation of the new gainful employment regulations could require GCU to eliminate or modify these educational programs, could result in the loss of Title IV program funds for the affected programs, and could have a significant impact on the rate at which students enroll in these programs. In addition, given ED’s continued refusal to recognize GCU’s non-profit status, students in GCU programs that fail the new metrics may lose Title IV eligibility.</w:t>
      </w:r>
    </w:p>
    <w:p>
      <w:pPr>
        <w:spacing w:after="0" w:line="75" w:lineRule="exact"/>
        <w:rPr>
          <w:sz w:val="20"/>
          <w:szCs w:val="20"/>
          <w:color w:val="auto"/>
        </w:rPr>
      </w:pPr>
    </w:p>
    <w:p>
      <w:pPr>
        <w:ind w:left="60" w:right="53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Substantial misrepresentation</w:t>
      </w:r>
      <w:r>
        <w:rPr>
          <w:rFonts w:ascii="Times New Roman" w:cs="Times New Roman" w:eastAsia="Times New Roman" w:hAnsi="Times New Roman"/>
          <w:sz w:val="17"/>
          <w:szCs w:val="17"/>
          <w:color w:val="auto"/>
        </w:rPr>
        <w:t>. The HEA prohibits an institution that participates in Title IV programs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engaging in “substantial misrepresentation” of the nature of its educational program, its financial charges, or the</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56"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5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subcontractors in their conversations with students and prospective students. Additionally, matters regarding substantial misrepresentation, and defining what constitutes “aggressive recruiting,” are currently the subject of negotiated rulemaking. While we are watching this process closely, we cannot determine what the outcome will be or the effect of these regulations on our university partners or on GCE.</w:t>
      </w:r>
    </w:p>
    <w:p>
      <w:pPr>
        <w:spacing w:after="0" w:line="8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Despite our best efforts, we or our university partners may face complaints from our university partners’ students and prospective students over statements made by us and our agents throughout the conduct of our services that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w:t>
      </w:r>
    </w:p>
    <w:p>
      <w:pPr>
        <w:spacing w:after="0" w:line="8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Similar rules apply under state laws or are incorporated in institutional accreditation standards, and the FTC applies similar rules prohibiting any unfair or deceptive marketing practices to the education sector. In October 2021, the FTC announced that it was resurrecting its Penalty Offense Authority under Section 5(m) of the FTC Act. Under the FTC Act, the FTC may secure penalties against entities not a party to an original proceeding if the FTC can show that the entity had actual knowledge that the conduct in question was found to be unfair or deceptive. Entities that have actual knowledge of acts or practices the FTC has found to be unlawful and that subsequently engage in such unlawful acts or practices may be held liable for civil penalties up to $50,120 per violation. Also in October 2021, in an effort to establish actual knowledge and create a pathway for penalties in the event of post-notice acts or practices, the FTC issued notice to the 70 largest for-profit schools based on enrollment and revenues. The notice included a list of acts and practices that the FTC has determined are unfair or deceptive, including but not limited to acts relating to misrepresentation of employment opportunities and other benefits, together with citation to various prior determinations from cases previously litigated by the FTC. Because of ED’s decision to continue to treat GCU as a for-profit institution for Title IV purposes, GCU received this notice. The FTC made clear at that time that receipt of the notice itself did not reflect any assessment as to whether GCU has engaged in deceptive or unfair conduct.</w:t>
      </w:r>
    </w:p>
    <w:p>
      <w:pPr>
        <w:spacing w:after="0" w:line="89" w:lineRule="exact"/>
        <w:rPr>
          <w:sz w:val="20"/>
          <w:szCs w:val="20"/>
          <w:color w:val="auto"/>
        </w:rPr>
      </w:pPr>
    </w:p>
    <w:p>
      <w:pPr>
        <w:ind w:left="60" w:right="79" w:firstLine="648"/>
        <w:spacing w:after="0" w:line="312" w:lineRule="auto"/>
        <w:rPr>
          <w:sz w:val="20"/>
          <w:szCs w:val="20"/>
          <w:color w:val="auto"/>
        </w:rPr>
      </w:pPr>
      <w:r>
        <w:rPr>
          <w:rFonts w:ascii="Times New Roman" w:cs="Times New Roman" w:eastAsia="Times New Roman" w:hAnsi="Times New Roman"/>
          <w:sz w:val="17"/>
          <w:szCs w:val="17"/>
          <w:color w:val="auto"/>
        </w:rPr>
        <w:t>If ED or another regulator determines that statements made by us or on our behalf are in violation of the regulations, we could be subject to sanctions and other liability, which could have a material adverse effect on our business.</w:t>
      </w:r>
    </w:p>
    <w:p>
      <w:pPr>
        <w:spacing w:after="0" w:line="2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Coordinated actions by certain federal agencies</w:t>
      </w:r>
      <w:r>
        <w:rPr>
          <w:rFonts w:ascii="Times New Roman" w:cs="Times New Roman" w:eastAsia="Times New Roman" w:hAnsi="Times New Roman"/>
          <w:sz w:val="18"/>
          <w:szCs w:val="18"/>
          <w:color w:val="auto"/>
        </w:rPr>
        <w:t>. The Transaction was approved by GCU’s board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its conclusion that it would be in the best interest of GCU’s students, faculty and staff for GCU to operate under the non-profit status that it previously held prior to 2004. Prior to the closing of the Transaction, the IRS, HLC and the State of Arizona approved GCU’s non-profit designation. However, in November 2019, in connection with its approval of the Transaction without conditions, ED informed GCU that GCU does not satisfy ED’s definition of a non-profit entity and, as a result, that ED will continue to treat GCU as a proprietary institution for purposes of its continued participation in Title IV programs. Upon receipt of this determination, GCU and GCE entered into ongoing discussions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and negotiations that were then provided by GCU to ED regarding proposed changes to the services agreement between GCU and GCE and providing ED, upon request, with an updated transfer pricing study demonstrating that the revenue sharing arrangement reflected in the services agreement reflected fair market value for the services we provide. Despite the ongoing discussions and negotiations, ED again denied GCU’s non-profit status in January 2021. Thereafter, in order to pursue all available avenues for recourse on this matter, GCU opted to file a lawsuit against the ED, alleging that its 2019 and 2021 decisions overstepped its authority. While ED’s decision to continue to treat GCU as a for-profit institution was upheld by the federal district court in Arizona, in November 2024, the United States Court of Appeals for the Ninth Circuit unanimously held that ED had failed to apply the correct legal standards in reviewing GCU’s application and it reversed the district court’s decision and remanded with instructions to set aside ED’s decision and to remand to ED for further proceedings.</w:t>
      </w:r>
    </w:p>
    <w:p>
      <w:pPr>
        <w:spacing w:after="0" w:line="8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October 2021, at the same time that the FTC issued the notice to the 70 for-profit schools as mentioned above, the FTC issued a public statement indicating that it would coordinate efforts with ED and the VA to investigate for-profit universities in furtherance of the notice. Since the FTC’s statement, ED, the VA and the FTC have initiated multiple actions against GCU, including audits, compliance reviews, civil investigative demands, fines and lawsuits, and the FTC has initiated civil investigative demands and a lawsuit against us, that allege, among other things, misrepresentations made in connection with marketing activities, including statements made related to GCU’s non-profit status.</w:t>
      </w:r>
    </w:p>
    <w:p>
      <w:pPr>
        <w:spacing w:after="0" w:line="7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These actions appear to have been coordinated in the manner described in the 2021 FTC statement. These actions, or any future actions by ED, FTC or any other federal or state government agencies or accrediting bodies with oversight over us or GCU, if ultimately resolved adversely to us or GCU, could result in monetary penalties and liabilities, further impact GCU’s non-profit status, and/or cause reputational harm. See </w:t>
      </w:r>
      <w:r>
        <w:rPr>
          <w:rFonts w:ascii="Times New Roman" w:cs="Times New Roman" w:eastAsia="Times New Roman" w:hAnsi="Times New Roman"/>
          <w:sz w:val="18"/>
          <w:szCs w:val="18"/>
          <w:i w:val="1"/>
          <w:iCs w:val="1"/>
          <w:color w:val="auto"/>
        </w:rPr>
        <w:t>Part I, Item 3. Legal Proceedings</w:t>
      </w:r>
      <w:r>
        <w:rPr>
          <w:rFonts w:ascii="Times New Roman" w:cs="Times New Roman" w:eastAsia="Times New Roman" w:hAnsi="Times New Roman"/>
          <w:sz w:val="18"/>
          <w:szCs w:val="18"/>
          <w:color w:val="auto"/>
        </w:rPr>
        <w:t xml:space="preserve"> for a discussion of certain litigation matters to which we are a party.</w:t>
      </w:r>
    </w:p>
    <w:p>
      <w:pPr>
        <w:spacing w:after="0" w:line="7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Negotiated rulemaking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ED periodically issues new regulations and guidance that can have an adverse effect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 institutions. ED has changed its regulations, and may make other changes in the future, in a manner which could require us to incur additional costs in connection with providing the services that we provide our university partners affect their ability to remain eligible to participate in the Title IV programs, impose restrictions on their participation in the Title IV programs, affect the rate at which students enroll in our partners’ programs, or otherwise have a significant impact on our business and results of operations. We cannot predict with certainty the ultimate combined impact of the regulatory changes which have occurred in recent years, nor can we predict the effect of future legislative or regulatory action by federal, state or other agencies regulating our operations or those of our university partners, how any resulting regulations will be interpreted or whether we and our university partner institutions will be able to comply with these requirements in the future. Any such actions by legislative or regulatory bodies that affect our operations or those of our university partners could have a material adverse effect on our business and that of university partner institutions.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Standards that May Restrict Institutional Expansion or Other Changes</w:t>
      </w:r>
    </w:p>
    <w:p>
      <w:pPr>
        <w:spacing w:after="0" w:line="12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actions that our university partners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80"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GCU, because it is currently certified to participate in the Title IV programs on a provisional basis, is required to obtain ED approval for new programs, which requirement could impede GCU’s ability to introduce new programs and slow its growth.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There are many factors that affect our business, financial condition, operating results, and cash flows as well as the market price for our securities. The following is a description of important factors that may cause our actual results of operations in future periods to differ materially from those currently expected or discussed in forward-looking statements set forth in this Annual Report. Additional risks and uncertainties not presently known to us or that we may currently deem immaterial also may impair our business operations. Forward-looking statements and such risks, uncertainties and other factors speak only as of the date of this Annual Report, and we expressly disclaim any obligation or undertaking to update or revise any forward-looking statement contained herein, to reflect any change in our expectations with regard thereto, or any other change in events, conditions or circumstances on which any such statement is based, except to the extent otherwise required by law. See “Forward-Looking Statements.” These risk factors should be read in conjunction with other information set forth in this Annual Report, including Item 7, Management’s Discussion and Analysis of Financial Condition and Results of Operations, and Item 8, Consolidated Financial Statements and Supplementary Data, including the related Notes to Consolidated Financial Statements.</w:t>
      </w:r>
    </w:p>
    <w:p>
      <w:pPr>
        <w:spacing w:after="0" w:line="84"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Although we currently provide services to 22 university partners across the United States, GCU is, and will for the foreseeable future remain, our most significant university partner. Accordingly, the risk factors set forth below also include risks attributable to GCU’s operations, which could materially affect us.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risk factors that could adversely affect our business, financial condition, and operating results:</w:t>
      </w:r>
    </w:p>
    <w:p>
      <w:pPr>
        <w:spacing w:after="0" w:line="54" w:lineRule="exact"/>
        <w:rPr>
          <w:sz w:val="20"/>
          <w:szCs w:val="20"/>
          <w:color w:val="auto"/>
        </w:rPr>
      </w:pPr>
    </w:p>
    <w:p>
      <w:pPr>
        <w:ind w:left="720" w:right="13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earn a large percentage of our revenue through our contractual relationship as a service provider to GCU, and a decline in GCU’s enrollment could significantly reduce our revenue and impact our overall financial performance.</w:t>
      </w:r>
    </w:p>
    <w:p>
      <w:pPr>
        <w:spacing w:after="0" w:line="67"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GCU’s board of trustees and management have fiduciary and other duties that require them to focus on the best interests of GCU and, over time, those interests could diverge from those of GCE.</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Officer’s role as President of GCU may adversely affect his ability to run GCE.</w:t>
      </w:r>
    </w:p>
    <w:p>
      <w:pPr>
        <w:spacing w:after="0" w:line="117" w:lineRule="exact"/>
        <w:rPr>
          <w:rFonts w:ascii="Times New Roman" w:cs="Times New Roman" w:eastAsia="Times New Roman" w:hAnsi="Times New Roman"/>
          <w:sz w:val="18"/>
          <w:szCs w:val="18"/>
          <w:color w:val="auto"/>
        </w:rPr>
      </w:pPr>
    </w:p>
    <w:p>
      <w:pPr>
        <w:ind w:left="720" w:right="199" w:hanging="319"/>
        <w:spacing w:after="0" w:line="312" w:lineRule="auto"/>
        <w:tabs>
          <w:tab w:leader="none" w:pos="7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determined to have paid improper incentive compensation to our covered employees, or tuition sharing arrangements are deemed to violate the incentive compensation regulations, our business will be impaired.</w:t>
      </w:r>
    </w:p>
    <w:p>
      <w:pPr>
        <w:spacing w:after="0" w:line="31"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recruit new students to enroll with our university partners.</w:t>
      </w:r>
    </w:p>
    <w:p>
      <w:pPr>
        <w:spacing w:after="0" w:line="117"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67"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established and other emerging companies, which could divert university partners to our competitors, result in pricing pressure and significantly reduce our revenue.</w:t>
      </w:r>
    </w:p>
    <w:p>
      <w:pPr>
        <w:spacing w:after="0" w:line="53"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7"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comply with The Family Educational Rights and Privacy Act, or FERPA, and failure to do so could harm our reputation and negatively affect our business.</w:t>
      </w:r>
    </w:p>
    <w:p>
      <w:pPr>
        <w:spacing w:after="0" w:line="53" w:lineRule="exact"/>
        <w:rPr>
          <w:rFonts w:ascii="Times New Roman" w:cs="Times New Roman" w:eastAsia="Times New Roman" w:hAnsi="Times New Roman"/>
          <w:sz w:val="18"/>
          <w:szCs w:val="18"/>
          <w:color w:val="auto"/>
        </w:rPr>
      </w:pPr>
    </w:p>
    <w:p>
      <w:pPr>
        <w:ind w:left="720" w:right="6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system disruptions, or security breaches in our online computer networks and phone systems could have a material adverse effect on our ability to attract and retain students.</w:t>
      </w:r>
    </w:p>
    <w:p>
      <w:pPr>
        <w:spacing w:after="0" w:line="53"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future acquisitions, which would reduce the anticipated benefits of those transactions.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Rulemaking by ED could materially and adversely affect our business.</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published regulations could materially and adversely affect our business.</w:t>
      </w:r>
    </w:p>
    <w:p>
      <w:pPr>
        <w:spacing w:after="0" w:line="117"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7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university partner institution could lose the ability to participate in the Title IV programs if it fails to maintain its institutional accreditation, and our university partners’ student enrollments could decline if a university partner institution fails to maintain any of its accreditations or approvals.</w:t>
      </w:r>
    </w:p>
    <w:p>
      <w:pPr>
        <w:spacing w:after="0" w:line="67"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university partner institution may lose eligibility to participate in the Title IV programs if its student loan default rates are too high.</w:t>
      </w:r>
    </w:p>
    <w:p>
      <w:pPr>
        <w:spacing w:after="0" w:line="53"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by ED or other regulators that we or our university partner institutions misrepresented the nature of our partner institutions’ educational programs could materially and adversely affect our business.</w:t>
      </w:r>
    </w:p>
    <w:p>
      <w:pPr>
        <w:spacing w:after="0" w:line="53"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71"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university partner institutions do not maintain state authorization, they may not operate or participate in the Title IV programs.</w:t>
      </w:r>
    </w:p>
    <w:p>
      <w:pPr>
        <w:spacing w:after="0" w:line="53" w:lineRule="exact"/>
        <w:rPr>
          <w:rFonts w:ascii="Times New Roman" w:cs="Times New Roman" w:eastAsia="Times New Roman" w:hAnsi="Times New Roman"/>
          <w:sz w:val="18"/>
          <w:szCs w:val="18"/>
          <w:color w:val="auto"/>
        </w:rPr>
      </w:pPr>
    </w:p>
    <w:p>
      <w:pPr>
        <w:ind w:left="720" w:right="29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67"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GCU</w:t>
      </w:r>
    </w:p>
    <w:p>
      <w:pPr>
        <w:spacing w:after="0" w:line="117" w:lineRule="exact"/>
        <w:rPr>
          <w:sz w:val="20"/>
          <w:szCs w:val="20"/>
          <w:color w:val="auto"/>
        </w:rPr>
      </w:pPr>
    </w:p>
    <w:p>
      <w:pPr>
        <w:ind w:left="60" w:right="3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earn a large percentage of our revenue through our contractual relationship as a service provider to GCU, and a decline in GCU’s enrollment could significantly reduce our revenue and impact our overall financial performance.</w:t>
      </w:r>
    </w:p>
    <w:p>
      <w:pPr>
        <w:spacing w:after="0" w:line="2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expect the revenue derived from our Master Services Agreement with GCU to account for a large percentage of our revenue for the foreseeable future. Any decline in reputation or changes in GCU policies that adversely affect its student enrollment and its overall financial and operating results, including as a result of adverse government actions taken against GCU, could materially impact us. Furthermore, GCU has the right to terminate the Master Services Agreement after July 1, 2025 upon at least eighteen (18) months prior written notice, and, upon the termination or expiration of the Master Services Agreement, GCU is not required to continue using us as the provider of the services thereunder. If GCU were to terminate or not renew its relationship with us, or if its enrollment were to materially decline for any reason, it could negatively affect our reputation and materially adversely impact our revenue and operating results.</w:t>
      </w:r>
    </w:p>
    <w:p>
      <w:pPr>
        <w:spacing w:after="0" w:line="80"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GCU’s board of trustees and management have fiduciary and other duties that require them to focus on the best interests of GCU and, over time, those interests could diverge from those of GCE.</w:t>
      </w:r>
    </w:p>
    <w:p>
      <w:pPr>
        <w:spacing w:after="0" w:line="5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relationship with GCU is and will remain strong. However, GCU has an independent board of trustees that, along with its management, have fiduciary and other duties that require them to focus on the best interests of GCU. Over time, and for various reasons, those interests could diverge from the interests of GCE. Should those interests diverge in a meaningful way, it could lead to changes in the relationship that would be adverse to us.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Chief Executive Officer’s role as President of GCU may adversely affect his ability to run GCE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Mr. Brian E. Mueller has served as the Chief Executive Officer of GCE since 2008, the Chairman of the Board of Directors since 2017 and the President of GCU since 2012. In connection with the Transaction, the Board of Directors of GCE and the board of trustees of GCU each independently determined that Mr. Mueller should retain those roles. Accordingly, Mr. Mueller serves as the Chairman of the Board of Directors and Chief Executive Officer of GCE and as the President of GCU, although he is prohibited from serving on the board of trustees of GCU. In continuing to retain Mr. Mueller’s services, our Board of Directors and the board of trustees of GCU each recognize that Mr. Mueller’s dual role could raise conflict of interest issues. In this regard, at the time of the Transaction, GCU adopted governance provisions that prohibit Mr. Mueller from serving on the board of trustees of GCU. In addition, we and GCU also jointly imposed a structure, through GCU’s governance documents and through express provisions of the Master Services Agreement, which prevent Mr. Mueller from participating in day-to-day management of, or negotiations between GCE and GCU relating to, the Master Services Agreement. While we believe that these safeguards have worked well to date, and that Mr. Mueller’s role with GCE continues to be in the best interests of GCE and is stockholders, we remain alert to conflict issues on an ongoing basis. Any such conflicts, as well as any adverse impact that Mr. Mueller’s dual capacity could have on his ability to devote time, attention, and effort to GCE, could be detrimental to our business.</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17" w:lineRule="exact"/>
        <w:rPr>
          <w:sz w:val="20"/>
          <w:szCs w:val="20"/>
          <w:color w:val="auto"/>
        </w:rPr>
      </w:pPr>
    </w:p>
    <w:p>
      <w:pPr>
        <w:ind w:left="60" w:right="6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28"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Since we are involved in recruiting and admissions activities, on behalf of our university partners, under current regulations, we are prohibited from offering our “covered employees,” who are generally those GCE employees involved with or responsible for recruiting or admissions activities on behalf of our university partners,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 If it were determined that any of our compensation practices violated the incentive compensation law, we could experience an adverse outcome in</w:t>
      </w:r>
    </w:p>
    <w:p>
      <w:pPr>
        <w:spacing w:after="0" w:line="5" w:lineRule="exact"/>
        <w:rPr>
          <w:sz w:val="20"/>
          <w:szCs w:val="20"/>
          <w:color w:val="auto"/>
        </w:rPr>
      </w:pPr>
    </w:p>
    <w:p>
      <w:pPr>
        <w:jc w:val="both"/>
        <w:ind w:left="60" w:right="219"/>
        <w:spacing w:after="0" w:line="277" w:lineRule="auto"/>
        <w:rPr>
          <w:sz w:val="20"/>
          <w:szCs w:val="20"/>
          <w:color w:val="auto"/>
        </w:rPr>
      </w:pPr>
      <w:r>
        <w:rPr>
          <w:rFonts w:ascii="Times New Roman" w:cs="Times New Roman" w:eastAsia="Times New Roman" w:hAnsi="Times New Roman"/>
          <w:sz w:val="17"/>
          <w:szCs w:val="17"/>
          <w:color w:val="auto"/>
        </w:rPr>
        <w:t xml:space="preserve">pending litigation and be subject to substantial monetary liabilities, fines, and other sanctions, any of which could have a material adverse effect on our business, prospects, financial condition and results of operations and could adversely affect our stock price. </w:t>
      </w:r>
      <w:r>
        <w:rPr>
          <w:rFonts w:ascii="Times New Roman" w:cs="Times New Roman" w:eastAsia="Times New Roman" w:hAnsi="Times New Roman"/>
          <w:sz w:val="17"/>
          <w:szCs w:val="17"/>
          <w:i w:val="1"/>
          <w:iCs w:val="1"/>
          <w:color w:val="auto"/>
        </w:rPr>
        <w:t>See Part 1, Item 3 – Litigation</w:t>
      </w:r>
      <w:r>
        <w:rPr>
          <w:rFonts w:ascii="Times New Roman" w:cs="Times New Roman" w:eastAsia="Times New Roman" w:hAnsi="Times New Roman"/>
          <w:sz w:val="17"/>
          <w:szCs w:val="17"/>
          <w:color w:val="auto"/>
        </w:rPr>
        <w:t xml:space="preserve"> for a discussion of certain litigation matters to which we are a party.</w:t>
      </w:r>
    </w:p>
    <w:p>
      <w:pPr>
        <w:spacing w:after="0" w:line="6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the incentive compensation rule raises a question as to whether companies like ours, as an entity, are prohibited from entering into tuition revenue-sharing arrangements with university partners.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to a third-party service provider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82" w:lineRule="exact"/>
        <w:rPr>
          <w:sz w:val="20"/>
          <w:szCs w:val="20"/>
          <w:color w:val="auto"/>
        </w:rPr>
      </w:pPr>
    </w:p>
    <w:p>
      <w:pPr>
        <w:ind w:left="700" w:right="219"/>
        <w:spacing w:after="0" w:line="256" w:lineRule="auto"/>
        <w:rPr>
          <w:sz w:val="20"/>
          <w:szCs w:val="20"/>
          <w:color w:val="auto"/>
        </w:rPr>
      </w:pPr>
      <w:r>
        <w:rPr>
          <w:rFonts w:ascii="Times New Roman" w:cs="Times New Roman" w:eastAsia="Times New Roman" w:hAnsi="Times New Roman"/>
          <w:sz w:val="18"/>
          <w:szCs w:val="18"/>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59"/>
        <w:spacing w:after="0" w:line="282" w:lineRule="auto"/>
        <w:rPr>
          <w:sz w:val="20"/>
          <w:szCs w:val="20"/>
          <w:color w:val="auto"/>
        </w:rPr>
      </w:pPr>
      <w:r>
        <w:rPr>
          <w:rFonts w:ascii="Times New Roman" w:cs="Times New Roman" w:eastAsia="Times New Roman" w:hAnsi="Times New Roman"/>
          <w:sz w:val="18"/>
          <w:szCs w:val="18"/>
          <w:color w:val="auto"/>
        </w:rPr>
        <w:t>payments to its employees, and the institution does not pay the entity separately for student recruitment services provided by the entity.”</w:t>
      </w:r>
    </w:p>
    <w:p>
      <w:pPr>
        <w:spacing w:after="0" w:line="5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7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partners, or in action that does not involve us at all. The revision, removal or invalidation of the bundled services rule by Congress, ED or a court could require us to change our business model in ways that could be detrimental to our business.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recruit new students to enroll with our university partners.</w:t>
      </w:r>
    </w:p>
    <w:p>
      <w:pPr>
        <w:spacing w:after="0" w:line="121"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Building awareness of our university partner institutions, and the programs they offer, is critical to our ability to attract prospective students to those institutions. It is also critical to our success that we convert prospective students to enrolled students in a cost-effective manner and that these enrolled students remain active in the programs of our university partner institutions. The tightness of the job market has historically had an impact on our ability to successfully recruit new students especially for students considering re-careering into a different field. Historically the percentage of students we recruited who were re-careering was low but with the increase in university partners and off-campus classroom and laboratory sites and the growth in new online licensure programs by GCU, the number of students we recruit who are re-careering is growing. Therefore, changes in the job market will impact our ability to recruit students. Some of the other factors that could prevent us from successfully recruiting, enrolling, and retaining students in those programs include:</w:t>
      </w:r>
    </w:p>
    <w:p>
      <w:pPr>
        <w:spacing w:after="0" w:line="65" w:lineRule="exact"/>
        <w:rPr>
          <w:sz w:val="20"/>
          <w:szCs w:val="20"/>
          <w:color w:val="auto"/>
        </w:rPr>
      </w:pPr>
    </w:p>
    <w:p>
      <w:pPr>
        <w:ind w:left="1040" w:right="45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availability of, or higher interest rates and other costs associated with, Title IV loan funds or other sources of financial aid;</w:t>
      </w: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more successful competitors;</w:t>
      </w:r>
    </w:p>
    <w:p>
      <w:pPr>
        <w:spacing w:after="0" w:line="9"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our marketing, including the costs and effectiveness of Internet advertising and broad-based branding campaigns and recruiting efforts;</w:t>
      </w: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problems with our online systems;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university partner institutions to maintain institutional and specialized accreditations;</w:t>
      </w:r>
    </w:p>
    <w:p>
      <w:pPr>
        <w:spacing w:after="0" w:line="9" w:lineRule="exact"/>
        <w:rPr>
          <w:rFonts w:ascii="Times New Roman" w:cs="Times New Roman" w:eastAsia="Times New Roman" w:hAnsi="Times New Roman"/>
          <w:sz w:val="18"/>
          <w:szCs w:val="18"/>
          <w:color w:val="auto"/>
        </w:rPr>
      </w:pPr>
    </w:p>
    <w:p>
      <w:pPr>
        <w:ind w:left="1040" w:right="5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our university partner institutions which could restrict their initiation of new programs and modification of existing programs;</w:t>
      </w:r>
    </w:p>
    <w:p>
      <w:pPr>
        <w:ind w:left="1040" w:right="21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our university partner institutions which restrict the ways schools can compensate persons involved in their recruiting activities;</w:t>
      </w:r>
    </w:p>
    <w:p>
      <w:pPr>
        <w:ind w:left="1040" w:right="33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of online education, including in states in which our university partner institutions do not have a physical presence;</w:t>
      </w:r>
    </w:p>
    <w:p>
      <w:pPr>
        <w:ind w:left="1040" w:right="59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may be imposed on graduates of online programs that seek certification or licensure in certain states;</w:t>
      </w: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dissatisfaction with our services and programs;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employment opportunities for graduates of our university partners in fields related to their educational programs:</w:t>
      </w:r>
    </w:p>
    <w:p>
      <w:pPr>
        <w:ind w:left="1040" w:right="79" w:hanging="315"/>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to the reputations of our university partners or other adverse effects as a result of negative publicity in the media, in industry or governmental reports, or otherwise, affecting us or other companies in the post-secondary education sector;</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by competitors that we are unwilling or unable to match;</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acceptance of online education;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perceived or actual economic benefits that students derive from the programs offered by any university partner institution.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continue to develop awareness of the programs of our university partners, and to provide services to successfully recruit, enroll, and retain students on their behalf, enrollments at our university partners would suffer and our ability to increase revenues and maintain profitability would be significantly impaired.</w:t>
      </w:r>
    </w:p>
    <w:p>
      <w:pPr>
        <w:spacing w:after="0" w:line="64"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and aversion to debt could adversely affect the ability of our university partner institutions to recruit new students and adversely affect our business.</w:t>
      </w:r>
    </w:p>
    <w:p>
      <w:pPr>
        <w:spacing w:after="0" w:line="51"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Enrollment in our university partner institutions is affected by changes in economic conditions. Affordability concerns associated with increased living expenses, relocation expenses and the availability of jobs for students attending classes have made it more challenging for our university partner institutions to attract and retain students. Additionally, adverse market conditions could negatively impact the ability of borrowers to borrow the necessary student loans at an acceptable interest rate, which could lead to a decrease in student enrollment in certain cases. If our university partner institutions are unable to attract and maintain students due to unfavorable macroeconomic conditions it could adversely affect our financial condition and results of operations.</w:t>
      </w:r>
    </w:p>
    <w:p>
      <w:pPr>
        <w:spacing w:after="0" w:line="77"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keep pace with changing market needs and technology could harm our ability to meet the needs of our university partner institutions.</w:t>
      </w:r>
    </w:p>
    <w:p>
      <w:pPr>
        <w:spacing w:after="0" w:line="51"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university partners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also could fail to respond in a timely manner to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76" w:lineRule="exact"/>
        <w:rPr>
          <w:sz w:val="20"/>
          <w:szCs w:val="20"/>
          <w:color w:val="auto"/>
        </w:rPr>
      </w:pPr>
    </w:p>
    <w:p>
      <w:pPr>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67"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color w:val="auto"/>
        </w:rPr>
        <w:t>Based on industry analyses, enrollment growth in degree-granting, post-secondary institutions is slowing and the number of high school graduates that are eligible to enroll in degree-granting, post-secondary institutions is expected to continue to decrease over the next few years. In order to maintain current growth rates, we will need to attract a</w:t>
      </w:r>
    </w:p>
    <w:p>
      <w:pPr>
        <w:spacing w:after="0" w:line="1"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larger percentage of students in existing markets to our university partner institutions and work with our university partner institutions to create new academic programs to attract those students. In addition, if job growth in the fields related to our university partners’ core disciplines is weaker than expected, as a result of any regional or national economic downturn or otherwise, fewer students may seek the types of degrees that our university partners offer. Our failure to attract new students for our university partners, or the decisions by prospective students to seek degrees in disciplines not offered by our university partners, would have an adverse impact on our future growth.</w:t>
      </w:r>
    </w:p>
    <w:p>
      <w:pPr>
        <w:spacing w:after="0" w:line="78"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51"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We expect existing competitors and new entrants to the educational services market to revise and improve their business models constantly in response to challenges from competing businesses, including ours.</w:t>
      </w:r>
    </w:p>
    <w:p>
      <w:pPr>
        <w:spacing w:after="0" w:line="54" w:lineRule="exact"/>
        <w:rPr>
          <w:sz w:val="20"/>
          <w:szCs w:val="20"/>
          <w:color w:val="auto"/>
        </w:rPr>
      </w:pPr>
    </w:p>
    <w:p>
      <w:pPr>
        <w:ind w:left="60" w:right="199" w:firstLine="648"/>
        <w:spacing w:after="0" w:line="281" w:lineRule="auto"/>
        <w:rPr>
          <w:sz w:val="20"/>
          <w:szCs w:val="20"/>
          <w:color w:val="auto"/>
        </w:rPr>
      </w:pPr>
      <w:r>
        <w:rPr>
          <w:rFonts w:ascii="Times New Roman" w:cs="Times New Roman" w:eastAsia="Times New Roman" w:hAnsi="Times New Roman"/>
          <w:sz w:val="17"/>
          <w:szCs w:val="17"/>
          <w:color w:val="auto"/>
        </w:rPr>
        <w:t>Our primary competitors have historically included EmbanetCompass (formerly owned by Pearson) and Wiley Education Services.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solutions in-house, rather than pay for our solutions.</w:t>
      </w:r>
    </w:p>
    <w:p>
      <w:pPr>
        <w:spacing w:after="0" w:line="5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Increased competition may result in changes in the revenue share percentage we are able to negotiate to receive from a university partner. The competitive landscape may also result in longer and more complex sales cycles with prospective university partners, which would negatively affect our ability to add additional university partners and thus our ability to grow our business.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 number of competitive factors could cause us to lose potential university partner opportunities or force us to offer our solutions on less favorable economic terms, including:</w:t>
      </w:r>
    </w:p>
    <w:p>
      <w:pPr>
        <w:spacing w:after="0" w:line="54" w:lineRule="exact"/>
        <w:rPr>
          <w:sz w:val="20"/>
          <w:szCs w:val="20"/>
          <w:color w:val="auto"/>
        </w:rPr>
      </w:pPr>
    </w:p>
    <w:p>
      <w:pPr>
        <w:ind w:left="1040" w:right="239" w:hanging="315"/>
        <w:spacing w:after="0" w:line="261"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service offerings that our potential university partners find to be more compelling than ours;</w:t>
      </w:r>
    </w:p>
    <w:p>
      <w:pPr>
        <w:ind w:left="1040" w:right="239" w:hanging="315"/>
        <w:spacing w:after="0" w:line="250"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spacing w:after="0" w:line="1" w:lineRule="exact"/>
        <w:rPr>
          <w:rFonts w:ascii="Times New Roman" w:cs="Times New Roman" w:eastAsia="Times New Roman" w:hAnsi="Times New Roman"/>
          <w:sz w:val="18"/>
          <w:szCs w:val="18"/>
          <w:color w:val="auto"/>
        </w:rPr>
      </w:pPr>
    </w:p>
    <w:p>
      <w:pPr>
        <w:ind w:left="1040" w:right="379" w:hanging="315"/>
        <w:spacing w:after="0" w:line="253"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8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68" w:lineRule="exact"/>
        <w:rPr>
          <w:sz w:val="20"/>
          <w:szCs w:val="20"/>
          <w:color w:val="auto"/>
        </w:rPr>
      </w:pPr>
    </w:p>
    <w:p>
      <w:pPr>
        <w:ind w:left="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is an emerging area of technology that has and may further impact various aspects of our business operations and that of our university partners, and we may not be successful in our artificial intelligence initiatives, which could adversely affect our business, financial condition and/or operating results.</w:t>
      </w:r>
    </w:p>
    <w:p>
      <w:pPr>
        <w:spacing w:after="0" w:line="6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have made, and expect to continue making, investments in the integration of artificial intelligence (“AI”) into our platforms, products, and services. However, AI presents various risks, challenges, and potential unintended consequences that could disrupt our ability to effectively integrate and leverage these technologies. The process of refining and expanding AI-driven offerings may involve significant costs, and there can be no assurance that our efforts will ultimately succeed.</w:t>
      </w:r>
    </w:p>
    <w:p>
      <w:pPr>
        <w:spacing w:after="0" w:line="75"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Additionally, competitors may develop more effective or efficient AI solutions, potentially undermining our competitive position. The regulatory environment surrounding AI is still in development, and new laws or regulations could emerge that require substantial adjustments to our business practices. These changes could impose unexpected costs or operational disruptions, and the full scope and impact of such regulatory developments remain uncertain. AI technologies also carry the risk of generating content that is factually incorrect or infringing on third-party intellectual property rights. If we suffer adverse consequences due to any of these factors, it could in turn have a material adverse effect on our reputation, financial performance, and operations.</w:t>
      </w:r>
    </w:p>
    <w:p>
      <w:pPr>
        <w:spacing w:after="0" w:line="77" w:lineRule="exact"/>
        <w:rPr>
          <w:sz w:val="20"/>
          <w:szCs w:val="20"/>
          <w:color w:val="auto"/>
        </w:rPr>
      </w:pPr>
    </w:p>
    <w:p>
      <w:pPr>
        <w:jc w:val="both"/>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7"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81"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5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controls, which could result in a breach of student or employee data and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there are similar bills that have been passed or are pending in a number of other states, as well. These state laws represent a trend toward stronger privacy protections and greater data transparency in the United States. Currently, federal law legislates privacy on an industry-by-industry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including the Gramm-Leach-Bliley Act’s Safeguards Rule, could result in the imposition of fines against us. Moreover, ED has published extensive requirements for the protection of student data and has indicated such requirements may be strengthened in the future.</w:t>
      </w:r>
    </w:p>
    <w:p>
      <w:pPr>
        <w:spacing w:after="0" w:line="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university personnel or students, or our employees or independent contractors, could use our online learning platform to store or process regulated personal information without our knowledge. In the event that our systems experience a data security incident, or an individual or entity accesses information without, or in excess of, proper authorization, we could be subject to data security incident notification laws, which may require prompt remediation and notification to individuals. If we are unaware of the data and information stored on our systems, we may be unable to appropriately comply with all legal obligations, and we may be exposed to governmental enforcement or prosecution actions, private litigation, fines and penalties or adverse publicity that could harm our reputation and business.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78"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The Family Educational Rights and Privacy Act, or FERPA, and failure to do so could harm our reputation and negatively affect our business.</w:t>
      </w:r>
    </w:p>
    <w:p>
      <w:pPr>
        <w:spacing w:after="0" w:line="51"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our contract with one or more of our university partners and could harm our reputation. Further, in the event that we disclose student information in violation of FERPA, ED could require a university partner to suspend our access to their student information for at least five years, which would significantly and adversely impact our ability to provide our contracted services.</w:t>
      </w:r>
    </w:p>
    <w:p>
      <w:pPr>
        <w:spacing w:after="0" w:line="82"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5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performance and reliability of the infrastructure of our computer networks and phone systems, including the online programs of our university partners, is critical to our operations, our reputation and our ability to attract and 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 and services and result in a loss of potential or existing students of our university partner institutions. Additionally, our operations are vulnerable to interruption or malfunction due to events beyond our control, including natural disasters and network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pacing w:after="0" w:line="75" w:lineRule="exact"/>
        <w:rPr>
          <w:sz w:val="20"/>
          <w:szCs w:val="20"/>
          <w:color w:val="auto"/>
        </w:rPr>
      </w:pPr>
    </w:p>
    <w:p>
      <w:pPr>
        <w:ind w:left="60" w:right="9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integrating future acquisitions, which would reduce the anticipated benefits of those transactions.</w:t>
      </w:r>
    </w:p>
    <w:p>
      <w:pPr>
        <w:spacing w:after="0" w:line="51"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We intend to continually evaluate potential acquisitions of complementary businesses, products, services and technologies, including those that are significant in size and scope. The risks we may encounter in acquisitions include:</w:t>
      </w:r>
    </w:p>
    <w:p>
      <w:pPr>
        <w:spacing w:after="0" w:line="32" w:lineRule="exact"/>
        <w:rPr>
          <w:sz w:val="20"/>
          <w:szCs w:val="20"/>
          <w:color w:val="auto"/>
        </w:rPr>
      </w:pPr>
    </w:p>
    <w:p>
      <w:pPr>
        <w:ind w:left="1040" w:right="139" w:hanging="315"/>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significant debt to finance a future acquisition and our business does not perform as expected, we may have difficulty complying with debt covenants;</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our stock to make a future acquisition, it will dilute existing stockholders;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any acquired company;</w:t>
      </w:r>
    </w:p>
    <w:p>
      <w:pPr>
        <w:spacing w:after="0" w:line="9"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the challenges and additional investments involved with integrating new products, services and technologies into our sales and marketing process associated with any acquired business;</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by transition and integration issues with any acquired business;</w:t>
      </w:r>
    </w:p>
    <w:p>
      <w:pPr>
        <w:spacing w:after="0" w:line="9" w:lineRule="exact"/>
        <w:rPr>
          <w:rFonts w:ascii="Times New Roman" w:cs="Times New Roman" w:eastAsia="Times New Roman" w:hAnsi="Times New Roman"/>
          <w:sz w:val="18"/>
          <w:szCs w:val="18"/>
          <w:color w:val="auto"/>
        </w:rPr>
      </w:pPr>
    </w:p>
    <w:p>
      <w:pPr>
        <w:ind w:left="1040" w:right="31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complexity of integrating the internal information technology infrastructure of each acquired business with ours may be greater than expected and may require additional capital investments;</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the financial and strategic goals for any acquired businesses;</w:t>
      </w:r>
    </w:p>
    <w:p>
      <w:pPr>
        <w:spacing w:after="0" w:line="9" w:lineRule="exact"/>
        <w:rPr>
          <w:rFonts w:ascii="Times New Roman" w:cs="Times New Roman" w:eastAsia="Times New Roman" w:hAnsi="Times New Roman"/>
          <w:sz w:val="18"/>
          <w:szCs w:val="18"/>
          <w:color w:val="auto"/>
        </w:rPr>
      </w:pPr>
    </w:p>
    <w:p>
      <w:pPr>
        <w:ind w:left="1040" w:right="179" w:hanging="315"/>
        <w:spacing w:after="0" w:line="250"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 maintaining controls, procedures and policies during the transition and integration period following a future acquisition;</w:t>
      </w: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existing university partners could be adversely affected following an acquisition;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successor we may be subject to certain liabilities of our acquisition targets.</w:t>
      </w:r>
    </w:p>
    <w:p>
      <w:pPr>
        <w:spacing w:after="0" w:line="9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Our failure to effectively integrate any future acquisition would materially limit the benefit of such transaction, including potential synergies or sales growth opportunities, in the time frame anticipated.</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Extensive Regulation of the Higher Education Industry</w:t>
      </w:r>
    </w:p>
    <w:p>
      <w:pPr>
        <w:spacing w:after="0" w:line="117" w:lineRule="exact"/>
        <w:rPr>
          <w:sz w:val="20"/>
          <w:szCs w:val="20"/>
          <w:color w:val="auto"/>
        </w:rPr>
      </w:pPr>
    </w:p>
    <w:p>
      <w:pPr>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6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university partners, and any future university partners, are regulated by other state education agencies and additional specialized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including our primary university partner. In some cases, these enforcement actions have resulted in material sanctions, loss of Title IV eligibility, or closure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schools. We cannot predict with certainty how all of these regulatory requirements will be applied, or whether we will be able to comply with all of the applicable requirements in the future.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Rulemaking by ED could materially and adversely affect our business.</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Over the past few years, ED has regularly promulgated new regulations and guidance that impact our university partners and our business directly. These and other regulations and guidance documents, including those discussed above under “Regulation of our Education Services Business,”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 providers, could further negatively impact our business.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published regulations could materially and adversely affect our business.</w:t>
      </w:r>
    </w:p>
    <w:p>
      <w:pPr>
        <w:spacing w:after="0" w:line="121"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addition to other regulations discussed elsewhere (such as the new Gainful Employment regulations), on July 1, 2024 new regulations became effective covering the areas of financial responsibility, administrative capability, certification standards and procedures, and ability to benefit.</w:t>
      </w:r>
    </w:p>
    <w:p>
      <w:pPr>
        <w:spacing w:after="0" w:line="64"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Financial Responsibility</w:t>
      </w:r>
      <w:r>
        <w:rPr>
          <w:rFonts w:ascii="Times New Roman" w:cs="Times New Roman" w:eastAsia="Times New Roman" w:hAnsi="Times New Roman"/>
          <w:sz w:val="18"/>
          <w:szCs w:val="18"/>
          <w:color w:val="auto"/>
        </w:rPr>
        <w:t>: The final regulations include an expanded list of mandatory and discretionary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triggering events that could result in ED determining that an institution lacks financial responsibility and must submit to ED a letter of credit or other form of acceptable financial protection and accept other conditions on the institution’s Title IV Program eligibility.</w:t>
      </w:r>
    </w:p>
    <w:p>
      <w:pPr>
        <w:spacing w:after="0" w:line="7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final regulations, among other things, modify and substantially expand the number of triggers and, as a result, increase the likelihood that ED could impose a financial protection requirement and other conditions on our university partners. The final rules require the institution to notify ED of a triggering event and provide information demonstrating why the event does not warrant the submission of a letter of credit or imposition of other requirements. The final rules state that, if ED requires financial protection as a result of more than one mandatory or discretionary trigger, ED will require separate financial protection for each individual trigger, which could substantially increase the amount of financial protection we and other institutions could be required to provide to ED.</w:t>
      </w:r>
    </w:p>
    <w:p>
      <w:pPr>
        <w:spacing w:after="0" w:line="8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Examples of mandatory triggering events under the final rules include a lawsuit by a federal or state authority or a qui tam lawsuit in which the Federal government has intervened, where the suit has been pending for 120 days as measured under the regulation; an action where ED seeks to recover the cost of adjudicated claims in favor of borrowers under the borrower defense to repayment regulations and the claims would lower the institution’s composite score below 1.0; certain judgments, awards, or settlements in certain lawsuits, mediations, or administrative or arbitration proceedings; certain withdrawals of owner’s equity including by dividend; gainful employment issues; accreditor requirements to submit a teach-out plan for reasons related to financial concerns; certain actions taken against a publicly-traded company or failure to timely file certain annual or quarterly reports; 90/10 Rule issues; cohort default rate issues; contributions and distributions occurring near the fiscal year end that materially impact the composite score; certain defaults or other adverse events under a financing arrangement; or certain financial exigencies or receiverships.</w:t>
      </w:r>
    </w:p>
    <w:p>
      <w:pPr>
        <w:spacing w:after="0" w:line="8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Examples of discretionary triggering events under the final regulations include certain accrediting agency actions, certain accreditor events, fluctuations in Title IV volume, high annual dropout rates, indicators of significant change in the financial condition of the institution, the formation by ED of a group process to consider borrower defense claims against the institution, the institution’s discontinuation of education programs affecting at least 25 percent of enrolled students receiving Title IV funds, the institution’s closure of locations that enroll more than 25 percent of its students who receive Title IV funds, certain state licensing agency actions, the loss of institutional or program eligibility in another federal educational assistance program, a requirement to disclose in a public filing that the company is under investigation for possible violations of law, or if the institution is cited and faces loss of education assistance funds from another federal agency if it does not comply with agency requirements. The final regulations also established new rules for evaluating financial responsibility during a change in ownership.</w:t>
      </w:r>
    </w:p>
    <w:p>
      <w:pPr>
        <w:spacing w:after="0" w:line="82"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Administrative Capability</w:t>
      </w:r>
      <w:r>
        <w:rPr>
          <w:rFonts w:ascii="Times New Roman" w:cs="Times New Roman" w:eastAsia="Times New Roman" w:hAnsi="Times New Roman"/>
          <w:sz w:val="18"/>
          <w:szCs w:val="18"/>
          <w:color w:val="auto"/>
        </w:rPr>
        <w:t>: ED assesses the administrative capability of each institution that participates in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IV programs under a series of separate standards. Failure to satisfy any of the standards may lead ED to find the institution ineligible to participate in Title IV programs or to place the institution on provisional certification as a condition of its participation. The final rules add more standards related to topics such as the provision of adequate financial aid counseling and career services, ensuring the availability of clinical and externship opportunities,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disbursement of Title IV funds in a timely manner, compliance with high school diploma requirements, preventing substantial misrepresentations, complying with gainful employment requirements, and avoiding significant negative actions with a federal, state, or accrediting agency.</w:t>
      </w:r>
    </w:p>
    <w:p>
      <w:pPr>
        <w:spacing w:after="0" w:line="6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Certification Regulations</w:t>
      </w:r>
      <w:r>
        <w:rPr>
          <w:rFonts w:ascii="Times New Roman" w:cs="Times New Roman" w:eastAsia="Times New Roman" w:hAnsi="Times New Roman"/>
          <w:sz w:val="18"/>
          <w:szCs w:val="18"/>
          <w:color w:val="auto"/>
        </w:rPr>
        <w:t>: The final regulations expanded the grounds for placing institutions on provisional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certification, expanded the types of conditions ED may impose on provisionally certified institutions, and expanded the number of requirements contained in the institution’s program participation agreement with ED (including, among other requirements, an obligation to comply with all state laws related to closure). The final regulations, allow ED to place institutions on provisional certification if, among other reasons, the institution does not meet financial responsibility factors or administrative capability standards, if the institution is required by ED to submit a letter of credit as a result of a mandatory or discretionary triggering event, or if ED deems the institution to be at risk of closure.</w:t>
      </w:r>
    </w:p>
    <w:p>
      <w:pPr>
        <w:spacing w:after="0" w:line="7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An institution that is provisionally certified receives fewer due process rights than those received by other institutions in the event ED takes certain adverse actions against the institution, is required to obtain prior ED approvals of new campuses and educational programs and may be subject to heightened scrutiny by ED. Provisional certification makes it easier for ED to revoke or decline to renew an institution’s Title IV eligibility without undergoing a formal administrative appeal process. The regulations also expand the conditions to which institutions must agree as part of their participation in the Title IV programs.</w:t>
      </w:r>
    </w:p>
    <w:p>
      <w:pPr>
        <w:spacing w:after="0" w:line="79"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These final regulations also allow ED to determine whether to certify or impose conditions on an institution based on consideration of factors including, for example, the institution’s withdrawal rate, the amounts the institution spent on recruiting activities, advertising, and other pre-enrollment activities, and the passage rate for licensure exams for programs that are designed to meet the educational requirements for a professional license required for employment in an occupation.</w:t>
      </w:r>
    </w:p>
    <w:p>
      <w:pPr>
        <w:spacing w:after="0" w:line="5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These final regulations expand the types of conditions ED can impose on provisionally certified institutions including, for example, restrictions on the addition of new programs or locations; restrictions on the rate of growth or new enrollment of students or of Title IV volume; restrictions on the institution providing a teach-out on behalf of another institution; restrictions on the acquisition of another participating institution (including financial protection requirements); additional reporting requirements; limitations on entering into certain written arrangements with institutions or entities for providing part of an educational program, requirements to submit marketing and recruiting materials to ED for approval (if the institution is alleged or found to have engaged in substantial misrepresentations to students, engaged in aggressive recruiting practices, or violated incentive compensation rules); reporting requirements for institutions that received a government formal inquiry such as a subpoena related to its marketing or recruitment or its federal financial aid, and other potential conditions imposed by ED.</w:t>
      </w:r>
    </w:p>
    <w:p>
      <w:pPr>
        <w:spacing w:after="0" w:line="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Additionally, in January 2025, ED published another set of regulations. The regulations include:</w:t>
      </w:r>
    </w:p>
    <w:p>
      <w:pPr>
        <w:spacing w:after="0" w:line="117" w:lineRule="exact"/>
        <w:rPr>
          <w:sz w:val="20"/>
          <w:szCs w:val="20"/>
          <w:color w:val="auto"/>
        </w:rPr>
      </w:pPr>
    </w:p>
    <w:p>
      <w:pPr>
        <w:ind w:left="1040" w:right="539" w:hanging="315"/>
        <w:spacing w:after="0" w:line="255"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“distance education course” which provides that a course is considered a distance education course if all instruction occurs exclusively through distance education methods, as defined in existing regulations. This designation applies even if the course includes in-person, non-instructional activities sch as orientation, testing or academic support services;</w:t>
      </w:r>
    </w:p>
    <w:p>
      <w:pPr>
        <w:spacing w:after="0" w:line="2"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changes to the TRIO programs that focus on providing services to individuals from disadvantaged backgrounds;</w:t>
      </w: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return to Title IV process;</w:t>
      </w:r>
    </w:p>
    <w:p>
      <w:pPr>
        <w:spacing w:after="0" w:line="9" w:lineRule="exact"/>
        <w:rPr>
          <w:rFonts w:ascii="Times New Roman" w:cs="Times New Roman" w:eastAsia="Times New Roman" w:hAnsi="Times New Roman"/>
          <w:sz w:val="18"/>
          <w:szCs w:val="18"/>
          <w:color w:val="auto"/>
        </w:rPr>
      </w:pPr>
    </w:p>
    <w:p>
      <w:pPr>
        <w:ind w:left="1040" w:right="299" w:hanging="315"/>
        <w:spacing w:after="0" w:line="250"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 institution is required to document a student’s withdrawal date within 14 days of the last date of attendance;</w:t>
      </w:r>
    </w:p>
    <w:p>
      <w:pPr>
        <w:ind w:left="1040" w:right="79" w:hanging="315"/>
        <w:spacing w:after="0" w:line="250"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regarding the academic progressions of students returning from a leave of absence from a clock-hour/non-term credit hour, subscription-based, and eligible prison education programs;</w:t>
      </w: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related to programs offered in modules; and</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institutions report student enrollment in distance education or correspondence courses.</w:t>
      </w:r>
    </w:p>
    <w:p>
      <w:pPr>
        <w:spacing w:after="0" w:line="9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These changes are effective July 1, 2026, except for the reporting requirements related to distance education and correspondence courses, which take effect on July 1, 2027.</w:t>
      </w:r>
    </w:p>
    <w:p>
      <w:pPr>
        <w:spacing w:after="0" w:line="54" w:lineRule="exact"/>
        <w:rPr>
          <w:sz w:val="20"/>
          <w:szCs w:val="20"/>
          <w:color w:val="auto"/>
        </w:rPr>
      </w:pPr>
    </w:p>
    <w:p>
      <w:pPr>
        <w:ind w:left="60" w:right="639" w:firstLine="648"/>
        <w:spacing w:after="0" w:line="289" w:lineRule="auto"/>
        <w:rPr>
          <w:sz w:val="20"/>
          <w:szCs w:val="20"/>
          <w:color w:val="auto"/>
        </w:rPr>
      </w:pPr>
      <w:r>
        <w:rPr>
          <w:rFonts w:ascii="Times New Roman" w:cs="Times New Roman" w:eastAsia="Times New Roman" w:hAnsi="Times New Roman"/>
          <w:sz w:val="17"/>
          <w:szCs w:val="17"/>
          <w:color w:val="auto"/>
        </w:rPr>
        <w:t>We are still reviewing the final regulations and cannot predict the ultimate impact of the final regulations discussed above, but the final regulations do impose a broad range of additional requirements on institutions, which increases the possibility that our university partners could be subject to additional reporting requirements, potential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liabilities and sanctions, and potential loss of Title IV eligibility if our efforts, or the efforts of our university partners, to modify operations to comply with the new regulations are unsuccessful, which could have a significant impact on our business and results of operations.</w:t>
      </w:r>
    </w:p>
    <w:p>
      <w:pPr>
        <w:spacing w:after="0" w:line="64"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be required to accept significant limitations as a condition of its continued participation in the Title IV programs.</w:t>
      </w:r>
    </w:p>
    <w:p>
      <w:pPr>
        <w:spacing w:after="0" w:line="67"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 Certification can be granted on a full or provisional basis and, in instances where ED is reviewing an application for renewal but does not complete the review by the stated date of expiration, may be continued on a month-to-month basis until the review is complete.</w:t>
      </w:r>
    </w:p>
    <w:p>
      <w:pPr>
        <w:spacing w:after="0" w:line="81"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For a school that is certified on a provisional basis, ED may revoke the institution’s certification without advance notice or advance opportunity for the institution to challenge that action. For a school that is certified on a month-to-month basis, ED may allow the institution’s certification to expire at the end of any month without advance notice, and without any formal procedures for review of such action. To our knowledge, such action is very rare and has only occurred upon a determination that an institution is in substantial violation of material Title IV requirements. Our primary university partner, GCU, currently operates under a provisional program participation agreement that expires on June 30, 2026.</w:t>
      </w:r>
    </w:p>
    <w:p>
      <w:pPr>
        <w:spacing w:after="0" w:line="6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ED will recertify any university partner institution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or place other restrictions on the institution, or it could delay recertification after any university partners’ program participation agreement expires, in which case our university partner’s certification would continue on a month-to-month basis. Any of these outcomes could have a material adverse effect on our university partners’ enrollments and us.</w:t>
      </w:r>
    </w:p>
    <w:p>
      <w:pPr>
        <w:spacing w:after="0" w:line="76" w:lineRule="exact"/>
        <w:rPr>
          <w:sz w:val="20"/>
          <w:szCs w:val="20"/>
          <w:color w:val="auto"/>
        </w:rPr>
      </w:pPr>
    </w:p>
    <w:p>
      <w:pPr>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university partner institution fails to maintain any of its specialized accreditations or approvals.</w:t>
      </w:r>
    </w:p>
    <w:p>
      <w:pPr>
        <w:spacing w:after="0" w:line="67"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Some of our other university partners are accredited by HLC while the others are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7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If any university partner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university partner institution may lose eligibility to participate in the Title IV programs if its student loan default rates are too high.</w:t>
      </w:r>
    </w:p>
    <w:p>
      <w:pPr>
        <w:spacing w:after="0" w:line="5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full year after such repayment start date. In addition, an institution may lose its eligibility to participate in some or all of the Title IV programs if the default rate of its students exceeds 40% for any single year. While GCU’s cohort default rates, for example,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university partner institutions, we cannot guarantee that all university partner institutions will have a cohort default rate as low as GCU. Having a university partner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pacing w:after="0" w:line="78"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67"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university partner institutions or the number of students they enroll, any of which sanctions could have an adverse impact on our business. For example, GCU, calculated its composite score with respect to its fiscal years ending June 30, 2024 and 2023. As of June 30, 2024 and 2023, GCU’s composite score per GCU’s audited financial statements was 1.9 and 1.8, respectively, using the proprietary school calculation. If GCU’s future composite scores do not exceed 1.5, ED could impose sanctions. If any such sanctions were imposed on GCU or one of our other university partners, it could have a negative impact on our ability to conduct our business. In addition, if its composite score dropped low enough, it could cause GCU to be ineligible for participation in NC-SARA, which would require GCU to become authorized in numerous states in which it operates or has students.</w:t>
      </w:r>
    </w:p>
    <w:p>
      <w:pPr>
        <w:spacing w:after="0" w:line="81"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a number of other financial responsibility standards with which institutions must comply, including those discussed above. See “Recently published regulations could materially and adversely affect our business”. The failure to comply with these standards could also result in the imposition of various sanctions, such as the imposition of letters of credit. If any such sanctions were imposed on GCU or one of our other university partners, it could have a negative impact on our ability to conduct our business.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If our university partner institutions do not comply with ED’s administrative capability standards, we could suffer harm.</w:t>
      </w:r>
    </w:p>
    <w:p>
      <w:pPr>
        <w:spacing w:after="0" w:line="13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that the institution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These regulations were also recently revised, as discussed above, and there may be additional restrictions or requirements that may create additional hurdles to compliance or otherwise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80"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finding by ED or other regulators that we or our university partner institutions misrepresented the nature of our partner institutions’ educational programs could materially and adversely affect our business.</w:t>
      </w:r>
    </w:p>
    <w:p>
      <w:pPr>
        <w:spacing w:after="0" w:line="51"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on behalf of our university partner institutions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in their conversations with students and prospective students.</w:t>
      </w:r>
    </w:p>
    <w:p>
      <w:pPr>
        <w:spacing w:after="0" w:line="85"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Despite our best efforts, we or our university partners may face complaints from our university partners’ students and prospective students over statements made by us and our agents throughout the conduct of our services that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For example, in October 2023, ED imposed a fine of $37 million on GCU (which GCU is appealing) related to alleged misrepresentation by GCU regarding the costs of certain doctorate programs. Similar rules apply under state laws or are incorporated in institutional accreditation standards. The FTC applies similar rules prohibiting any unfair or deceptive marketing practices to the education sector and has pursued litigation against us and GCU related in part to these matters. See </w:t>
      </w:r>
      <w:r>
        <w:rPr>
          <w:rFonts w:ascii="Times New Roman" w:cs="Times New Roman" w:eastAsia="Times New Roman" w:hAnsi="Times New Roman"/>
          <w:sz w:val="18"/>
          <w:szCs w:val="18"/>
          <w:i w:val="1"/>
          <w:iCs w:val="1"/>
          <w:color w:val="auto"/>
        </w:rPr>
        <w:t>Part I, Item 3 –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Proceedings – FTC Complaint</w:t>
      </w:r>
      <w:r>
        <w:rPr>
          <w:rFonts w:ascii="Times New Roman" w:cs="Times New Roman" w:eastAsia="Times New Roman" w:hAnsi="Times New Roman"/>
          <w:sz w:val="18"/>
          <w:szCs w:val="18"/>
          <w:color w:val="auto"/>
        </w:rPr>
        <w:t>. If ED or another regulator determines that statements made by us or on our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behalf are in violation of the regulations, we could be subject to sanctions, legal actions, and other liability, which could have a material adverse effect on our business.</w:t>
      </w:r>
    </w:p>
    <w:p>
      <w:pPr>
        <w:spacing w:after="0" w:line="84"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6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 severally liable to ED, along with the relevant university partner, for return of those funds. Further, we could be fined or otherwise sanctioned by ED, which could increase our cost of regulatory compliance and materially adversely affect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312" w:lineRule="auto"/>
        <w:rPr>
          <w:sz w:val="20"/>
          <w:szCs w:val="20"/>
          <w:color w:val="auto"/>
        </w:rPr>
      </w:pPr>
      <w:r>
        <w:rPr>
          <w:rFonts w:ascii="Times New Roman" w:cs="Times New Roman" w:eastAsia="Times New Roman" w:hAnsi="Times New Roman"/>
          <w:sz w:val="17"/>
          <w:szCs w:val="17"/>
          <w:color w:val="auto"/>
        </w:rPr>
        <w:t>Further, a failure to comply with these regulatory requirements could result in termination of our ability to continue providing these services to other university partner institutions, which would materially adversely affect us.</w:t>
      </w:r>
    </w:p>
    <w:p>
      <w:pPr>
        <w:spacing w:after="0" w:line="28" w:lineRule="exact"/>
        <w:rPr>
          <w:sz w:val="20"/>
          <w:szCs w:val="20"/>
          <w:color w:val="auto"/>
        </w:rPr>
      </w:pPr>
    </w:p>
    <w:p>
      <w:pPr>
        <w:ind w:left="60" w:right="2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and thus our revenue and results of operations.</w:t>
      </w:r>
    </w:p>
    <w:p>
      <w:pPr>
        <w:spacing w:after="0" w:line="7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7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Any action by Congress that significantly reduces Title IV program funding, whether through across-the-board funding reductions, sequestration or otherwise, or materially impacts the eligibility of our university partner institutions or students to participate in Title IV programs would have a material adverse effect on our university partner institutions’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75"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72"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w:t>
      </w:r>
    </w:p>
    <w:p>
      <w:pPr>
        <w:spacing w:after="0" w:line="7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university partner institutions do not maintain state authorization, they may not operate or participate in the Title IV programs.</w:t>
      </w:r>
    </w:p>
    <w:p>
      <w:pPr>
        <w:spacing w:after="0" w:line="5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university partner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84"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84"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State regulatory requirements for online education have historically varied among the states. To address this issue and to meet new ED requirements many schools have applied and have been approved to be approved institutional participants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for example, is a member of SARA in Arizona (AZ-SARA), which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administered by the Western Interstate Commission for Higher Education (referred to as W-SARA). There is a yearly renewal for participating in NC-SARA and AZ-SARA and institutions must agree to meet certain requirements to participate. All states other than California are members of SARA.</w:t>
      </w:r>
    </w:p>
    <w:p>
      <w:pPr>
        <w:spacing w:after="0" w:line="6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state that does not participate in SARA may impose regulatory requirements on out-of-state post-secondary institutions operating within its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non-SARA jurisdiction, or fails to obtain licenses or authorizations when required, it could lose its license or authorization by that jurisdiction or be subject to other sanctions, including restrictions on its activities in, and fines and penalties imposed by, that jurisdiction, as well as fines, penalties, and sanctions imposed by ED. The loss of licensure or authorization in any non-SARA jurisdiction by a university partner institution could prohibit us from recruiting prospective students or offering services to current students in that jurisdiction, which could significantly reduce our university partner’s enrollments.</w:t>
      </w:r>
    </w:p>
    <w:p>
      <w:pPr>
        <w:spacing w:after="0" w:line="8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As discussed, ED has started a new negotiated rulemaking addressing state authorization which implicates SARA. While no regulations have been published, any regulation could have a material adverse effect on our business.</w:t>
      </w:r>
    </w:p>
    <w:p>
      <w:pPr>
        <w:spacing w:after="0" w:line="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80"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Furthermore, our university partners must typically maintain a composite score of at least 1.5 to maintain their membership in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68"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w:t>
      </w:r>
    </w:p>
    <w:p>
      <w:pPr>
        <w:spacing w:after="0" w:line="67"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 xml:space="preserve">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In addition, our largest university partner, GCU, has been subject to additional scrutiny. In October 2021, the FTC issued a public statement indicating that it would coordinate efforts with ED and the VA to investigate for-profit universities, a category that at that time included GCU due to ED’s 2019 decision that GCU did not satisfy ED’s definition of a non-profit entity and, as a result, that ED would continue to treat GCU as a proprietary institution for purposes of its continued participation in Title IV programs. In the period following the FTC’s statement, ED, the VA and the FTC initiated multiple actions against GCU, including audits, compliance reviews, civil investigative demands, fines and lawsuits, and the FTC has initiated civil investigative demands and a lawsuit against us, that allege, among other things, misrepresentations made in connection with marketing activities, including statements made related to GCU’s non-profit status. </w:t>
      </w:r>
      <w:r>
        <w:rPr>
          <w:rFonts w:ascii="Times New Roman" w:cs="Times New Roman" w:eastAsia="Times New Roman" w:hAnsi="Times New Roman"/>
          <w:sz w:val="18"/>
          <w:szCs w:val="18"/>
          <w:i w:val="1"/>
          <w:iCs w:val="1"/>
          <w:color w:val="auto"/>
        </w:rPr>
        <w:t>See “– Regulation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University Partners - Coordinated action by federal agencies.” </w:t>
      </w:r>
      <w:r>
        <w:rPr>
          <w:rFonts w:ascii="Times New Roman" w:cs="Times New Roman" w:eastAsia="Times New Roman" w:hAnsi="Times New Roman"/>
          <w:sz w:val="18"/>
          <w:szCs w:val="18"/>
          <w:color w:val="auto"/>
        </w:rPr>
        <w:t>These actions, taken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 xml:space="preserve">a whole, appear to be coordinated in the manner described in the 2021 FTC statement. These actions, or any future actions by ED, FTC or any other federal or state government agencies or accrediting bodies with oversight over us or GCU, if ultimately resolved adversely to us or GCU, could result in monetary penalties and liabilities, further impact GCU’s non-profit status, and/or cause reputational harm. At this time, we cannot predict what changes those could be or what effect any of those outcomes could have on our business. Claims and lawsuits, and other regulatory actions, brought or taken against us or our university partners, even if they are without merit, may also result in adverse publicity, negatively affect the market price of our stock, adversely affect student enrollments, and reduce the willingness of third parties to do business with us. Even if we or our university partners adequately address the issues raised by any such proceeding and successfully defend against it, we may have to devote significant financial and management resources to address these issues, which could harm our business. </w:t>
      </w:r>
      <w:r>
        <w:rPr>
          <w:rFonts w:ascii="Times New Roman" w:cs="Times New Roman" w:eastAsia="Times New Roman" w:hAnsi="Times New Roman"/>
          <w:sz w:val="18"/>
          <w:szCs w:val="18"/>
          <w:i w:val="1"/>
          <w:iCs w:val="1"/>
          <w:color w:val="auto"/>
        </w:rPr>
        <w:t>See Part 1, Item 3 – Litigation</w:t>
      </w:r>
      <w:r>
        <w:rPr>
          <w:rFonts w:ascii="Times New Roman" w:cs="Times New Roman" w:eastAsia="Times New Roman" w:hAnsi="Times New Roman"/>
          <w:sz w:val="18"/>
          <w:szCs w:val="18"/>
          <w:color w:val="auto"/>
        </w:rPr>
        <w:t xml:space="preserve"> for a discussion of certain litigation matters to which we are a party.</w:t>
      </w:r>
    </w:p>
    <w:p>
      <w:pPr>
        <w:spacing w:after="0" w:line="80" w:lineRule="exact"/>
        <w:rPr>
          <w:sz w:val="20"/>
          <w:szCs w:val="20"/>
          <w:color w:val="auto"/>
        </w:rPr>
      </w:pPr>
    </w:p>
    <w:p>
      <w:pPr>
        <w:ind w:left="6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28" w:lineRule="exact"/>
        <w:rPr>
          <w:sz w:val="20"/>
          <w:szCs w:val="20"/>
          <w:color w:val="auto"/>
        </w:rPr>
      </w:pPr>
    </w:p>
    <w:p>
      <w:pPr>
        <w:ind w:left="60" w:right="139" w:firstLine="648"/>
        <w:spacing w:after="0" w:line="277" w:lineRule="auto"/>
        <w:rPr>
          <w:sz w:val="20"/>
          <w:szCs w:val="20"/>
          <w:color w:val="auto"/>
        </w:rPr>
      </w:pPr>
      <w:r>
        <w:rPr>
          <w:rFonts w:ascii="Times New Roman" w:cs="Times New Roman" w:eastAsia="Times New Roman" w:hAnsi="Times New Roman"/>
          <w:sz w:val="17"/>
          <w:szCs w:val="17"/>
          <w:color w:val="auto"/>
        </w:rPr>
        <w:t>A “third-party servicer” is any person or entity used by “any eligible institution of higher education to administer, through either manual or automated processing, any aspect of such institution’s student assistance programs.” Third party servicers must comply with a number of requirements. For example, they must conduct and submit to ED compliance audits under 34 C.F.R. § 668.23. In addition, they must comply with the requirements of 34 C.F.R. § 668.25, which requires third-party servicers, in their contracts with institutions, to be contractually obligated to, among other things:</w:t>
      </w:r>
    </w:p>
    <w:p>
      <w:pPr>
        <w:spacing w:after="0" w:line="60" w:lineRule="exact"/>
        <w:rPr>
          <w:sz w:val="20"/>
          <w:szCs w:val="20"/>
          <w:color w:val="auto"/>
        </w:rPr>
      </w:pPr>
    </w:p>
    <w:p>
      <w:pPr>
        <w:ind w:left="1040" w:right="359" w:hanging="315"/>
        <w:spacing w:after="0" w:line="257"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statutory provisions of or applicable to Title IV of the HEA, including the requirement to use any funds that the servicer administers under any Title IV program and any interest or other earnings thereon solely for the purposes specified in and in accordance with that program;</w:t>
      </w:r>
    </w:p>
    <w:p>
      <w:pPr>
        <w:spacing w:after="0" w:line="1" w:lineRule="exact"/>
        <w:rPr>
          <w:rFonts w:ascii="Times New Roman" w:cs="Times New Roman" w:eastAsia="Times New Roman" w:hAnsi="Times New Roman"/>
          <w:sz w:val="18"/>
          <w:szCs w:val="18"/>
          <w:color w:val="auto"/>
        </w:rPr>
      </w:pPr>
    </w:p>
    <w:p>
      <w:pPr>
        <w:ind w:left="1040" w:right="159" w:hanging="315"/>
        <w:spacing w:after="0" w:line="250"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program or an applicant for Title IV program assistance might have engaged in fraud or other criminal misconduct in connection with his or her application; and</w:t>
      </w:r>
    </w:p>
    <w:p>
      <w:pPr>
        <w:spacing w:after="0" w:line="1" w:lineRule="exact"/>
        <w:rPr>
          <w:rFonts w:ascii="Times New Roman" w:cs="Times New Roman" w:eastAsia="Times New Roman" w:hAnsi="Times New Roman"/>
          <w:sz w:val="18"/>
          <w:szCs w:val="18"/>
          <w:color w:val="auto"/>
        </w:rPr>
      </w:pPr>
    </w:p>
    <w:p>
      <w:pPr>
        <w:jc w:val="both"/>
        <w:ind w:left="1040" w:right="279" w:hanging="315"/>
        <w:spacing w:after="0" w:line="253"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81"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w:t>
      </w:r>
    </w:p>
    <w:p>
      <w:pPr>
        <w:spacing w:after="0" w:line="64"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5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process of re-authorization of the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75"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servicers such as us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partners could compromise our ability to drive revenue through their programs or make our platform less attractive to them. Congress could also enact laws or regulations that require us to modify our practices in ways that could increase our costs.</w:t>
      </w:r>
    </w:p>
    <w:p>
      <w:pPr>
        <w:spacing w:after="0" w:line="80"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requirements related to data privacy may create increased costs and operational difficulties for university partner institutions and, potentially, for GCE.</w:t>
      </w:r>
    </w:p>
    <w:p>
      <w:pPr>
        <w:spacing w:after="0" w:line="51" w:lineRule="exact"/>
        <w:rPr>
          <w:sz w:val="20"/>
          <w:szCs w:val="20"/>
          <w:color w:val="auto"/>
        </w:rPr>
      </w:pPr>
    </w:p>
    <w:p>
      <w:pPr>
        <w:ind w:left="60" w:right="179" w:firstLine="648"/>
        <w:spacing w:after="0" w:line="271" w:lineRule="auto"/>
        <w:rPr>
          <w:sz w:val="20"/>
          <w:szCs w:val="20"/>
          <w:color w:val="auto"/>
        </w:rPr>
      </w:pPr>
      <w:r>
        <w:rPr>
          <w:rFonts w:ascii="Times New Roman" w:cs="Times New Roman" w:eastAsia="Times New Roman" w:hAnsi="Times New Roman"/>
          <w:sz w:val="17"/>
          <w:szCs w:val="17"/>
          <w:color w:val="auto"/>
        </w:rPr>
        <w:t>In December 2020, ED announced that it was finalizing a new Campus Cybersecurity Program framework. This proposed multi-year phased implementation would begin with a self-assessment of the National Institute of Standards and Technology Special Publication 800–171 Rev. 2, Controlled Unclassified Information in Nonfederal Systems (NIST 800– 171 Rev. 2) readiness and outreach activities. ED specifically said it was “committed to fully advancing and encouraging all postsecondary institutions’ implementation of NIST 800-171 controls.” This announcement was addressed both to institutions of higher education and their third-party servicers. In February 2023, ED issued Electronic Announcement GEN 23-09 stating, among other items “The Department will issue guidance on NIST 800-171 compliance in a future Electronic Announcement, but again encourages institutions to begin incorporating the information security controls required under NIST 800-171 into the written information security program required under GLBA as soon as possible.”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While details related to this announcement are few, it does suggest that ED will be taking a greater role 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ensuring universities and their service providers meet NIST standards and are protecting the students and ED data received.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Compliance with NIST will likely increase operational cost if required to come into compliance.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recruit and retain key personnel.</w:t>
      </w:r>
    </w:p>
    <w:p>
      <w:pPr>
        <w:spacing w:after="0" w:line="121"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59"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51"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and the regulations thereunder, will be impaired, perhaps materially. Any such impairment could materially and adversely affect our financial condition, results of operations, and cash flows.</w:t>
      </w:r>
    </w:p>
    <w:p>
      <w:pPr>
        <w:spacing w:after="0" w:line="7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1"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may require us to incur substantial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75" w:lineRule="exact"/>
        <w:rPr>
          <w:sz w:val="20"/>
          <w:szCs w:val="20"/>
          <w:color w:val="auto"/>
        </w:rPr>
      </w:pPr>
    </w:p>
    <w:p>
      <w:pPr>
        <w:ind w:left="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Occurrence of natural or man-made catastrophes could materially and adversely affect our business, financial condition, results of operations and prospects.</w:t>
      </w:r>
    </w:p>
    <w:p>
      <w:pPr>
        <w:spacing w:after="0" w:line="51" w:lineRule="exact"/>
        <w:rPr>
          <w:sz w:val="20"/>
          <w:szCs w:val="20"/>
          <w:color w:val="auto"/>
        </w:rPr>
      </w:pPr>
    </w:p>
    <w:p>
      <w:pPr>
        <w:ind w:left="60" w:right="259" w:firstLine="441"/>
        <w:spacing w:after="0" w:line="254" w:lineRule="auto"/>
        <w:rPr>
          <w:sz w:val="20"/>
          <w:szCs w:val="20"/>
          <w:color w:val="auto"/>
        </w:rPr>
      </w:pPr>
      <w:r>
        <w:rPr>
          <w:rFonts w:ascii="Times New Roman" w:cs="Times New Roman" w:eastAsia="Times New Roman" w:hAnsi="Times New Roman"/>
          <w:sz w:val="18"/>
          <w:szCs w:val="18"/>
          <w:color w:val="212529"/>
        </w:rPr>
        <w:t>Natural events, health epidemics (such as the COVID-19 pandemic), acts of God, terrorist attacks and other acts of violence,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 university partners. Any of these events, their consequences or the costs related to mitigation or remediation could have a material adverse effect on our business, financial condition, results of operations and prospects.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17" w:lineRule="exact"/>
        <w:rPr>
          <w:sz w:val="20"/>
          <w:szCs w:val="20"/>
          <w:color w:val="auto"/>
        </w:rPr>
      </w:pPr>
    </w:p>
    <w:p>
      <w:pPr>
        <w:ind w:left="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84"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51"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The activity within the trading market for our common stock depends in part on the research and reports that industry or financial analysts publish about us, our business and the education services sector in which we operate. If analysts cease coverage of us or our sector, we could lose visibility in the market for our stock, which in turn could cause our stock price to decline. In addition, if one or more of the analysts covering us were to downgrade their estimates or evaluations of our stock, the price of our stock could decline.</w:t>
      </w:r>
    </w:p>
    <w:p>
      <w:pPr>
        <w:spacing w:after="0" w:line="71" w:lineRule="exact"/>
        <w:rPr>
          <w:sz w:val="20"/>
          <w:szCs w:val="20"/>
          <w:color w:val="auto"/>
        </w:rPr>
      </w:pPr>
    </w:p>
    <w:p>
      <w:pPr>
        <w:ind w:left="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28"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or to repurchase shares of our common stock. In addition, the terms of our prior credit facility limited, and the terms of any future debt agreements are likely to similarly limit, our ability to pay dividends. As a result, capital appreciation, if any, of our common stock will be your sole source of gain for the foreseeable future. Investors seeking cash dividends should not purchase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Like all companies that utilize technology, we are subject to threats of breaches of our technology systems. To mitigate the threat to our business, we take a comprehensive approach to cybersecurity risk management. Our Board of Directors and our management actively oversee our risk management program, including the management of cybersecurity risks. We have established policies, standards, processes and practices for assessing, identifying, and managing material risks from cybersecurity threats, including those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have devoted significant financial and personnel resources to implement and maintain security measures to meet regulatory requirements and stakeholder expectations, and we intend to continue to make significant investments to maintain the security of our data and cybersecurity infrastructure. While there can be no guarantee that our policies and procedures will be properly followed in every instance or that those policies and procedures will be effective, we believe that the Company’s sustained investment in people and technologies have contributed to a culture of continuous improvement that has put the Company in a position to protect against potential compromises and we do not believe that risks from prior cybersecurity threats, including as a result of any previous cybersecurity incident, have materially affected our business to date. We can provide no assurance that there will not be incidents in the future or that past or future attacks will not materially affect us, including our business strategy, results of operations, or financial condition.</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and Strategy</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At a high level, the key objectives for the Company’s cybersecurity program are to implement and sustain effective security controls to stop intrusion attempts and to maintain and continuously improve its ability to respond to attacks and incidents. Success in achieving these objectives relies upon using quality technology solutions, cultivating and maintaining a team of skilled professionals, and improving processes continuously. Our cybersecurity program in particular focuses on the following key areas:</w:t>
      </w:r>
    </w:p>
    <w:p>
      <w:pPr>
        <w:spacing w:after="0" w:line="73"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Risk Assessment</w:t>
      </w:r>
      <w:r>
        <w:rPr>
          <w:rFonts w:ascii="Times New Roman" w:cs="Times New Roman" w:eastAsia="Times New Roman" w:hAnsi="Times New Roman"/>
          <w:sz w:val="18"/>
          <w:szCs w:val="18"/>
          <w:color w:val="auto"/>
        </w:rPr>
        <w:t>: At least annually, we conduct a cybersecurity risk assessment that takes into account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internal stakeholders, known information security vulnerabilities, and information from external sources, including reported security incidents that have impacted other companies, industry trends, and evaluations by third parties and consultants. The results of the assessment are used to develop initiatives to enhance our security controls, make recommendations to improve processes, and inform a broader Company-wide risk assessment that are then reported to our Board, Audit Committee and members of management.</w:t>
      </w:r>
    </w:p>
    <w:p>
      <w:pPr>
        <w:spacing w:after="0" w:line="74" w:lineRule="exact"/>
        <w:rPr>
          <w:sz w:val="20"/>
          <w:szCs w:val="20"/>
          <w:color w:val="auto"/>
        </w:rPr>
      </w:pPr>
    </w:p>
    <w:p>
      <w:pPr>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Technical Safeguards</w:t>
      </w:r>
      <w:r>
        <w:rPr>
          <w:rFonts w:ascii="Times New Roman" w:cs="Times New Roman" w:eastAsia="Times New Roman" w:hAnsi="Times New Roman"/>
          <w:sz w:val="18"/>
          <w:szCs w:val="18"/>
          <w:color w:val="auto"/>
        </w:rPr>
        <w:t>: We regularly assess and deploy technical safeguards designed to protect our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from cybersecurity threats. Such safeguards are regularly evaluated and improved based on vulnerability assessments, cybersecurity threat intelligence and incident response experience.</w:t>
      </w:r>
    </w:p>
    <w:p>
      <w:pPr>
        <w:spacing w:after="0" w:line="65" w:lineRule="exact"/>
        <w:rPr>
          <w:sz w:val="20"/>
          <w:szCs w:val="20"/>
          <w:color w:val="auto"/>
        </w:rPr>
      </w:pPr>
    </w:p>
    <w:p>
      <w:pPr>
        <w:jc w:val="both"/>
        <w:ind w:left="60" w:right="2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Incident Response and Recovery Planning</w:t>
      </w:r>
      <w:r>
        <w:rPr>
          <w:rFonts w:ascii="Times New Roman" w:cs="Times New Roman" w:eastAsia="Times New Roman" w:hAnsi="Times New Roman"/>
          <w:sz w:val="18"/>
          <w:szCs w:val="18"/>
          <w:color w:val="auto"/>
        </w:rPr>
        <w:t>: We have established comprehensive incident response and recovery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that guide our response in the event of a cybersecurity incident. We continuously test and evaluate the effectiveness of those plans.</w:t>
      </w:r>
    </w:p>
    <w:p>
      <w:pPr>
        <w:spacing w:after="0" w:line="6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Vendor Risk Management</w:t>
      </w:r>
      <w:r>
        <w:rPr>
          <w:rFonts w:ascii="Times New Roman" w:cs="Times New Roman" w:eastAsia="Times New Roman" w:hAnsi="Times New Roman"/>
          <w:sz w:val="18"/>
          <w:szCs w:val="18"/>
          <w:color w:val="auto"/>
        </w:rPr>
        <w:t>: We have implemented a robust vendor risk management program, which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and mitigate cybersecurity threats associated with our use of third-party service providers. Such providers are subject to security risk assessments at the time of onboarding, contract renewal, and upon detection of an increase in risk profile. We use a variety of inputs in such risk assessments, including information supplied by providers in response to detailed questionnaires and meetings as well as information from third parties. In addition, we require our providers to meet appropriate security requirements, controls and responsibilities and investigate security incidents that have impacted our third-party providers, as appropriate. Contract language, purchasing decisions, and/or technology implementation strategies are frequently adjusted as a result of this process.</w:t>
      </w:r>
    </w:p>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Education and Awareness</w:t>
      </w:r>
      <w:r>
        <w:rPr>
          <w:rFonts w:ascii="Times New Roman" w:cs="Times New Roman" w:eastAsia="Times New Roman" w:hAnsi="Times New Roman"/>
          <w:sz w:val="18"/>
          <w:szCs w:val="18"/>
          <w:color w:val="auto"/>
        </w:rPr>
        <w:t>: Our policies require each of our employees to contribute to our data security efforts.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regularly remind employees of the importance of handling and protecting data, including through annual privacy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security training to enhance employee awareness of how to detect and respond to cybersecurity threats. In this regard,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implemented policies and procedures for all employees including: (i) information security/cybersecurity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policies, which are internally available for all employees, (ii) information security/cybersecurity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awareness training; (iii) a clear escalation process which employees can follow in the event an employee notices something suspicious; and (iv) ensuring that information security/cybersecurity is part of the employee performance evaluation and/or disciplinary process.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Disclosure</w:t>
      </w:r>
    </w:p>
    <w:p>
      <w:pPr>
        <w:spacing w:after="0" w:line="11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Board Oversight</w:t>
      </w:r>
      <w:r>
        <w:rPr>
          <w:rFonts w:ascii="Times New Roman" w:cs="Times New Roman" w:eastAsia="Times New Roman" w:hAnsi="Times New Roman"/>
          <w:sz w:val="18"/>
          <w:szCs w:val="18"/>
          <w:color w:val="auto"/>
        </w:rPr>
        <w:t>: The Board of Directors, in coordination with the Audit Committee of the Board,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for managing the overall risk strategy for the Company, including cyber security risk. Both the Board of Directors and the Audit Committee receive regular reports from management about the prevention, detection, mitigation, and remediation of cybersecurity incidents, including material security risks and information security vulnerabilities. Our Audit Committee directly oversees our cybersecurity program. The Audit Committee additionally receives regular updates from management on cybersecurity risk resulting from risk assessments, progress of risk reduction initiatives, external auditor feedback, control maturity assessments, and relevant internal and industry cybersecurity incidents.</w:t>
      </w:r>
    </w:p>
    <w:p>
      <w:pPr>
        <w:spacing w:after="0" w:line="75"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Management’s Role</w:t>
      </w:r>
      <w:r>
        <w:rPr>
          <w:rFonts w:ascii="Times New Roman" w:cs="Times New Roman" w:eastAsia="Times New Roman" w:hAnsi="Times New Roman"/>
          <w:sz w:val="18"/>
          <w:szCs w:val="18"/>
          <w:color w:val="auto"/>
        </w:rPr>
        <w:t>: The Company employs a dedicated Chief Information Security Officer (“CISO”) who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responsibility for assessing and managing material cybersecurity risks. Our CISO reports to the Audit Committee quarterly, to provide updates on any new developments and about the effectiveness of the security program. On behalf of the Audit Committee, the CISO administers a robust risk management program carried out by the Governance, Risk, and Compliance (GRC) team, which is integrated as part of the procurement process when making technology purchases, and also makes recommendations on security policies and procedures, security requirements, and risk mitigation strategies. Our CISO is supported by a highly skilled team of information security professionals, many of whom have advanced certifications and/or graduate degrees relevant to their job requirements. Our team has participated in multiple national and international cyber security exercises, including Cyber Storm, the national training exercise run by the U.S. Department of Homeland Security in conjunction the U.S. Cybersecurity and Infrastructure Security Agency. Our CISO works closely with our Chief Risk Officer to provide risk reporting and ensure security and compliance.</w:t>
      </w:r>
    </w:p>
    <w:p>
      <w:pPr>
        <w:spacing w:after="0" w:line="84"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Chief Information Security Officer</w:t>
      </w:r>
      <w:r>
        <w:rPr>
          <w:rFonts w:ascii="Times New Roman" w:cs="Times New Roman" w:eastAsia="Times New Roman" w:hAnsi="Times New Roman"/>
          <w:sz w:val="18"/>
          <w:szCs w:val="18"/>
          <w:color w:val="auto"/>
        </w:rPr>
        <w:t>: Our CISO has led the Company’s security team for more than seven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overseeing the implementation of multiple new technologies and processes to help protect the organization. Prior to joining the Company, he served as a Subject Mater Expert for Threat Prevention at a cyber security firm, consulted for local government, held other security and technology roles in higher education, and served in the U.S. Navy. He is also a co-author/contributor for the joint book project, Understanding New Security Threats published by Routledge in 2019, and has published articles and made conference keynote and podcast appearances over the years on cybersecurity topics.</w:t>
      </w:r>
    </w:p>
    <w:p>
      <w:pPr>
        <w:spacing w:after="0" w:line="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For more information regarding the risks we face from cybersecurity threats, please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GCE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 especially true in Arizona. GCE’s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weather. GCE’s office building utilizes a rooftop rainwater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GCE’s office building is 60% more energy efficient than a standard office building.</w:t>
      </w:r>
    </w:p>
    <w:p>
      <w:pPr>
        <w:spacing w:after="0" w:line="8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to its owned facilities, GCE leases 39 off-campus classroom and laboratory sites for use in serving its university partners, four office locations in California, and office space in Indianapolis, Indiana. GCE has commitments to add more off-campus classroom and laboratory sites as of December 31, 2024 that have not yet commenced and plans to add additional off-campus classroom and laboratory sites in Arizona and in other states in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U.S. to accommodate our growth plans in 2025 and beyond. GCE works to maximize energy efficiency and minimize environmental impact in operating its leased facilities just as it does with its owned properties.</w:t>
      </w:r>
    </w:p>
    <w:p>
      <w:pPr>
        <w:spacing w:after="0" w:line="50"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679" w:firstLine="648"/>
        <w:spacing w:after="0" w:line="290" w:lineRule="auto"/>
        <w:rPr>
          <w:sz w:val="20"/>
          <w:szCs w:val="20"/>
          <w:color w:val="auto"/>
        </w:rPr>
      </w:pPr>
      <w:r>
        <w:rPr>
          <w:rFonts w:ascii="Times New Roman" w:cs="Times New Roman" w:eastAsia="Times New Roman" w:hAnsi="Times New Roman"/>
          <w:sz w:val="17"/>
          <w:szCs w:val="17"/>
          <w:color w:val="auto"/>
        </w:rPr>
        <w:t xml:space="preserve">For information regarding our other material pending legal proceedings, see the sections entitled </w:t>
      </w:r>
      <w:r>
        <w:rPr>
          <w:rFonts w:ascii="Times New Roman" w:cs="Times New Roman" w:eastAsia="Times New Roman" w:hAnsi="Times New Roman"/>
          <w:sz w:val="17"/>
          <w:szCs w:val="17"/>
          <w:i w:val="1"/>
          <w:iCs w:val="1"/>
          <w:color w:val="auto"/>
        </w:rPr>
        <w:t>Pending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Litigation Matters </w:t>
      </w:r>
      <w:r>
        <w:rPr>
          <w:rFonts w:ascii="Times New Roman" w:cs="Times New Roman" w:eastAsia="Times New Roman" w:hAnsi="Times New Roman"/>
          <w:sz w:val="17"/>
          <w:szCs w:val="17"/>
          <w:color w:val="auto"/>
        </w:rPr>
        <w:t>within</w:t>
      </w:r>
      <w:r>
        <w:rPr>
          <w:rFonts w:ascii="Times New Roman" w:cs="Times New Roman" w:eastAsia="Times New Roman" w:hAnsi="Times New Roman"/>
          <w:sz w:val="17"/>
          <w:szCs w:val="17"/>
          <w:i w:val="1"/>
          <w:iCs w:val="1"/>
          <w:color w:val="auto"/>
        </w:rPr>
        <w:t xml:space="preserve"> Note 7 Commitments and Contingencies </w:t>
      </w:r>
      <w:r>
        <w:rPr>
          <w:rFonts w:ascii="Times New Roman" w:cs="Times New Roman" w:eastAsia="Times New Roman" w:hAnsi="Times New Roman"/>
          <w:sz w:val="17"/>
          <w:szCs w:val="17"/>
          <w:color w:val="auto"/>
        </w:rPr>
        <w:t>of our notes to consolidated financial statements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in Part IV, Item 15 of this report, which section is incorporated by reference into this Part I, Item 3.</w:t>
      </w:r>
    </w:p>
    <w:p>
      <w:pPr>
        <w:spacing w:after="0" w:line="4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approximately 176 registered holders of record of common stock. A substantially greater number of holders of common stock are “street name” or beneficial holders, whose shares are held of record by banks, brokers and other financial institutions.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currently do not anticipate paying cash dividends on our common stock in the foreseeable future.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19" w:lineRule="exact"/>
        <w:rPr>
          <w:sz w:val="20"/>
          <w:szCs w:val="20"/>
          <w:color w:val="auto"/>
        </w:rPr>
      </w:pPr>
    </w:p>
    <w:p>
      <w:pPr>
        <w:ind w:left="60" w:right="1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January 29, 2025, our Board of Directors approved a $200.0 million increase under the Company’s existing stock repurchase program, reflecting an aggregate authorization for share repurchases since the initiation of the program of $2,245.0 million. The current expiration date on the repurchase authorization by the Board of Directors is March 1, 2026. Repurchases occur at the Company’s discretion and the Company may modify, suspend or discontinue the repurchase authorization at any time. Repurchases may be made in the open market or in privately negotiated transactions, pursuant to the applicable SEC rules. The amount and timing of future share repurchases, if any, will be made as market and business conditions warrant.</w:t>
      </w:r>
    </w:p>
    <w:p>
      <w:pPr>
        <w:spacing w:after="0" w:line="81"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Since the initial approval of our share repurchase plan, we have repurchased 23,883,357 shares of common stock at an aggregate cost of $1,945.4 billion, which purchases are recorded at cost in the accompanying December 31, 2024 consolidated balance sheet and statement of stockholders’ equity. At December 31, 2024, there remained $99.6 million available under our current share repurchase authorization (which authorization was increased to $299.6 million in January 2025). During the fourth quarter and the year ended December 31, 2024, GCE repurchased 416,497</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and 1,141,678 shares of common stock, respectively, at an aggregate cost of $64.8 million and $165.4 million, respectively.</w:t>
      </w:r>
    </w:p>
    <w:p>
      <w:pPr>
        <w:spacing w:after="0" w:line="1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2024:</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300" w:type="dxa"/>
            <w:vAlign w:val="bottom"/>
            <w:gridSpan w:val="2"/>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Repurchases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99,600,000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416,497</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99,600,000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Withholdings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GCE Stock Performance</w:t>
      </w:r>
    </w:p>
    <w:p>
      <w:pPr>
        <w:spacing w:after="0" w:line="121"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of our common stock with the cumulative total returns of the S&amp;P 500 Index and our education services peer group of seven companies that includes: Wiley Education Services, Pearson plc, CHEGG, Inc., Laureate Education, Inc., Strategic Education, Inc., Adtalum Global Education, Inc. and Coursera. This chart assumes that an investment of $100 was made in our common stock, in the index, and in the peer group on December 31, 2019 and that all dividends paid (if any) were reinvested, and tracks the relative performance of such investments through December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4585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54980" cy="4585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80" w:type="dxa"/>
            <w:vAlign w:val="bottom"/>
            <w:tcBorders>
              <w:bottom w:val="single" w:sz="8" w:color="CCEEFF"/>
            </w:tcBorders>
          </w:tcPr>
          <w:p>
            <w:pPr>
              <w:spacing w:after="0"/>
              <w:rPr>
                <w:sz w:val="15"/>
                <w:szCs w:val="15"/>
                <w:color w:val="auto"/>
              </w:rPr>
            </w:pPr>
          </w:p>
        </w:tc>
        <w:tc>
          <w:tcPr>
            <w:tcW w:w="4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12/19</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12/20</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12/21</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12/22</w:t>
            </w:r>
          </w:p>
        </w:tc>
        <w:tc>
          <w:tcPr>
            <w:tcW w:w="1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12/23</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12/24</w:t>
            </w: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137.84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171.00</w:t>
            </w: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S&amp;P</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118.40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152.39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124.79</w:t>
            </w:r>
          </w:p>
        </w:tc>
        <w:tc>
          <w:tcPr>
            <w:tcW w:w="14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157.59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197.02</w:t>
            </w:r>
          </w:p>
        </w:tc>
      </w:tr>
      <w:tr>
        <w:trPr>
          <w:trHeight w:val="21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100.46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113.82</w:t>
            </w:r>
          </w:p>
        </w:tc>
      </w:tr>
    </w:tbl>
    <w:p>
      <w:pPr>
        <w:spacing w:after="0" w:line="19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68" w:lineRule="exact"/>
        <w:rPr>
          <w:sz w:val="20"/>
          <w:szCs w:val="20"/>
          <w:color w:val="auto"/>
        </w:rPr>
      </w:pPr>
    </w:p>
    <w:p>
      <w:pPr>
        <w:ind w:left="60" w:right="119" w:firstLine="648"/>
        <w:spacing w:after="0" w:line="407" w:lineRule="auto"/>
        <w:rPr>
          <w:sz w:val="20"/>
          <w:szCs w:val="20"/>
          <w:color w:val="auto"/>
        </w:rPr>
      </w:pPr>
      <w:r>
        <w:rPr>
          <w:rFonts w:ascii="Times New Roman" w:cs="Times New Roman" w:eastAsia="Times New Roman" w:hAnsi="Times New Roman"/>
          <w:sz w:val="18"/>
          <w:szCs w:val="18"/>
          <w:color w:val="auto"/>
        </w:rPr>
        <w:t xml:space="preserve">The stock price performance included in this graph is not necessarily indicative of future stock price performance. </w:t>
      </w: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following discussion and analysis of our financial condition and results of operations for the years ended December 31, 2024 and 2023 should be read in conjunction with our consolidated financial statements and related notes that appear in Item 8, </w:t>
      </w:r>
      <w:r>
        <w:rPr>
          <w:rFonts w:ascii="Times New Roman" w:cs="Times New Roman" w:eastAsia="Times New Roman" w:hAnsi="Times New Roman"/>
          <w:sz w:val="18"/>
          <w:szCs w:val="18"/>
          <w:i w:val="1"/>
          <w:iCs w:val="1"/>
          <w:color w:val="auto"/>
        </w:rPr>
        <w:t>Consolidated Financial Statements and Supplementary Data</w:t>
      </w:r>
      <w:r>
        <w:rPr>
          <w:rFonts w:ascii="Times New Roman" w:cs="Times New Roman" w:eastAsia="Times New Roman" w:hAnsi="Times New Roman"/>
          <w:sz w:val="18"/>
          <w:szCs w:val="18"/>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and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ten colleges both online, on ground at its campus in Phoenix, Arizona and at eight off-campus classroom and laboratory sites.</w:t>
      </w:r>
    </w:p>
    <w:p>
      <w:pPr>
        <w:spacing w:after="0" w:line="7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also provide education services to numerous university partners across the United States. In the healthcare field, we work in partnership with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2024, GCE provides education services to 22 university partners across the United States.</w:t>
      </w:r>
    </w:p>
    <w:p>
      <w:pPr>
        <w:spacing w:after="0" w:line="7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seek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80"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involve our more significant judgments and estimates used in the preparation of our consolidated financial statements:</w:t>
      </w:r>
    </w:p>
    <w:p>
      <w:pPr>
        <w:spacing w:after="0" w:line="50" w:lineRule="exact"/>
        <w:rPr>
          <w:sz w:val="20"/>
          <w:szCs w:val="20"/>
          <w:color w:val="auto"/>
        </w:rPr>
      </w:pPr>
    </w:p>
    <w:p>
      <w:pPr>
        <w:ind w:left="60" w:right="19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 GCE generates all of its revenue through services agreements with its university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Agreements”), pursuant to which GCE provides integrated technology and academic services, marketing and communication services, and as applicable, certain back office services to its university partners in return for a percentage of tuition and fee revenue.</w:t>
      </w:r>
    </w:p>
    <w:p>
      <w:pPr>
        <w:spacing w:after="0" w:line="72"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GCE’s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 xml:space="preserve">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GCE considered forming an expectation of the variable consideration to be received over the service life of this one performance obligation. However, since the performance obligation represents a series of distinct services, GCE recognizes the variable consideration that becomes known and billable because these fees relate to the distinct service period in which the fees are earned. GCE meets the criteria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exercises the practical expedient to not disclose the aggregate amount of the transaction price allocated to the single performance obligation that is unsatisfied as of the end of the reporting period. GCE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8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We recognize the amount of taxes payable or refundable for the current year and deferred tax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2024 and 2023, GCE has reserved approximately $14,626 and $13,631, respectively, for uncertain tax positions, including interest and penalties.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60" w:right="79" w:firstLine="648"/>
        <w:spacing w:after="0" w:line="26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For a discussion of the results of operations for fiscal year 2023 vs 2022, see “Item 7. Management’s Discussion </w:t>
      </w:r>
      <w:hyperlink r:id="rId65">
        <w:r>
          <w:rPr>
            <w:rFonts w:ascii="Times New Roman" w:cs="Times New Roman" w:eastAsia="Times New Roman" w:hAnsi="Times New Roman"/>
            <w:sz w:val="18"/>
            <w:szCs w:val="18"/>
            <w:color w:val="auto"/>
          </w:rPr>
          <w:t xml:space="preserve">and Analysis of Financial Condition and Results of Operations” in our </w:t>
        </w:r>
        <w:r>
          <w:rPr>
            <w:rFonts w:ascii="Times New Roman" w:cs="Times New Roman" w:eastAsia="Times New Roman" w:hAnsi="Times New Roman"/>
            <w:sz w:val="18"/>
            <w:szCs w:val="18"/>
            <w:u w:val="single" w:color="auto"/>
            <w:color w:val="0000EE"/>
          </w:rPr>
          <w:t>Annual Report on Form 10-K filed with the SEC for</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the fiscal year 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hyperlink>
    </w:p>
    <w:p>
      <w:pPr>
        <w:spacing w:after="0" w:line="68"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income statement data as a percentage of revenue for each of the periods indicated. Amortization of intangible assets have been excluded from the table below:</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9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16.1 %</w:t>
            </w: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1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Our service revenue for the year ended December 31, 2024 was $1,033.0 billion,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$72.1 million, or 7.5%, as compared to service revenue of $960.9 million for the year ended December 31, 2023. The increase year over year in service revenue was primarily due to an increase in GCU enrollments to 123,149 at December 31, 2024, an increase of 5.0% over enrollments at December 31, 2023. Partner enrollments totaled 127,155 at December 31, 2024 as compared to 121,250 at December 31, 2023. University partner enrollments at our off-campus classroom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and laboratory sites were 4,919, an increase of 9.8% over enrollments at December 31, 2023, which includes 913 and 510 GCU students at December 31, 2024 and 2023, respectively, and an increase in revenue per student year over year. Excluding sites closing in 2024 to new enrollments, total enrollments at our off-campus classroom and laboratory sites increased 14.9% between years. The increase in revenue per student between years is primarily due to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our partners’ students take more credits on average per semester. The increase in revenue per student in the year ended December 31, 2024 was also due to the additional day for leap year in 2024 which added additional service revenue of $1.5 million as compared to the prior year and we earned revenue in 2024 with a university partner in which we helped the partner develop an ABSN program under a cost plus arrangement. We will earn limited revenue with this partner going forward.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w:t>
      </w:r>
    </w:p>
    <w:p>
      <w:pPr>
        <w:spacing w:after="0" w:line="89" w:lineRule="exact"/>
        <w:rPr>
          <w:sz w:val="20"/>
          <w:szCs w:val="20"/>
          <w:color w:val="auto"/>
        </w:rPr>
      </w:pPr>
    </w:p>
    <w:p>
      <w:pPr>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Partner enrollments totaled 127,155 at December 31, 2024 as compared to 121,250 at December 31, 2023. Although partner enrollments at our off-campus classroom and laboratory sites returned to year over year growth in 2024, some existing partners continue to experience reduced incoming cohort sizes which has slowed the growth. We believe the growth in the number of ABSN students continues to be negatively impacted by the strong job market as these students have historically been individuals with already completed bachelor’s degrees choosing to re-career into one of these health professions. To address this challenge, we have been working with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Summer and Fall 2024 semesters.</w:t>
      </w:r>
    </w:p>
    <w:p>
      <w:pPr>
        <w:spacing w:after="0" w:line="80" w:lineRule="exact"/>
        <w:rPr>
          <w:sz w:val="20"/>
          <w:szCs w:val="20"/>
          <w:color w:val="auto"/>
        </w:rPr>
      </w:pPr>
    </w:p>
    <w:p>
      <w:pPr>
        <w:ind w:left="60" w:right="79" w:firstLine="441"/>
        <w:spacing w:after="0" w:line="255" w:lineRule="auto"/>
        <w:rPr>
          <w:sz w:val="20"/>
          <w:szCs w:val="20"/>
          <w:color w:val="auto"/>
        </w:rPr>
      </w:pPr>
      <w:r>
        <w:rPr>
          <w:rFonts w:ascii="Times New Roman" w:cs="Times New Roman" w:eastAsia="Times New Roman" w:hAnsi="Times New Roman"/>
          <w:sz w:val="18"/>
          <w:szCs w:val="18"/>
          <w:color w:val="auto"/>
        </w:rPr>
        <w:t>We opened five sites in the year ended December 31, 2023, six sites in the year ended December 31, 2024 and closed one site increasing the total number of these sites to 45 at December 31, 2024, which has also positively impacted the enrollment growth. Enrollments for GCU ground students were 24,552 at December 31, 2024 down from 25,209 at December 31, 2023 due to a small decline in traditional ground students year over year and the continued decline in professional studies students (working adults attending the university’s traditional campus at night), partially offset by an increase in ABSN students between years. GCU online enrollments were 98,597 at December 31, 2024, up from 92,070 at December 31, 2023, an increase of 7.1% between years.</w:t>
      </w:r>
    </w:p>
    <w:p>
      <w:pPr>
        <w:spacing w:after="0" w:line="7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Technology and academic services</w:t>
      </w:r>
      <w:r>
        <w:rPr>
          <w:rFonts w:ascii="Times New Roman" w:cs="Times New Roman" w:eastAsia="Times New Roman" w:hAnsi="Times New Roman"/>
          <w:sz w:val="18"/>
          <w:szCs w:val="18"/>
          <w:color w:val="auto"/>
        </w:rPr>
        <w:t>. Our technology and academic services expenses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were $165.1 million, an increase of $10.2 million, or 6.6%, as compared to technology and academic services expenses of $154.9 million for the year ended December 31, 2023. This increase was primarily due to increases in other technology and academic costs and in occupancy and depreciation of $8.3 million and $4.9 million, respectively, partially offset by a decrease in employee compensation and related expenses, including share-based compensation of $3.0 million. The increases in other technology and academic costs and occupancy and depreciation were primarily due to the costs associated with the increased number of off-campus classroom and laboratory sites to support our 22 university partners and their increased enrollment growth as well as an increase in curriculum cost reimbursement to our university partners. The decrease in employee compensation and related expenses is primarily due to decreased faculty reimbursements due to changes in our agreements with certain university partners whereby we no longer reimburse these partners for their faculty costs, partially offset by increased headcount to support our 22 university partners and their increased enrollment growth, tenure-based salary adjustments, benefit costs and the increased number of off-campus classroom and laboratory sites year over year. Our technology and academic services expenses as a percentage of revenue decreased by 0.1% to 16.0% for the year ended December 31, 2024, from 16.1% for the year ended December 31, 2023. This decrease was primarily due to the decreased faculty reimbursements between years partially offset by the growing curriculum cost reimbursement. We anticipate that technology and academic services expenses as a percentage of revenue will increase in the future as we open more off-site classroom and laboratory sites and the growing curriculum cost reimbursements although these increases might be offset by lower faculty reimbursements if more partners choose to adjust their contracts.</w:t>
      </w:r>
    </w:p>
    <w:p>
      <w:pPr>
        <w:spacing w:after="0" w:line="84" w:lineRule="exact"/>
        <w:rPr>
          <w:sz w:val="20"/>
          <w:szCs w:val="20"/>
          <w:color w:val="auto"/>
        </w:rPr>
      </w:pPr>
    </w:p>
    <w:p>
      <w:pPr>
        <w:ind w:left="60" w:right="1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Counseling services and support</w:t>
      </w:r>
      <w:r>
        <w:rPr>
          <w:rFonts w:ascii="Times New Roman" w:cs="Times New Roman" w:eastAsia="Times New Roman" w:hAnsi="Times New Roman"/>
          <w:sz w:val="18"/>
          <w:szCs w:val="18"/>
          <w:color w:val="auto"/>
        </w:rPr>
        <w:t>. Our counseling services and support expenses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were $323.5 million, an increase of $21.2 million, or 7.0%, as compared to counseling services and support</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expenses of $302.3 million for the year ended December 31, 2023. This increase was primarily attributable to increases in employee compensation and related expenses including share-based compensation and benefits, in occupancy and depreciation costs and in other counseling services and support expenses of $18.0 million, $2.9 million and $0.3 million, respectively. The increases in employee compensation including share-based compensation and benefits were primarily due to increased headcount to support our university partners, and their planned increases in enrollment, tenure-based salary adjustments, benefit costs and the increased number of off-campus classroom and laboratory sites open year over year. The increase in occupancy and depreciation is primarily related to higher depreciation expense associated with our continued enhancements to technology infrastructure and internal-use software development. The increase in other counseling services and support expenses is primarily the result of increased travel costs for our 22 university partners. Our counseling services and support expenses as a percentage of revenue decreased 0.2% to 31.3% for the year ended December 31, 2024, from 31.5% for the year ended December 31, 2023 primarily due to our ability to leverage our counseling services and support expenses across an increasing revenue base. We anticipate that counseling services and support expense will increase in the future as we continue to invest to meet our partners’ needs although we might continue to have a decline in these costs as a percentage of revenue.</w:t>
      </w:r>
    </w:p>
    <w:p>
      <w:pPr>
        <w:spacing w:after="0" w:line="8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Marketing and communication</w:t>
      </w:r>
      <w:r>
        <w:rPr>
          <w:rFonts w:ascii="Times New Roman" w:cs="Times New Roman" w:eastAsia="Times New Roman" w:hAnsi="Times New Roman"/>
          <w:sz w:val="18"/>
          <w:szCs w:val="18"/>
          <w:color w:val="auto"/>
        </w:rPr>
        <w:t>. Our marketing and communication expenses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were $212.4 million, an increase of $9.6 million, or 4.7%, as compared to marketing and communication expenses of $202.8 million for the year ended December 31, 2023. This increase was primarily attributable to the increased cost to market our university partners’ programs and to the marketing of new university partners and new locations which resulted in increased advertising of $7.7 million, increased employee compensation, including share-based compensation and benefits of $1.1 million, an increase in other marketing and communication expenses of $0.5 million and an increase in occupancy and depreciation costs of $0.3 million. Our marketing and communication expenses as a percentage of revenue decreased by 0.5% to 20.6% for the year ended December 31, 2024, from 21.1% for the year ended December 31, 2023, primarily due to our ability to leverage our marketing and communication expenses across an increasing revenue base. We anticipate that marketing and communication expenses will increase in the future as we continue to invest to meet our partners’ needs although we might continue to have a decline in these costs as a percentage of revenue.</w:t>
      </w:r>
    </w:p>
    <w:p>
      <w:pPr>
        <w:spacing w:after="0" w:line="84"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for the year ended December 31,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$46.3 million, an increase of $3.1 million, or 7.1%, as compared to general and administrative expenses of $43.2 million for the year ended December 31, 2023. This increase was primarily attributable to an increase in professional fees including legal costs of $2.2 million, employee compensation, including share-based compensation and benefits of $1.4 million, which includes $1.1 million in severance costs recorded for an executive that resigned June 30, 2024, an increase in contributions in lieu of state income taxes of $1.0 million and increases in occupancy and depreciation costs of $0.2 million. These increases were partially offset by a decrease in other administrative expenses of $1.7 million primarily due to lower travel costs. Our general and administrative expenses as a percentage of revenue stayed flat at 4.5% for the years ended December 31, 2024 and 2023 due to our ability to leverage our general and administrative expenses across an increasing revenue base partially offset by the severance costs and the increase in professional fees including legal costs. We anticipate that general and administrative expenses will increase in the future and these costs as a percentage of revenue might increase if legal costs continue to rise faster than our revenue growth rate.</w:t>
      </w:r>
    </w:p>
    <w:p>
      <w:pPr>
        <w:spacing w:after="0" w:line="8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Impairment and other. </w:t>
      </w:r>
      <w:r>
        <w:rPr>
          <w:rFonts w:ascii="Times New Roman" w:cs="Times New Roman" w:eastAsia="Times New Roman" w:hAnsi="Times New Roman"/>
          <w:sz w:val="18"/>
          <w:szCs w:val="18"/>
          <w:color w:val="auto"/>
        </w:rPr>
        <w:t>Impairment and other expenses of $1.9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includes the write-off of an internal use software project that the Company had been attempting to develop for its other university partners that has been terminated and costs relating to exiting certain off-campus classroom and laboratory sites.</w:t>
      </w:r>
    </w:p>
    <w:p>
      <w:pPr>
        <w:spacing w:after="0" w:line="72"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for the years ended December 31,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were $8.4 million for both periods. As a result of the Acquisition, certain identifiable intangible assets were created (primarily customer relationships) that will be amortized over their expected lives.</w:t>
      </w:r>
    </w:p>
    <w:p>
      <w:pPr>
        <w:spacing w:after="0" w:line="65" w:lineRule="exact"/>
        <w:rPr>
          <w:sz w:val="20"/>
          <w:szCs w:val="20"/>
          <w:color w:val="auto"/>
        </w:rPr>
      </w:pPr>
    </w:p>
    <w:p>
      <w:pPr>
        <w:jc w:val="both"/>
        <w:ind w:left="60" w:right="43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Investment interest and other</w:t>
      </w:r>
      <w:r>
        <w:rPr>
          <w:rFonts w:ascii="Times New Roman" w:cs="Times New Roman" w:eastAsia="Times New Roman" w:hAnsi="Times New Roman"/>
          <w:sz w:val="18"/>
          <w:szCs w:val="18"/>
          <w:color w:val="auto"/>
        </w:rPr>
        <w:t>. Investment interest and other for the year ended December 31, 2024 was $15.9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$5.4 million, as compared to $10.5 million for the year ended December 31, 2023 due to higher investment balances and higher returns on those balances.</w:t>
      </w:r>
    </w:p>
    <w:p>
      <w:pPr>
        <w:spacing w:after="0" w:line="65" w:lineRule="exact"/>
        <w:rPr>
          <w:sz w:val="20"/>
          <w:szCs w:val="20"/>
          <w:color w:val="auto"/>
        </w:rPr>
      </w:pPr>
    </w:p>
    <w:p>
      <w:pPr>
        <w:jc w:val="both"/>
        <w:ind w:left="60" w:right="1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year ended December 31, 2024 was $65.1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$10.4 million, or 19.0%, as compared to income tax expense of $54.7 million for the year ended December 31, 2023. Our effective tax rate was 22.3% during the year ended December 31, 2024 compared to 21.1% during the year ended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December 31, 2023. The effective tax rate increased year over year due to higher state income taxes. This was partially offset by an increase in excess tax benefits of $1.5 million as compared to $0.9 million in the years ended December 31, 2024 and 2023, respectively, and a higher contribution in lieu of state income taxes of $4.5 million in 2024 compared to $3.5 million in 2023.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restricted stock vests in March each year so any benefit or expense will primarily impact the first quarter each year.</w:t>
      </w:r>
    </w:p>
    <w:p>
      <w:pPr>
        <w:spacing w:after="0" w:line="79" w:lineRule="exact"/>
        <w:rPr>
          <w:sz w:val="20"/>
          <w:szCs w:val="20"/>
          <w:color w:val="auto"/>
        </w:rPr>
      </w:pPr>
    </w:p>
    <w:p>
      <w:pPr>
        <w:ind w:left="60" w:right="5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Our net income for the year ended December 31, 2024 was $226.2 million, an increase of $21.2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or 10.4% as compared to $205.0 million for the year ended December 31, 2023, due to the factors discussed above.</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service revenue and operating results normally fluctuate as a result of seasonal variations in our business, principally due to changes in our university partners’ enrollment. Our partners’ enrollment varies as a result of new enrollments, graduations, and student attrition. Service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9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324,623</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244,506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60" w:right="219" w:firstLine="441"/>
        <w:spacing w:after="0" w:line="258"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increased by $80.1 million between December 31, 2023 and December 31, 2024, which was largely attributable to cash flows from operations exceeding share repurchases, investment purchases, net of proceeds and capital expenditures during the year ended December 31, 2024. Our unrestricted cash and cash equivalents and investments were $324.6 million and $244.5 million at December 31, 2024 and 2023, respectively.</w:t>
      </w:r>
    </w:p>
    <w:p>
      <w:pPr>
        <w:spacing w:after="0" w:line="75"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289,958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243,662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increase in cash generated from operating activities between the year ended December 31, 2023 and the year ended December 31, 2024 was primarily due to increased income and changes in working capital balances, primarily accounts payable and accrued liabilities. Accounts payable increased between December 31, 2023 and December 31, 2024 by $9.7 million compared to the decrease between December 31, 2022 and December 31, 2023 of $3.1 million due to the timing of vendor payments. Accrued liabilities increased by $4.3 million between December 31, 2023 and December 31, 2024 whereas it decreased by $2.0 million between December 31, 2022 and December 31, 2023 due to timing differences between the last pay period at the end of each fiscal year. We define working capital as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assets and liabilities, other than cash, generated through the Company’s primary operating activities. Changes in these balances are included in the changes in assets and liabilities presented in the consolidated statement of cash flows.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provided $61.4 million of cash in the year ended December 31, 2024 compared to consuming $80.5 million in the year ended December 31, 2023.</w:t>
      </w:r>
    </w:p>
    <w:p>
      <w:pPr>
        <w:spacing w:after="0" w:line="5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Cash provided by or used in investing activities includes net investment activity. In the year ended December 31, 2024, proceeds from the sale of investments, net of purchases of available-for-sale securities were $99.0 million as the Company sold all its investments in the third quarter of 2024 and the proceeds were invested in cash and cash equivalents. In the year ended December 31, 2023, the purchase of available-for-sale securities, net of proceeds from the sale of investments were $35.0 million.</w:t>
      </w:r>
    </w:p>
    <w:p>
      <w:pPr>
        <w:spacing w:after="0" w:line="7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the year ended December 31, 2024 and 2023 cash used in investing activities also included capital expenditures totaling $37.2 million and $44.5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6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1000" w:type="dxa"/>
            <w:vAlign w:val="bottom"/>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(173,175)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0" w:right="459" w:firstLine="441"/>
        <w:spacing w:after="0" w:line="282" w:lineRule="auto"/>
        <w:rPr>
          <w:sz w:val="20"/>
          <w:szCs w:val="20"/>
          <w:color w:val="auto"/>
        </w:rPr>
      </w:pPr>
      <w:r>
        <w:rPr>
          <w:rFonts w:ascii="Times New Roman" w:cs="Times New Roman" w:eastAsia="Times New Roman" w:hAnsi="Times New Roman"/>
          <w:sz w:val="18"/>
          <w:szCs w:val="18"/>
          <w:color w:val="auto"/>
        </w:rPr>
        <w:t>Financing activities consumed $173.2 million of cash in the year ended December 31, 2024 compared to $137.1 million in the year ended December 31, 2023.</w:t>
      </w:r>
    </w:p>
    <w:p>
      <w:pPr>
        <w:spacing w:after="0" w:line="54" w:lineRule="exact"/>
        <w:rPr>
          <w:sz w:val="20"/>
          <w:szCs w:val="20"/>
          <w:color w:val="auto"/>
        </w:rPr>
      </w:pPr>
    </w:p>
    <w:p>
      <w:pPr>
        <w:ind w:left="60" w:right="259" w:firstLine="441"/>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and 2023, $165.4 million and $130.8 million, respectively was used to purchase treasury stock in accordance with GCE’s share repurchase program. In 2024 and 2023, $7.8 million and $6.3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On January 29, 2025, our Board of Directors increased the authorization under its existing stock repurchase program by $200.0 million, reflecting an aggregate authorization for share repurchases since the initiation of the program of $2,245.0 million. The current expiration date on the repurchase authorization by our Board of Directors is March 1, 2026. Repurchases occur at the Company’s discretion and the Company may modify, suspend or discontinue the repurchase authorization at any time.</w:t>
      </w:r>
    </w:p>
    <w:p>
      <w:pPr>
        <w:spacing w:after="0" w:line="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6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Since 2011, we have repurchased 23.9 million shares of common stock at an aggregate cost of $1,945.4 million, which includes 1,141,678 shares of common stock at an aggregate cost of $165.4 million during the year ended December 31, 2024.</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contractual obligations primarily consist of capital expenditures primarily for new off-campus classroom and laboratory sites opening and continued spend on computer equipment, software licenses, internal software development and furniture and equipment to support our increasing employee headcount. See </w:t>
      </w:r>
      <w:r>
        <w:rPr>
          <w:rFonts w:ascii="Times New Roman" w:cs="Times New Roman" w:eastAsia="Times New Roman" w:hAnsi="Times New Roman"/>
          <w:sz w:val="18"/>
          <w:szCs w:val="18"/>
          <w:i w:val="1"/>
          <w:iCs w:val="1"/>
          <w:color w:val="auto"/>
        </w:rPr>
        <w:t>Note 6 - Leases</w:t>
      </w:r>
      <w:r>
        <w:rPr>
          <w:rFonts w:ascii="Times New Roman" w:cs="Times New Roman" w:eastAsia="Times New Roman" w:hAnsi="Times New Roman"/>
          <w:sz w:val="18"/>
          <w:szCs w:val="18"/>
          <w:color w:val="auto"/>
        </w:rPr>
        <w:t>, in Item 8,</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6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Financial Statements and Supplementary Data. </w:t>
      </w:r>
      <w:r>
        <w:rPr>
          <w:rFonts w:ascii="Times New Roman" w:cs="Times New Roman" w:eastAsia="Times New Roman" w:hAnsi="Times New Roman"/>
          <w:sz w:val="18"/>
          <w:szCs w:val="18"/>
          <w:color w:val="auto"/>
        </w:rPr>
        <w:t>There are no other material contractual obligations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for the Company.</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 as of December 31, 2024.</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121"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75"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a non-GAAP financial measure,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8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8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72"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9" w:lineRule="exact"/>
        <w:rPr>
          <w:rFonts w:ascii="Times New Roman" w:cs="Times New Roman" w:eastAsia="Times New Roman" w:hAnsi="Times New Roman"/>
          <w:sz w:val="18"/>
          <w:szCs w:val="18"/>
          <w:color w:val="auto"/>
        </w:rPr>
      </w:pPr>
    </w:p>
    <w:p>
      <w:pPr>
        <w:ind w:left="1040" w:right="719" w:hanging="315"/>
        <w:spacing w:after="0" w:line="260"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7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periods indicated:</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22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5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281,229</w:t>
            </w:r>
          </w:p>
        </w:tc>
        <w:tc>
          <w:tcPr>
            <w:tcW w:w="2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4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color w:val="auto"/>
              </w:rPr>
              <w:t>Plus: contributions in lieu of state income taxes</w:t>
            </w:r>
            <w:r>
              <w:rPr>
                <w:rFonts w:ascii="Times New Roman" w:cs="Times New Roman" w:eastAsia="Times New Roman" w:hAnsi="Times New Roman"/>
                <w:sz w:val="24"/>
                <w:szCs w:val="24"/>
                <w:color w:val="auto"/>
                <w:vertAlign w:val="superscript"/>
              </w:rPr>
              <w:t>(a)</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Plus: share-based compensation</w:t>
            </w:r>
            <w:r>
              <w:rPr>
                <w:rFonts w:ascii="Times New Roman" w:cs="Times New Roman" w:eastAsia="Times New Roman" w:hAnsi="Times New Roman"/>
                <w:sz w:val="25"/>
                <w:szCs w:val="25"/>
                <w:color w:val="auto"/>
                <w:vertAlign w:val="superscript"/>
              </w:rPr>
              <w:t>(b)</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Plus: litigation and regulatory costs</w:t>
            </w:r>
            <w:r>
              <w:rPr>
                <w:rFonts w:ascii="Times New Roman" w:cs="Times New Roman" w:eastAsia="Times New Roman" w:hAnsi="Times New Roman"/>
                <w:sz w:val="25"/>
                <w:szCs w:val="25"/>
                <w:color w:val="auto"/>
                <w:vertAlign w:val="superscript"/>
              </w:rPr>
              <w:t>(c)</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Plus: impairment and other</w:t>
            </w:r>
            <w:r>
              <w:rPr>
                <w:rFonts w:ascii="Times New Roman" w:cs="Times New Roman" w:eastAsia="Times New Roman" w:hAnsi="Times New Roman"/>
                <w:sz w:val="25"/>
                <w:szCs w:val="25"/>
                <w:color w:val="auto"/>
                <w:vertAlign w:val="superscript"/>
              </w:rPr>
              <w:t>(d)</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Plus: loss on fixed asset disposal</w:t>
            </w:r>
            <w:r>
              <w:rPr>
                <w:rFonts w:ascii="Times New Roman" w:cs="Times New Roman" w:eastAsia="Times New Roman" w:hAnsi="Times New Roman"/>
                <w:sz w:val="25"/>
                <w:szCs w:val="25"/>
                <w:color w:val="auto"/>
                <w:vertAlign w:val="superscript"/>
              </w:rPr>
              <w:t>(e)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Plus: severance costs</w:t>
            </w:r>
            <w:r>
              <w:rPr>
                <w:rFonts w:ascii="Times New Roman" w:cs="Times New Roman" w:eastAsia="Times New Roman" w:hAnsi="Times New Roman"/>
                <w:sz w:val="25"/>
                <w:szCs w:val="25"/>
                <w:color w:val="auto"/>
                <w:vertAlign w:val="superscript"/>
              </w:rPr>
              <w:t>(f)</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5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302,302</w:t>
            </w: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3" w:lineRule="exact"/>
        <w:rPr>
          <w:sz w:val="20"/>
          <w:szCs w:val="20"/>
          <w:color w:val="auto"/>
        </w:rPr>
      </w:pPr>
    </w:p>
    <w:p>
      <w:pPr>
        <w:ind w:left="720" w:right="119" w:hanging="319"/>
        <w:spacing w:after="0" w:line="253"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22.3% and 21.1% for the years ended December 31, 2024 and 2023, respectively. Had these contributions not been made, our effective tax rate would have been 23.5% and 22.1% for 2024 and 2023, respectively. Such contributions are viewed by our management to be made in lieu of payments of state income taxes and are therefore excluded from evaluation of our core operating performance.</w:t>
      </w:r>
    </w:p>
    <w:p>
      <w:pPr>
        <w:spacing w:after="0" w:line="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primarily regulatory litigation.</w:t>
      </w:r>
    </w:p>
    <w:p>
      <w:pPr>
        <w:spacing w:after="0" w:line="9" w:lineRule="exact"/>
        <w:rPr>
          <w:rFonts w:ascii="Times New Roman" w:cs="Times New Roman" w:eastAsia="Times New Roman" w:hAnsi="Times New Roman"/>
          <w:sz w:val="18"/>
          <w:szCs w:val="18"/>
          <w:color w:val="auto"/>
        </w:rPr>
      </w:pPr>
    </w:p>
    <w:p>
      <w:pPr>
        <w:ind w:left="720" w:right="319" w:hanging="319"/>
        <w:spacing w:after="0" w:line="250"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primarily the write-off of an internal use software project and costs related to exiting from off-campus classroom and laboratory sites.</w:t>
      </w: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loss on fixed asset disposals.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costs related to an executive that resigned effective June 30, 2024.</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60" w:right="539"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Item 8, </w:t>
      </w:r>
      <w:r>
        <w:rPr>
          <w:rFonts w:ascii="Times New Roman" w:cs="Times New Roman" w:eastAsia="Times New Roman" w:hAnsi="Times New Roman"/>
          <w:sz w:val="18"/>
          <w:szCs w:val="18"/>
          <w:i w:val="1"/>
          <w:iCs w:val="1"/>
          <w:color w:val="auto"/>
        </w:rPr>
        <w:t>Consolidated 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Supplementary Data.</w:t>
      </w:r>
    </w:p>
    <w:p>
      <w:pPr>
        <w:spacing w:after="0" w:line="4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have no derivative financial instruments or derivative commodity instruments. Although we do not currently have any investments, we have historically, and may in the future invest cash in excess of current operating requirements in short term certificates of deposit and money market instruments, municipal bond portfolios, or municipal mutual funds at multiple financial institutions.</w:t>
      </w: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manage interest rate risk by investing excess funds in cash equivalents, BBB or higher rated 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2024, we do not currently have any investments, and therefore a 10% increase or decrease in interest rates would not have a material impact on our future earnings, fair values, or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7880" w:type="dxa"/>
            <w:vAlign w:val="bottom"/>
            <w:gridSpan w:val="8"/>
          </w:tcPr>
          <w:p>
            <w:pPr>
              <w:ind w:left="180"/>
              <w:spacing w:after="0"/>
              <w:rPr>
                <w:sz w:val="20"/>
                <w:szCs w:val="20"/>
                <w:color w:val="auto"/>
              </w:rPr>
            </w:pPr>
            <w:r>
              <w:rPr>
                <w:rFonts w:ascii="Times New Roman" w:cs="Times New Roman" w:eastAsia="Times New Roman" w:hAnsi="Times New Roman"/>
                <w:sz w:val="18"/>
                <w:szCs w:val="18"/>
                <w:i w:val="1"/>
                <w:iCs w:val="1"/>
                <w:color w:val="auto"/>
              </w:rPr>
              <w:t>Consolidated Financial Statements and Supplementary Data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Phoenix, Arizona, Auditor Firm: 185)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Income Statements for the years ended December 31, 2024, 2023 and 2022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2024, 2023 and 2022</w:t>
            </w:r>
          </w:p>
        </w:tc>
        <w:tc>
          <w:tcPr>
            <w:tcW w:w="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12"/>
        </w:trPr>
        <w:tc>
          <w:tcPr>
            <w:tcW w:w="85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2024, 2023 and 2022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412"/>
        </w:trPr>
        <w:tc>
          <w:tcPr>
            <w:tcW w:w="75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98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12"/>
        </w:trPr>
        <w:tc>
          <w:tcPr>
            <w:tcW w:w="69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left="6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Grand Canyon Education, Inc. and subsidiaries (the Company) as of December 31, 2024 and 2023, the related consolidated statements of income,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62"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19, 2025 expressed an unqualified opinion on the effectiveness of the Company’s internal control over financial reporting.</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Evaluation of the sufficiency of audit evidence over service revenue</w:t>
      </w:r>
    </w:p>
    <w:p>
      <w:pPr>
        <w:spacing w:after="0" w:line="106" w:lineRule="exact"/>
        <w:rPr>
          <w:sz w:val="20"/>
          <w:szCs w:val="20"/>
          <w:color w:val="auto"/>
        </w:rPr>
      </w:pPr>
    </w:p>
    <w:p>
      <w:pPr>
        <w:ind w:left="700" w:right="79"/>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499"/>
        <w:spacing w:after="0" w:line="282" w:lineRule="auto"/>
        <w:rPr>
          <w:sz w:val="20"/>
          <w:szCs w:val="20"/>
          <w:color w:val="auto"/>
        </w:rPr>
      </w:pPr>
      <w:r>
        <w:rPr>
          <w:rFonts w:ascii="Times New Roman" w:cs="Times New Roman" w:eastAsia="Times New Roman" w:hAnsi="Times New Roman"/>
          <w:sz w:val="18"/>
          <w:szCs w:val="18"/>
          <w:color w:val="auto"/>
        </w:rPr>
        <w:t>on the respective University Partner’s reporting processes and the services provided. The Company recorded $1,033 million of service revenue for the year ended December 31, 2024.</w:t>
      </w:r>
    </w:p>
    <w:p>
      <w:pPr>
        <w:spacing w:after="0" w:line="135" w:lineRule="exact"/>
        <w:rPr>
          <w:sz w:val="20"/>
          <w:szCs w:val="20"/>
          <w:color w:val="auto"/>
        </w:rPr>
      </w:pPr>
    </w:p>
    <w:p>
      <w:pPr>
        <w:ind w:left="700" w:right="159"/>
        <w:spacing w:after="0" w:line="281"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124" w:lineRule="exact"/>
        <w:rPr>
          <w:sz w:val="20"/>
          <w:szCs w:val="20"/>
          <w:color w:val="auto"/>
        </w:rPr>
      </w:pPr>
    </w:p>
    <w:p>
      <w:pPr>
        <w:ind w:left="700" w:right="99"/>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tuition and fee information of the University Partners. We evaluated the design and tested the operating effectiveness of certain internal controls related to service revenue. This included controls related to the accurate recording of amounts dependent on University Partners’ tuition and fee revenue information. For a sample of transactions, we compared the amounts recognized as service revenue for consistency with underlying documentation, including contracts with University Partners and student enrollment documentation.</w:t>
      </w:r>
    </w:p>
    <w:p>
      <w:pPr>
        <w:spacing w:after="0" w:line="94" w:lineRule="exact"/>
        <w:rPr>
          <w:sz w:val="20"/>
          <w:szCs w:val="20"/>
          <w:color w:val="auto"/>
        </w:rPr>
      </w:pPr>
    </w:p>
    <w:p>
      <w:pPr>
        <w:ind w:left="700" w:right="699"/>
        <w:spacing w:after="0" w:line="261" w:lineRule="auto"/>
        <w:rPr>
          <w:sz w:val="20"/>
          <w:szCs w:val="20"/>
          <w:color w:val="auto"/>
        </w:rPr>
      </w:pPr>
      <w:r>
        <w:rPr>
          <w:rFonts w:ascii="Times New Roman" w:cs="Times New Roman" w:eastAsia="Times New Roman" w:hAnsi="Times New Roman"/>
          <w:sz w:val="18"/>
          <w:szCs w:val="18"/>
          <w:color w:val="auto"/>
        </w:rPr>
        <w:t>We evaluated the sufficiency of audit evidence obtained by assessing the results of procedures performed, including the nature of such evidence.</w:t>
      </w: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11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88,257</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 and December 31, 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54,090 and 53,970 shares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28,858 and 29,953 shares outstanding at December 31, 2024 and December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 respectively</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25,232 and 24,017 shares of common stock at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(1,849,693)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2,244,712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783,853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718,014</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1,018,425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1,033,002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and 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757,603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711,643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7.73</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5.73</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4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29,104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29,991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32,131</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29,271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30,147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32,237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94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$ 226,234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$ 204,985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$ 184,675</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Realized gains on available-for-sale securities, net of taxes of $17 for the year</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ended December 31, 2024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gains (losses) on available-for-sale securities, net of taxes of $151</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$168 for the years ended December 31, 2023 and 2022, respectively</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$ 226,291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$ 205,461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$ 184,142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66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740" w:type="dxa"/>
            <w:vAlign w:val="bottom"/>
            <w:gridSpan w:val="3"/>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8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660" w:type="dxa"/>
            <w:vAlign w:val="bottom"/>
            <w:gridSpan w:val="5"/>
            <w:vMerge w:val="continue"/>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6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76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8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$(1,107,211)</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$ 296,670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$1,855,052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1,045,047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184,142</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(599,587)</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(599,587)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(1,711,423)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$ 309,310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2,039,727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637,619</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0" w:type="dxa"/>
            <w:vAlign w:val="bottom"/>
            <w:vMerge w:val="continue"/>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continue"/>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476</w:t>
            </w:r>
          </w:p>
        </w:tc>
        <w:tc>
          <w:tcPr>
            <w:tcW w:w="8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204,985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205,461</w:t>
            </w:r>
          </w:p>
        </w:tc>
        <w:tc>
          <w:tcPr>
            <w:tcW w:w="0" w:type="dxa"/>
            <w:vAlign w:val="bottom"/>
          </w:tcPr>
          <w:p>
            <w:pPr>
              <w:spacing w:after="0"/>
              <w:rPr>
                <w:sz w:val="1"/>
                <w:szCs w:val="1"/>
                <w:color w:val="auto"/>
              </w:rPr>
            </w:pPr>
          </w:p>
        </w:tc>
      </w:tr>
      <w:tr>
        <w:trPr>
          <w:trHeight w:val="198"/>
        </w:trPr>
        <w:tc>
          <w:tcPr>
            <w:tcW w:w="2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(131,939)</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(131,939)</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w:t>
            </w:r>
          </w:p>
        </w:tc>
        <w:tc>
          <w:tcPr>
            <w:tcW w:w="0" w:type="dxa"/>
            <w:vAlign w:val="bottom"/>
          </w:tcPr>
          <w:p>
            <w:pPr>
              <w:spacing w:after="0"/>
              <w:rPr>
                <w:sz w:val="1"/>
                <w:szCs w:val="1"/>
                <w:color w:val="auto"/>
              </w:rPr>
            </w:pPr>
          </w:p>
        </w:tc>
      </w:tr>
      <w:tr>
        <w:trPr>
          <w:trHeight w:val="236"/>
        </w:trPr>
        <w:tc>
          <w:tcPr>
            <w:tcW w:w="28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53,970</w:t>
            </w: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20" w:type="dxa"/>
            <w:vAlign w:val="bottom"/>
            <w:tcBorders>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24,017</w:t>
            </w:r>
          </w:p>
        </w:tc>
        <w:tc>
          <w:tcPr>
            <w:tcW w:w="12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(1,849,693)</w:t>
            </w:r>
          </w:p>
        </w:tc>
        <w:tc>
          <w:tcPr>
            <w:tcW w:w="14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$ 322,512</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$ 2,244,712</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718,014</w:t>
            </w: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Comprehensive income</w:t>
            </w:r>
          </w:p>
        </w:tc>
        <w:tc>
          <w:tcPr>
            <w:tcW w:w="6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226,234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226,291</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purchased for</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treasury</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(166,907)</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(166,907)</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6,455</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(2,024,370)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$ 336,736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$ 2,470,946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783,853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provided by operating activities: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226,234</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204,985</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184,675</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13,204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12,642</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28,135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23,554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22,758</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49"/>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including impairment and fixed asset disposals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from university partners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(2,604)</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Right-of-use assets and lease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(3,894)</w:t>
            </w:r>
          </w:p>
        </w:tc>
        <w:tc>
          <w:tcPr>
            <w:tcW w:w="0" w:type="dxa"/>
            <w:vAlign w:val="bottom"/>
          </w:tcPr>
          <w:p>
            <w:pPr>
              <w:spacing w:after="0"/>
              <w:rPr>
                <w:sz w:val="1"/>
                <w:szCs w:val="1"/>
                <w:color w:val="auto"/>
              </w:rPr>
            </w:pPr>
          </w:p>
        </w:tc>
      </w:tr>
      <w:tr>
        <w:trPr>
          <w:trHeight w:val="148"/>
        </w:trPr>
        <w:tc>
          <w:tcPr>
            <w:tcW w:w="60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 receivable/payable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4,759</w:t>
            </w:r>
          </w:p>
        </w:tc>
        <w:tc>
          <w:tcPr>
            <w:tcW w:w="0" w:type="dxa"/>
            <w:vAlign w:val="bottom"/>
          </w:tcPr>
          <w:p>
            <w:pPr>
              <w:spacing w:after="0"/>
              <w:rPr>
                <w:sz w:val="1"/>
                <w:szCs w:val="1"/>
                <w:color w:val="auto"/>
              </w:rPr>
            </w:pPr>
          </w:p>
        </w:tc>
      </w:tr>
      <w:tr>
        <w:trPr>
          <w:trHeight w:val="148"/>
        </w:trPr>
        <w:tc>
          <w:tcPr>
            <w:tcW w:w="606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289,958</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243,662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220,819</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provided by (used in) investing activities: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(37,248)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(44,537)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(35,232)</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Additions of amortizable content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(98,853)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(171,549)</w:t>
            </w:r>
          </w:p>
        </w:tc>
        <w:tc>
          <w:tcPr>
            <w:tcW w:w="0" w:type="dxa"/>
            <w:vAlign w:val="bottom"/>
          </w:tcPr>
          <w:p>
            <w:pPr>
              <w:spacing w:after="0"/>
              <w:rPr>
                <w:sz w:val="1"/>
                <w:szCs w:val="1"/>
                <w:color w:val="auto"/>
              </w:rPr>
            </w:pPr>
          </w:p>
        </w:tc>
      </w:tr>
      <w:tr>
        <w:trPr>
          <w:trHeight w:val="149"/>
        </w:trPr>
        <w:tc>
          <w:tcPr>
            <w:tcW w:w="606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sale or maturity of investments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147,619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63,815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110,039</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61,365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(80,472)</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(97,139)</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financing activities: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shares and shares withheld in lieu of income taxes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(173,175)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(137,124)</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(604,212)</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(173,175)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(137,124)</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(604,212)</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in cash and cash equivalents and restricted cash</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178,148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26,066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(480,532)</w:t>
            </w:r>
          </w:p>
        </w:tc>
        <w:tc>
          <w:tcPr>
            <w:tcW w:w="0" w:type="dxa"/>
            <w:vAlign w:val="bottom"/>
          </w:tcPr>
          <w:p>
            <w:pPr>
              <w:spacing w:after="0"/>
              <w:rPr>
                <w:sz w:val="1"/>
                <w:szCs w:val="1"/>
                <w:color w:val="auto"/>
              </w:rPr>
            </w:pPr>
          </w:p>
        </w:tc>
      </w:tr>
      <w:tr>
        <w:trPr>
          <w:trHeight w:val="148"/>
        </w:trPr>
        <w:tc>
          <w:tcPr>
            <w:tcW w:w="60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beginning of period</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146,475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120,409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600,941</w:t>
            </w:r>
          </w:p>
        </w:tc>
        <w:tc>
          <w:tcPr>
            <w:tcW w:w="0" w:type="dxa"/>
            <w:vAlign w:val="bottom"/>
          </w:tcPr>
          <w:p>
            <w:pPr>
              <w:spacing w:after="0"/>
              <w:rPr>
                <w:sz w:val="1"/>
                <w:szCs w:val="1"/>
                <w:color w:val="auto"/>
              </w:rPr>
            </w:pPr>
          </w:p>
        </w:tc>
      </w:tr>
      <w:tr>
        <w:trPr>
          <w:trHeight w:val="142"/>
        </w:trPr>
        <w:tc>
          <w:tcPr>
            <w:tcW w:w="60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and restricted cash, end of period</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324,623</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146,475</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120,409</w:t>
            </w:r>
          </w:p>
        </w:tc>
        <w:tc>
          <w:tcPr>
            <w:tcW w:w="0" w:type="dxa"/>
            <w:vAlign w:val="bottom"/>
          </w:tcPr>
          <w:p>
            <w:pPr>
              <w:spacing w:after="0"/>
              <w:rPr>
                <w:sz w:val="1"/>
                <w:szCs w:val="1"/>
                <w:color w:val="auto"/>
              </w:rPr>
            </w:pPr>
          </w:p>
        </w:tc>
      </w:tr>
      <w:tr>
        <w:trPr>
          <w:trHeight w:val="142"/>
        </w:trPr>
        <w:tc>
          <w:tcPr>
            <w:tcW w:w="60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65,261</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59,026</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48,573</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ROU Asset and Liability recognition</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7,087</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19,735</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15,067</w:t>
            </w:r>
          </w:p>
        </w:tc>
        <w:tc>
          <w:tcPr>
            <w:tcW w:w="0" w:type="dxa"/>
            <w:vAlign w:val="bottom"/>
          </w:tcPr>
          <w:p>
            <w:pPr>
              <w:spacing w:after="0"/>
              <w:rPr>
                <w:sz w:val="1"/>
                <w:szCs w:val="1"/>
                <w:color w:val="auto"/>
              </w:rPr>
            </w:pPr>
          </w:p>
        </w:tc>
      </w:tr>
      <w:tr>
        <w:trPr>
          <w:trHeight w:val="247"/>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Excise tax on treasury stock repurchases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3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that operates a comprehensive regionally accredited university that offers graduate and undergraduate degree programs, emphases and certificates across ten colleges both online, on ground at its campus in Phoenix, Arizona and at eight off-site classroom and laboratory sites.</w:t>
      </w:r>
    </w:p>
    <w:p>
      <w:pPr>
        <w:spacing w:after="0" w:line="8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also provide education services to numerous university partners across the United States.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December 31, 2024, GCE provides education services to 22 university partners across the Unites States.</w:t>
      </w:r>
    </w:p>
    <w:p>
      <w:pPr>
        <w:spacing w:after="0" w:line="81"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On July 1, 2018, the Company sold the university to GCU (the “Transaction”). The Company’s wholly owned subsidiaries were historically used to facilitate expansion of the university campus prior to the Transaction.</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Intercompany transactions have been eliminated in consolidation.</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including the collection of accounts receivables and reserves associated with uncertain tax positions. Actual results could differ from those estimates.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no investments. As of December 31, 2023 the Company considered investments in corporate bonds, agency bonds, treasury bills and commercial paper as available-for-sale securities based on the Company’s intent for the respective securities. Available-for-sale securities are carried at fair value, determined using Level 1 and Level 2 of the hierarchy of valuation inputs, with the use of quoted market prices and inputs other than quoted prices that are observable for the assets. Unrealized investment gains and losses, net of tax, are reported as a separate component of other comprehensive income. Unrealized losses considered to be other-than temporary are recognized currently in earnings. Amortization of premiums, accretion of discounts, interest and dividend income and realized gains and losses are included in interest and other income.</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depreciated. 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GCU</w:t>
      </w:r>
    </w:p>
    <w:p>
      <w:pPr>
        <w:spacing w:after="0" w:line="121" w:lineRule="exact"/>
        <w:rPr>
          <w:sz w:val="20"/>
          <w:szCs w:val="20"/>
          <w:color w:val="auto"/>
        </w:rPr>
      </w:pPr>
    </w:p>
    <w:p>
      <w:pPr>
        <w:ind w:left="60" w:right="79" w:firstLine="441"/>
        <w:spacing w:after="0" w:line="256" w:lineRule="auto"/>
        <w:rPr>
          <w:sz w:val="20"/>
          <w:szCs w:val="20"/>
          <w:color w:val="auto"/>
        </w:rPr>
      </w:pPr>
      <w:r>
        <w:rPr>
          <w:rFonts w:ascii="Times New Roman" w:cs="Times New Roman" w:eastAsia="Times New Roman" w:hAnsi="Times New Roman"/>
          <w:sz w:val="18"/>
          <w:szCs w:val="18"/>
          <w:color w:val="auto"/>
        </w:rPr>
        <w:t>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Technology</w:t>
      </w:r>
    </w:p>
    <w:p>
      <w:pPr>
        <w:spacing w:after="0" w:line="121"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Content Development</w:t>
      </w:r>
    </w:p>
    <w:p>
      <w:pPr>
        <w:spacing w:after="0" w:line="121"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7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2024 and 2023, $658 and $746, respectively, net of amortization, of deferred content assets are included in other assets in the Company’s consolidated balance sheets and amortization is included in technical and academic services where the costs originated.</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 and Amortizable Intangible Assets</w:t>
      </w:r>
    </w:p>
    <w:p>
      <w:pPr>
        <w:spacing w:after="0" w:line="121"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 Following this assessment, the Company determined that it is more likely than not that its fair value exceeds its carrying amount.</w:t>
      </w:r>
    </w:p>
    <w:p>
      <w:pPr>
        <w:spacing w:after="0" w:line="8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December 31, 2024.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“Board of Directors”). The Company recognizes forfeitures as they occur.</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accounts payable, accrued compensation and benefits and accrued liabilities approximate their fair value based on the liquidity or the short-term maturities of these instruments.</w:t>
      </w:r>
    </w:p>
    <w:p>
      <w:pPr>
        <w:spacing w:after="0" w:line="6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of fair value measurements for each level is described below, with Level 1 having the highest priority.</w:t>
      </w:r>
    </w:p>
    <w:p>
      <w:pPr>
        <w:spacing w:after="0" w:line="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inputs are quoted prices (unadjusted) in active markets for identical assets or liabilities.</w:t>
      </w:r>
    </w:p>
    <w:p>
      <w:pPr>
        <w:spacing w:after="0" w:line="117" w:lineRule="exact"/>
        <w:rPr>
          <w:sz w:val="20"/>
          <w:szCs w:val="20"/>
          <w:color w:val="auto"/>
        </w:rPr>
      </w:pPr>
    </w:p>
    <w:p>
      <w:pPr>
        <w:ind w:left="700" w:right="139"/>
        <w:spacing w:after="0" w:line="266" w:lineRule="auto"/>
        <w:rPr>
          <w:sz w:val="20"/>
          <w:szCs w:val="20"/>
          <w:color w:val="auto"/>
        </w:rPr>
      </w:pPr>
      <w:r>
        <w:rPr>
          <w:rFonts w:ascii="Times New Roman" w:cs="Times New Roman" w:eastAsia="Times New Roman" w:hAnsi="Times New Roman"/>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Investments are comprised of corporate bonds, commercial paper, municipal securities, asset backed securities, municipal bonds, and collateralized mortgage obligations.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7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2024 and 2023, the Company has reserved approximately $14,626 and $13,631, respectively, for uncertain tax positions, including interest and penalties, which is classified within accrued liabilities on the accompanying consolidated balance sheet.</w:t>
      </w:r>
    </w:p>
    <w:p>
      <w:pPr>
        <w:spacing w:after="0" w:line="7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60" w:right="459" w:firstLine="648"/>
        <w:spacing w:after="0" w:line="261" w:lineRule="auto"/>
        <w:rPr>
          <w:sz w:val="20"/>
          <w:szCs w:val="20"/>
          <w:color w:val="auto"/>
        </w:rPr>
      </w:pPr>
      <w:r>
        <w:rPr>
          <w:rFonts w:ascii="Times New Roman" w:cs="Times New Roman" w:eastAsia="Times New Roman" w:hAnsi="Times New Roman"/>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72"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Agreements and result in a settlement duration of less than one year for all partners. There are no refunds or return rights under the Services Agreements.</w:t>
      </w:r>
    </w:p>
    <w:p>
      <w:pPr>
        <w:spacing w:after="0" w:line="5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2024 given historical collection experience and an evaluation of reasonable and supportable forecasts of economic conditions and other pertinent factors affecting the Company’s customers such as known credit risk or industry trends. The Company will continue to review and revise its allowance methodology based on its collection experience with its partners.</w:t>
      </w:r>
    </w:p>
    <w:p>
      <w:pPr>
        <w:spacing w:after="0" w:line="8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$115 and $188 as of December 31, 2024 and 2023,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 The Company will continue to actively monitor other factors on expected credit losses.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Academic Services</w:t>
      </w:r>
    </w:p>
    <w:p>
      <w:pPr>
        <w:spacing w:after="0" w:line="1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Counseling Services and Support</w:t>
      </w:r>
    </w:p>
    <w:p>
      <w:pPr>
        <w:spacing w:after="0" w:line="12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and Indianapolis, Indiana locations.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and Communication</w:t>
      </w:r>
    </w:p>
    <w:p>
      <w:pPr>
        <w:spacing w:after="0" w:line="12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occupancy costs attributable to the provision of these services, primarily at the Company’s Phoenix, Arizona and Indianapolis, Indiana locations. Advertising costs are expensed as incurred.</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other</w:t>
      </w:r>
    </w:p>
    <w:p>
      <w:pPr>
        <w:spacing w:after="0" w:line="121"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Impairment and other primarily includes the write-off of an internal use software project that has been terminated that it had been attempting to develop for its other university partners and costs relating to exiting from certain off-campus classroom and laboratory sites.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Insurance/Self-Insurance</w:t>
      </w:r>
    </w:p>
    <w:p>
      <w:pPr>
        <w:spacing w:after="0" w:line="121"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Company uses a combination of insurance and self-insurance for a number of risks, including claims related to employee healthcare,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2024 and 2023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December 31, 2024 and December 31, 2023, the Company had $323,124 and $145,474, respectively, in excess of the FDIC insured limit. The Company is also subject to credit risk for its accounts receivable balance. The Company has not experienced any losses on accounts receivables since July 1, 2018, the date the Company transitioned to an education service company. To manage accounts receivable risk, the Company maintains an allowance for doubtful accounts, if needed. Our dependence on our most significant university partner, with 88.9% and 87.8% of total service revenue for the years ended December 31, 2024 and 2023, respectively, subjects us to the risk that declines in our customer’s operations would result in a sustained reduction in service revenue for the Company.</w:t>
      </w:r>
    </w:p>
    <w:p>
      <w:pPr>
        <w:spacing w:after="0" w:line="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60" w:right="159" w:firstLine="441"/>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education services company using a core infrastructure that serves the curriculum and educational delivery needs of its university partners. The Company’s Chief Executive Officer (the “Chief Operating Decision Maker” or “CODM”) manages the Company’s operations as a whole and no expense or operating income information is generated or evaluated on any component level other than consolidated net income.</w:t>
      </w:r>
    </w:p>
    <w:p>
      <w:pPr>
        <w:spacing w:after="0" w:line="72" w:lineRule="exact"/>
        <w:rPr>
          <w:sz w:val="20"/>
          <w:szCs w:val="20"/>
          <w:color w:val="auto"/>
        </w:rPr>
      </w:pPr>
    </w:p>
    <w:p>
      <w:pPr>
        <w:jc w:val="both"/>
        <w:ind w:left="60" w:right="119" w:firstLine="441"/>
        <w:spacing w:after="0" w:line="266" w:lineRule="auto"/>
        <w:rPr>
          <w:sz w:val="20"/>
          <w:szCs w:val="20"/>
          <w:color w:val="auto"/>
        </w:rPr>
      </w:pPr>
      <w:r>
        <w:rPr>
          <w:rFonts w:ascii="Times New Roman" w:cs="Times New Roman" w:eastAsia="Times New Roman" w:hAnsi="Times New Roman"/>
          <w:sz w:val="18"/>
          <w:szCs w:val="18"/>
          <w:color w:val="auto"/>
        </w:rPr>
        <w:t>The education services segment generates revenue through Service Agreements with its university partners, pursuant to which the Company provides integrated technology and academic services, marketing and communication services, and back-office services to its university partners in return for a percentage of tuition and fee revenue.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441"/>
        <w:spacing w:after="0" w:line="261" w:lineRule="auto"/>
        <w:rPr>
          <w:sz w:val="20"/>
          <w:szCs w:val="20"/>
          <w:color w:val="auto"/>
        </w:rPr>
      </w:pPr>
      <w:r>
        <w:rPr>
          <w:rFonts w:ascii="Times New Roman" w:cs="Times New Roman" w:eastAsia="Times New Roman" w:hAnsi="Times New Roman"/>
          <w:sz w:val="18"/>
          <w:szCs w:val="18"/>
          <w:color w:val="auto"/>
        </w:rPr>
        <w:t>The accounting policies of the education services segment are the same as those described in the summary of significant accounting policies. The measure of segment assets is reported on the consolidated balance sheet as total consolidated assets. The CODM uses consolidated net income to monitor budget versus actual results, which is used to evaluate headcount and compensation decisions.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60" w:right="119" w:firstLine="441"/>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No. 2023-07, “Segment Reporting (Topic 280): Improvements to Reportable Segment Disclosure,” effective for fiscal years beginning after December 15, 2023, with early adoption permitted. This ASU adds disclosure requirements for segment expense information and clarifies that single reportable segment entities are subject to Topic 280 in its entirety. The Company adopted this standard effective January 1, 2024 and the adoption of this guidance did not have a material impact on the Company’s financial condition, results of operations or statements of cash flows.</w:t>
      </w:r>
    </w:p>
    <w:p>
      <w:pPr>
        <w:spacing w:after="0" w:line="79" w:lineRule="exact"/>
        <w:rPr>
          <w:sz w:val="20"/>
          <w:szCs w:val="20"/>
          <w:color w:val="auto"/>
        </w:rPr>
      </w:pPr>
    </w:p>
    <w:p>
      <w:pPr>
        <w:ind w:left="60" w:right="139" w:firstLine="441"/>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spacing w:after="0" w:line="7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ASU No. 2024-03 will become effective for us in fiscal 2027 and in the first quarter of fiscal 2028 for interim reporting. Retrospective application is permitted. The Company does not expect the adoption of this guidance to have a material impact on the Company’s financial condition, results of operations or statements of cash flows.</w:t>
      </w:r>
    </w:p>
    <w:p>
      <w:pPr>
        <w:spacing w:after="0" w:line="84"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has determined that no other recent accounting pronouncements apply to its operations or could otherwise have a material impact on its consolidated financial statements.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21"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Company had investments of $0 and $98,031, respectively, classified as available-for sale securities. The Company sold all its investments in the third quarter of 2024 and the proceeds were invested in cash and cash equivalents.</w:t>
      </w:r>
    </w:p>
    <w:p>
      <w:pPr>
        <w:spacing w:after="0" w:line="6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net realized gains were $57 and for the years ended December 31, 2023 and 2022, unrealized gains and losses were $476 and $533, respectively, net of taxes. Available-for-sale securities are carried at fair value on the consolidated balance sheets. The Company estimates the lifetime expected credit losses for all available-for-sale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340,114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(195,213)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(170,415)</w:t>
            </w:r>
          </w:p>
        </w:tc>
        <w:tc>
          <w:tcPr>
            <w:tcW w:w="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totaled $27,760, $23,106 and $22,115 for the years ended December 31, 2024, 2023, and 2022, respectively.</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121"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Identified intangible assets of $210,280 consisted primarily of university partner relationships that were valued at $210,000, which arose in connection with the acquisition of Orbis Education in January 2019.</w:t>
      </w:r>
    </w:p>
    <w:p>
      <w:pPr>
        <w:spacing w:after="0" w:line="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Amortizable intangible assets consist of the following as of:</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5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80" w:type="dxa"/>
            <w:vAlign w:val="bottom"/>
          </w:tcPr>
          <w:p>
            <w:pPr>
              <w:spacing w:after="0"/>
              <w:rPr>
                <w:sz w:val="10"/>
                <w:szCs w:val="10"/>
                <w:color w:val="auto"/>
              </w:rPr>
            </w:pPr>
          </w:p>
        </w:tc>
        <w:tc>
          <w:tcPr>
            <w:tcW w:w="10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9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University partner relationships</w:t>
            </w:r>
          </w:p>
        </w:tc>
        <w:tc>
          <w:tcPr>
            <w:tcW w:w="142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42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Amortization expense for university partner relationships and trade names for the years ending December 31:</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r>
      <w:tr>
        <w:trPr>
          <w:trHeight w:val="216"/>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117,867</w:t>
            </w:r>
          </w:p>
        </w:tc>
      </w:tr>
      <w:tr>
        <w:trPr>
          <w:trHeight w:val="210"/>
        </w:trPr>
        <w:tc>
          <w:tcPr>
            <w:tcW w:w="4320" w:type="dxa"/>
            <w:vAlign w:val="bottom"/>
            <w:tcBorders>
              <w:bottom w:val="single" w:sz="8" w:color="CCEEFF"/>
            </w:tcBorders>
            <w:shd w:val="clear" w:color="auto" w:fill="CCEEFF"/>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159,962</w:t>
            </w:r>
          </w:p>
        </w:tc>
      </w:tr>
      <w:tr>
        <w:trPr>
          <w:trHeight w:val="20"/>
        </w:trPr>
        <w:tc>
          <w:tcPr>
            <w:tcW w:w="4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Company has operating leases for off-campus classroom and laboratory site locations, office space, office equipment, and optical fiber communication lines. These leases have terms that range from one month to ten years and four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$16,694, $13,496 and $10,666 for the years ended December 31, 2024, 2023 and 2022, respectively.</w:t>
      </w:r>
    </w:p>
    <w:p>
      <w:pPr>
        <w:spacing w:after="0" w:line="81"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$17,029 of non-cancelable operating lease commitments for four off-campus classroom and laboratory sites that had not yet commenced. The Company’s weighted-average remaining lease term relating to its operating leases is 7.62 years, with a weighted-average discount rate of 4.22%. The cash paid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for operating lease liabilities was $14,895, $11,391 and $9,537 for the years ended December 31, 2024, 2023 and 2022, respectively. As of December 31, 2024, the Company had no financing leases.</w:t>
      </w:r>
    </w:p>
    <w:p>
      <w:pPr>
        <w:spacing w:after="0" w:line="5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Future payment obligations with respect to the Company’s operating leases, which were existing at December 31, 2024, by year and in the aggregate, are as follows:</w:t>
      </w:r>
    </w:p>
    <w:tbl>
      <w:tblPr>
        <w:tblLayout w:type="fixed"/>
        <w:tblInd w:w="60" w:type="dxa"/>
        <w:tblCellMar>
          <w:top w:w="0" w:type="dxa"/>
          <w:left w:w="0" w:type="dxa"/>
          <w:bottom w:w="0" w:type="dxa"/>
          <w:right w:w="0" w:type="dxa"/>
        </w:tblCellMar>
      </w:tblPr>
      <w:tr>
        <w:trPr>
          <w:trHeight w:val="162"/>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16,414</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44,477</w:t>
            </w: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128,314</w:t>
            </w:r>
          </w:p>
        </w:tc>
      </w:tr>
      <w:tr>
        <w:trPr>
          <w:trHeight w:val="210"/>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w:t>
            </w: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108,518</w:t>
            </w: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8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Pending Litigation Matters</w:t>
      </w:r>
    </w:p>
    <w:p>
      <w:pPr>
        <w:spacing w:after="0" w:line="119" w:lineRule="exact"/>
        <w:rPr>
          <w:sz w:val="20"/>
          <w:szCs w:val="20"/>
          <w:color w:val="auto"/>
        </w:rPr>
      </w:pPr>
    </w:p>
    <w:p>
      <w:pPr>
        <w:ind w:left="60" w:right="11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False Claims Act Matter</w:t>
      </w:r>
      <w:r>
        <w:rPr>
          <w:rFonts w:ascii="Times New Roman" w:cs="Times New Roman" w:eastAsia="Times New Roman" w:hAnsi="Times New Roman"/>
          <w:sz w:val="18"/>
          <w:szCs w:val="18"/>
          <w:color w:val="auto"/>
        </w:rPr>
        <w:t>. In May 2020, the Company was served with a</w:t>
      </w:r>
      <w:r>
        <w:rPr>
          <w:rFonts w:ascii="Times New Roman" w:cs="Times New Roman" w:eastAsia="Times New Roman" w:hAnsi="Times New Roman"/>
          <w:sz w:val="18"/>
          <w:szCs w:val="18"/>
          <w:i w:val="1"/>
          <w:iCs w:val="1"/>
          <w:color w:val="auto"/>
        </w:rPr>
        <w:t xml:space="preserve"> qui tam </w:t>
      </w:r>
      <w:r>
        <w:rPr>
          <w:rFonts w:ascii="Times New Roman" w:cs="Times New Roman" w:eastAsia="Times New Roman" w:hAnsi="Times New Roman"/>
          <w:sz w:val="18"/>
          <w:szCs w:val="18"/>
          <w:color w:val="auto"/>
        </w:rPr>
        <w:t>lawsuit that had been filed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 w:cs="Times New Roman" w:eastAsia="Times New Roman" w:hAnsi="Times New Roman"/>
          <w:sz w:val="18"/>
          <w:szCs w:val="18"/>
          <w:i w:val="1"/>
          <w:iCs w:val="1"/>
          <w:color w:val="auto"/>
        </w:rPr>
        <w:t>United States ex rel Mackillop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 Canyon Education, Inc.</w:t>
      </w:r>
      <w:r>
        <w:rPr>
          <w:rFonts w:ascii="Times New Roman" w:cs="Times New Roman" w:eastAsia="Times New Roman" w:hAnsi="Times New Roman"/>
          <w:sz w:val="18"/>
          <w:szCs w:val="18"/>
          <w:color w:val="auto"/>
        </w:rPr>
        <w:t>, alleges that we violated the False Claims Act by improperly compensating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a motion for summary judgment which the Massachusetts court denied in September 2022. Subsequently, the matter was transferred to the Arizona court and trial was scheduled for late April 2024. In the interim, we filed a motion for reconsideration of the summary judgment ruling in September 2023; that motion remains pending. Prior to trial commencing, we and the relator reached an agreement to stay trial while the parties attempt to finalize the terms upon which the litigation could be concluded. Having been unsuccessful in reaching terms with the relevant parties, which would have avoided litigation, the Court has rescheduled the trial for October 2025. For any future settlement to be affected, all parties to the litigation will need to agree on acceptable terms, both monetary and non-monetary. In this regard, because this matter involves claims under the False Claims Act, any such terms would also need to be approved by the applicable U.S. government agencies.</w:t>
      </w:r>
    </w:p>
    <w:p>
      <w:pPr>
        <w:spacing w:after="0" w:line="86" w:lineRule="exact"/>
        <w:rPr>
          <w:sz w:val="20"/>
          <w:szCs w:val="20"/>
          <w:color w:val="auto"/>
        </w:rPr>
      </w:pPr>
    </w:p>
    <w:p>
      <w:pPr>
        <w:ind w:left="60" w:right="339" w:firstLine="441"/>
        <w:spacing w:after="0" w:line="312" w:lineRule="auto"/>
        <w:rPr>
          <w:sz w:val="20"/>
          <w:szCs w:val="20"/>
          <w:color w:val="auto"/>
        </w:rPr>
      </w:pPr>
      <w:r>
        <w:rPr>
          <w:rFonts w:ascii="Times New Roman" w:cs="Times New Roman" w:eastAsia="Times New Roman" w:hAnsi="Times New Roman"/>
          <w:sz w:val="17"/>
          <w:szCs w:val="17"/>
          <w:color w:val="auto"/>
        </w:rPr>
        <w:t>We believe that the compensation practices at issue in the complaint, which were developed with the guidance of outside regulatory counsel specifically to comply with Title IV and its regulations and relevant case law interpreting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incentive compensation rule, do not violate applicable law.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spacing w:after="0" w:line="70"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Matters Related to GCU Graduate Program Disclosures and Related Matters. </w:t>
      </w:r>
      <w:r>
        <w:rPr>
          <w:rFonts w:ascii="Times New Roman" w:cs="Times New Roman" w:eastAsia="Times New Roman" w:hAnsi="Times New Roman"/>
          <w:sz w:val="18"/>
          <w:szCs w:val="18"/>
          <w:color w:val="auto"/>
        </w:rPr>
        <w:t>The Company is a party to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alleging that, in the performance of its marketing services provided on behalf of GCU, it made false or misleading representations regarding the time to complete and the costs associated with and/or accreditation issues related to certain Grand Canyon University graduate programs, and (in the case of the FTC matter noted below) also made false or misleading representations regarding Grand Canyon University’s non-profit status and made telemarketing calls to phone numbers on do not call lists. These matters include:</w:t>
      </w:r>
    </w:p>
    <w:p>
      <w:pPr>
        <w:spacing w:after="0" w:line="68" w:lineRule="exact"/>
        <w:rPr>
          <w:sz w:val="20"/>
          <w:szCs w:val="20"/>
          <w:color w:val="auto"/>
        </w:rPr>
      </w:pPr>
    </w:p>
    <w:p>
      <w:pPr>
        <w:ind w:left="1380" w:right="239" w:hanging="331"/>
        <w:spacing w:after="0" w:line="264"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Smith and Wang v. Grand Canyon Education, Inc.</w:t>
      </w:r>
      <w:r>
        <w:rPr>
          <w:rFonts w:ascii="Times New Roman" w:cs="Times New Roman" w:eastAsia="Times New Roman" w:hAnsi="Times New Roman"/>
          <w:sz w:val="18"/>
          <w:szCs w:val="18"/>
          <w:color w:val="auto"/>
        </w:rPr>
        <w:t xml:space="preserve"> 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motion to dismiss is pending with the court. There is currently no trial date scheduled in this matter.</w:t>
      </w:r>
    </w:p>
    <w:p>
      <w:pPr>
        <w:spacing w:after="0" w:line="2" w:lineRule="exact"/>
        <w:rPr>
          <w:rFonts w:ascii="Times New Roman" w:cs="Times New Roman" w:eastAsia="Times New Roman" w:hAnsi="Times New Roman"/>
          <w:sz w:val="18"/>
          <w:szCs w:val="18"/>
          <w:color w:val="auto"/>
        </w:rPr>
      </w:pPr>
    </w:p>
    <w:p>
      <w:pPr>
        <w:ind w:left="1380" w:right="79" w:hanging="331"/>
        <w:spacing w:after="0" w:line="260"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Trade Commission v. Grand Canyon Education, Inc., et al</w:t>
      </w:r>
      <w:r>
        <w:rPr>
          <w:rFonts w:ascii="Times New Roman" w:cs="Times New Roman" w:eastAsia="Times New Roman" w:hAnsi="Times New Roman"/>
          <w:sz w:val="18"/>
          <w:szCs w:val="18"/>
          <w:color w:val="auto"/>
        </w:rPr>
        <w:t>. This suit was filed in late December 2023 in United States District Court for the District of Arizona and asserts claims under the FTC Act and Telemarketing Sales Rule. In February 2024, GCE filed a partial motion to dismiss, which was denied in August 2024. Discovery in this matter has commenced and is ongoing, with fact and expert discovery scheduled to conclude in May 2025 and October 2025 respectively. There is currently no trial date scheduled in this matter.</w:t>
      </w:r>
    </w:p>
    <w:p>
      <w:pPr>
        <w:spacing w:after="0" w:line="4" w:lineRule="exact"/>
        <w:rPr>
          <w:rFonts w:ascii="Times New Roman" w:cs="Times New Roman" w:eastAsia="Times New Roman" w:hAnsi="Times New Roman"/>
          <w:sz w:val="18"/>
          <w:szCs w:val="18"/>
          <w:color w:val="auto"/>
        </w:rPr>
      </w:pPr>
    </w:p>
    <w:p>
      <w:pPr>
        <w:ind w:left="1380" w:right="79" w:hanging="331"/>
        <w:spacing w:after="0" w:line="250"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Ogdon v. Grand Canyon Education, Inc., et al</w:t>
      </w:r>
      <w:r>
        <w:rPr>
          <w:rFonts w:ascii="Times New Roman" w:cs="Times New Roman" w:eastAsia="Times New Roman" w:hAnsi="Times New Roman"/>
          <w:sz w:val="18"/>
          <w:szCs w:val="18"/>
          <w:color w:val="auto"/>
        </w:rPr>
        <w:t>.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On May 27, 2022, after significant motions practice, the Company filed an amended motion to dismiss and a motion to strike certain allegations in Plaintiff’s amended complaint. On August 8, 2023, the court presiding over the dispute entered two orders: (1) an order granting in part the Company’s motion to dismiss as to Ogdon’s RICO claim from the case and to dismiss the individual Defendants; and (2) an order granting in part the Company’s motion to strike scandalous and impertinent allegations in Ogdon’s complaint about our business. Shortly thereafter on August 22, 2023, Plaintiff moved the court to reconsider its dismissal of the RICO claim. Though discovery had commenced, and the Company substantially completed its discovery obligations on the state-law claims, discovery was stayed on March 18, 2024, pending mediation and the disposition of Ogdon’s motion for reconsideration. On March 29, 2024, the court issued an order reinstating Plaintiff’s RICO claim. On September 26, 2024, the court lifted the stay on discovery, and discovery resumed, with class certification briefing to conclude in September 2025. There is currently no trial date scheduled in this matter.</w:t>
      </w:r>
    </w:p>
    <w:p>
      <w:pPr>
        <w:spacing w:after="0" w:line="7" w:lineRule="exact"/>
        <w:rPr>
          <w:rFonts w:ascii="Times New Roman" w:cs="Times New Roman" w:eastAsia="Times New Roman" w:hAnsi="Times New Roman"/>
          <w:sz w:val="18"/>
          <w:szCs w:val="18"/>
          <w:color w:val="auto"/>
        </w:rPr>
      </w:pPr>
    </w:p>
    <w:p>
      <w:pPr>
        <w:ind w:left="1380" w:right="99" w:hanging="331"/>
        <w:spacing w:after="0" w:line="253"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Valerio, et al. v. Grand Canyon Education, Inc., et al.</w:t>
      </w:r>
      <w:r>
        <w:rPr>
          <w:rFonts w:ascii="Times New Roman" w:cs="Times New Roman" w:eastAsia="Times New Roman" w:hAnsi="Times New Roman"/>
          <w:sz w:val="18"/>
          <w:szCs w:val="18"/>
          <w:color w:val="auto"/>
        </w:rPr>
        <w:t xml:space="preserve"> This suit was filed on December 24, 2024, in Maricopa County, Arizona Superior Court on behalf of nearly 300 plaintiffs. The plaintiffs assert various claims, including claims for violations of state law consumer protection statutes. The Company’s response to the complaint is due on April 10, 2025. There is currently no trial date scheduled in this matter.</w:t>
      </w:r>
    </w:p>
    <w:p>
      <w:pPr>
        <w:spacing w:after="0" w:line="187"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8"/>
          <w:szCs w:val="18"/>
          <w:color w:val="auto"/>
        </w:rPr>
        <w:t>We believe that the Company’s representations made in marketing materials or by our employees regarding Grand Canyon University’s non-profit status and doctoral program requirements were at all times accurate and not false or misleading, and thus did not violate applicable law. In addition, to the extent the representations we made or actions we took that are at issue in these proceedings were done or taken after July 1, 2018 at the direction of GCU and/or based on written instructions, or advertising or web materials, provided to us for use by GCU, GCU has agreed to indemnify us in part under the terms of the Master Services Agreement for our losses and expenses arising from these matters. With</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18"/>
          <w:szCs w:val="18"/>
          <w:color w:val="auto"/>
        </w:rPr>
        <w:t>regard to the FTC’s claims under the Telemarketing Sales Rule, we only make telemarketing calls to individuals who have demonstrated interest in speaking to us about educational opportunities at Grand Canyon University, which are permitted by the rule.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Reserves, Non-Income Tax Related</w:t>
      </w:r>
    </w:p>
    <w:p>
      <w:pPr>
        <w:spacing w:after="0" w:line="121"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exposure to various non-income tax related matters that arise in the ordinary course of business. At both December 31, 2024 and 2023, the Company has no non-income tax related matters where exposure is considered probable and the potential loss can be reasonably estimated.</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12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3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stock options and restricted stock</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32,237</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2024, 2023 and 2022, approximately 20, 52, and 58, respectively, of the Company’s restricted stock awards outstanding were excluded from the calculation of diluted earnings per share as their inclusion would have been anti-dilutive. These restricted stock awards could be dilutive in the future.</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Equity Transactions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On January 29, 2025 the Board of Directors approved a $200,000 increase under its existing stock repurchase program reflecting an aggregate authorization for share repurchases since the initiation of the program of $2,245,000. The expiration date on the repurchase authorization is March 1, 2026.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7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1,142 shares of common stock at an aggregate cost of $165,405. As of December 31, 2024, there remained $99,648 available under its current share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312" w:lineRule="auto"/>
        <w:rPr>
          <w:sz w:val="20"/>
          <w:szCs w:val="20"/>
          <w:color w:val="auto"/>
        </w:rPr>
      </w:pPr>
      <w:r>
        <w:rPr>
          <w:rFonts w:ascii="Times New Roman" w:cs="Times New Roman" w:eastAsia="Times New Roman" w:hAnsi="Times New Roman"/>
          <w:sz w:val="17"/>
          <w:szCs w:val="17"/>
          <w:color w:val="auto"/>
        </w:rPr>
        <w:t>repurchase authorization (which authorization was increased to $299,648 in January 2025). Shares repurchased in lieu of taxes are not included in the repurchase plan totals as they were approved in conjunction with the restricted share awards.</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2024 and 2023.</w:t>
      </w:r>
    </w:p>
    <w:p>
      <w:pPr>
        <w:spacing w:after="0" w:line="81"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w:t>
      </w: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8"/>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0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54,097</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50,194</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09"/>
        </w:trPr>
        <w:tc>
          <w:tcPr>
            <w:tcW w:w="50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55,211</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10"/>
        </w:trPr>
        <w:tc>
          <w:tcPr>
            <w:tcW w:w="50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recorded as an increase of paid-in capital</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55,444</w:t>
            </w:r>
          </w:p>
        </w:tc>
      </w:tr>
      <w:tr>
        <w:trPr>
          <w:trHeight w:val="20"/>
        </w:trPr>
        <w:tc>
          <w:tcPr>
            <w:tcW w:w="5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income tax computed at the U.S. statutory rate to the effective income tax rate is as follows: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credits, net of federal effect</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72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included in Deferred income taxes, non-current on the consolidated balance sheets are as follows:</w:t>
      </w:r>
    </w:p>
    <w:p>
      <w:pPr>
        <w:spacing w:after="0" w:line="4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4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compensation</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taxes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Deferred tax assets</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net deferred tax liability on the accompanying consolidated balance sheet is comprised of the following:</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20" w:type="dxa"/>
            <w:vAlign w:val="bottom"/>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current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(31,867)</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2024 and 2023 were $14,626 and $13,631, respectively.</w:t>
      </w:r>
    </w:p>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reconciliation of the beginning and ending balance of unrecognized tax benefits at December 31, is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10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7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7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$ 13,631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$ 15,862</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taken during the current year</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Decreases</w:t>
            </w:r>
          </w:p>
        </w:tc>
        <w:tc>
          <w:tcPr>
            <w:tcW w:w="7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positions taken during a prior year</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Decreases for settlements during the period</w:t>
            </w:r>
          </w:p>
        </w:tc>
        <w:tc>
          <w:tcPr>
            <w:tcW w:w="7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lapses of applicable statute of limitations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1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7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$ 14,626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$ 13,631</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unrecognized tax benefit recorded of $14,626 and $13,631, respectively, if reversed, would impact the effective tax rate. At both years ended December 31, 2024 and 2023 the Company had accrued $0, in interest and $0, in penalties. It is reasonably possible that the amount of the unrecognized tax benefit will change during the next 12 months, however management does not expect the potential change to have a material effect on the results of operations or financial position.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Company’s uncertain tax positions were related to tax years that remained subject to examination by tax authorities. As of December 31, 2024, the earliest tax year still subject to examination for federal and state purposes is 2021 and 2020, respectively.</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Share-Based Compensation Plans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Incentive Plans</w:t>
      </w:r>
    </w:p>
    <w:p>
      <w:pPr>
        <w:spacing w:after="0" w:line="11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makes equity incentive grants pursuant to our 2017 Equity Incentive Plan (the “2017 Plan”) under which a maximum of 3,000 shares may be granted. As of December 31, 2024, 962 shares were available for grants under the 2017 Plan.</w:t>
      </w:r>
    </w:p>
    <w:p>
      <w:pPr>
        <w:spacing w:after="0" w:line="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During fiscal years 2024, 2023, and 2022, the Company granted 117, 136, and 189 shares of common stock, respectively, with a service vesting condition to certain of its executives, officers,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2024, 2023 and 2022, the Company withheld 55, 56, and 52 shares of common stock in lieu of taxes at a cost of $7,446, $6,331, and $4,625, on the restricted stock vesting dates, respectively. In April 2024, a new non-employee director was appointed to the Board of Directors and was granted an initial award of shares pursuant to the Company’s compensation program. The initial award of shares that were granted to such newly appointed director have voting rights and vest on the one-year anniversary of the date of grant. During 2024, 2023 and 2022, following the annual stockholders meeting, the Company granted 3, 4 and 4 shares of common stock to the non-employee members of the Board of Directors. The restricted shares granted to these directors have voting rights and vest on the earlier of (a) the one year anniversary of the date of grant or (b) immediately prior to the following year’s annual stockholders’ meeting.</w:t>
      </w:r>
    </w:p>
    <w:p>
      <w:pPr>
        <w:spacing w:after="0" w:line="8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On June 30, 2024, a named executive officer resigned for “good reason” which, under the terms of his employment agreement, resulted in an acceleration of the vesting of the next tranche of five outstanding restricted stock awards that would have otherwise vested on March 1, 2025. As a result, the incremental share-based compensation expense from the modification on the five restricted stock awards for the accelerated vesting date was $558 and is included in the general and administrative expenses in the Company’s consolidated income statement. In July 2024, 5 shares vested and 2 shares were withheld in lieu of taxes at a cost of $324 on the accelerated vesting date.</w:t>
      </w:r>
    </w:p>
    <w:p>
      <w:pPr>
        <w:spacing w:after="0" w:line="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the activity related to restricted stock granted under the Company’s Incentive Plan is as follows:</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4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approximately $30,345 of total unrecognized share-based compensation cost related to unvested restricted stock awards. These costs are expected to be recognized over a weighted average period of 2.03 years.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Share-based Compensation Expense Assumptions – Restricted Stock Awards</w:t>
      </w:r>
    </w:p>
    <w:p>
      <w:pPr>
        <w:spacing w:after="0" w:line="11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Board of Directors. The Company recognizes forfeitures as they occur. The restricted shares have voting rights.</w:t>
      </w:r>
    </w:p>
    <w:p>
      <w:pPr>
        <w:spacing w:after="0" w:line="7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table below outlines share-based compensation expense for the fiscal years ended December 31, 2024, 2023 and 2022 related to restricted stock and stock options granted:</w:t>
      </w:r>
    </w:p>
    <w:p>
      <w:pPr>
        <w:spacing w:after="0" w:line="61"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40" w:type="dxa"/>
            <w:vAlign w:val="bottom"/>
            <w:tcBorders>
              <w:bottom w:val="single" w:sz="8" w:color="CCEEFF"/>
            </w:tcBorders>
          </w:tcPr>
          <w:p>
            <w:pPr>
              <w:spacing w:after="0"/>
              <w:rPr>
                <w:sz w:val="18"/>
                <w:szCs w:val="18"/>
                <w:color w:val="auto"/>
              </w:rPr>
            </w:pPr>
          </w:p>
        </w:tc>
      </w:tr>
      <w:tr>
        <w:trPr>
          <w:trHeight w:val="174"/>
        </w:trPr>
        <w:tc>
          <w:tcPr>
            <w:tcW w:w="20" w:type="dxa"/>
            <w:vAlign w:val="bottom"/>
          </w:tcPr>
          <w:p>
            <w:pPr>
              <w:spacing w:after="0"/>
              <w:rPr>
                <w:sz w:val="15"/>
                <w:szCs w:val="15"/>
                <w:color w:val="auto"/>
              </w:rPr>
            </w:pPr>
          </w:p>
        </w:tc>
        <w:tc>
          <w:tcPr>
            <w:tcW w:w="4560" w:type="dxa"/>
            <w:vAlign w:val="bottom"/>
            <w:shd w:val="clear" w:color="auto" w:fill="CCEEFF"/>
          </w:tcPr>
          <w:p>
            <w:pPr>
              <w:ind w:left="100"/>
              <w:spacing w:after="0" w:line="174" w:lineRule="exact"/>
              <w:rPr>
                <w:sz w:val="20"/>
                <w:szCs w:val="20"/>
                <w:color w:val="auto"/>
              </w:rPr>
            </w:pPr>
            <w:r>
              <w:rPr>
                <w:rFonts w:ascii="Times New Roman" w:cs="Times New Roman" w:eastAsia="Times New Roman" w:hAnsi="Times New Roman"/>
                <w:sz w:val="18"/>
                <w:szCs w:val="18"/>
                <w:b w:val="1"/>
                <w:bCs w:val="1"/>
                <w:color w:val="auto"/>
              </w:rPr>
              <w:t>Share-based compensation expense included in operating</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effect of share-based compensation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4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Share-based compensation expense, net of tax</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restrictions under the Internal Revenue Code of 1986 (the “Code”), and the Plan allows the Company to make discretionary matching contributions. The Company plans to make a matching contribution to the Plan of approximately $3,092 for the year ended December 31, 2024. The Company made discretionary matching contributions to the Plan of $2,951 and $2,744 for the years ended December 31, 2023 and 2022, respectively.</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Related party transactions include transactions between the Company and certain of its affiliates. The following transactions were in the normal course of operations and were measured at the exchange amount, which is the amount of consideration established and agreed to by the parties.</w:t>
      </w:r>
    </w:p>
    <w:p>
      <w:pPr>
        <w:spacing w:after="0" w:line="68"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As of and for the years ended December 31, 2024, 2023 and 2022, related party transactions consisted of the following:</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Affiliates</w:t>
      </w:r>
    </w:p>
    <w:p>
      <w:pPr>
        <w:spacing w:after="0" w:line="11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GCE Community Fund (“GCECF”) </w:t>
      </w:r>
      <w:r>
        <w:rPr>
          <w:rFonts w:ascii="Times New Roman" w:cs="Times New Roman" w:eastAsia="Times New Roman" w:hAnsi="Times New Roman"/>
          <w:sz w:val="18"/>
          <w:szCs w:val="18"/>
          <w:color w:val="auto"/>
        </w:rPr>
        <w:t>- GCECF was initially formed in 2014. GCECF makes grants for charitable,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educational, literary, religious or scientific purposes within the meaning of Section 501(c ) (3) of the Code, including for such purposes as the making of distributions to organizations that qualify as exempt organizations under Section 501 (c )</w:t>
      </w:r>
    </w:p>
    <w:p>
      <w:pPr>
        <w:spacing w:after="0" w:line="1" w:lineRule="exact"/>
        <w:rPr>
          <w:sz w:val="20"/>
          <w:szCs w:val="20"/>
          <w:color w:val="auto"/>
        </w:rPr>
      </w:pPr>
    </w:p>
    <w:p>
      <w:pPr>
        <w:ind w:left="60" w:right="259" w:hanging="10"/>
        <w:spacing w:after="0" w:line="253"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The Company’s Chief Executive Officer serves as the president of GCECF and GCECF’s board of directors is comprised entirely of Company executives. The Company is not the primary beneficiary of GCECF, and accordingly, the Company does not consolidate GCECF’s activities with its financial results. No donations were made during the year ended December 31, 2024. The Company made voluntary charitable contributions of $1,650 for the year ended December 31, 2023, of which no amounts were owed as of December 31,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and including our Principal Executive Officer and Principal Financial Officer, to assist in this evaluation. Our Disclosure Committee meets on a quarterly basis and more often if necessary.</w:t>
      </w:r>
    </w:p>
    <w:p>
      <w:pPr>
        <w:spacing w:after="0" w:line="81"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2024.</w:t>
      </w:r>
    </w:p>
    <w:p>
      <w:pPr>
        <w:spacing w:after="0" w:line="7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w:t>
      </w:r>
    </w:p>
    <w:p>
      <w:pPr>
        <w:spacing w:after="0" w:line="117" w:lineRule="exact"/>
        <w:rPr>
          <w:sz w:val="20"/>
          <w:szCs w:val="20"/>
          <w:color w:val="auto"/>
        </w:rPr>
      </w:pPr>
    </w:p>
    <w:p>
      <w:pPr>
        <w:ind w:left="1160" w:right="139" w:hanging="327"/>
        <w:spacing w:after="0" w:line="261" w:lineRule="auto"/>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ind w:left="1160" w:right="299" w:hanging="327"/>
        <w:spacing w:after="0" w:line="250" w:lineRule="auto"/>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1160" w:right="219" w:hanging="327"/>
        <w:spacing w:after="0" w:line="260" w:lineRule="auto"/>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7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81"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Management performed an assessment of the effectiveness of our internal control over financial reporting as of December 31, 2024, utilizing the criteria established in the “Internal Control—Integrated Framework (2013)” issued by the Committee of Sponsoring Organizations of the Treadway Commission. The objective of this assessment was to determine whether our internal control over financial reporting was effective as of December 31, 2024. Based on its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assessment, management has concluded that, as of December 31, 2024, the Company’s internal control over financial reporting is effective.</w:t>
      </w:r>
    </w:p>
    <w:p>
      <w:pPr>
        <w:spacing w:after="0" w:line="54"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2024 has been audited by KPMG LLP, an independent registered public accounting firm, as stated in their audit report which is included herein.</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31, 2024,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92"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Grand Canyon Education, Inc.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60"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comprehensive income, stockholders’ equity, and cash flows for each of the years in the three-year period ended December 31, 2024, and the related notes (collectively, the consolidated financial statements), and our report dated February 19, 2025 expressed an unqualified opinion on those consolidated financial statements.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7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7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75"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64" w:lineRule="exact"/>
        <w:rPr>
          <w:sz w:val="20"/>
          <w:szCs w:val="20"/>
          <w:color w:val="auto"/>
        </w:rPr>
      </w:pPr>
    </w:p>
    <w:p>
      <w:pPr>
        <w:ind w:left="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4"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4"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to be filed in connection with our 2025 Annual Meeting of Stockholders within 120 days after the end of fiscal year ended December 31, 2024.</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Consolidated Financial Statement Schedules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The following documents are filed as part of this Annual Report on Form 10-K:</w:t>
      </w:r>
    </w:p>
    <w:p>
      <w:pPr>
        <w:spacing w:after="0" w:line="121" w:lineRule="exact"/>
        <w:rPr>
          <w:sz w:val="20"/>
          <w:szCs w:val="20"/>
          <w:color w:val="auto"/>
        </w:rPr>
      </w:pPr>
    </w:p>
    <w:p>
      <w:pPr>
        <w:ind w:left="1140" w:hanging="415"/>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filed as part of this report</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54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20" w:type="dxa"/>
            <w:vAlign w:val="bottom"/>
            <w:tcBorders>
              <w:bottom w:val="single" w:sz="8" w:color="0000EE"/>
            </w:tcBorders>
          </w:tcPr>
          <w:p>
            <w:pPr>
              <w:spacing w:after="0"/>
              <w:rPr>
                <w:sz w:val="14"/>
                <w:szCs w:val="14"/>
                <w:color w:val="auto"/>
              </w:rPr>
            </w:pPr>
          </w:p>
        </w:tc>
        <w:tc>
          <w:tcPr>
            <w:tcW w:w="4200" w:type="dxa"/>
            <w:vAlign w:val="bottom"/>
            <w:tcBorders>
              <w:top w:val="single" w:sz="8" w:color="auto"/>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160" w:type="dxa"/>
            <w:vAlign w:val="bottom"/>
            <w:tcBorders>
              <w:top w:val="single" w:sz="8" w:color="auto"/>
            </w:tcBorders>
            <w:gridSpan w:val="6"/>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8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8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Income Statements for the years ended December 31, 2024, 2023 and 2022</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7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2024, 2023 and 2022</w:t>
            </w:r>
          </w:p>
        </w:tc>
        <w:tc>
          <w:tcPr>
            <w:tcW w:w="7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8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2024, 2023 and 2022</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75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2023 and 2022</w:t>
            </w:r>
          </w:p>
        </w:tc>
        <w:tc>
          <w:tcPr>
            <w:tcW w:w="9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69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3"/>
        </w:trPr>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760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Consolidated Financial Statement Schedules:</w:t>
            </w:r>
          </w:p>
        </w:tc>
        <w:tc>
          <w:tcPr>
            <w:tcW w:w="36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8520" w:type="dxa"/>
            <w:vAlign w:val="bottom"/>
            <w:gridSpan w:val="10"/>
          </w:tcPr>
          <w:p>
            <w:pPr>
              <w:ind w:left="620"/>
              <w:spacing w:after="0"/>
              <w:rPr>
                <w:sz w:val="20"/>
                <w:szCs w:val="20"/>
                <w:color w:val="auto"/>
              </w:rPr>
            </w:pPr>
            <w:r>
              <w:rPr>
                <w:rFonts w:ascii="Times New Roman" w:cs="Times New Roman" w:eastAsia="Times New Roman" w:hAnsi="Times New Roman"/>
                <w:sz w:val="18"/>
                <w:szCs w:val="18"/>
                <w:color w:val="auto"/>
              </w:rPr>
              <w:t>Schedules are omitted because they are not required, or because the information required is included in the</w:t>
            </w:r>
          </w:p>
        </w:tc>
        <w:tc>
          <w:tcPr>
            <w:tcW w:w="360" w:type="dxa"/>
            <w:vAlign w:val="bottom"/>
          </w:tcPr>
          <w:p>
            <w:pPr>
              <w:spacing w:after="0"/>
              <w:rPr>
                <w:sz w:val="24"/>
                <w:szCs w:val="24"/>
                <w:color w:val="auto"/>
              </w:rPr>
            </w:pPr>
          </w:p>
        </w:tc>
      </w:tr>
      <w:tr>
        <w:trPr>
          <w:trHeight w:val="234"/>
        </w:trPr>
        <w:tc>
          <w:tcPr>
            <w:tcW w:w="8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Consolidated Financial Statements and Notes thereto.</w:t>
            </w:r>
          </w:p>
        </w:tc>
        <w:tc>
          <w:tcPr>
            <w:tcW w:w="360" w:type="dxa"/>
            <w:vAlign w:val="bottom"/>
          </w:tcPr>
          <w:p>
            <w:pPr>
              <w:spacing w:after="0"/>
              <w:rPr>
                <w:sz w:val="20"/>
                <w:szCs w:val="20"/>
                <w:color w:val="auto"/>
              </w:rPr>
            </w:pPr>
          </w:p>
        </w:tc>
      </w:tr>
    </w:tbl>
    <w:p>
      <w:pPr>
        <w:spacing w:after="0" w:line="90" w:lineRule="exact"/>
        <w:rPr>
          <w:sz w:val="20"/>
          <w:szCs w:val="20"/>
          <w:color w:val="auto"/>
        </w:rPr>
      </w:pPr>
    </w:p>
    <w:p>
      <w:pPr>
        <w:ind w:left="1140" w:hanging="415"/>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24" w:lineRule="exact"/>
        <w:rPr>
          <w:sz w:val="20"/>
          <w:szCs w:val="20"/>
          <w:color w:val="auto"/>
        </w:rPr>
      </w:pPr>
    </w:p>
    <w:p>
      <w:pPr>
        <w:ind w:left="60"/>
        <w:spacing w:after="0"/>
        <w:tabs>
          <w:tab w:leader="none" w:pos="2520" w:val="left"/>
          <w:tab w:leader="none" w:pos="646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2.1</w:t>
            </w:r>
          </w:p>
        </w:tc>
        <w:tc>
          <w:tcPr>
            <w:tcW w:w="3840" w:type="dxa"/>
            <w:vAlign w:val="bottom"/>
            <w:gridSpan w:val="11"/>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Asset Purchase Agreement, dated July 1, 2018, by</w:t>
              </w:r>
            </w:hyperlink>
          </w:p>
        </w:tc>
      </w:tr>
      <w:tr>
        <w:trPr>
          <w:trHeight w:val="196"/>
        </w:trPr>
        <w:tc>
          <w:tcPr>
            <w:tcW w:w="8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and between Grand Canyon Education, Inc. and</w:t>
              </w:r>
            </w:hyperlink>
          </w:p>
        </w:tc>
        <w:tc>
          <w:tcPr>
            <w:tcW w:w="160" w:type="dxa"/>
            <w:vAlign w:val="bottom"/>
            <w:tcBorders>
              <w:top w:val="single" w:sz="8" w:color="0000EE"/>
            </w:tcBorders>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40" w:type="dxa"/>
            <w:vAlign w:val="bottom"/>
            <w:gridSpan w:val="1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Grand Canyon University (formerly known as</w:t>
              </w:r>
            </w:hyperlink>
          </w:p>
        </w:tc>
      </w:tr>
      <w:tr>
        <w:trPr>
          <w:trHeight w:val="196"/>
        </w:trPr>
        <w:tc>
          <w:tcPr>
            <w:tcW w:w="88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Gazelle University)#</w:t>
              </w:r>
            </w:hyperlink>
          </w:p>
        </w:tc>
        <w:tc>
          <w:tcPr>
            <w:tcW w:w="1800" w:type="dxa"/>
            <w:vAlign w:val="bottom"/>
            <w:tcBorders>
              <w:top w:val="single" w:sz="8" w:color="0000EE"/>
            </w:tcBorders>
            <w:gridSpan w:val="2"/>
          </w:tcPr>
          <w:p>
            <w:pPr>
              <w:spacing w:after="0"/>
              <w:rPr>
                <w:sz w:val="17"/>
                <w:szCs w:val="17"/>
                <w:color w:val="auto"/>
              </w:rPr>
            </w:pPr>
          </w:p>
        </w:tc>
        <w:tc>
          <w:tcPr>
            <w:tcW w:w="520" w:type="dxa"/>
            <w:vAlign w:val="bottom"/>
            <w:gridSpan w:val="6"/>
          </w:tcPr>
          <w:p>
            <w:pPr>
              <w:spacing w:after="0"/>
              <w:rPr>
                <w:sz w:val="17"/>
                <w:szCs w:val="17"/>
                <w:color w:val="auto"/>
              </w:rPr>
            </w:pPr>
          </w:p>
        </w:tc>
      </w:tr>
      <w:tr>
        <w:trPr>
          <w:trHeight w:val="412"/>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2.2</w:t>
            </w:r>
          </w:p>
        </w:tc>
        <w:tc>
          <w:tcPr>
            <w:tcW w:w="3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Agreement and Plan of Merger, dated December 17,</w:t>
              </w:r>
            </w:hyperlink>
          </w:p>
        </w:tc>
        <w:tc>
          <w:tcPr>
            <w:tcW w:w="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7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2018, by and among Grand Canyon Education, Inc.,</w:t>
              </w:r>
            </w:hyperlink>
          </w:p>
        </w:tc>
        <w:tc>
          <w:tcPr>
            <w:tcW w:w="8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GCE Cosmos Merger Sub, LLC and Orbis Education</w:t>
              </w:r>
            </w:hyperlink>
          </w:p>
        </w:tc>
      </w:tr>
      <w:tr>
        <w:trPr>
          <w:trHeight w:val="196"/>
        </w:trPr>
        <w:tc>
          <w:tcPr>
            <w:tcW w:w="88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Services, LLC#</w:t>
              </w:r>
            </w:hyperlink>
          </w:p>
        </w:tc>
        <w:tc>
          <w:tcPr>
            <w:tcW w:w="2700" w:type="dxa"/>
            <w:vAlign w:val="bottom"/>
            <w:gridSpan w:val="9"/>
          </w:tcPr>
          <w:p>
            <w:pPr>
              <w:spacing w:after="0"/>
              <w:rPr>
                <w:sz w:val="17"/>
                <w:szCs w:val="17"/>
                <w:color w:val="auto"/>
              </w:rPr>
            </w:pPr>
          </w:p>
        </w:tc>
      </w:tr>
      <w:tr>
        <w:trPr>
          <w:trHeight w:val="412"/>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3.1</w:t>
            </w:r>
          </w:p>
        </w:tc>
        <w:tc>
          <w:tcPr>
            <w:tcW w:w="3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Amended and Restated Certificate of Incorporation</w:t>
              </w:r>
            </w:hyperlink>
          </w:p>
        </w:tc>
        <w:tc>
          <w:tcPr>
            <w:tcW w:w="14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(as amended)</w:t>
              </w:r>
            </w:hyperlink>
          </w:p>
        </w:tc>
        <w:tc>
          <w:tcPr>
            <w:tcW w:w="2860" w:type="dxa"/>
            <w:vAlign w:val="bottom"/>
            <w:gridSpan w:val="10"/>
          </w:tcPr>
          <w:p>
            <w:pPr>
              <w:spacing w:after="0"/>
              <w:rPr>
                <w:sz w:val="17"/>
                <w:szCs w:val="17"/>
                <w:color w:val="auto"/>
              </w:rPr>
            </w:pPr>
          </w:p>
        </w:tc>
      </w:tr>
      <w:tr>
        <w:trPr>
          <w:trHeight w:val="628"/>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3.2</w:t>
            </w:r>
          </w:p>
        </w:tc>
        <w:tc>
          <w:tcPr>
            <w:tcW w:w="3840" w:type="dxa"/>
            <w:vAlign w:val="bottom"/>
            <w:gridSpan w:val="11"/>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Third Amended and Restated Bylaws</w:t>
              </w:r>
            </w:hyperlink>
          </w:p>
        </w:tc>
      </w:tr>
      <w:tr>
        <w:trPr>
          <w:trHeight w:val="20"/>
        </w:trPr>
        <w:tc>
          <w:tcPr>
            <w:tcW w:w="8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2.1 to GCE’s Quarterly Report on Form 10-Q filed with the SEC on November 8, 2018.</w:t>
      </w:r>
    </w:p>
    <w:p>
      <w:pPr>
        <w:spacing w:after="0" w:line="392"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2.2 to GCE’s Annual Report on Form 10-K filed with the SEC on February 20, 2019.</w:t>
      </w:r>
    </w:p>
    <w:p>
      <w:pPr>
        <w:spacing w:after="0" w:line="392"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GCE’s Annual Report on Form 10-K filed with the SEC on February 20, 2019.</w:t>
      </w:r>
    </w:p>
    <w:p>
      <w:pPr>
        <w:spacing w:after="0" w:line="176"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GCE’s Current Report on Form 8-K filed with the SEC on October 29, 2014.</w:t>
      </w:r>
    </w:p>
    <w:p>
      <w:pPr>
        <w:spacing w:after="0" w:line="163" w:lineRule="exact"/>
        <w:rPr>
          <w:sz w:val="20"/>
          <w:szCs w:val="20"/>
          <w:color w:val="auto"/>
        </w:rPr>
      </w:pPr>
    </w:p>
    <w:p>
      <w:pPr>
        <w:sectPr>
          <w:pgSz w:w="11900" w:h="16838" w:orient="portrait"/>
          <w:cols w:equalWidth="0" w:num="2">
            <w:col w:w="4780" w:space="280"/>
            <w:col w:w="39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4.1</w:t>
            </w:r>
          </w:p>
        </w:tc>
        <w:tc>
          <w:tcPr>
            <w:tcW w:w="3140" w:type="dxa"/>
            <w:vAlign w:val="bottom"/>
            <w:gridSpan w:val="2"/>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Specimen of Stock Certificate</w:t>
              </w:r>
            </w:hyperlink>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Incorporated by reference to Exhibit 4.1 to</w:t>
            </w:r>
          </w:p>
        </w:tc>
      </w:tr>
      <w:tr>
        <w:trPr>
          <w:trHeight w:val="218"/>
        </w:trPr>
        <w:tc>
          <w:tcPr>
            <w:tcW w:w="880" w:type="dxa"/>
            <w:vAlign w:val="bottom"/>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Amendment No. 2 to GCE’s Registration Statement</w:t>
            </w:r>
          </w:p>
        </w:tc>
      </w:tr>
      <w:tr>
        <w:trPr>
          <w:trHeight w:val="216"/>
        </w:trPr>
        <w:tc>
          <w:tcPr>
            <w:tcW w:w="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on Form S-1 filed with the SEC on September 29,</w:t>
            </w:r>
          </w:p>
        </w:tc>
      </w:tr>
      <w:tr>
        <w:trPr>
          <w:trHeight w:val="234"/>
        </w:trPr>
        <w:tc>
          <w:tcPr>
            <w:tcW w:w="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7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2008.</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360" w:type="dxa"/>
            <w:vAlign w:val="bottom"/>
            <w:gridSpan w:val="14"/>
          </w:tcPr>
          <w:p>
            <w:pPr>
              <w:ind w:left="10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200" w:type="dxa"/>
            <w:vAlign w:val="bottom"/>
            <w:tcBorders>
              <w:top w:val="single" w:sz="8" w:color="auto"/>
              <w:bottom w:val="single" w:sz="8" w:color="0000EE"/>
            </w:tcBorders>
            <w:gridSpan w:val="2"/>
          </w:tcPr>
          <w:p>
            <w:pPr>
              <w:spacing w:after="0" w:line="169"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Description of Common Stock</w:t>
              </w:r>
            </w:hyperlink>
          </w:p>
        </w:tc>
        <w:tc>
          <w:tcPr>
            <w:tcW w:w="1700" w:type="dxa"/>
            <w:vAlign w:val="bottom"/>
            <w:tcBorders>
              <w:top w:val="single" w:sz="8" w:color="auto"/>
            </w:tcBorders>
            <w:gridSpan w:val="13"/>
          </w:tcPr>
          <w:p>
            <w:pPr>
              <w:spacing w:after="0"/>
              <w:rPr>
                <w:sz w:val="14"/>
                <w:szCs w:val="14"/>
                <w:color w:val="auto"/>
              </w:rPr>
            </w:pPr>
          </w:p>
        </w:tc>
      </w:tr>
      <w:tr>
        <w:trPr>
          <w:trHeight w:val="84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3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2008 Equity Incentive Plan, as amended†</w:t>
              </w:r>
            </w:hyperlink>
          </w:p>
        </w:tc>
        <w:tc>
          <w:tcPr>
            <w:tcW w:w="920" w:type="dxa"/>
            <w:vAlign w:val="bottom"/>
            <w:gridSpan w:val="11"/>
          </w:tcPr>
          <w:p>
            <w:pPr>
              <w:spacing w:after="0"/>
              <w:rPr>
                <w:sz w:val="24"/>
                <w:szCs w:val="24"/>
                <w:color w:val="auto"/>
              </w:rPr>
            </w:pPr>
          </w:p>
        </w:tc>
      </w:tr>
      <w:tr>
        <w:trPr>
          <w:trHeight w:val="84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3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2017 Equity Incentive Plan, as amended†</w:t>
              </w:r>
            </w:hyperlink>
          </w:p>
        </w:tc>
        <w:tc>
          <w:tcPr>
            <w:tcW w:w="920" w:type="dxa"/>
            <w:vAlign w:val="bottom"/>
            <w:gridSpan w:val="11"/>
          </w:tcPr>
          <w:p>
            <w:pPr>
              <w:spacing w:after="0"/>
              <w:rPr>
                <w:sz w:val="24"/>
                <w:szCs w:val="24"/>
                <w:color w:val="auto"/>
              </w:rPr>
            </w:pPr>
          </w:p>
        </w:tc>
      </w:tr>
      <w:tr>
        <w:trPr>
          <w:trHeight w:val="844"/>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3920" w:type="dxa"/>
            <w:vAlign w:val="bottom"/>
            <w:gridSpan w:val="16"/>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Restricted Stock Agreement under the 2017</w:t>
              </w:r>
            </w:hyperlink>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Equity Incentive Plan, as amended†</w:t>
              </w:r>
            </w:hyperlink>
          </w:p>
        </w:tc>
        <w:tc>
          <w:tcPr>
            <w:tcW w:w="1180" w:type="dxa"/>
            <w:vAlign w:val="bottom"/>
            <w:tcBorders>
              <w:top w:val="single" w:sz="8" w:color="0000EE"/>
            </w:tcBorders>
            <w:gridSpan w:val="7"/>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628"/>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3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Third Amended and Restated Executive Employment</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Agreement, dated May 1, 2023, by and between</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Grand Canyon Education, Inc. and Brian E. Mueller†</w:t>
              </w:r>
            </w:hyperlink>
          </w:p>
        </w:tc>
        <w:tc>
          <w:tcPr>
            <w:tcW w:w="60" w:type="dxa"/>
            <w:vAlign w:val="bottom"/>
            <w:gridSpan w:val="3"/>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3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Third Amended and Restated Executive Employment</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6"/>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Agreement, dated May 1, 2023, by and between</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Grand Canyon Education, Inc. and W. Stan Meyer†</w:t>
              </w:r>
            </w:hyperlink>
          </w:p>
        </w:tc>
        <w:tc>
          <w:tcPr>
            <w:tcW w:w="200" w:type="dxa"/>
            <w:vAlign w:val="bottom"/>
            <w:gridSpan w:val="7"/>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4"/>
                <w:szCs w:val="24"/>
                <w:color w:val="auto"/>
              </w:rPr>
            </w:pPr>
          </w:p>
        </w:tc>
        <w:tc>
          <w:tcPr>
            <w:tcW w:w="38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Third Amended and Restated Executive Employment</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6"/>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Agreement, dated May 1, 2023, by and between</w:t>
              </w:r>
            </w:hyperlink>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Grand Canyon Education, Inc. and Daniel E. Bachus†</w:t>
              </w:r>
            </w:hyperlink>
          </w:p>
        </w:tc>
        <w:tc>
          <w:tcPr>
            <w:tcW w:w="20" w:type="dxa"/>
            <w:vAlign w:val="bottom"/>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4"/>
                <w:szCs w:val="24"/>
                <w:color w:val="auto"/>
              </w:rPr>
            </w:pPr>
          </w:p>
        </w:tc>
        <w:tc>
          <w:tcPr>
            <w:tcW w:w="30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Second Amended and Restated Executive</w:t>
              </w:r>
            </w:hyperlink>
          </w:p>
        </w:tc>
        <w:tc>
          <w:tcPr>
            <w:tcW w:w="90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Employment Agreement, dated May 1, 2023, by and</w:t>
              </w:r>
            </w:hyperlink>
          </w:p>
        </w:tc>
        <w:tc>
          <w:tcPr>
            <w:tcW w:w="12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between Grand Canyon Education, Inc. and Dilek</w:t>
              </w:r>
            </w:hyperlink>
          </w:p>
        </w:tc>
        <w:tc>
          <w:tcPr>
            <w:tcW w:w="32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Marsh†</w:t>
              </w:r>
            </w:hyperlink>
          </w:p>
        </w:tc>
        <w:tc>
          <w:tcPr>
            <w:tcW w:w="3360" w:type="dxa"/>
            <w:vAlign w:val="bottom"/>
            <w:gridSpan w:val="14"/>
          </w:tcPr>
          <w:p>
            <w:pPr>
              <w:spacing w:after="0"/>
              <w:rPr>
                <w:sz w:val="17"/>
                <w:szCs w:val="17"/>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37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Director and Officer Indemnity Agreement</w:t>
              </w:r>
            </w:hyperlink>
          </w:p>
        </w:tc>
        <w:tc>
          <w:tcPr>
            <w:tcW w:w="18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24771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sz w:val="20"/>
          <w:szCs w:val="20"/>
          <w:color w:val="auto"/>
        </w:rPr>
      </w:pPr>
    </w:p>
    <w:p>
      <w:pPr>
        <w:ind w:right="219"/>
        <w:spacing w:after="0" w:line="254" w:lineRule="auto"/>
        <w:rPr>
          <w:sz w:val="20"/>
          <w:szCs w:val="20"/>
          <w:color w:val="auto"/>
        </w:rPr>
      </w:pPr>
      <w:r>
        <w:rPr>
          <w:rFonts w:ascii="Times New Roman" w:cs="Times New Roman" w:eastAsia="Times New Roman" w:hAnsi="Times New Roman"/>
          <w:sz w:val="18"/>
          <w:szCs w:val="18"/>
          <w:color w:val="auto"/>
        </w:rPr>
        <w:t>Incorporated by reference to Exhibit 4.2 to GCE’s Annual Report on Form 10-K filed with the SEC on February 20, 2020.</w:t>
      </w:r>
    </w:p>
    <w:p>
      <w:pPr>
        <w:spacing w:after="0" w:line="187" w:lineRule="exact"/>
        <w:rPr>
          <w:sz w:val="20"/>
          <w:szCs w:val="20"/>
          <w:color w:val="auto"/>
        </w:rPr>
      </w:pP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Quarterly Report on Form 10-Q filed with the SEC on November 14, 2011.</w:t>
      </w:r>
    </w:p>
    <w:p>
      <w:pPr>
        <w:spacing w:after="0" w:line="176" w:lineRule="exact"/>
        <w:rPr>
          <w:sz w:val="20"/>
          <w:szCs w:val="20"/>
          <w:color w:val="auto"/>
        </w:rPr>
      </w:pP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Current Report on Form 8-K filed with the SEC on June 14, 2017.</w:t>
      </w:r>
    </w:p>
    <w:p>
      <w:pPr>
        <w:spacing w:after="0" w:line="176" w:lineRule="exact"/>
        <w:rPr>
          <w:sz w:val="20"/>
          <w:szCs w:val="20"/>
          <w:color w:val="auto"/>
        </w:rPr>
      </w:pPr>
    </w:p>
    <w:p>
      <w:pPr>
        <w:jc w:val="both"/>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10.3 to GCE’s Annual Report on Form 10-K filed with the SEC on February 21, 2018.</w:t>
      </w:r>
    </w:p>
    <w:p>
      <w:pPr>
        <w:spacing w:after="0" w:line="176" w:lineRule="exact"/>
        <w:rPr>
          <w:sz w:val="20"/>
          <w:szCs w:val="20"/>
          <w:color w:val="auto"/>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the Company’s Quarterly Report on Form 10-Q filed with the SEC on May 2, 2023.</w:t>
      </w:r>
    </w:p>
    <w:p>
      <w:pPr>
        <w:spacing w:after="0" w:line="176" w:lineRule="exact"/>
        <w:rPr>
          <w:sz w:val="20"/>
          <w:szCs w:val="20"/>
          <w:color w:val="auto"/>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10.2 to the Company’s Quarterly Report on Form 10-Q filed with the SEC on May 2, 2023.</w:t>
      </w:r>
    </w:p>
    <w:p>
      <w:pPr>
        <w:spacing w:after="0" w:line="176" w:lineRule="exact"/>
        <w:rPr>
          <w:sz w:val="20"/>
          <w:szCs w:val="20"/>
          <w:color w:val="auto"/>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10.3 to the Company’s Quarterly Report on Form 10-Q filed with the SEC on May 2, 2023.</w:t>
      </w:r>
    </w:p>
    <w:p>
      <w:pPr>
        <w:spacing w:after="0" w:line="176" w:lineRule="exact"/>
        <w:rPr>
          <w:sz w:val="20"/>
          <w:szCs w:val="20"/>
          <w:color w:val="auto"/>
        </w:rPr>
      </w:pPr>
    </w:p>
    <w:p>
      <w:pPr>
        <w:ind w:right="43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10.4 to the Company’s Quarterly Report on Form 10-Q filed with the SEC on May 2, 2023.</w:t>
      </w:r>
    </w:p>
    <w:p>
      <w:pPr>
        <w:spacing w:after="0" w:line="392" w:lineRule="exact"/>
        <w:rPr>
          <w:sz w:val="20"/>
          <w:szCs w:val="20"/>
          <w:color w:val="auto"/>
        </w:rPr>
      </w:pPr>
    </w:p>
    <w:p>
      <w:pPr>
        <w:ind w:right="239"/>
        <w:spacing w:after="0" w:line="261" w:lineRule="auto"/>
        <w:rPr>
          <w:sz w:val="20"/>
          <w:szCs w:val="20"/>
          <w:color w:val="auto"/>
        </w:rPr>
      </w:pPr>
      <w:r>
        <w:rPr>
          <w:rFonts w:ascii="Times New Roman" w:cs="Times New Roman" w:eastAsia="Times New Roman" w:hAnsi="Times New Roman"/>
          <w:sz w:val="18"/>
          <w:szCs w:val="18"/>
          <w:color w:val="auto"/>
        </w:rPr>
        <w:t>Incorporated by reference to Exhibit 10.21 to Amendment No. 2 to GCE’s Registration Statement on Form S-1 filed with the SEC on September 29, 2008.</w:t>
      </w:r>
    </w:p>
    <w:p>
      <w:pPr>
        <w:spacing w:after="0" w:line="180" w:lineRule="exact"/>
        <w:rPr>
          <w:sz w:val="20"/>
          <w:szCs w:val="20"/>
          <w:color w:val="auto"/>
        </w:rPr>
      </w:pPr>
    </w:p>
    <w:p>
      <w:pPr>
        <w:sectPr>
          <w:pgSz w:w="11900" w:h="16838" w:orient="portrait"/>
          <w:cols w:equalWidth="0" w:num="2">
            <w:col w:w="4860" w:space="200"/>
            <w:col w:w="3959"/>
          </w:cols>
          <w:pgMar w:left="1440" w:top="513" w:right="1440" w:bottom="1440" w:gutter="0" w:footer="0" w:header="0"/>
          <w:type w:val="continuous"/>
        </w:sectPr>
      </w:pPr>
    </w:p>
    <w:p>
      <w:pPr>
        <w:ind w:left="94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17">
        <w:r>
          <w:rPr>
            <w:rFonts w:ascii="Times New Roman" w:cs="Times New Roman" w:eastAsia="Times New Roman" w:hAnsi="Times New Roman"/>
            <w:sz w:val="18"/>
            <w:szCs w:val="18"/>
            <w:u w:val="single" w:color="auto"/>
            <w:color w:val="0000EE"/>
          </w:rPr>
          <w:t>Credit Agreement dated July 1, 2018, by and between</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Grand Canyon Education, Inc. and Grand Canyon</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University (formerly known as Gazelle University).</w:t>
        </w:r>
      </w:hyperlink>
    </w:p>
    <w:p>
      <w:pPr>
        <w:spacing w:after="0" w:line="176" w:lineRule="exact"/>
        <w:rPr>
          <w:rFonts w:ascii="Times New Roman" w:cs="Times New Roman" w:eastAsia="Times New Roman" w:hAnsi="Times New Roman"/>
          <w:sz w:val="18"/>
          <w:szCs w:val="18"/>
          <w:u w:val="single" w:color="auto"/>
          <w:color w:val="0000EE"/>
        </w:rPr>
      </w:pPr>
    </w:p>
    <w:p>
      <w:pPr>
        <w:ind w:left="940" w:right="20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8">
        <w:r>
          <w:rPr>
            <w:rFonts w:ascii="Times New Roman" w:cs="Times New Roman" w:eastAsia="Times New Roman" w:hAnsi="Times New Roman"/>
            <w:sz w:val="18"/>
            <w:szCs w:val="18"/>
            <w:u w:val="single" w:color="auto"/>
            <w:color w:val="0000EE"/>
          </w:rPr>
          <w:t>Master Services Agreement, dated July 1, 2018, by</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and between Grand Canyon Education, Inc. and</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Grand Canyon University (formerly known as</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Gazelle University).##</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12" w:lineRule="exact"/>
        <w:rPr>
          <w:rFonts w:ascii="Times New Roman" w:cs="Times New Roman" w:eastAsia="Times New Roman" w:hAnsi="Times New Roman"/>
          <w:sz w:val="18"/>
          <w:szCs w:val="18"/>
          <w:u w:val="single" w:color="auto"/>
          <w:color w:val="0000EE"/>
        </w:rPr>
      </w:pPr>
    </w:p>
    <w:p>
      <w:pPr>
        <w:ind w:left="44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10.7 to GCE’s Quarterly Report on Form 10-Q filed with the SEC on November 8, 2018.</w:t>
      </w:r>
    </w:p>
    <w:p>
      <w:pPr>
        <w:spacing w:after="0" w:line="176" w:lineRule="exact"/>
        <w:rPr>
          <w:rFonts w:ascii="Times New Roman" w:cs="Times New Roman" w:eastAsia="Times New Roman" w:hAnsi="Times New Roman"/>
          <w:sz w:val="18"/>
          <w:szCs w:val="18"/>
          <w:u w:val="single" w:color="auto"/>
          <w:color w:val="0000EE"/>
        </w:rPr>
      </w:pPr>
    </w:p>
    <w:p>
      <w:pPr>
        <w:ind w:right="1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10.8 to GCE’s Quarterly Report on Form 10-Q/A filed with the SEC on April 23, 2019.</w:t>
      </w:r>
    </w:p>
    <w:p>
      <w:pPr>
        <w:sectPr>
          <w:pgSz w:w="11900" w:h="16838" w:orient="portrait"/>
          <w:cols w:equalWidth="0" w:num="2">
            <w:col w:w="4820" w:space="240"/>
            <w:col w:w="395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25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30429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940" w:hanging="890"/>
        <w:spacing w:after="0" w:line="253"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21">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parties named therein.</w:t>
        </w:r>
      </w:hyperlink>
    </w:p>
    <w:p>
      <w:pPr>
        <w:spacing w:after="0" w:line="187" w:lineRule="exact"/>
        <w:rPr>
          <w:rFonts w:ascii="Times New Roman" w:cs="Times New Roman" w:eastAsia="Times New Roman" w:hAnsi="Times New Roman"/>
          <w:sz w:val="18"/>
          <w:szCs w:val="18"/>
          <w:u w:val="single" w:color="auto"/>
          <w:color w:val="0000EE"/>
        </w:rPr>
      </w:pPr>
    </w:p>
    <w:p>
      <w:pPr>
        <w:ind w:left="940" w:right="220" w:hanging="890"/>
        <w:spacing w:after="0" w:line="261"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22">
        <w:r>
          <w:rPr>
            <w:rFonts w:ascii="Times New Roman" w:cs="Times New Roman" w:eastAsia="Times New Roman" w:hAnsi="Times New Roman"/>
            <w:sz w:val="18"/>
            <w:szCs w:val="18"/>
            <w:u w:val="single" w:color="auto"/>
            <w:color w:val="0000EE"/>
          </w:rPr>
          <w:t>Amended and Restated Security and Pledge</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Agreement, dated January 22, 2019, by and among</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Grand Canyon Education, Inc., Bank of America,</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N.A., and the other parties named therein.</w:t>
        </w:r>
      </w:hyperlink>
    </w:p>
    <w:p>
      <w:pPr>
        <w:spacing w:after="0" w:line="180" w:lineRule="exact"/>
        <w:rPr>
          <w:rFonts w:ascii="Times New Roman" w:cs="Times New Roman" w:eastAsia="Times New Roman" w:hAnsi="Times New Roman"/>
          <w:sz w:val="18"/>
          <w:szCs w:val="18"/>
          <w:u w:val="single" w:color="auto"/>
          <w:color w:val="0000EE"/>
        </w:r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23">
        <w:r>
          <w:rPr>
            <w:rFonts w:ascii="Times New Roman" w:cs="Times New Roman" w:eastAsia="Times New Roman" w:hAnsi="Times New Roman"/>
            <w:sz w:val="18"/>
            <w:szCs w:val="18"/>
            <w:u w:val="single" w:color="auto"/>
            <w:color w:val="0000EE"/>
          </w:rPr>
          <w:t>First Amendment, dated January 31, 2019 to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74" w:lineRule="exact"/>
        <w:rPr>
          <w:rFonts w:ascii="Times New Roman" w:cs="Times New Roman" w:eastAsia="Times New Roman" w:hAnsi="Times New Roman"/>
          <w:sz w:val="18"/>
          <w:szCs w:val="18"/>
          <w:u w:val="single" w:color="auto"/>
          <w:color w:val="0000EE"/>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7620</wp:posOffset>
            </wp:positionV>
            <wp:extent cx="24771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jc w:val="both"/>
        <w:ind w:right="199"/>
        <w:spacing w:after="0" w:line="254" w:lineRule="auto"/>
        <w:rPr>
          <w:sz w:val="20"/>
          <w:szCs w:val="20"/>
          <w:color w:val="auto"/>
        </w:rPr>
      </w:pPr>
      <w:r>
        <w:rPr>
          <w:rFonts w:ascii="Times New Roman" w:cs="Times New Roman" w:eastAsia="Times New Roman" w:hAnsi="Times New Roman"/>
          <w:sz w:val="18"/>
          <w:szCs w:val="18"/>
          <w:color w:val="auto"/>
        </w:rPr>
        <w:t>Incorporated by reference to Exhibit 10.14 to GCE’s Annual Report on Form 10-K filed with the SEC on February 20, 2019.</w:t>
      </w:r>
    </w:p>
    <w:p>
      <w:pPr>
        <w:spacing w:after="0" w:line="200" w:lineRule="exact"/>
        <w:rPr>
          <w:rFonts w:ascii="Times New Roman" w:cs="Times New Roman" w:eastAsia="Times New Roman" w:hAnsi="Times New Roman"/>
          <w:sz w:val="18"/>
          <w:szCs w:val="18"/>
          <w:u w:val="single" w:color="auto"/>
          <w:color w:val="0000EE"/>
        </w:rPr>
      </w:pPr>
    </w:p>
    <w:p>
      <w:pPr>
        <w:spacing w:after="0" w:line="203" w:lineRule="exact"/>
        <w:rPr>
          <w:rFonts w:ascii="Times New Roman" w:cs="Times New Roman" w:eastAsia="Times New Roman" w:hAnsi="Times New Roman"/>
          <w:sz w:val="18"/>
          <w:szCs w:val="18"/>
          <w:u w:val="single" w:color="auto"/>
          <w:color w:val="0000EE"/>
        </w:rPr>
      </w:pP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10.15 to GCE’s Annual Report on Form 10-K filed with the SEC on February 20, 2019.</w:t>
      </w:r>
    </w:p>
    <w:p>
      <w:pPr>
        <w:spacing w:after="0" w:line="392" w:lineRule="exact"/>
        <w:rPr>
          <w:rFonts w:ascii="Times New Roman" w:cs="Times New Roman" w:eastAsia="Times New Roman" w:hAnsi="Times New Roman"/>
          <w:sz w:val="18"/>
          <w:szCs w:val="18"/>
          <w:u w:val="single" w:color="auto"/>
          <w:color w:val="0000EE"/>
        </w:rPr>
      </w:pP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10.16 to GCE’s Annual Report on Form 10-K filed with the SEC on February 20, 2019.</w:t>
      </w:r>
    </w:p>
    <w:p>
      <w:pPr>
        <w:spacing w:after="0" w:line="60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40" w:space="220"/>
            <w:col w:w="3959"/>
          </w:cols>
          <w:pgMar w:left="1440" w:top="513" w:right="1440" w:bottom="1440" w:gutter="0" w:footer="0" w:header="0"/>
          <w:type w:val="continuous"/>
        </w:sect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25">
        <w:r>
          <w:rPr>
            <w:rFonts w:ascii="Times New Roman" w:cs="Times New Roman" w:eastAsia="Times New Roman" w:hAnsi="Times New Roman"/>
            <w:sz w:val="18"/>
            <w:szCs w:val="18"/>
            <w:u w:val="single" w:color="auto"/>
            <w:color w:val="0000EE"/>
          </w:rPr>
          <w:t>First Incremental Facility Amendment, dated</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February 1, 2019 to Amended and Restated Credit</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Agreement, dated January 22, 2019 by and among</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Grand Canyon Education, Inc., Bank of America,</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N.A., and the other 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10.17 to GCE’s Quarterly Report on Form 10-Q filed with the SEC on February 20, 2019.</w:t>
      </w:r>
    </w:p>
    <w:p>
      <w:pPr>
        <w:spacing w:after="0" w:line="60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580" w:space="480"/>
            <w:col w:w="3959"/>
          </w:cols>
          <w:pgMar w:left="1440" w:top="513" w:right="1440" w:bottom="1440" w:gutter="0" w:footer="0" w:header="0"/>
          <w:type w:val="continuous"/>
        </w:sectPr>
      </w:pPr>
    </w:p>
    <w:p>
      <w:pPr>
        <w:ind w:left="940" w:hanging="890"/>
        <w:spacing w:after="0" w:line="258"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26">
        <w:r>
          <w:rPr>
            <w:rFonts w:ascii="Times New Roman" w:cs="Times New Roman" w:eastAsia="Times New Roman" w:hAnsi="Times New Roman"/>
            <w:sz w:val="18"/>
            <w:szCs w:val="18"/>
            <w:u w:val="single" w:color="auto"/>
            <w:color w:val="0000EE"/>
          </w:rPr>
          <w:t>Second Amendment, dated October 31, 2019 to</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Amended and Restated Credit Agreement, dated</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January 22, 2019 by and among Grand Canyon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Education, Inc., Bank of America N.A., and the other</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parties named therein.</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19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10.18 to GCE’s Annual Report on Form 10-K filed with the SEC on November 6, 2019.</w:t>
      </w:r>
    </w:p>
    <w:p>
      <w:pPr>
        <w:spacing w:after="0" w:line="607"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00" w:space="260"/>
            <w:col w:w="3959"/>
          </w:cols>
          <w:pgMar w:left="1440" w:top="513" w:right="1440" w:bottom="1440" w:gutter="0" w:footer="0" w:header="0"/>
          <w:type w:val="continuous"/>
        </w:sectPr>
      </w:pPr>
    </w:p>
    <w:p>
      <w:pPr>
        <w:jc w:val="both"/>
        <w:ind w:left="940" w:hanging="890"/>
        <w:spacing w:after="0" w:line="266"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27">
        <w:r>
          <w:rPr>
            <w:rFonts w:ascii="Times New Roman" w:cs="Times New Roman" w:eastAsia="Times New Roman" w:hAnsi="Times New Roman"/>
            <w:sz w:val="18"/>
            <w:szCs w:val="18"/>
            <w:u w:val="single" w:color="auto"/>
            <w:color w:val="0000EE"/>
          </w:rPr>
          <w:t>Modification of Credit Agreement, Dated October 29,</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2021, by and between Grand Canyon Education, Inc.</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and Grand Canyon University.</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940" w:right="280" w:hanging="890"/>
        <w:spacing w:after="0" w:line="266" w:lineRule="auto"/>
        <w:tabs>
          <w:tab w:leader="none" w:pos="92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u w:val="single" w:color="auto"/>
          <w:color w:val="0000EE"/>
        </w:rPr>
        <w:t>Security Agreement dated October 1, 2024 by and between Grand Canyon Education, Inc. and Zions Bancorporation, N.A.</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10.1 to GCE’s Quarterly Report on Form 10-Q filed with the SEC on November 2, 2021.</w:t>
      </w:r>
    </w:p>
    <w:p>
      <w:pPr>
        <w:spacing w:after="0" w:line="176"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44"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4840" w:space="220"/>
            <w:col w:w="395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Pledge and Security Agreement dated October 1,</w:t>
            </w: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2024 by and between Grand Canyon Education, Inc.</w:t>
            </w:r>
          </w:p>
        </w:tc>
        <w:tc>
          <w:tcPr>
            <w:tcW w:w="220" w:type="dxa"/>
            <w:vAlign w:val="bottom"/>
            <w:gridSpan w:val="3"/>
          </w:tcPr>
          <w:p>
            <w:pPr>
              <w:spacing w:after="0"/>
              <w:rPr>
                <w:sz w:val="17"/>
                <w:szCs w:val="17"/>
                <w:color w:val="auto"/>
              </w:rPr>
            </w:pPr>
          </w:p>
        </w:tc>
        <w:tc>
          <w:tcPr>
            <w:tcW w:w="2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MidFirst Bank.</w:t>
            </w:r>
          </w:p>
        </w:tc>
        <w:tc>
          <w:tcPr>
            <w:tcW w:w="2580" w:type="dxa"/>
            <w:vAlign w:val="bottom"/>
            <w:gridSpan w:val="9"/>
          </w:tcPr>
          <w:p>
            <w:pPr>
              <w:spacing w:after="0"/>
              <w:rPr>
                <w:sz w:val="17"/>
                <w:szCs w:val="17"/>
                <w:color w:val="auto"/>
              </w:rPr>
            </w:pPr>
          </w:p>
        </w:tc>
        <w:tc>
          <w:tcPr>
            <w:tcW w:w="25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2380" w:type="dxa"/>
            <w:vAlign w:val="bottom"/>
            <w:gridSpan w:val="8"/>
          </w:tcPr>
          <w:p>
            <w:pPr>
              <w:spacing w:after="0"/>
              <w:rPr>
                <w:sz w:val="24"/>
                <w:szCs w:val="24"/>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3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Subsidiaries of Grand Canyon Education, Inc.</w:t>
            </w:r>
          </w:p>
        </w:tc>
        <w:tc>
          <w:tcPr>
            <w:tcW w:w="680" w:type="dxa"/>
            <w:vAlign w:val="bottom"/>
            <w:gridSpan w:val="6"/>
          </w:tcPr>
          <w:p>
            <w:pPr>
              <w:spacing w:after="0"/>
              <w:rPr>
                <w:sz w:val="24"/>
                <w:szCs w:val="24"/>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w:t>
            </w:r>
          </w:p>
        </w:tc>
        <w:tc>
          <w:tcPr>
            <w:tcW w:w="480" w:type="dxa"/>
            <w:vAlign w:val="bottom"/>
            <w:gridSpan w:val="5"/>
          </w:tcPr>
          <w:p>
            <w:pPr>
              <w:spacing w:after="0"/>
              <w:rPr>
                <w:sz w:val="24"/>
                <w:szCs w:val="24"/>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880" w:type="dxa"/>
            <w:vAlign w:val="bottom"/>
          </w:tcPr>
          <w:p>
            <w:pPr>
              <w:spacing w:after="0"/>
              <w:rPr>
                <w:sz w:val="17"/>
                <w:szCs w:val="17"/>
                <w:color w:val="auto"/>
              </w:rPr>
            </w:pPr>
          </w:p>
        </w:tc>
        <w:tc>
          <w:tcPr>
            <w:tcW w:w="4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2580" w:type="dxa"/>
            <w:vAlign w:val="bottom"/>
          </w:tcPr>
          <w:p>
            <w:pPr>
              <w:spacing w:after="0"/>
              <w:rPr>
                <w:sz w:val="17"/>
                <w:szCs w:val="17"/>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7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2260" w:type="dxa"/>
            <w:vAlign w:val="bottom"/>
            <w:gridSpan w:val="7"/>
          </w:tcPr>
          <w:p>
            <w:pPr>
              <w:spacing w:after="0"/>
              <w:rPr>
                <w:sz w:val="24"/>
                <w:szCs w:val="24"/>
                <w:color w:val="auto"/>
              </w:rPr>
            </w:pP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Filed herewith (on signature page)</w:t>
            </w: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w:t>
            </w: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880" w:type="dxa"/>
            <w:vAlign w:val="bottom"/>
          </w:tcPr>
          <w:p>
            <w:pPr>
              <w:spacing w:after="0" w:line="20" w:lineRule="exact"/>
              <w:rPr>
                <w:sz w:val="1"/>
                <w:szCs w:val="1"/>
                <w:color w:val="auto"/>
              </w:rPr>
            </w:pPr>
          </w:p>
        </w:tc>
        <w:tc>
          <w:tcPr>
            <w:tcW w:w="3600" w:type="dxa"/>
            <w:vAlign w:val="bottom"/>
            <w:gridSpan w:val="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to Rule 13a-14(a) and 15d-14(a) as Adopted Pursuant</w:t>
            </w:r>
          </w:p>
        </w:tc>
        <w:tc>
          <w:tcPr>
            <w:tcW w:w="2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8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1">
            <w:col w:w="9019"/>
          </w:cols>
          <w:pgMar w:left="1440" w:top="513" w:right="1440" w:bottom="1440" w:gutter="0" w:footer="0" w:header="0"/>
          <w:type w:val="continuous"/>
        </w:sectPr>
      </w:pPr>
    </w:p>
    <w:p>
      <w:pPr>
        <w:spacing w:after="0" w:line="24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bottom w:val="single" w:sz="8" w:color="auto"/>
            </w:tcBorders>
            <w:gridSpan w:val="8"/>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5"/>
                <w:szCs w:val="15"/>
                <w:color w:val="auto"/>
              </w:rPr>
            </w:pPr>
          </w:p>
        </w:tc>
        <w:tc>
          <w:tcPr>
            <w:tcW w:w="39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Method of Filing</w:t>
            </w:r>
          </w:p>
        </w:tc>
      </w:tr>
      <w:tr>
        <w:trPr>
          <w:trHeight w:val="38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3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w:t>
            </w:r>
          </w:p>
        </w:tc>
        <w:tc>
          <w:tcPr>
            <w:tcW w:w="140" w:type="dxa"/>
            <w:vAlign w:val="bottom"/>
            <w:gridSpan w:val="3"/>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to Rule 13a-14(a) and 15d-14(a) as Adopted Pursuant</w:t>
            </w: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24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3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Section 1350, as Adopted Pursuant to</w:t>
            </w:r>
          </w:p>
        </w:tc>
        <w:tc>
          <w:tcPr>
            <w:tcW w:w="14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2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41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37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w:t>
            </w:r>
          </w:p>
        </w:tc>
        <w:tc>
          <w:tcPr>
            <w:tcW w:w="160" w:type="dxa"/>
            <w:vAlign w:val="bottom"/>
            <w:gridSpan w:val="4"/>
          </w:tcPr>
          <w:p>
            <w:pPr>
              <w:spacing w:after="0"/>
              <w:rPr>
                <w:sz w:val="24"/>
                <w:szCs w:val="24"/>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Section 1350, as Adopted Pursuant to</w:t>
            </w:r>
          </w:p>
        </w:tc>
        <w:tc>
          <w:tcPr>
            <w:tcW w:w="26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2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 w:lineRule="exact"/>
        <w:rPr>
          <w:sz w:val="20"/>
          <w:szCs w:val="20"/>
          <w:color w:val="auto"/>
        </w:rPr>
      </w:pPr>
    </w:p>
    <w:p>
      <w:pPr>
        <w:ind w:left="940" w:right="460" w:hanging="890"/>
        <w:spacing w:after="0" w:line="289" w:lineRule="auto"/>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29">
        <w:r>
          <w:rPr>
            <w:rFonts w:ascii="Times New Roman" w:cs="Times New Roman" w:eastAsia="Times New Roman" w:hAnsi="Times New Roman"/>
            <w:sz w:val="17"/>
            <w:szCs w:val="17"/>
            <w:u w:val="single" w:color="auto"/>
            <w:color w:val="0000EE"/>
          </w:rPr>
          <w:t>Grand Canyon Education, Inc. Recovery of</w:t>
        </w:r>
      </w:hyperlink>
      <w:r>
        <w:rPr>
          <w:rFonts w:ascii="Times New Roman" w:cs="Times New Roman" w:eastAsia="Times New Roman" w:hAnsi="Times New Roman"/>
          <w:sz w:val="17"/>
          <w:szCs w:val="17"/>
          <w:u w:val="single" w:color="auto"/>
          <w:color w:val="0000EE"/>
        </w:rPr>
        <w:t xml:space="preserve"> </w:t>
      </w:r>
      <w:hyperlink r:id="rId129">
        <w:r>
          <w:rPr>
            <w:rFonts w:ascii="Times New Roman" w:cs="Times New Roman" w:eastAsia="Times New Roman" w:hAnsi="Times New Roman"/>
            <w:sz w:val="17"/>
            <w:szCs w:val="17"/>
            <w:u w:val="single" w:color="auto"/>
            <w:color w:val="0000EE"/>
          </w:rPr>
          <w:t>Erroneously-Awarded Incentive Compensation</w:t>
        </w:r>
      </w:hyperlink>
      <w:r>
        <w:rPr>
          <w:rFonts w:ascii="Times New Roman" w:cs="Times New Roman" w:eastAsia="Times New Roman" w:hAnsi="Times New Roman"/>
          <w:sz w:val="17"/>
          <w:szCs w:val="17"/>
          <w:u w:val="single" w:color="auto"/>
          <w:color w:val="0000EE"/>
        </w:rPr>
        <w:t xml:space="preserve"> </w:t>
      </w:r>
      <w:hyperlink r:id="rId129">
        <w:r>
          <w:rPr>
            <w:rFonts w:ascii="Times New Roman" w:cs="Times New Roman" w:eastAsia="Times New Roman" w:hAnsi="Times New Roman"/>
            <w:sz w:val="17"/>
            <w:szCs w:val="17"/>
            <w:u w:val="single" w:color="auto"/>
            <w:color w:val="0000EE"/>
          </w:rPr>
          <w:t>Policy, as adopted October 25, 2023.</w:t>
        </w:r>
      </w:hyperlink>
    </w:p>
    <w:p>
      <w:pPr>
        <w:spacing w:after="0" w:line="158" w:lineRule="exact"/>
        <w:rPr>
          <w:rFonts w:ascii="Times New Roman" w:cs="Times New Roman" w:eastAsia="Times New Roman" w:hAnsi="Times New Roman"/>
          <w:sz w:val="17"/>
          <w:szCs w:val="17"/>
          <w:u w:val="single" w:color="auto"/>
          <w:color w:val="0000EE"/>
        </w:rPr>
      </w:pPr>
    </w:p>
    <w:p>
      <w:pPr>
        <w:ind w:left="940" w:hanging="884"/>
        <w:spacing w:after="0" w:line="253"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GCE’s Annual Report on Form 10-K for the year ended December 31, 2024, formatted in Inline XBRL: (i) Consolidated Income Statements, (ii) Consolidated Statements of Comprehensive Income, (iii) Consolidated Balance Sheets, (iv) Consolidated Statements of Stockholders’ Equity, (v) Consolidated Statements of Cash Flows, and (vi) Consolidated Financial Statements tagged as blocks of text and including detailed tags.</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br w:type="column"/>
      </w:r>
    </w:p>
    <w:p>
      <w:pPr>
        <w:spacing w:after="0" w:line="5" w:lineRule="exact"/>
        <w:rPr>
          <w:rFonts w:ascii="Times New Roman" w:cs="Times New Roman" w:eastAsia="Times New Roman" w:hAnsi="Times New Roman"/>
          <w:sz w:val="17"/>
          <w:szCs w:val="17"/>
          <w:u w:val="single" w:color="auto"/>
          <w:color w:val="0000EE"/>
        </w:rPr>
      </w:pPr>
    </w:p>
    <w:p>
      <w:pPr>
        <w:jc w:val="both"/>
        <w:ind w:right="219"/>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97.1 to GCE’s Annual Report on Form 10-K filed with the SEC on February 13, 2024.</w:t>
      </w:r>
    </w:p>
    <w:p>
      <w:pPr>
        <w:spacing w:after="0" w:line="176" w:lineRule="exact"/>
        <w:rPr>
          <w:rFonts w:ascii="Times New Roman" w:cs="Times New Roman" w:eastAsia="Times New Roman" w:hAnsi="Times New Roman"/>
          <w:sz w:val="17"/>
          <w:szCs w:val="17"/>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168"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4780" w:space="280"/>
            <w:col w:w="3959"/>
          </w:cols>
          <w:pgMar w:left="1440" w:top="513" w:right="1440" w:bottom="1440" w:gutter="0" w:footer="0" w:header="0"/>
          <w:type w:val="continuous"/>
        </w:sectPr>
      </w:pPr>
    </w:p>
    <w:p>
      <w:pPr>
        <w:ind w:left="60"/>
        <w:spacing w:after="0"/>
        <w:tabs>
          <w:tab w:leader="none" w:pos="920" w:val="left"/>
          <w:tab w:leader="none" w:pos="50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GCE’s Annual Report on Form</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7"/>
          <w:szCs w:val="17"/>
          <w:u w:val="single" w:color="auto"/>
          <w:color w:val="0000EE"/>
        </w:rPr>
      </w:pPr>
    </w:p>
    <w:p>
      <w:pPr>
        <w:ind w:left="940"/>
        <w:spacing w:after="0"/>
        <w:rPr>
          <w:sz w:val="20"/>
          <w:szCs w:val="20"/>
          <w:color w:val="auto"/>
        </w:rPr>
      </w:pPr>
      <w:r>
        <w:rPr>
          <w:rFonts w:ascii="Times New Roman" w:cs="Times New Roman" w:eastAsia="Times New Roman" w:hAnsi="Times New Roman"/>
          <w:sz w:val="18"/>
          <w:szCs w:val="18"/>
          <w:color w:val="auto"/>
        </w:rPr>
        <w:t>10-K for the year ended December 31, 2024,</w:t>
      </w:r>
    </w:p>
    <w:p>
      <w:pPr>
        <w:spacing w:after="0" w:line="9" w:lineRule="exact"/>
        <w:rPr>
          <w:rFonts w:ascii="Times New Roman" w:cs="Times New Roman" w:eastAsia="Times New Roman" w:hAnsi="Times New Roman"/>
          <w:sz w:val="17"/>
          <w:szCs w:val="17"/>
          <w:u w:val="single" w:color="auto"/>
          <w:color w:val="0000EE"/>
        </w:rPr>
      </w:pPr>
    </w:p>
    <w:p>
      <w:pPr>
        <w:ind w:left="940"/>
        <w:spacing w:after="0"/>
        <w:rPr>
          <w:sz w:val="20"/>
          <w:szCs w:val="20"/>
          <w:color w:val="auto"/>
        </w:rPr>
      </w:pPr>
      <w:r>
        <w:rPr>
          <w:rFonts w:ascii="Times New Roman" w:cs="Times New Roman" w:eastAsia="Times New Roman" w:hAnsi="Times New Roman"/>
          <w:sz w:val="18"/>
          <w:szCs w:val="18"/>
          <w:color w:val="auto"/>
        </w:rPr>
        <w:t>formatted in Inline XBRL (included as Exhibit 101).</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211455</wp:posOffset>
            </wp:positionV>
            <wp:extent cx="141414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u w:val="single" w:color="auto"/>
          <w:color w:val="0000EE"/>
        </w:rPr>
      </w:pPr>
    </w:p>
    <w:p>
      <w:pPr>
        <w:spacing w:after="0" w:line="203" w:lineRule="exact"/>
        <w:rPr>
          <w:rFonts w:ascii="Times New Roman" w:cs="Times New Roman" w:eastAsia="Times New Roman" w:hAnsi="Times New Roman"/>
          <w:sz w:val="17"/>
          <w:szCs w:val="17"/>
          <w:u w:val="single" w:color="auto"/>
          <w:color w:val="0000EE"/>
        </w:rPr>
      </w:pPr>
    </w:p>
    <w:p>
      <w:pPr>
        <w:ind w:left="360" w:hanging="310"/>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117" w:lineRule="exact"/>
        <w:rPr>
          <w:rFonts w:ascii="Times New Roman" w:cs="Times New Roman" w:eastAsia="Times New Roman" w:hAnsi="Times New Roman"/>
          <w:sz w:val="17"/>
          <w:szCs w:val="17"/>
          <w:u w:val="single" w:color="auto"/>
          <w:color w:val="0000EE"/>
        </w:rPr>
      </w:pPr>
    </w:p>
    <w:p>
      <w:pPr>
        <w:ind w:left="380" w:right="159" w:hanging="330"/>
        <w:spacing w:after="0" w:line="266"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601(b)(2) of Regulation S-K. GCE will furnish supplementally a copy of any omitted schedule or similar attachment to the Securities and Exchange Commission upon request.</w:t>
      </w:r>
    </w:p>
    <w:p>
      <w:pPr>
        <w:spacing w:after="0" w:line="68" w:lineRule="exact"/>
        <w:rPr>
          <w:rFonts w:ascii="Times New Roman" w:cs="Times New Roman" w:eastAsia="Times New Roman" w:hAnsi="Times New Roman"/>
          <w:sz w:val="17"/>
          <w:szCs w:val="17"/>
          <w:u w:val="single" w:color="auto"/>
          <w:color w:val="0000EE"/>
        </w:rPr>
      </w:pPr>
    </w:p>
    <w:p>
      <w:pPr>
        <w:ind w:left="60"/>
        <w:spacing w:after="0"/>
        <w:rPr>
          <w:sz w:val="20"/>
          <w:szCs w:val="20"/>
          <w:color w:val="auto"/>
        </w:rPr>
      </w:pPr>
      <w:r>
        <w:rPr>
          <w:rFonts w:ascii="Times New Roman" w:cs="Times New Roman" w:eastAsia="Times New Roman" w:hAnsi="Times New Roman"/>
          <w:sz w:val="18"/>
          <w:szCs w:val="18"/>
          <w:color w:val="auto"/>
        </w:rPr>
        <w:t>##  Certain portions of this document have been redacted pursuant to Regulation S-K, Item 601(b)(10)(iv).</w:t>
      </w:r>
    </w:p>
    <w:p>
      <w:pPr>
        <w:spacing w:after="0" w:line="117" w:lineRule="exact"/>
        <w:rPr>
          <w:rFonts w:ascii="Times New Roman" w:cs="Times New Roman" w:eastAsia="Times New Roman" w:hAnsi="Times New Roman"/>
          <w:sz w:val="17"/>
          <w:szCs w:val="17"/>
          <w:u w:val="single" w:color="auto"/>
          <w:color w:val="0000EE"/>
        </w:rPr>
      </w:pPr>
    </w:p>
    <w:p>
      <w:pPr>
        <w:ind w:left="380" w:right="159" w:hanging="330"/>
        <w:spacing w:after="0" w:line="289" w:lineRule="auto"/>
        <w:tabs>
          <w:tab w:leader="none" w:pos="36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GCE, whether made before or after the date hereof, regardless of any general incorporation language in such filing.</w:t>
      </w: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00" w:lineRule="exact"/>
        <w:rPr>
          <w:rFonts w:ascii="Times New Roman" w:cs="Times New Roman" w:eastAsia="Times New Roman" w:hAnsi="Times New Roman"/>
          <w:sz w:val="17"/>
          <w:szCs w:val="17"/>
          <w:u w:val="single" w:color="auto"/>
          <w:color w:val="0000EE"/>
        </w:rPr>
      </w:pPr>
    </w:p>
    <w:p>
      <w:pPr>
        <w:spacing w:after="0" w:line="222" w:lineRule="exact"/>
        <w:rPr>
          <w:rFonts w:ascii="Times New Roman" w:cs="Times New Roman" w:eastAsia="Times New Roman" w:hAnsi="Times New Roman"/>
          <w:sz w:val="17"/>
          <w:szCs w:val="17"/>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Brian E. Mueller</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-127635</wp:posOffset>
            </wp:positionV>
            <wp:extent cx="26485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Dated: February 19, 2025</w:t>
      </w:r>
    </w:p>
    <w:p>
      <w:pPr>
        <w:spacing w:after="0" w:line="207"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Brian E. Mueller, Daniel E. Bachus, and Sarah S. Collins,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substitute or substitutes, may lawfully do or cause to be done by virtue hereof.</w:t>
      </w:r>
    </w:p>
    <w:p>
      <w:pPr>
        <w:spacing w:after="0" w:line="8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5"/>
                <w:szCs w:val="15"/>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0" w:type="dxa"/>
            <w:vAlign w:val="bottom"/>
          </w:tcPr>
          <w:p>
            <w:pPr>
              <w:spacing w:after="0"/>
              <w:rPr>
                <w:sz w:val="15"/>
                <w:szCs w:val="15"/>
                <w:color w:val="auto"/>
              </w:rPr>
            </w:pPr>
          </w:p>
        </w:tc>
        <w:tc>
          <w:tcPr>
            <w:tcW w:w="25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5"/>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Mueller</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Bachus</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Browning</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SVP, Controller –Chief Accounting Officer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Lori Browning</w:t>
            </w:r>
          </w:p>
        </w:tc>
        <w:tc>
          <w:tcPr>
            <w:tcW w:w="2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Sara Ward</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Sara Ward</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A. Henry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Graham Keegan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Lisa Graham Keegan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Chevy Humphrey</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Chevy Humphrey</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F. Warren</w:t>
            </w:r>
          </w:p>
        </w:tc>
        <w:tc>
          <w:tcPr>
            <w:tcW w:w="2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February 19, 2025</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Kevin F. Warren</w:t>
            </w:r>
          </w:p>
        </w:tc>
        <w:tc>
          <w:tcPr>
            <w:tcW w:w="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SECURITY AGREEMENT</w:t>
      </w:r>
    </w:p>
    <w:p>
      <w:pPr>
        <w:spacing w:after="0" w:line="203"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xml:space="preserve">”) is dated as of [October 1, 2024], and made by </w:t>
      </w:r>
      <w:r>
        <w:rPr>
          <w:rFonts w:ascii="Times New Roman" w:cs="Times New Roman" w:eastAsia="Times New Roman" w:hAnsi="Times New Roman"/>
          <w:sz w:val="20"/>
          <w:szCs w:val="20"/>
          <w:b w:val="1"/>
          <w:bCs w:val="1"/>
          <w:color w:val="auto"/>
        </w:rPr>
        <w:t>GRAND CANYON EDUCATION, INC</w:t>
      </w:r>
      <w:r>
        <w:rPr>
          <w:rFonts w:ascii="Times New Roman" w:cs="Times New Roman" w:eastAsia="Times New Roman" w:hAnsi="Times New Roman"/>
          <w:sz w:val="20"/>
          <w:szCs w:val="20"/>
          <w:color w:val="auto"/>
        </w:rPr>
        <w:t>., a Delaware corporation (individually and collectively, “</w:t>
      </w:r>
      <w:r>
        <w:rPr>
          <w:rFonts w:ascii="Times New Roman" w:cs="Times New Roman" w:eastAsia="Times New Roman" w:hAnsi="Times New Roman"/>
          <w:sz w:val="20"/>
          <w:szCs w:val="20"/>
          <w:b w:val="1"/>
          <w:bCs w:val="1"/>
          <w:u w:val="single" w:color="auto"/>
          <w:color w:val="auto"/>
        </w:rPr>
        <w:t>Grantor</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0"/>
          <w:szCs w:val="20"/>
          <w:b w:val="1"/>
          <w:bCs w:val="1"/>
          <w:color w:val="auto"/>
        </w:rPr>
        <w:t>ZIONS BANCORPORATION, N.A</w:t>
      </w:r>
      <w:r>
        <w:rPr>
          <w:rFonts w:ascii="Times New Roman" w:cs="Times New Roman" w:eastAsia="Times New Roman" w:hAnsi="Times New Roman"/>
          <w:sz w:val="20"/>
          <w:szCs w:val="20"/>
          <w:color w:val="auto"/>
        </w:rPr>
        <w:t>. dba National Bank of Arizona, as Administrative Agent for the Lenders (as hereinafter defined) (“</w:t>
      </w:r>
      <w:r>
        <w:rPr>
          <w:rFonts w:ascii="Times New Roman" w:cs="Times New Roman" w:eastAsia="Times New Roman" w:hAnsi="Times New Roman"/>
          <w:sz w:val="20"/>
          <w:szCs w:val="20"/>
          <w:b w:val="1"/>
          <w:bCs w:val="1"/>
          <w:u w:val="single" w:color="auto"/>
          <w:color w:val="auto"/>
        </w:rPr>
        <w:t>Administrative Agent</w:t>
      </w:r>
      <w:r>
        <w:rPr>
          <w:rFonts w:ascii="Times New Roman" w:cs="Times New Roman" w:eastAsia="Times New Roman" w:hAnsi="Times New Roman"/>
          <w:sz w:val="20"/>
          <w:szCs w:val="20"/>
          <w:color w:val="auto"/>
        </w:rPr>
        <w:t>”, and in its capacity as Administrative Agent for the Lenders under this Agreement, “</w:t>
      </w:r>
      <w:r>
        <w:rPr>
          <w:rFonts w:ascii="Times New Roman" w:cs="Times New Roman" w:eastAsia="Times New Roman" w:hAnsi="Times New Roman"/>
          <w:sz w:val="20"/>
          <w:szCs w:val="20"/>
          <w:b w:val="1"/>
          <w:bCs w:val="1"/>
          <w:u w:val="single" w:color="auto"/>
          <w:color w:val="auto"/>
        </w:rPr>
        <w:t>Secured Party</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WHEREAS, Grand Canyon University, an Arizona non-profit corporation (“</w:t>
      </w: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 has entered into that certain Credit Agreement dated as of even date herewith (as amended and in effect from time to time, the “</w:t>
      </w:r>
      <w:r>
        <w:rPr>
          <w:rFonts w:ascii="Times New Roman" w:cs="Times New Roman" w:eastAsia="Times New Roman" w:hAnsi="Times New Roman"/>
          <w:sz w:val="20"/>
          <w:szCs w:val="20"/>
          <w:b w:val="1"/>
          <w:bCs w:val="1"/>
          <w:u w:val="single" w:color="auto"/>
          <w:color w:val="auto"/>
        </w:rPr>
        <w:t>Credit Agreement</w:t>
      </w:r>
      <w:r>
        <w:rPr>
          <w:rFonts w:ascii="Times New Roman" w:cs="Times New Roman" w:eastAsia="Times New Roman" w:hAnsi="Times New Roman"/>
          <w:sz w:val="20"/>
          <w:szCs w:val="20"/>
          <w:color w:val="auto"/>
        </w:rPr>
        <w:t>”), with Administrative Agent and the lenders from time to time party thereto (collectively, “</w:t>
      </w:r>
      <w:r>
        <w:rPr>
          <w:rFonts w:ascii="Times New Roman" w:cs="Times New Roman" w:eastAsia="Times New Roman" w:hAnsi="Times New Roman"/>
          <w:sz w:val="20"/>
          <w:szCs w:val="20"/>
          <w:b w:val="1"/>
          <w:bCs w:val="1"/>
          <w:u w:val="single" w:color="auto"/>
          <w:color w:val="auto"/>
        </w:rPr>
        <w:t>Lenders</w:t>
      </w:r>
      <w:r>
        <w:rPr>
          <w:rFonts w:ascii="Times New Roman" w:cs="Times New Roman" w:eastAsia="Times New Roman" w:hAnsi="Times New Roman"/>
          <w:sz w:val="20"/>
          <w:szCs w:val="20"/>
          <w:color w:val="auto"/>
        </w:rPr>
        <w:t>”), pursuant to which the Lenders, subject to the terms and conditions contained therein, have agreed to make certain loans (collectively, the “</w:t>
      </w:r>
      <w:r>
        <w:rPr>
          <w:rFonts w:ascii="Times New Roman" w:cs="Times New Roman" w:eastAsia="Times New Roman" w:hAnsi="Times New Roman"/>
          <w:sz w:val="20"/>
          <w:szCs w:val="20"/>
          <w:b w:val="1"/>
          <w:bCs w:val="1"/>
          <w:u w:val="single" w:color="auto"/>
          <w:color w:val="auto"/>
        </w:rPr>
        <w:t>Loan</w:t>
      </w:r>
      <w:r>
        <w:rPr>
          <w:rFonts w:ascii="Times New Roman" w:cs="Times New Roman" w:eastAsia="Times New Roman" w:hAnsi="Times New Roman"/>
          <w:sz w:val="20"/>
          <w:szCs w:val="20"/>
          <w:color w:val="auto"/>
        </w:rPr>
        <w:t>”) to Grantor; and</w:t>
      </w:r>
    </w:p>
    <w:p>
      <w:pPr>
        <w:spacing w:after="0" w:line="18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WHEREAS, it is a condition precedent to the Lenders making the Loan to Borrower under the Credit Agreement that Grantor execute and deliver to Secured Party a security agreement in substantially the form hereof to secure the Obligations (as defined in the Credit Agreement); and</w:t>
      </w:r>
    </w:p>
    <w:p>
      <w:pPr>
        <w:spacing w:after="0" w:line="174"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WHEREAS, Grantor wishes to grant a security interest in favor of Secured Party as herein provided;</w:t>
      </w:r>
    </w:p>
    <w:p>
      <w:pPr>
        <w:spacing w:after="0" w:line="15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promises contained herein and for other good and valuable consideration, the receipt and sufficiency of which are hereby acknowledged, the parties hereto agree as follows:</w:t>
      </w:r>
    </w:p>
    <w:p>
      <w:pPr>
        <w:spacing w:after="0" w:line="170" w:lineRule="exact"/>
        <w:rPr>
          <w:sz w:val="20"/>
          <w:szCs w:val="20"/>
          <w:color w:val="auto"/>
        </w:rPr>
      </w:pPr>
    </w:p>
    <w:p>
      <w:pPr>
        <w:jc w:val="both"/>
        <w:ind w:left="200" w:right="219" w:firstLine="9"/>
        <w:spacing w:after="0" w:line="245" w:lineRule="auto"/>
        <w:tabs>
          <w:tab w:leader="none" w:pos="8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All capitalized terms used herein but not defined shall have the respective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ascribed to them in the Credit Agreement. The term “</w:t>
      </w:r>
      <w:r>
        <w:rPr>
          <w:rFonts w:ascii="Times New Roman" w:cs="Times New Roman" w:eastAsia="Times New Roman" w:hAnsi="Times New Roman"/>
          <w:sz w:val="20"/>
          <w:szCs w:val="20"/>
          <w:b w:val="1"/>
          <w:bCs w:val="1"/>
          <w:u w:val="single" w:color="auto"/>
          <w:color w:val="auto"/>
        </w:rPr>
        <w:t>State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as used herein, means the State of Arizona. The term “</w:t>
      </w:r>
      <w:r>
        <w:rPr>
          <w:rFonts w:ascii="Times New Roman" w:cs="Times New Roman" w:eastAsia="Times New Roman" w:hAnsi="Times New Roman"/>
          <w:sz w:val="20"/>
          <w:szCs w:val="20"/>
          <w:b w:val="1"/>
          <w:bCs w:val="1"/>
          <w:u w:val="single" w:color="auto"/>
          <w:color w:val="auto"/>
        </w:rPr>
        <w:t>Event of Default</w:t>
      </w:r>
      <w:r>
        <w:rPr>
          <w:rFonts w:ascii="Times New Roman" w:cs="Times New Roman" w:eastAsia="Times New Roman" w:hAnsi="Times New Roman"/>
          <w:sz w:val="20"/>
          <w:szCs w:val="20"/>
          <w:color w:val="auto"/>
        </w:rPr>
        <w:t>,” as used herein, means as defined in the Credit Agreement, and each of the following shall also constitute an Event of Default under this Agreement: (a) Grantor shall fail to observe or perform any obligation or agreement contained herein; or (b) Secured Party, in good faith, believes any or all of the Collateral (defined below) and/or proceeds are in danger of misuse, dissipation, commingling, loss, theft, damage or destruction, or otherwise in jeopardy (collectively, “</w:t>
      </w:r>
      <w:r>
        <w:rPr>
          <w:rFonts w:ascii="Times New Roman" w:cs="Times New Roman" w:eastAsia="Times New Roman" w:hAnsi="Times New Roman"/>
          <w:sz w:val="20"/>
          <w:szCs w:val="20"/>
          <w:b w:val="1"/>
          <w:bCs w:val="1"/>
          <w:u w:val="single" w:color="auto"/>
          <w:color w:val="auto"/>
        </w:rPr>
        <w:t>in jeopardy</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200" w:right="219" w:firstLine="9"/>
        <w:spacing w:after="0" w:line="247" w:lineRule="auto"/>
        <w:tabs>
          <w:tab w:leader="none" w:pos="84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Grant of Security Interest</w:t>
      </w:r>
      <w:r>
        <w:rPr>
          <w:rFonts w:ascii="Times New Roman" w:cs="Times New Roman" w:eastAsia="Times New Roman" w:hAnsi="Times New Roman"/>
          <w:sz w:val="19"/>
          <w:szCs w:val="19"/>
          <w:color w:val="auto"/>
        </w:rPr>
        <w:t>. Grantor hereby grants to Secured Party, to secure the payment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performance in full of all of the Obligations (including, without limitation, any and all obligations of Grantor to Administrative Agent or any of the Lenders arising under or in connection with any interest rate hedging transactions entered into pursuant to any Hedging Agreements, together with all renewals of, extensions of, modifications of, consolidations of and substitutions for any of the foregoing), a security interest in and so pledges and assigns to Secured Party the following properties, assets and rights of Grantor, wherever located, whether now owned or hereafter acquired or arising, and all proceeds and products thereof (all of the same being hereinafter called the “</w:t>
      </w:r>
      <w:r>
        <w:rPr>
          <w:rFonts w:ascii="Times New Roman" w:cs="Times New Roman" w:eastAsia="Times New Roman" w:hAnsi="Times New Roman"/>
          <w:sz w:val="19"/>
          <w:szCs w:val="19"/>
          <w:b w:val="1"/>
          <w:bCs w:val="1"/>
          <w:u w:val="single" w:color="auto"/>
          <w:color w:val="auto"/>
        </w:rPr>
        <w:t>Collateral</w:t>
      </w:r>
      <w:r>
        <w:rPr>
          <w:rFonts w:ascii="Times New Roman" w:cs="Times New Roman" w:eastAsia="Times New Roman" w:hAnsi="Times New Roman"/>
          <w:sz w:val="19"/>
          <w:szCs w:val="19"/>
          <w:color w:val="auto"/>
        </w:rPr>
        <w:t>”): (a) all of Grantor’s right, title and interest in and to Grantor’s brokerage account WFS106030 (the “</w:t>
      </w:r>
      <w:r>
        <w:rPr>
          <w:rFonts w:ascii="Times New Roman" w:cs="Times New Roman" w:eastAsia="Times New Roman" w:hAnsi="Times New Roman"/>
          <w:sz w:val="19"/>
          <w:szCs w:val="19"/>
          <w:b w:val="1"/>
          <w:bCs w:val="1"/>
          <w:u w:val="single" w:color="auto"/>
          <w:color w:val="auto"/>
        </w:rPr>
        <w:t>Account</w:t>
      </w:r>
      <w:r>
        <w:rPr>
          <w:rFonts w:ascii="Times New Roman" w:cs="Times New Roman" w:eastAsia="Times New Roman" w:hAnsi="Times New Roman"/>
          <w:sz w:val="19"/>
          <w:szCs w:val="19"/>
          <w:color w:val="auto"/>
        </w:rPr>
        <w:t>”) maintained by Zions Bancorporation, N.A. (presently maintained through its Wealth Management Division)</w:t>
      </w:r>
      <w:r>
        <w:rPr>
          <w:rFonts w:ascii="Times New Roman" w:cs="Times New Roman" w:eastAsia="Times New Roman" w:hAnsi="Times New Roman"/>
          <w:sz w:val="28"/>
          <w:szCs w:val="28"/>
          <w:u w:val="single" w:color="auto"/>
          <w:color w:val="0000EE"/>
          <w:vertAlign w:val="superscript"/>
        </w:rPr>
        <w:t>1</w:t>
      </w:r>
      <w:r>
        <w:rPr>
          <w:rFonts w:ascii="Times New Roman" w:cs="Times New Roman" w:eastAsia="Times New Roman" w:hAnsi="Times New Roman"/>
          <w:sz w:val="19"/>
          <w:szCs w:val="19"/>
          <w:color w:val="auto"/>
        </w:rPr>
        <w:t xml:space="preserve"> and registered in the name of Grantor, including all investment property, securities, financial assets, securities entitlements, cash, and other assets held in the Account; (b) all proceeds, including cash and non-cash proceeds relating to any of the foregoing, including all cash monies, payments, revenues, distributions, dividends, securities,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167640</wp:posOffset>
            </wp:positionV>
            <wp:extent cx="13627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43" w:lineRule="exact"/>
        <w:rPr>
          <w:sz w:val="20"/>
          <w:szCs w:val="20"/>
          <w:color w:val="auto"/>
        </w:rPr>
      </w:pPr>
    </w:p>
    <w:p>
      <w:pPr>
        <w:ind w:left="340" w:hanging="131"/>
        <w:spacing w:after="0"/>
        <w:tabs>
          <w:tab w:leader="none" w:pos="340"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Note to draft: Confirm that account details have been specified elsewhere –investment types, fees, etc.</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ACTIVE\1613589805.4</w:t>
      </w:r>
    </w:p>
    <w:p>
      <w:pPr>
        <w:spacing w:after="0" w:line="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54521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90" w:name="page91"/>
    <w:bookmarkEnd w:id="90"/>
    <w:p>
      <w:pPr>
        <w:ind w:left="200" w:right="219"/>
        <w:spacing w:after="0" w:line="273" w:lineRule="auto"/>
        <w:rPr>
          <w:sz w:val="20"/>
          <w:szCs w:val="20"/>
          <w:color w:val="auto"/>
        </w:rPr>
      </w:pPr>
      <w:r>
        <w:rPr>
          <w:rFonts w:ascii="Times New Roman" w:cs="Times New Roman" w:eastAsia="Times New Roman" w:hAnsi="Times New Roman"/>
          <w:sz w:val="20"/>
          <w:szCs w:val="20"/>
          <w:color w:val="auto"/>
        </w:rPr>
        <w:t>assets, and securities entitlements of any kind relating to any of the foregoing (“</w:t>
      </w:r>
      <w:r>
        <w:rPr>
          <w:rFonts w:ascii="Times New Roman" w:cs="Times New Roman" w:eastAsia="Times New Roman" w:hAnsi="Times New Roman"/>
          <w:sz w:val="20"/>
          <w:szCs w:val="20"/>
          <w:b w:val="1"/>
          <w:bCs w:val="1"/>
          <w:u w:val="single" w:color="auto"/>
          <w:color w:val="auto"/>
        </w:rPr>
        <w:t>Collateral Revenues</w:t>
      </w:r>
      <w:r>
        <w:rPr>
          <w:rFonts w:ascii="Times New Roman" w:cs="Times New Roman" w:eastAsia="Times New Roman" w:hAnsi="Times New Roman"/>
          <w:sz w:val="20"/>
          <w:szCs w:val="20"/>
          <w:color w:val="auto"/>
        </w:rPr>
        <w:t>”); and (c) all insurance, general intangibles and account proceeds related to any of the following.</w:t>
      </w:r>
    </w:p>
    <w:p>
      <w:pPr>
        <w:spacing w:after="0" w:line="152" w:lineRule="exact"/>
        <w:rPr>
          <w:sz w:val="20"/>
          <w:szCs w:val="20"/>
          <w:color w:val="auto"/>
        </w:rPr>
      </w:pPr>
    </w:p>
    <w:p>
      <w:pPr>
        <w:jc w:val="both"/>
        <w:ind w:left="200" w:right="219" w:firstLine="9"/>
        <w:spacing w:after="0" w:line="236" w:lineRule="auto"/>
        <w:tabs>
          <w:tab w:leader="none" w:pos="8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Control; Authorization to File Financing Statements</w:t>
      </w:r>
      <w:r>
        <w:rPr>
          <w:rFonts w:ascii="Times New Roman" w:cs="Times New Roman" w:eastAsia="Times New Roman" w:hAnsi="Times New Roman"/>
          <w:sz w:val="20"/>
          <w:szCs w:val="20"/>
          <w:color w:val="auto"/>
        </w:rPr>
        <w:t>. It is the intent of Grantor and Secured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that the security interest herein granted be perfected by “control” (as defined in Section 8-106, Section 9-104 and Section 9-106 of the Uniform Commercial Code).</w:t>
      </w:r>
      <w:r>
        <w:rPr>
          <w:rFonts w:ascii="Times New Roman" w:cs="Times New Roman" w:eastAsia="Times New Roman" w:hAnsi="Times New Roman"/>
          <w:sz w:val="29"/>
          <w:szCs w:val="29"/>
          <w:u w:val="single" w:color="auto"/>
          <w:color w:val="0000EE"/>
          <w:vertAlign w:val="superscript"/>
        </w:rPr>
        <w:t>2</w:t>
      </w:r>
      <w:r>
        <w:rPr>
          <w:rFonts w:ascii="Times New Roman" w:cs="Times New Roman" w:eastAsia="Times New Roman" w:hAnsi="Times New Roman"/>
          <w:sz w:val="20"/>
          <w:szCs w:val="20"/>
          <w:color w:val="auto"/>
        </w:rPr>
        <w:t xml:space="preserve"> Grantor hereby agrees that it will join with Secured Party in taking any action reasonably required by Secured Party in order to perfect such security interest and protect the rights and priorities of Secured Party with respect to the Collateral. Grantor hereby irrevocably authorizes Secured Party at any time and from time to time to file in any filing office in any UCC jurisdiction any initial financing statements and amendments thereto that (a) indicate the Collateral, and (b) provide any other information required by part 5 of Article 9 of the UCC of the State, or such other jurisdiction, for the sufficiency or filing office acceptance of any financing statement or amendment, including whether Grantor is an organization, the type of organization and any organizational identification number issued to Grantor. Grantor agrees to furnish any such information to Secured Party promptly upon Secured Party’s reasonable request. Grantor also ratifies its authorization for Secured Party to have filed in any UCC jurisdiction any like initial financing statements or amendments thereto if filed prior to the date hereof. Further, without limiting the foregoing or any other provision of this Agreement, on a continuing basis, Grantor shall make, execute, acknowledge and deliver, and file and record in the proper filing and recording places, all such instruments and documents, and take all such action as may be necessary or advisable or may be reasonably requested by Secured Party to carry out the intent and purposes of this Agreement, or for assuring, confirming or protecting the grant or perfection of the security interest granted or purported to be granted hereby, to ensure Grantor’s compliance with this Agreement or to enable Secured Party to exercise and enforce its rights and remedies hereunder with respect to the Collateral, including any documents for filing with any applicable state or foreign office.</w:t>
      </w:r>
    </w:p>
    <w:p>
      <w:pPr>
        <w:spacing w:after="0" w:line="198" w:lineRule="exact"/>
        <w:rPr>
          <w:rFonts w:ascii="Times New Roman" w:cs="Times New Roman" w:eastAsia="Times New Roman" w:hAnsi="Times New Roman"/>
          <w:sz w:val="20"/>
          <w:szCs w:val="20"/>
          <w:color w:val="auto"/>
        </w:rPr>
      </w:pPr>
    </w:p>
    <w:p>
      <w:pPr>
        <w:jc w:val="both"/>
        <w:ind w:left="200" w:right="219" w:firstLine="9"/>
        <w:spacing w:after="0" w:line="250" w:lineRule="auto"/>
        <w:tabs>
          <w:tab w:leader="none" w:pos="8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Other Actions</w:t>
      </w:r>
      <w:r>
        <w:rPr>
          <w:rFonts w:ascii="Times New Roman" w:cs="Times New Roman" w:eastAsia="Times New Roman" w:hAnsi="Times New Roman"/>
          <w:sz w:val="20"/>
          <w:szCs w:val="20"/>
          <w:color w:val="auto"/>
        </w:rPr>
        <w:t>. To further the attachment, perfection and first priority of, and the ability of Secured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to enforce, Secured Party’s security interest in the Collateral, and without limitation on Grantor’s other obligations in this Agreement, Grantor agrees, in each case at Grantor’s expense, to take the following actions with respect to the following Collateral:</w:t>
      </w:r>
    </w:p>
    <w:p>
      <w:pPr>
        <w:spacing w:after="0" w:line="17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19"/>
          <w:szCs w:val="19"/>
          <w:b w:val="1"/>
          <w:bCs w:val="1"/>
          <w:u w:val="single" w:color="auto"/>
          <w:color w:val="auto"/>
        </w:rPr>
        <w:t>Investment Property</w:t>
      </w:r>
      <w:r>
        <w:rPr>
          <w:rFonts w:ascii="Times New Roman" w:cs="Times New Roman" w:eastAsia="Times New Roman" w:hAnsi="Times New Roman"/>
          <w:sz w:val="19"/>
          <w:szCs w:val="19"/>
          <w:color w:val="auto"/>
        </w:rPr>
        <w:t>. If Grantor shall at any time hold or acquire any certificated securities, Grantor shall forthwith endorse, assign and deliver the same to Secured Party, accompanied by such instruments of transfer or assignment duly executed in blank as Secured Party may from time to time specify. If any securities now or hereafter acquired by Grantor are uncertificated and are issued to Grantor or its nominee directly by the issuer thereof, Grantor shall immediately notify Secured Party thereof and, at Secured Party’s request and option, pursuant to an agreement in form and substance satisfactory to Secured Party, either (a) cause the issuer to agree to comply with instructions from Secured Party as to such securities, without further consent of Grantor or such nominee, or (b) arrange for Secured Party to become the registered owner of the securities. If any securities, whether certificated or uncertificated, or other investment property now or hereafter acquired by Grantor are held by Grantor or its nominee through a securities intermediary or commodity intermediary, Grantor shall immediately notify Secured Party thereof and, at Secured Party’s request and option, pursuant to an agreement in form and substance satisfactory to Secured Party, either (i) cause such securities intermediary or (as the case may be) commodity intermediary to agree to comply with entitlement orders or other instructions from Secured Party to such securities intermediary as to such securities or other investment property, or (as the case may be) to apply any value distributed on account of any commodity contract as directed by Secured Party to such commodity intermediary, in each case without further consent of Grantor or such nominee, or (ii) in the case of financial assets or other investment property held through a securities intermediary, arrange for Secured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168910</wp:posOffset>
            </wp:positionV>
            <wp:extent cx="13627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31" w:lineRule="exact"/>
        <w:rPr>
          <w:sz w:val="20"/>
          <w:szCs w:val="20"/>
          <w:color w:val="auto"/>
        </w:rPr>
      </w:pPr>
    </w:p>
    <w:p>
      <w:pPr>
        <w:ind w:left="200" w:right="439" w:firstLine="9"/>
        <w:spacing w:after="0" w:line="203" w:lineRule="auto"/>
        <w:tabs>
          <w:tab w:leader="none" w:pos="324"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Note to draft: confirm how investment decisions with respect to the account will be made while Secured Party has control of the account.</w:t>
      </w:r>
    </w:p>
    <w:p>
      <w:pPr>
        <w:spacing w:after="0" w:line="19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91" w:name="page92"/>
    <w:bookmarkEnd w:id="91"/>
    <w:p>
      <w:pPr>
        <w:jc w:val="both"/>
        <w:ind w:left="200" w:right="219"/>
        <w:spacing w:after="0" w:line="243" w:lineRule="auto"/>
        <w:rPr>
          <w:sz w:val="20"/>
          <w:szCs w:val="20"/>
          <w:color w:val="auto"/>
        </w:rPr>
      </w:pPr>
      <w:r>
        <w:rPr>
          <w:rFonts w:ascii="Times New Roman" w:cs="Times New Roman" w:eastAsia="Times New Roman" w:hAnsi="Times New Roman"/>
          <w:sz w:val="20"/>
          <w:szCs w:val="20"/>
          <w:color w:val="auto"/>
        </w:rPr>
        <w:t>become the entitlement holder with respect to such investment property, with Grantor being permitted, only with the consent of Secured Party, to exercise rights to withdraw or otherwise deal with such investment property. Secured Party agrees with Grantor that Secured Party shall not give any such entitlement orders or instructions or directions to any such issuer, securities intermediary or commodity intermediary, and shall not withhold its consent to the exercise of any withdrawal or dealing rights by Grantor, unless an Event of Default has occurred and is continuing, or, after giving effect to any such investment and withdrawal rights not otherwise permitted by the Loan Documents, would occur. The provisions of this paragraph shall not apply to any financial assets credited to a securities account for which Secured Party is the securities intermediary.</w:t>
      </w:r>
    </w:p>
    <w:p>
      <w:pPr>
        <w:spacing w:after="0" w:line="182"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u w:val="single" w:color="auto"/>
          <w:color w:val="auto"/>
        </w:rPr>
        <w:t>Electronic Chattel Paper and Transferable Records</w:t>
      </w:r>
      <w:r>
        <w:rPr>
          <w:rFonts w:ascii="Times New Roman" w:cs="Times New Roman" w:eastAsia="Times New Roman" w:hAnsi="Times New Roman"/>
          <w:sz w:val="20"/>
          <w:szCs w:val="20"/>
          <w:color w:val="auto"/>
        </w:rPr>
        <w:t>. If Grantor at any time holds or acquires an interest in any electronic chattel paper or any “transferable record,” as that term is defined in Section 201 of the federal Electronic Signatures in Global and National Commerce Act, or in Section 16 of the Uniform Electronic Transactions Act as in effect in any relevant jurisdiction, Grantor shall promptly notify Secured Party thereof and, at the request and option of Secured Party, shall take such action as Secured Party may reasonably request to vest in Secured Party control, under Section 9-105 of the UCC, of such electronic chattel paper or control under Section 201 of the federal Electronic Signatures in Global and National Commerce Act or, as the case may be, Section 16 of the Uniform Electronic Transactions Act, as in effect in such jurisdiction, of such transferable record.</w:t>
      </w:r>
    </w:p>
    <w:p>
      <w:pPr>
        <w:spacing w:after="0" w:line="18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b w:val="1"/>
          <w:bCs w:val="1"/>
          <w:u w:val="single" w:color="auto"/>
          <w:color w:val="auto"/>
        </w:rPr>
        <w:t>Other Actions as to Any and All Collateral</w:t>
      </w:r>
      <w:r>
        <w:rPr>
          <w:rFonts w:ascii="Times New Roman" w:cs="Times New Roman" w:eastAsia="Times New Roman" w:hAnsi="Times New Roman"/>
          <w:sz w:val="20"/>
          <w:szCs w:val="20"/>
          <w:color w:val="auto"/>
        </w:rPr>
        <w:t>. Grantor further agrees, at the request and option of Secured Party, to take any and all other actions Secured Party may determine to be necessary or useful for the attachment, perfection and first priority of, and the ability of Secured Party to enforce, Secured Party’s security interest in any and all of the Collateral, including, without limitation, (a) executing, delivering and, where appropriate, filing financing statements and amendments relating thereto under the UCC, to the extent, if any, that Grantor’s signature thereon is required therefor, (b) causing Secured Party’s name to be noted as secured party on any certificate of title for a titled good if such notation is a condition to attachment, perfection or priority of, or ability of Secured Party to enforce, Secured Party’s security interest in such Collateral, (c) complying with any provision of any statute, regulation or treaty of the United States as to any Collateral if compliance with such provision is a condition to attachment, perfection or priority of, or ability of Secured Party to enforce, Secured Party’s security interest in such Collateral, (d) using best efforts to obtain governmental and other third party waivers, consents and approvals in form and substance reasonably satisfactory to Secured Party, including, without limitation, any consent of any licensor, lessor or other person obligated on Collateral, and (e) taking all actions under any earlier versions of the UCC or under any other law, as reasonably determined by Secured Party to be applicable in any relevant UCC or other jurisdiction, including any foreign jurisdiction.</w:t>
      </w:r>
    </w:p>
    <w:p>
      <w:pPr>
        <w:spacing w:after="0" w:line="193" w:lineRule="exact"/>
        <w:rPr>
          <w:sz w:val="20"/>
          <w:szCs w:val="20"/>
          <w:color w:val="auto"/>
        </w:rPr>
      </w:pPr>
    </w:p>
    <w:p>
      <w:pPr>
        <w:jc w:val="both"/>
        <w:ind w:left="200" w:right="219" w:firstLine="9"/>
        <w:spacing w:after="0" w:line="247" w:lineRule="auto"/>
        <w:tabs>
          <w:tab w:leader="none" w:pos="8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Relation to Other Security Documents</w:t>
      </w:r>
      <w:r>
        <w:rPr>
          <w:rFonts w:ascii="Times New Roman" w:cs="Times New Roman" w:eastAsia="Times New Roman" w:hAnsi="Times New Roman"/>
          <w:sz w:val="20"/>
          <w:szCs w:val="20"/>
          <w:color w:val="auto"/>
        </w:rPr>
        <w:t>. The provisions of this Agreement supplement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any assignment, security agreement or pledge agreement granted by Grantor to Secured Party which secures the payment or performance of any of the Obligations. Nothing contained in any such assignment, security agreement or pledge agreement shall derogate from any of the rights or remedies of Secured Party hereunder.</w:t>
      </w:r>
    </w:p>
    <w:p>
      <w:pPr>
        <w:spacing w:after="0" w:line="180"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Withdrawals and Substitutions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Withdrawals</w:t>
      </w:r>
      <w:r>
        <w:rPr>
          <w:rFonts w:ascii="Times New Roman" w:cs="Times New Roman" w:eastAsia="Times New Roman" w:hAnsi="Times New Roman"/>
          <w:sz w:val="20"/>
          <w:szCs w:val="20"/>
          <w:color w:val="auto"/>
        </w:rPr>
        <w:t>. So long as no Event of Default has occurred and is continuing, Grantor may make withdrawals from the securities account(s) in which Secured Party has herein been granted a security interest, with the prior written consent of Secured Party. Upon the occurrence of an Event of Default, Secured Party may take such steps as shall be necessary to preclude Grantor from making withdrawals of any type from such securities account(s) until such time as such Event of Default has been cured or waived</w:t>
      </w:r>
    </w:p>
    <w:p>
      <w:pPr>
        <w:spacing w:after="0" w:line="200" w:lineRule="exact"/>
        <w:rPr>
          <w:sz w:val="20"/>
          <w:szCs w:val="20"/>
          <w:color w:val="auto"/>
        </w:rPr>
      </w:pPr>
    </w:p>
    <w:p>
      <w:pPr>
        <w:spacing w:after="0" w:line="20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2" w:name="page93"/>
    <w:bookmarkEnd w:id="92"/>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by Secured Party, as the case may be. Secured Party’s rights under the preceding sentence of this </w:t>
      </w:r>
      <w:r>
        <w:rPr>
          <w:rFonts w:ascii="Times New Roman" w:cs="Times New Roman" w:eastAsia="Times New Roman" w:hAnsi="Times New Roman"/>
          <w:sz w:val="20"/>
          <w:szCs w:val="20"/>
          <w:b w:val="1"/>
          <w:bCs w:val="1"/>
          <w:u w:val="single" w:color="auto"/>
          <w:color w:val="auto"/>
        </w:rPr>
        <w:t>Section 6.1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in addition to all other rights afforded Secured Party under this Agreement, or otherwise.</w:t>
      </w:r>
    </w:p>
    <w:p>
      <w:pPr>
        <w:spacing w:after="0" w:line="155"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No Liability</w:t>
      </w:r>
      <w:r>
        <w:rPr>
          <w:rFonts w:ascii="Times New Roman" w:cs="Times New Roman" w:eastAsia="Times New Roman" w:hAnsi="Times New Roman"/>
          <w:sz w:val="20"/>
          <w:szCs w:val="20"/>
          <w:color w:val="auto"/>
        </w:rPr>
        <w:t>. Agent shall not be liable to Grantor or any other Person for any loss or diminution in value of any Collateral or the proceeds thereof, irrespective of whether Grantor may retain hereunder the right to substitute Collateral. Secured Party shall not pay interest on the Collateral and does not assume responsibility for the earning of any income thereon.</w:t>
      </w:r>
    </w:p>
    <w:p>
      <w:pPr>
        <w:spacing w:after="0" w:line="176" w:lineRule="exact"/>
        <w:rPr>
          <w:sz w:val="20"/>
          <w:szCs w:val="20"/>
          <w:color w:val="auto"/>
        </w:rPr>
      </w:pPr>
    </w:p>
    <w:p>
      <w:pPr>
        <w:jc w:val="both"/>
        <w:ind w:left="200" w:right="219" w:firstLine="9"/>
        <w:spacing w:after="0" w:line="247" w:lineRule="auto"/>
        <w:tabs>
          <w:tab w:leader="none" w:pos="8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Representations and Warranties Concerning Grantor’s Legal Status</w:t>
      </w:r>
      <w:r>
        <w:rPr>
          <w:rFonts w:ascii="Times New Roman" w:cs="Times New Roman" w:eastAsia="Times New Roman" w:hAnsi="Times New Roman"/>
          <w:sz w:val="20"/>
          <w:szCs w:val="20"/>
          <w:color w:val="auto"/>
        </w:rPr>
        <w:t>. Grantor represents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to the Secured Party as follows: (a) the Grantor’s exact legal name is that indicated on the signature page hereof, (b) Grantor is a Delaware corporation, and (c) the Grantor’s principal place of business or, if more than one, its chief executive office, as well as the Grantor’s mailing address, if different, is 2600 West Camelback Road, Phoenix, Arizona 85017.</w:t>
      </w:r>
    </w:p>
    <w:p>
      <w:pPr>
        <w:spacing w:after="0" w:line="180" w:lineRule="exact"/>
        <w:rPr>
          <w:rFonts w:ascii="Times New Roman" w:cs="Times New Roman" w:eastAsia="Times New Roman" w:hAnsi="Times New Roman"/>
          <w:sz w:val="20"/>
          <w:szCs w:val="20"/>
          <w:color w:val="auto"/>
        </w:rPr>
      </w:pPr>
    </w:p>
    <w:p>
      <w:pPr>
        <w:jc w:val="both"/>
        <w:ind w:left="200" w:right="219" w:firstLine="9"/>
        <w:spacing w:after="0" w:line="245" w:lineRule="auto"/>
        <w:tabs>
          <w:tab w:leader="none" w:pos="8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Covenants Concerning Grantor’s Legal Status</w:t>
      </w:r>
      <w:r>
        <w:rPr>
          <w:rFonts w:ascii="Times New Roman" w:cs="Times New Roman" w:eastAsia="Times New Roman" w:hAnsi="Times New Roman"/>
          <w:sz w:val="20"/>
          <w:szCs w:val="20"/>
          <w:color w:val="auto"/>
        </w:rPr>
        <w:t>. Grantor covenants with Secured Party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follows: (a) without providing at least thirty (30) days prior written notice to Secured Party, Grantor will not change its name, its place of business or, if more than one, chief executive office, or its mailing address or organizational identification number if it has one, (b) if Grantor does not have an organizational identification number and later obtains one, Grantor shall forthwith notify Secured Party of such organizational identification number, and (c) Grantor will not change its type of organization, jurisdiction of organization or other legal structure.</w:t>
      </w:r>
    </w:p>
    <w:p>
      <w:pPr>
        <w:spacing w:after="0" w:line="179"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Covenants Concerning Collateral, etc</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Grantor hereby represents, warrants and agrees that:</w:t>
      </w:r>
    </w:p>
    <w:p>
      <w:pPr>
        <w:spacing w:after="0" w:line="22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9.1 Grantor has full and complete marketable title to the Collateral, the Collateral is maintained solely in the name of the Grantor, and the Collateral now is, and Grantor will at all times keep the Collateral free of all liens, encumbrances and claims of any kind or nature other than the security interest of Secured Party or as permitted by Secured Party.</w:t>
      </w:r>
    </w:p>
    <w:p>
      <w:pPr>
        <w:spacing w:after="0" w:line="18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9.2 Grantor will not sell, transfer or otherwise dispose of any of the Collateral or any interest therein to any other Person except in accordance with Section 6.1.</w:t>
      </w:r>
    </w:p>
    <w:p>
      <w:pPr>
        <w:spacing w:after="0" w:line="15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9.3 All property credited to the securities account(s) in which Secured Party has herein been granted a security interest, and all other rights of Grantor arising out of such securities account(s), including any free credit balances, will be treated as “financial assets” under Article 8 of the Uniform Commercial Code.</w:t>
      </w:r>
    </w:p>
    <w:p>
      <w:pPr>
        <w:spacing w:after="0" w:line="18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9.4 The Collateral complies with all applicable laws, regulations, interpretations and orders concerning form, content and manner of preparation and execution.</w:t>
      </w:r>
    </w:p>
    <w:p>
      <w:pPr>
        <w:spacing w:after="0" w:line="159"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9.5 All the Collateral has been duly and validly issued and is fully paid for and non-assessable. Except for Collateral that Grantor have specifically designated in writing as “restricted stock” and/or “control stock” as defined by Securities and Exchange Commission Rule 144 in effect on the date of this Agreement, or as may be specifically stated to Secured Party in writing prior to the date hereof, all Collateral is transferable without prior notice to, or approval or consent from, any Person or governmental authority, and there exists no condition or restriction to or affecting the transfer of the Collateral.</w:t>
      </w:r>
    </w:p>
    <w:p>
      <w:pPr>
        <w:spacing w:after="0" w:line="184"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9.6 Grantor will pay when due and prior to delinquency all taxes, levies, assessments or other claims which are or may become liens against the Collateral.</w:t>
      </w:r>
    </w:p>
    <w:p>
      <w:pPr>
        <w:spacing w:after="0" w:line="38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3" w:name="page94"/>
    <w:bookmarkEnd w:id="93"/>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9.7 Grantor will neither make nor permit any material change in the nature, value or type of the Collateral without Secured Party’s prior written consent.</w:t>
      </w:r>
    </w:p>
    <w:p>
      <w:pPr>
        <w:spacing w:after="0" w:line="159"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9.8 Grantor will deliver to Secured Party promptly or ensure that Secured Party promptly receives (i) all Collateral, (ii) except as otherwise provided herein, all Collateral Revenues, (iii) such specific acknowledgments, Regulation U Statement of Purpose forms or other agreements or writings as Secured Party may request relating to the Collateral, (iv) copies of records and other reports relating to the Collateral in such form and detail and at such times as Secured Party may from time to time require, and (v) such information as Secured Party requires from time to time regarding Grantor’s financial condition or the Collateral and events which could affect either or both, and will permit Secured Party access at reasonable times to its records containing such information.</w:t>
      </w:r>
    </w:p>
    <w:p>
      <w:pPr>
        <w:spacing w:after="0" w:line="18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9.9 Grantor will from time to time as required by Secured Party: execute and deliver to Secured Party, and file or record at Grantor’s expense, all notices and other documents Secured Party deems necessary in order for it to maintain a first-priority perfected security interest and control over, the Collateral; and perform such other acts, and execute and deliver to Secured Party in, such additional assignments, agreements and instruments as Secured Party may request in connection with the administration and enforcement of this Agreement and Secured Party’s or Lenders’ rights, powers and remedies hereunder.</w:t>
      </w:r>
    </w:p>
    <w:p>
      <w:pPr>
        <w:spacing w:after="0" w:line="186"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9.10 Grantor will from time to time as required by Secured Party: (i) comply with any provision of any statute, regulation or treaty of the United States as to any Collateral if compliance with such provision is a condition to attachment, perfection or priority of, or ability of Secured Party to enforce, Secured Party’s security interest in such Collateral, (ii) obtain governmental and other third party waivers, consents and approvals in form and substance satisfactory to Secured Party, including, without limitation, any consent of any licensor, lessor or other person obligated on Collateral, (iii) take all actions under any earlier versions of the Uniform Commercial Code or under any other law, as reasonably determined by Secured Party to be applicable in any relevant Uniform Commercial Code or other jurisdiction, including any foreign jurisdiction.</w:t>
      </w:r>
    </w:p>
    <w:p>
      <w:pPr>
        <w:spacing w:after="0" w:line="186"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9.11 Grantor, without providing at least 30 days’ prior written notice to Secured Party, will not change Grantor’s name or principal place of business.</w:t>
      </w:r>
    </w:p>
    <w:p>
      <w:pPr>
        <w:spacing w:after="0" w:line="15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9.12 Grantor will not exercise or refrain from exercising any voting or consensual rights or powers relating to any Collateral if, in the reasonable judgment of Secured Party, such action would have a material adverse effect on the value of the Collateral.</w:t>
      </w:r>
    </w:p>
    <w:p>
      <w:pPr>
        <w:spacing w:after="0" w:line="170" w:lineRule="exact"/>
        <w:rPr>
          <w:sz w:val="20"/>
          <w:szCs w:val="20"/>
          <w:color w:val="auto"/>
        </w:rPr>
      </w:pPr>
    </w:p>
    <w:p>
      <w:pPr>
        <w:ind w:left="860" w:hanging="651"/>
        <w:spacing w:after="0"/>
        <w:tabs>
          <w:tab w:leader="none" w:pos="8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Intentionally Omitted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Collateral Protection Expenses; Preservation of Collateral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Expenses Incurred by Secured Party</w:t>
      </w:r>
      <w:r>
        <w:rPr>
          <w:rFonts w:ascii="Times New Roman" w:cs="Times New Roman" w:eastAsia="Times New Roman" w:hAnsi="Times New Roman"/>
          <w:sz w:val="20"/>
          <w:szCs w:val="20"/>
          <w:color w:val="auto"/>
        </w:rPr>
        <w:t>. In Secured Party’s discretion, if Grantor fails to do so, Secured Party may discharge taxes and other encumbrances at any time levied or placed on any of the Collateral, maintain any of the Collateral, or pay any necessary filing fees or insurance premiums. Grantor agrees to reimburse Secured Party on demand for all expenditures so made. Secured Party shall have no obligation to Grantor to make any such expenditures, nor shall the making thereof be construed as the waiver or cure of any Event of Default.</w:t>
      </w:r>
    </w:p>
    <w:p>
      <w:pPr>
        <w:spacing w:after="0" w:line="179"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Secured Party’s Obligations and Duties</w:t>
      </w:r>
      <w:r>
        <w:rPr>
          <w:rFonts w:ascii="Times New Roman" w:cs="Times New Roman" w:eastAsia="Times New Roman" w:hAnsi="Times New Roman"/>
          <w:sz w:val="20"/>
          <w:szCs w:val="20"/>
          <w:color w:val="auto"/>
        </w:rPr>
        <w:t>. Anything herein to the contrary notwithstanding, Grantor shall remain obligated and liable under each contract or agreement comprised in the Collateral to be observed or performed by Grantor thereunder. Secured Party shall not have any</w:t>
      </w:r>
    </w:p>
    <w:p>
      <w:pPr>
        <w:spacing w:after="0" w:line="39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4" w:name="page95"/>
    <w:bookmarkEnd w:id="94"/>
    <w:p>
      <w:pPr>
        <w:jc w:val="both"/>
        <w:ind w:left="200" w:right="219"/>
        <w:spacing w:after="0" w:line="242" w:lineRule="auto"/>
        <w:rPr>
          <w:sz w:val="20"/>
          <w:szCs w:val="20"/>
          <w:color w:val="auto"/>
        </w:rPr>
      </w:pPr>
      <w:r>
        <w:rPr>
          <w:rFonts w:ascii="Times New Roman" w:cs="Times New Roman" w:eastAsia="Times New Roman" w:hAnsi="Times New Roman"/>
          <w:sz w:val="20"/>
          <w:szCs w:val="20"/>
          <w:color w:val="auto"/>
        </w:rPr>
        <w:t>obligation or liability under any such contract or agreement by reason of or arising out of this Agreement or the receipt by Secured Party of any payment relating to any of the Collateral, nor shall Secured Party be obligated in any manner to perform any of the obligations of Grantor under or pursuant to any such contract or agreement, to make inquiry as to the nature or sufficiency of any payment received by Secured Party in respect of the Collateral or as to the sufficiency of any performance by any party under any such contract or agreement, to present or file any claim, to take any action to enforce any performance or to collect the payment of any amounts which may have been assigned to Secured Party or to which Secured Party may be entitled at any time or times. Secured Party’s sole duty with respect to the custody, safe keeping and physical preservation of the Collateral in its possession, under Section 9-207 of the UCC of the State or otherwise, shall be to deal with such Collateral in the same manner as Secured Party deals with similar property for its own account.</w:t>
      </w:r>
    </w:p>
    <w:p>
      <w:pPr>
        <w:spacing w:after="0" w:line="186" w:lineRule="exact"/>
        <w:rPr>
          <w:sz w:val="20"/>
          <w:szCs w:val="20"/>
          <w:color w:val="auto"/>
        </w:rPr>
      </w:pPr>
    </w:p>
    <w:p>
      <w:pPr>
        <w:jc w:val="both"/>
        <w:ind w:left="200" w:right="219" w:firstLine="9"/>
        <w:spacing w:after="0" w:line="243" w:lineRule="auto"/>
        <w:tabs>
          <w:tab w:leader="none" w:pos="8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Securities and Deposits</w:t>
      </w:r>
      <w:r>
        <w:rPr>
          <w:rFonts w:ascii="Times New Roman" w:cs="Times New Roman" w:eastAsia="Times New Roman" w:hAnsi="Times New Roman"/>
          <w:sz w:val="20"/>
          <w:szCs w:val="20"/>
          <w:color w:val="auto"/>
        </w:rPr>
        <w:t>. Subject to Section 13, Secured Party may at any time following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continuance of an Event of Default, at its option, transfer to itself or any nominee any securities constituting Collateral, receive any income thereon and hold such income as additional Collateral or apply it to the Obligations. Subject to Section 13, whether or not any Obligations are due, Secured Party and Lenders may following and during the continuance of an Event of Default demand, sue for, collect, or make any settlement or compromise which it deems desirable with respect to the Collateral. Subject to Section 13, regardless of the adequacy of Collateral or any other security for the Obligations, any deposits or other sums at any time credited by or due from Secured Party or Lenders to Grantor may at any time be applied to or set off against any of the Obligations.</w:t>
      </w:r>
    </w:p>
    <w:p>
      <w:pPr>
        <w:spacing w:after="0" w:line="185" w:lineRule="exact"/>
        <w:rPr>
          <w:rFonts w:ascii="Times New Roman" w:cs="Times New Roman" w:eastAsia="Times New Roman" w:hAnsi="Times New Roman"/>
          <w:sz w:val="20"/>
          <w:szCs w:val="20"/>
          <w:color w:val="auto"/>
        </w:rPr>
      </w:pPr>
    </w:p>
    <w:p>
      <w:pPr>
        <w:jc w:val="both"/>
        <w:ind w:left="200" w:right="219" w:firstLine="9"/>
        <w:spacing w:after="0" w:line="241" w:lineRule="auto"/>
        <w:tabs>
          <w:tab w:leader="none" w:pos="8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Secured Party’s Agreements Regarding Remedies</w:t>
      </w:r>
      <w:r>
        <w:rPr>
          <w:rFonts w:ascii="Times New Roman" w:cs="Times New Roman" w:eastAsia="Times New Roman" w:hAnsi="Times New Roman"/>
          <w:sz w:val="20"/>
          <w:szCs w:val="20"/>
          <w:color w:val="auto"/>
        </w:rPr>
        <w:t>. Notwithstanding anything to the contrary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Secured Party agrees that, prior to the exercise of any of Secured Party’s rights to liquidate, sell or otherwise dispose of (including by setoff or otherwise) any portion of the Collateral described in this Agreement, Secured Party shall liquidate, sell or otherwise dispose of the Borrower Collateral (as defined below) and apply the proceeds from such liquidation, sale or other disposition towards the payment of the Obligations; provided, however, nothing herein shall prevent Secured Party from liquidating, selling or otherwise disposing of (including by setoff or otherwise) all or any portion of the Collateral if Secured Party’s right to liquidate, sell or otherwise dispose of the Borrower Collateral is prevented, stayed or otherwise precluded by law, rule (administrative or otherwise), statute, or court order (including the application of any automatic stay or other similar rule or law). For clarity, Secured Party’s agreement to use the efforts described above will not be construed to require Secured Party to initiate or institute any suit, cause of action or other judicial proceeding to permit it to liquidate, sell or otherwise dispose of the Borrower Collateral. As used herein, “Borrower Collateral” means all “Collateral” as defined in that certain Security Agreement dated as of October 1, 2024 by and among Borrower, as grantor, and Zions Bancorporation, N.A. dba National Bank of Arizona, as secured party.</w:t>
      </w:r>
    </w:p>
    <w:p>
      <w:pPr>
        <w:spacing w:after="0" w:line="194"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Power of Attorney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b w:val="1"/>
          <w:bCs w:val="1"/>
          <w:u w:val="single" w:color="auto"/>
          <w:color w:val="auto"/>
        </w:rPr>
        <w:t>Appointment and Powers of Secured Party</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jc w:val="both"/>
        <w:ind w:left="200" w:right="219" w:firstLine="1305"/>
        <w:spacing w:after="0"/>
        <w:tabs>
          <w:tab w:leader="none" w:pos="214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Grantor hereby irrevocably constitutes and appoints Secured Party and any officer or agent thereof, with full power of substitution, as its true and lawful attorneys-in-fact with full power and authority in the place and stead of Grantor or in Secured Party’s own name, for the purpose of carrying out the terms of this Agreement, to take any and all appropriate action and to execute any and all documents and instruments that may be necessary or useful to accomplish the purposes of this Agreement and, without limiting the generality of the foregoing, hereby gives said attorneys the power and right, on behalf of Grantor, without notice to or assent by Grantor, to do the following:</w:t>
      </w:r>
    </w:p>
    <w:p>
      <w:pPr>
        <w:spacing w:after="0" w:line="200" w:lineRule="exact"/>
        <w:rPr>
          <w:sz w:val="20"/>
          <w:szCs w:val="20"/>
          <w:color w:val="auto"/>
        </w:rPr>
      </w:pPr>
    </w:p>
    <w:p>
      <w:pPr>
        <w:spacing w:after="0" w:line="2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5" w:name="page96"/>
    <w:bookmarkEnd w:id="95"/>
    <w:p>
      <w:pPr>
        <w:jc w:val="both"/>
        <w:ind w:left="200" w:right="219" w:firstLine="1305"/>
        <w:spacing w:after="0" w:line="239" w:lineRule="auto"/>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At any time after the occurrence and during the continuation of an Event of Default that is not timely cured as set forth in the Credit Agreement, without notice, and at Grantor’s expense, Secured Party in its name or in the name of Grantor may, but shall not be obligated to (i) collect by legal proceedings or otherwise, endorse, receive and receipt for all dividends, interest, principal payments and other sums now or hereafter payable upon or on account of the Collateral; (ii) make any compromise or settlement it deems desirable or proper with reference to the Collateral; (iii) participate in any recapitalization, reclassification, reorganization, consolidation, redemption, stock split, merger or liquidation of any issuer of any Collateral, and, in connection therewith, deposit or surrender control of the Collateral, accept money or other property in exchange for the Collateral, and take such action as it deems proper in connection therewith, and any other money or property received in exchange for the Collateral shall be applied to the Obligations or held by Secured Party thereafter as Collateral pursuant to the provisions hereof; (iv) cause Collateral to be transferred to its name (if not already in Secured Party’s name) or to the name of its nominee; and (v) exercise as to the Collateral all the rights, powers and remedies of an owner.</w:t>
      </w:r>
    </w:p>
    <w:p>
      <w:pPr>
        <w:spacing w:after="0" w:line="213" w:lineRule="exact"/>
        <w:rPr>
          <w:rFonts w:ascii="Times New Roman" w:cs="Times New Roman" w:eastAsia="Times New Roman" w:hAnsi="Times New Roman"/>
          <w:sz w:val="22"/>
          <w:szCs w:val="22"/>
          <w:color w:val="auto"/>
        </w:rPr>
      </w:pPr>
    </w:p>
    <w:p>
      <w:pPr>
        <w:jc w:val="both"/>
        <w:ind w:left="200" w:right="219" w:firstLine="1305"/>
        <w:spacing w:after="0"/>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to the extent that Grantor’s authorization given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is not sufficient, to file such financing statements with respect hereto, with or without Grantor’s signature, or a photocopy of this Agreement in substitution for a financing statement, as Secured Party may deem appropriate and to execute in Grantor’s name such financing statements and amendments thereto and continuation statements which may require Grantor’s signature.</w:t>
      </w:r>
    </w:p>
    <w:p>
      <w:pPr>
        <w:spacing w:after="0" w:line="187" w:lineRule="exact"/>
        <w:rPr>
          <w:sz w:val="20"/>
          <w:szCs w:val="20"/>
          <w:color w:val="auto"/>
        </w:rPr>
      </w:pPr>
    </w:p>
    <w:p>
      <w:pPr>
        <w:jc w:val="both"/>
        <w:ind w:left="200" w:right="219" w:firstLine="648"/>
        <w:spacing w:after="0" w:line="256"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b w:val="1"/>
          <w:bCs w:val="1"/>
          <w:u w:val="single" w:color="auto"/>
          <w:color w:val="auto"/>
        </w:rPr>
        <w:t>Ratification by Grantor</w:t>
      </w:r>
      <w:r>
        <w:rPr>
          <w:rFonts w:ascii="Times New Roman" w:cs="Times New Roman" w:eastAsia="Times New Roman" w:hAnsi="Times New Roman"/>
          <w:sz w:val="20"/>
          <w:szCs w:val="20"/>
          <w:color w:val="auto"/>
        </w:rPr>
        <w:t>. To the extent permitted by law, Grantor hereby ratifies all that said attorneys shall lawfully do or cause to be done by virtue hereof. This power of attorney is a power coupled with an interest and is irrevocable until the termination of this Agreement.</w:t>
      </w:r>
    </w:p>
    <w:p>
      <w:pPr>
        <w:spacing w:after="0" w:line="169"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19"/>
          <w:szCs w:val="19"/>
          <w:color w:val="auto"/>
        </w:rPr>
        <w:t xml:space="preserve">14.3 </w:t>
      </w:r>
      <w:r>
        <w:rPr>
          <w:rFonts w:ascii="Times New Roman" w:cs="Times New Roman" w:eastAsia="Times New Roman" w:hAnsi="Times New Roman"/>
          <w:sz w:val="19"/>
          <w:szCs w:val="19"/>
          <w:b w:val="1"/>
          <w:bCs w:val="1"/>
          <w:u w:val="single" w:color="auto"/>
          <w:color w:val="auto"/>
        </w:rPr>
        <w:t>No Duty on Secured Party</w:t>
      </w:r>
      <w:r>
        <w:rPr>
          <w:rFonts w:ascii="Times New Roman" w:cs="Times New Roman" w:eastAsia="Times New Roman" w:hAnsi="Times New Roman"/>
          <w:sz w:val="19"/>
          <w:szCs w:val="19"/>
          <w:color w:val="auto"/>
        </w:rPr>
        <w:t>. The powers conferred on Secured Party hereunder are solely to protect its interests in the Collateral and shall not impose any duty upon it to exercise any such powers. Secured Party shall be accountable only for the amounts that it actually receives as a result of the exercise of such powers, and neither it nor any of its officers, directors, employees or agents shall be responsible to Grantor for any act or failure to act, except for Secured Party’s own gross negligence or willful misconduct.</w:t>
      </w:r>
    </w:p>
    <w:p>
      <w:pPr>
        <w:spacing w:after="0" w:line="162" w:lineRule="exact"/>
        <w:rPr>
          <w:sz w:val="20"/>
          <w:szCs w:val="20"/>
          <w:color w:val="auto"/>
        </w:rPr>
      </w:pPr>
    </w:p>
    <w:p>
      <w:pPr>
        <w:jc w:val="both"/>
        <w:ind w:left="200" w:right="219" w:firstLine="9"/>
        <w:spacing w:after="0" w:line="243" w:lineRule="auto"/>
        <w:tabs>
          <w:tab w:leader="none" w:pos="8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and Remedies</w:t>
      </w:r>
      <w:r>
        <w:rPr>
          <w:rFonts w:ascii="Times New Roman" w:cs="Times New Roman" w:eastAsia="Times New Roman" w:hAnsi="Times New Roman"/>
          <w:sz w:val="20"/>
          <w:szCs w:val="20"/>
          <w:color w:val="auto"/>
        </w:rPr>
        <w:t>. During the continuation of an Event of Default, Secured Party, without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notice to or demand upon Grantor, has in any jurisdiction in which enforcement hereof is sought, in addition to all other rights and remedies, the rights and remedies of a secured party under the UCC of the State and any additional rights and remedies which may be provided to a secured party in any jurisdiction in which Collateral is located, including, without limitation, the right to take possession of the Collateral. In addition, Grantor waives any and all rights that it may have to a judicial hearing in advance of the enforcement of any of Secured Party’s rights and remedies hereunder, including, without limitation, its right following an Event of Default to take immediate possession of the Collateral and to exercise its rights and remedies with respect thereto.</w:t>
      </w:r>
    </w:p>
    <w:p>
      <w:pPr>
        <w:spacing w:after="0" w:line="185" w:lineRule="exact"/>
        <w:rPr>
          <w:rFonts w:ascii="Times New Roman" w:cs="Times New Roman" w:eastAsia="Times New Roman" w:hAnsi="Times New Roman"/>
          <w:sz w:val="20"/>
          <w:szCs w:val="20"/>
          <w:color w:val="auto"/>
        </w:rPr>
      </w:pPr>
    </w:p>
    <w:p>
      <w:pPr>
        <w:jc w:val="both"/>
        <w:ind w:left="200" w:right="219" w:firstLine="9"/>
        <w:spacing w:after="0" w:line="257" w:lineRule="auto"/>
        <w:tabs>
          <w:tab w:leader="none" w:pos="84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Standards for Exercising Rights and Remedies</w:t>
      </w:r>
      <w:r>
        <w:rPr>
          <w:rFonts w:ascii="Times New Roman" w:cs="Times New Roman" w:eastAsia="Times New Roman" w:hAnsi="Times New Roman"/>
          <w:sz w:val="19"/>
          <w:szCs w:val="19"/>
          <w:color w:val="auto"/>
        </w:rPr>
        <w:t>. To the extent that applicable law imposes duties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Secured Party to exercise remedies in a commercially reasonable manner, Grantor acknowledges and agrees that it is not commercially unreasonable for Secured Party (a) to fail to incur expenses reasonably deemed significant by Secured Party to prepare Collateral for disposition or otherwise to fail to complete raw material or work in process into finished goods or other finished products for disposition, (b) to fail to obtain third party consents for access to Collateral to be disposed of, or to obtain or, if not required by other law, to fail to obtain governmental or third party consents for the collection or disposition of Collateral to be collected or disposed of, (c) to fail to exercise collection remedies against account debtors or other persons obligated on Collateral or to fail to remove liens or encumbrances on or any adverse claims against Collateral, (d) to exercise collection remedies against account debtors and other persons obligated on</w:t>
      </w:r>
    </w:p>
    <w:p>
      <w:pPr>
        <w:spacing w:after="0" w:line="3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96" w:name="page97"/>
    <w:bookmarkEnd w:id="96"/>
    <w:p>
      <w:pPr>
        <w:jc w:val="both"/>
        <w:ind w:left="200" w:right="219"/>
        <w:spacing w:after="0" w:line="256" w:lineRule="auto"/>
        <w:rPr>
          <w:sz w:val="20"/>
          <w:szCs w:val="20"/>
          <w:color w:val="auto"/>
        </w:rPr>
      </w:pPr>
      <w:r>
        <w:rPr>
          <w:rFonts w:ascii="Times New Roman" w:cs="Times New Roman" w:eastAsia="Times New Roman" w:hAnsi="Times New Roman"/>
          <w:sz w:val="19"/>
          <w:szCs w:val="19"/>
          <w:color w:val="auto"/>
        </w:rPr>
        <w:t>Collateral directly or through the use of collection agencies and other collection specialists, (e) to advertise dispositions of Collateral through publications or media of general circulation, whether or not the Collateral is of a specialized nature, (f) to contact other persons, whether or not in the same business as Grantor, for expressions of interest in acquiring all or any portion of the Collateral, (g) to hire one or more professional auctioneers to assist in the disposition of Collateral, whether or not the collateral is of a specialized nature,</w:t>
      </w:r>
    </w:p>
    <w:p>
      <w:pPr>
        <w:spacing w:after="0" w:line="4" w:lineRule="exact"/>
        <w:rPr>
          <w:sz w:val="20"/>
          <w:szCs w:val="20"/>
          <w:color w:val="auto"/>
        </w:rPr>
      </w:pPr>
    </w:p>
    <w:p>
      <w:pPr>
        <w:jc w:val="both"/>
        <w:ind w:left="200" w:right="219" w:firstLine="9"/>
        <w:spacing w:after="0" w:line="239" w:lineRule="auto"/>
        <w:tabs>
          <w:tab w:leader="none" w:pos="51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dispose of Collateral by utilizing Internet sites that provide for the auction of assets of the types included in the Collateral or that have the reasonable capability of doing so, or that match buyers and sellers of assets, (i) to dispose of assets in wholesale rather than retail markets, (j) to disclaim disposition warranties, (k) to purchase insurance or credit enhancements to insure Secured Party against risks of loss, collection or disposition of Collateral or to provide to Secured Party a guaranteed return from the collection or disposition of Collateral, or (l) to the extent deemed appropriate by Secured Party, to obtain the services of other brokers, investment bankers, consultants and other professionals to assist Secured Party in the collection or disposition of any of the Collateral. Grantor acknowledges that the purpose of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is to provide non-exhaustive indications of what actions or omissions by Secured Party would fulfill Secured Party’s duties under the UCC or other law of the State or any other relevant jurisdiction in Secured Party’s exercise of remedies against the Collateral and that other actions or omissions by Secured Party shall not be deemed to fail to fulfill such duties solely on account of not being indicated in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Without limitation upon the foregoing, nothing contained in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shall be construed to grant any rights to Grantor or to impose any duties on Secured Party that would not have been granted or imposed by this Agreement or by applicable law in the absence of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left="200" w:right="219" w:firstLine="9"/>
        <w:spacing w:after="0" w:line="244" w:lineRule="auto"/>
        <w:tabs>
          <w:tab w:leader="none" w:pos="8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Waiver by Secured Party, etc</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Secured Party shall not be deemed to have waived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or remedies in respect of the Obligations or the Collateral unless such waiver shall be in writing and signed by Secured Party. No delay or omission on the part of Secured Party in exercising any right or remedy shall operate as a waiver of such right or remedy or any other right or remedy. A waiver on any one occasion shall not be construed as a bar to or waiver of any right or remedy on any future occasion. All rights and remedies of Secured Party with respect to the Obligations or the Collateral, whether evidenced hereby or by any other instrument or papers, shall be cumulative and may be exercised singularly, alternatively, successively or concurrently at such time or at such times as Secured Party deems expedient.</w:t>
      </w:r>
    </w:p>
    <w:p>
      <w:pPr>
        <w:spacing w:after="0" w:line="181" w:lineRule="exact"/>
        <w:rPr>
          <w:rFonts w:ascii="Times New Roman" w:cs="Times New Roman" w:eastAsia="Times New Roman" w:hAnsi="Times New Roman"/>
          <w:sz w:val="20"/>
          <w:szCs w:val="20"/>
          <w:color w:val="auto"/>
        </w:rPr>
      </w:pPr>
    </w:p>
    <w:p>
      <w:pPr>
        <w:jc w:val="both"/>
        <w:ind w:left="200" w:right="219" w:firstLine="9"/>
        <w:spacing w:after="0" w:line="242" w:lineRule="auto"/>
        <w:tabs>
          <w:tab w:leader="none" w:pos="8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Suretyship Waivers by Grantor</w:t>
      </w:r>
      <w:r>
        <w:rPr>
          <w:rFonts w:ascii="Times New Roman" w:cs="Times New Roman" w:eastAsia="Times New Roman" w:hAnsi="Times New Roman"/>
          <w:sz w:val="20"/>
          <w:szCs w:val="20"/>
          <w:color w:val="auto"/>
        </w:rPr>
        <w:t>. Grantor waives demand, notice, protest, notice of acceptance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Agreement, notice of loans made, credit extended, Collateral received or delivered or other action taken in reliance hereon and all other demands and notices of any description. With respect to both the Obligations and the Collateral, Grantor assents to any extension or postponement of the time of payment or any other indulgence, to any substitution, exchange or release of or failure to perfect any security interest in any Collateral, to the addition or release of any party or person primarily or secondarily liable, to the acceptance of partial payment thereon and the settlement, compromising or adjusting of any thereof, all in such manner and at such time or times as Secured Party may deem advisable. Secured Party shall have no duty as to the collection or protection of the Collateral or any income therefrom, the preservation of rights against prior parties, or the preservation of any rights pertaining thereto beyond the safe custody thereof as set forth in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Grantor further waives any and all other suretyship defenses.</w:t>
      </w:r>
    </w:p>
    <w:p>
      <w:pPr>
        <w:spacing w:after="0" w:line="189" w:lineRule="exact"/>
        <w:rPr>
          <w:rFonts w:ascii="Times New Roman" w:cs="Times New Roman" w:eastAsia="Times New Roman" w:hAnsi="Times New Roman"/>
          <w:sz w:val="20"/>
          <w:szCs w:val="20"/>
          <w:color w:val="auto"/>
        </w:rPr>
      </w:pPr>
    </w:p>
    <w:p>
      <w:pPr>
        <w:jc w:val="both"/>
        <w:ind w:left="200" w:right="219" w:firstLine="9"/>
        <w:spacing w:after="0" w:line="243" w:lineRule="auto"/>
        <w:tabs>
          <w:tab w:leader="none" w:pos="84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Marshaling</w:t>
      </w:r>
      <w:r>
        <w:rPr>
          <w:rFonts w:ascii="Times New Roman" w:cs="Times New Roman" w:eastAsia="Times New Roman" w:hAnsi="Times New Roman"/>
          <w:sz w:val="20"/>
          <w:szCs w:val="20"/>
          <w:color w:val="auto"/>
        </w:rPr>
        <w:t>. Subject to Section 13, Secured Party shall not be required to marshal any present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future collateral security (including but not limited to the Collateral) for, or other assurances of payment of, the Obligations or any of them or to resort to such collateral security or other assurances of payment in any particular order, and all of its rights and remedies hereunder and in respect of such collateral security and other assurances of payment shall be cumulative and in addition to all other rights and remedies, however existing or arising. To the extent that it lawfully may, Grantor hereby agrees that it will not invoke any law relating to the marshaling of collateral which might cause delay in or impede the enforcement of Secured Party’s rights and remedies under this Agreement or under any other instrument creating or evidencing any of the Obligations or under which any of the Obligations is outstanding or by which any of the Obligations</w:t>
      </w:r>
    </w:p>
    <w:p>
      <w:pPr>
        <w:spacing w:after="0" w:line="200" w:lineRule="exact"/>
        <w:rPr>
          <w:sz w:val="20"/>
          <w:szCs w:val="20"/>
          <w:color w:val="auto"/>
        </w:rPr>
      </w:pPr>
    </w:p>
    <w:p>
      <w:pPr>
        <w:spacing w:after="0" w:line="2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7" w:name="page98"/>
    <w:bookmarkEnd w:id="97"/>
    <w:p>
      <w:pPr>
        <w:ind w:left="200" w:right="219"/>
        <w:spacing w:after="0" w:line="269" w:lineRule="auto"/>
        <w:rPr>
          <w:sz w:val="20"/>
          <w:szCs w:val="20"/>
          <w:color w:val="auto"/>
        </w:rPr>
      </w:pPr>
      <w:r>
        <w:rPr>
          <w:rFonts w:ascii="Times New Roman" w:cs="Times New Roman" w:eastAsia="Times New Roman" w:hAnsi="Times New Roman"/>
          <w:sz w:val="20"/>
          <w:szCs w:val="20"/>
          <w:color w:val="auto"/>
        </w:rPr>
        <w:t>is secured or payment thereof is otherwise assured, and, to the extent that it lawfully may, Grantor hereby irrevocably waives the benefits of all such laws.</w:t>
      </w:r>
    </w:p>
    <w:p>
      <w:pPr>
        <w:spacing w:after="0" w:line="155" w:lineRule="exact"/>
        <w:rPr>
          <w:sz w:val="20"/>
          <w:szCs w:val="20"/>
          <w:color w:val="auto"/>
        </w:rPr>
      </w:pPr>
    </w:p>
    <w:p>
      <w:pPr>
        <w:jc w:val="both"/>
        <w:ind w:left="200" w:right="219" w:firstLine="9"/>
        <w:spacing w:after="0" w:line="255" w:lineRule="auto"/>
        <w:tabs>
          <w:tab w:leader="none" w:pos="84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Proceeds of Dispositions; Expenses</w:t>
      </w:r>
      <w:r>
        <w:rPr>
          <w:rFonts w:ascii="Times New Roman" w:cs="Times New Roman" w:eastAsia="Times New Roman" w:hAnsi="Times New Roman"/>
          <w:sz w:val="19"/>
          <w:szCs w:val="19"/>
          <w:color w:val="auto"/>
        </w:rPr>
        <w:t>. Grantor shall pay to Secured Party on demand any and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expenses, including reasonable attorneys’ fees and disbursements, incurred or paid by Secured Party in protecting, preserving or enforcing Secured Party’s rights and remedies under or in respect of any of the Obligations or any of the Collateral. After deducting all of said expenses, the residue of any proceeds of collection or sale or other disposition of the Collateral shall, to the extent actually received in cash, be applied to the payment of the Obligations in such order or preference as set forth in the Credit Agreement, proper allowance and provision being made for any Obligations not then due. Upon the final payment and satisfaction in full of all of the Obligations and after making any payments required by Sections 9-608(a)(1)</w:t>
      </w:r>
    </w:p>
    <w:p>
      <w:pPr>
        <w:spacing w:after="0" w:line="4" w:lineRule="exact"/>
        <w:rPr>
          <w:rFonts w:ascii="Times New Roman" w:cs="Times New Roman" w:eastAsia="Times New Roman" w:hAnsi="Times New Roman"/>
          <w:sz w:val="19"/>
          <w:szCs w:val="19"/>
          <w:color w:val="auto"/>
        </w:rPr>
      </w:pPr>
    </w:p>
    <w:p>
      <w:pPr>
        <w:jc w:val="both"/>
        <w:ind w:left="200" w:right="219"/>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 or 9-615(a)(3) of the UCC of the State, any excess shall be promptly returned to Grantor. In the absence of final payment and satisfaction in full of all of the Obligations, Grantor shall remain liable for any deficiency.</w:t>
      </w:r>
    </w:p>
    <w:p>
      <w:pPr>
        <w:spacing w:after="0" w:line="182" w:lineRule="exact"/>
        <w:rPr>
          <w:rFonts w:ascii="Times New Roman" w:cs="Times New Roman" w:eastAsia="Times New Roman" w:hAnsi="Times New Roman"/>
          <w:sz w:val="19"/>
          <w:szCs w:val="19"/>
          <w:color w:val="auto"/>
        </w:rPr>
      </w:pPr>
    </w:p>
    <w:p>
      <w:pPr>
        <w:jc w:val="both"/>
        <w:ind w:left="200" w:right="219" w:firstLine="9"/>
        <w:spacing w:after="0" w:line="256" w:lineRule="auto"/>
        <w:tabs>
          <w:tab w:leader="none" w:pos="8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Overdue Amounts</w:t>
      </w:r>
      <w:r>
        <w:rPr>
          <w:rFonts w:ascii="Times New Roman" w:cs="Times New Roman" w:eastAsia="Times New Roman" w:hAnsi="Times New Roman"/>
          <w:sz w:val="20"/>
          <w:szCs w:val="20"/>
          <w:color w:val="auto"/>
        </w:rPr>
        <w:t>. Until paid, all amounts due and payable by Grantor hereunder shall be a debt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secured by the Collateral and shall bear, whether before or after judgment, interest at the default rate of interest provided in the Credit Agreement.</w:t>
      </w:r>
    </w:p>
    <w:p>
      <w:pPr>
        <w:spacing w:after="0" w:line="168" w:lineRule="exact"/>
        <w:rPr>
          <w:rFonts w:ascii="Times New Roman" w:cs="Times New Roman" w:eastAsia="Times New Roman" w:hAnsi="Times New Roman"/>
          <w:sz w:val="20"/>
          <w:szCs w:val="20"/>
          <w:color w:val="auto"/>
        </w:rPr>
      </w:pPr>
    </w:p>
    <w:p>
      <w:pPr>
        <w:jc w:val="both"/>
        <w:ind w:left="200" w:right="219" w:firstLine="9"/>
        <w:spacing w:after="0" w:line="243" w:lineRule="auto"/>
        <w:tabs>
          <w:tab w:leader="none" w:pos="8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Consent to Jurisdiction</w:t>
      </w:r>
      <w:r>
        <w:rPr>
          <w:rFonts w:ascii="Times New Roman" w:cs="Times New Roman" w:eastAsia="Times New Roman" w:hAnsi="Times New Roman"/>
          <w:sz w:val="20"/>
          <w:szCs w:val="20"/>
          <w:color w:val="auto"/>
        </w:rPr>
        <w:t>. THIS AGREEMENT IS INTENDED TO TAKE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AS A SEALED INSTRUMENT AND SHALL BE GOVERNED BY, AND CONSTRUED IN ACCORDANCE WITH, THE LAWS OF THE STATE OF ARIZONA. Grantor agrees that any action or claim arising out of, or any dispute in connection with, this Agreement, any rights, remedies, obligations, or duties hereunder, or the performance or enforcement hereof or thereof, may be brought in the courts of the State or any federal court sitting therein and consents to the non-exclusive jurisdiction of such court and to service of process in any such suit being made upon Grantor by mail at the address specified in the Credit Agreement. Grantor hereby waives any objection that it may now or hereafter have to the venue of any such suit or any such court or that such suit is brought in an inconvenient court.</w:t>
      </w:r>
    </w:p>
    <w:p>
      <w:pPr>
        <w:spacing w:after="0" w:line="185" w:lineRule="exact"/>
        <w:rPr>
          <w:rFonts w:ascii="Times New Roman" w:cs="Times New Roman" w:eastAsia="Times New Roman" w:hAnsi="Times New Roman"/>
          <w:sz w:val="20"/>
          <w:szCs w:val="20"/>
          <w:color w:val="auto"/>
        </w:rPr>
      </w:pPr>
    </w:p>
    <w:p>
      <w:pPr>
        <w:jc w:val="both"/>
        <w:ind w:left="200" w:right="219" w:firstLine="9"/>
        <w:spacing w:after="0" w:line="245" w:lineRule="auto"/>
        <w:tabs>
          <w:tab w:leader="none" w:pos="8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an original, but all of which collectively shall be deemed to be one and the same agreement, binding on all of the parties hereto notwithstanding that all such parties have not signed the same counterpart. Counterpart signature pages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Times New Roman" w:cs="Times New Roman" w:eastAsia="Times New Roman" w:hAnsi="Times New Roman"/>
          <w:sz w:val="20"/>
          <w:szCs w:val="20"/>
          <w:color w:val="auto"/>
        </w:rPr>
      </w:pPr>
    </w:p>
    <w:p>
      <w:pPr>
        <w:jc w:val="both"/>
        <w:ind w:left="200" w:right="219" w:firstLine="9"/>
        <w:spacing w:after="0" w:line="247" w:lineRule="auto"/>
        <w:tabs>
          <w:tab w:leader="none" w:pos="8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Continuation and Termination</w:t>
      </w:r>
      <w:r>
        <w:rPr>
          <w:rFonts w:ascii="Times New Roman" w:cs="Times New Roman" w:eastAsia="Times New Roman" w:hAnsi="Times New Roman"/>
          <w:sz w:val="20"/>
          <w:szCs w:val="20"/>
          <w:color w:val="auto"/>
        </w:rPr>
        <w:t>. This Agreement shall continue in effect until the earlier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both of the following have occurred: (i) payment and performance in full of all Obligations and (ii) the full and final termination of any commitment to extend any financial accommodations under the Credit Agreement, or (b) Borrower’s pledge to Lender of $100,000,000 in cash collateral in substitution of the Collateral.</w:t>
      </w:r>
    </w:p>
    <w:p>
      <w:pPr>
        <w:spacing w:after="0" w:line="180" w:lineRule="exact"/>
        <w:rPr>
          <w:rFonts w:ascii="Times New Roman" w:cs="Times New Roman" w:eastAsia="Times New Roman" w:hAnsi="Times New Roman"/>
          <w:sz w:val="20"/>
          <w:szCs w:val="20"/>
          <w:color w:val="auto"/>
        </w:rPr>
      </w:pPr>
    </w:p>
    <w:p>
      <w:pPr>
        <w:ind w:left="200" w:right="219" w:firstLine="9"/>
        <w:spacing w:after="0" w:line="273" w:lineRule="auto"/>
        <w:tabs>
          <w:tab w:leader="none" w:pos="8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DISPUTE RESOLUTION</w:t>
      </w:r>
      <w:r>
        <w:rPr>
          <w:rFonts w:ascii="Times New Roman" w:cs="Times New Roman" w:eastAsia="Times New Roman" w:hAnsi="Times New Roman"/>
          <w:sz w:val="20"/>
          <w:szCs w:val="20"/>
          <w:color w:val="auto"/>
        </w:rPr>
        <w:t>. This Section contains a jury waiver, arbitration clause, and a 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 waiver. READ IT CAREFULLY.</w:t>
      </w:r>
    </w:p>
    <w:p>
      <w:pPr>
        <w:spacing w:after="0" w:line="37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8" w:name="page99"/>
    <w:bookmarkEnd w:id="98"/>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This dispute resolution provision shall supersede and replace any prior “Jury Waiver,” “Judicial Reference,” “Class Action Waiver,” “Arbitration,” “Dispute Resolution,” or similar alternative dispute agreement or provision between or among the parties.</w:t>
      </w:r>
    </w:p>
    <w:p>
      <w:pPr>
        <w:spacing w:after="0" w:line="17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25.1 </w:t>
      </w:r>
      <w:r>
        <w:rPr>
          <w:rFonts w:ascii="Times New Roman" w:cs="Times New Roman" w:eastAsia="Times New Roman" w:hAnsi="Times New Roman"/>
          <w:sz w:val="20"/>
          <w:szCs w:val="20"/>
          <w:b w:val="1"/>
          <w:bCs w:val="1"/>
          <w:u w:val="single" w:color="auto"/>
          <w:color w:val="auto"/>
        </w:rPr>
        <w:t>JURY TRIAL WAIVER; CLASS ACTION WAIVER</w:t>
      </w:r>
      <w:r>
        <w:rPr>
          <w:rFonts w:ascii="Times New Roman" w:cs="Times New Roman" w:eastAsia="Times New Roman" w:hAnsi="Times New Roman"/>
          <w:sz w:val="20"/>
          <w:szCs w:val="20"/>
          <w:color w:val="auto"/>
        </w:rPr>
        <w:t xml:space="preserve">. As permitted by applicable law, </w:t>
      </w:r>
      <w:r>
        <w:rPr>
          <w:rFonts w:ascii="Times New Roman" w:cs="Times New Roman" w:eastAsia="Times New Roman" w:hAnsi="Times New Roman"/>
          <w:sz w:val="20"/>
          <w:szCs w:val="20"/>
          <w:u w:val="single" w:color="auto"/>
          <w:color w:val="auto"/>
        </w:rPr>
        <w:t>each party waives their respective rights to a trial before a jury in connection with any Dispute</w:t>
      </w:r>
      <w:r>
        <w:rPr>
          <w:rFonts w:ascii="Times New Roman" w:cs="Times New Roman" w:eastAsia="Times New Roman" w:hAnsi="Times New Roman"/>
          <w:sz w:val="20"/>
          <w:szCs w:val="20"/>
          <w:color w:val="auto"/>
        </w:rPr>
        <w:t xml:space="preserve"> (as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xml:space="preserve">” is hereinafter defined), and </w:t>
      </w:r>
      <w:r>
        <w:rPr>
          <w:rFonts w:ascii="Times New Roman" w:cs="Times New Roman" w:eastAsia="Times New Roman" w:hAnsi="Times New Roman"/>
          <w:sz w:val="20"/>
          <w:szCs w:val="20"/>
          <w:u w:val="single" w:color="auto"/>
          <w:color w:val="auto"/>
        </w:rPr>
        <w:t>Disputes shall be resolved by a judge sitting without a jury</w:t>
      </w:r>
      <w:r>
        <w:rPr>
          <w:rFonts w:ascii="Times New Roman" w:cs="Times New Roman" w:eastAsia="Times New Roman" w:hAnsi="Times New Roman"/>
          <w:sz w:val="20"/>
          <w:szCs w:val="20"/>
          <w:color w:val="auto"/>
        </w:rPr>
        <w:t>. If a court determines that this provision is not enforceable for any reason and at any time prior to trial of the Dispute, but not later than 30 days after entry of the order determining this provision is unenforceable, any party shall be entitled to move the court for an order compelling arbitration and staying or dismissing such litigation pending arbitration (“</w:t>
      </w:r>
      <w:r>
        <w:rPr>
          <w:rFonts w:ascii="Times New Roman" w:cs="Times New Roman" w:eastAsia="Times New Roman" w:hAnsi="Times New Roman"/>
          <w:sz w:val="20"/>
          <w:szCs w:val="20"/>
          <w:u w:val="single" w:color="auto"/>
          <w:color w:val="auto"/>
        </w:rPr>
        <w:t>Arbitration Order</w:t>
      </w:r>
      <w:r>
        <w:rPr>
          <w:rFonts w:ascii="Times New Roman" w:cs="Times New Roman" w:eastAsia="Times New Roman" w:hAnsi="Times New Roman"/>
          <w:sz w:val="20"/>
          <w:szCs w:val="20"/>
          <w:color w:val="auto"/>
        </w:rPr>
        <w:t xml:space="preserve">”). If permitted by applicable law, </w:t>
      </w:r>
      <w:r>
        <w:rPr>
          <w:rFonts w:ascii="Times New Roman" w:cs="Times New Roman" w:eastAsia="Times New Roman" w:hAnsi="Times New Roman"/>
          <w:sz w:val="20"/>
          <w:szCs w:val="20"/>
          <w:u w:val="single" w:color="auto"/>
          <w:color w:val="auto"/>
        </w:rPr>
        <w:t>each party also waives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right to litigate in court or an arbitration proceeding any Dispute as a class action, either as a member of a class or as a representative, or to act as a private attorney general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0"/>
          <w:szCs w:val="20"/>
          <w:color w:val="auto"/>
        </w:rPr>
        <w:t xml:space="preserve">25.2 </w:t>
      </w:r>
      <w:r>
        <w:rPr>
          <w:rFonts w:ascii="Times New Roman" w:cs="Times New Roman" w:eastAsia="Times New Roman" w:hAnsi="Times New Roman"/>
          <w:sz w:val="20"/>
          <w:szCs w:val="20"/>
          <w:b w:val="1"/>
          <w:bCs w:val="1"/>
          <w:u w:val="single" w:color="auto"/>
          <w:color w:val="auto"/>
        </w:rPr>
        <w:t>ARBITRATION</w:t>
      </w:r>
      <w:r>
        <w:rPr>
          <w:rFonts w:ascii="Times New Roman" w:cs="Times New Roman" w:eastAsia="Times New Roman" w:hAnsi="Times New Roman"/>
          <w:sz w:val="20"/>
          <w:szCs w:val="20"/>
          <w:color w:val="auto"/>
        </w:rPr>
        <w:t xml:space="preserve">. If a claim, dispute, or controversy arises between us with respect to this Agreement, related agreements, </w:t>
      </w:r>
      <w:r>
        <w:rPr>
          <w:rFonts w:ascii="Times New Roman" w:cs="Times New Roman" w:eastAsia="Times New Roman" w:hAnsi="Times New Roman"/>
          <w:sz w:val="20"/>
          <w:szCs w:val="20"/>
          <w:u w:val="single" w:color="auto"/>
          <w:color w:val="auto"/>
        </w:rPr>
        <w:t>or any other agreement or business relationship between any of us whether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or not related to the subject matter of this Agreement</w:t>
      </w:r>
      <w:r>
        <w:rPr>
          <w:rFonts w:ascii="Times New Roman" w:cs="Times New Roman" w:eastAsia="Times New Roman" w:hAnsi="Times New Roman"/>
          <w:sz w:val="20"/>
          <w:szCs w:val="20"/>
          <w:color w:val="auto"/>
        </w:rPr>
        <w:t xml:space="preserve"> (all of the foregoing, a “</w:t>
      </w:r>
      <w:r>
        <w:rPr>
          <w:rFonts w:ascii="Times New Roman" w:cs="Times New Roman" w:eastAsia="Times New Roman" w:hAnsi="Times New Roman"/>
          <w:sz w:val="20"/>
          <w:szCs w:val="20"/>
          <w:u w:val="single" w:color="auto"/>
          <w:color w:val="auto"/>
        </w:rPr>
        <w:t>Dispute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only if</w:t>
      </w:r>
      <w:r>
        <w:rPr>
          <w:rFonts w:ascii="Times New Roman" w:cs="Times New Roman" w:eastAsia="Times New Roman" w:hAnsi="Times New Roman"/>
          <w:sz w:val="20"/>
          <w:szCs w:val="20"/>
          <w:color w:val="auto"/>
        </w:rPr>
        <w:t xml:space="preserve"> a jury trial waiver is not permitted by applicable law or ruling by a court, any of us may require that the Dispute be resolved by binding arbitration before a single arbitrator at the request of any party. </w:t>
      </w:r>
      <w:r>
        <w:rPr>
          <w:rFonts w:ascii="Times New Roman" w:cs="Times New Roman" w:eastAsia="Times New Roman" w:hAnsi="Times New Roman"/>
          <w:sz w:val="20"/>
          <w:szCs w:val="20"/>
          <w:u w:val="single" w:color="auto"/>
          <w:color w:val="auto"/>
        </w:rPr>
        <w:t>By agreeing to arbitrate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 Dispute, each party gives up any right that party may have to a jury trial, as well as other rights that party would have in court that are not available or are more limited in arbitration, such as the rights to discovery and to appeal.</w:t>
      </w:r>
    </w:p>
    <w:p>
      <w:pPr>
        <w:spacing w:after="0" w:line="18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Arbitration shall be commenced by filing a petition with, and in accordance with the applicable arbitration rules of, JAMS or National Arbitration Forum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as selected by the initiating party. If the parties agree, arbitration may be commenced by appointment of a licensed attorney who is selected by the parties and who agrees to conduct the arbitration without an Administrator. Disputes include matters (i) relating to a deposit account, application for or denial of credit, enforcement of any of the obligations we have to each other, compliance with applicable laws and/or regulations, performance or services provided under any agreement by any party, (ii) based on or arising from an alleged tort, or (iii) involving either of our employees, agents, affiliates, or assigns of a party. However, Disputes do not include the validity, enforceability, meaning, or scope of this arbitration provision and such matters may be determined only by a court. If a third party is a party to a Dispute, we each will consent to including the third party in the arbitration proceeding for resolving the Dispute with the third party. Venue for the arbitration proceeding shall be at a location determined by mutual agreement of the parties or, if no agreement, in the city and state where lender or bank is headquartered.</w:t>
      </w:r>
    </w:p>
    <w:p>
      <w:pPr>
        <w:spacing w:after="0" w:line="197"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19"/>
          <w:szCs w:val="19"/>
          <w:color w:val="auto"/>
        </w:rPr>
        <w:t>After entry of an Arbitration Order, the non-moving party shall commence arbitration. The moving party shall, at its discretion, also be entitled to commence arbitration but is under no obligation to do so, and the moving party shall not in any way be adversely prejudiced by electing not to commence arbitration. The arbitrator: (i) will hear and rule on appropriate dispositive motions for judgment on the pleadings, for failure to state a claim, or for full or partial summary judgment; (ii) will render a decision and any award applying applicable law; (iii) will give effect to any limitations period in determining any Dispute or defense; (iv) shall enforce the doctrines of compulsory counterclaim, res judicata, and collateral estoppel, if applicable;</w:t>
      </w:r>
    </w:p>
    <w:p>
      <w:pPr>
        <w:spacing w:after="0" w:line="4" w:lineRule="exact"/>
        <w:rPr>
          <w:sz w:val="20"/>
          <w:szCs w:val="20"/>
          <w:color w:val="auto"/>
        </w:rPr>
      </w:pPr>
    </w:p>
    <w:p>
      <w:pPr>
        <w:jc w:val="both"/>
        <w:ind w:left="200" w:right="219" w:firstLine="9"/>
        <w:spacing w:after="0"/>
        <w:tabs>
          <w:tab w:leader="none" w:pos="49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regard to motions and the arbitration hearing, shall apply rules of evidence governing civil cases; and (vi) will apply the law of the state specified in the agreement giving rise to the Dispute. Filing of a petition for arbitration shall not prevent any party from (i) seeking and obtaining from a court of competent jurisdiction (notwithstanding ongoing arbitration) provisional or ancillary remedies including but not limited to injunctive relief, property preservation orders, foreclosure, eviction, attachment, replevin, garnishment, and/or the appointment of a receiver, (ii) pursuing non-judicial foreclosure, or (iii) availing</w:t>
      </w:r>
    </w:p>
    <w:p>
      <w:pPr>
        <w:spacing w:after="0" w:line="19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9" w:name="page100"/>
    <w:bookmarkEnd w:id="99"/>
    <w:p>
      <w:pPr>
        <w:jc w:val="both"/>
        <w:ind w:left="200" w:right="239"/>
        <w:spacing w:after="0" w:line="269" w:lineRule="auto"/>
        <w:rPr>
          <w:sz w:val="20"/>
          <w:szCs w:val="20"/>
          <w:color w:val="auto"/>
        </w:rPr>
      </w:pPr>
      <w:r>
        <w:rPr>
          <w:rFonts w:ascii="Times New Roman" w:cs="Times New Roman" w:eastAsia="Times New Roman" w:hAnsi="Times New Roman"/>
          <w:sz w:val="20"/>
          <w:szCs w:val="20"/>
          <w:color w:val="auto"/>
        </w:rPr>
        <w:t>itself of any self-help remedies such as setoff and repossession. The exercise of such rights shall not constitute a waiver of the right to submit any Dispute to arbitration.</w:t>
      </w:r>
    </w:p>
    <w:p>
      <w:pPr>
        <w:spacing w:after="0" w:line="159"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Judgment upon an arbitration award may be entered in any court having jurisdiction except that, if the arbitration award exceeds $4,000,000, any party shall be entitled to a de novo appeal of the award before a panel of three arbitrators. To allow for such appeal, if the award (including Administrator, arbitrator, and attorney’s fees and costs) exceeds $4,000,000, the arbitrator will issue a written, reasoned decision supporting the award, including a statement of authority and its application to the Dispute. A request for de novo appeal must be filed with the arbitrator within 30 days following the date of the arbitration award; if such a request is not made within that time period, the arbitration decision shall become final and binding. On appeal, the arbitrators shall review the award de novo, meaning that they shall reach their own findings of fact and conclusions of law rather than deferring in any manner to the original arbitrator. Appeal of an arbitration award shall be pursuant to the rules of the Administrator or, if the Administrator has no such rules, then the JAMS arbitration appellate rules shall apply.</w:t>
      </w:r>
    </w:p>
    <w:p>
      <w:pPr>
        <w:spacing w:after="0" w:line="19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Arbitration under this provision concerns a transaction involving interstate commerce and shall be governed by the Federal Arbitration Act, 9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This arbitration provision shall survive any termination, amendment, or expiration of this Agreement. If the terms of this provision vary from the Administrator’s rules, this arbitration provision shall control.</w:t>
      </w:r>
    </w:p>
    <w:p>
      <w:pPr>
        <w:spacing w:after="0" w:line="176"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25.3 </w:t>
      </w:r>
      <w:r>
        <w:rPr>
          <w:rFonts w:ascii="Times New Roman" w:cs="Times New Roman" w:eastAsia="Times New Roman" w:hAnsi="Times New Roman"/>
          <w:sz w:val="20"/>
          <w:szCs w:val="20"/>
          <w:b w:val="1"/>
          <w:bCs w:val="1"/>
          <w:u w:val="single" w:color="auto"/>
          <w:color w:val="auto"/>
        </w:rPr>
        <w:t>RELIANCE</w:t>
      </w:r>
      <w:r>
        <w:rPr>
          <w:rFonts w:ascii="Times New Roman" w:cs="Times New Roman" w:eastAsia="Times New Roman" w:hAnsi="Times New Roman"/>
          <w:sz w:val="20"/>
          <w:szCs w:val="20"/>
          <w:color w:val="auto"/>
        </w:rPr>
        <w:t>. Each party (i) certifies that no one has represented to such party that the other party would not seek to enforce jury and class action waivers in the event of suit, and (ii) acknowledges that it and the other party have been induced to enter into this Agreement by, among other things, the mutual waivers, agreements, and certifications in this Section.</w:t>
      </w:r>
    </w:p>
    <w:p>
      <w:pPr>
        <w:spacing w:after="0" w:line="176" w:lineRule="exact"/>
        <w:rPr>
          <w:sz w:val="20"/>
          <w:szCs w:val="20"/>
          <w:color w:val="auto"/>
        </w:rPr>
      </w:pPr>
    </w:p>
    <w:p>
      <w:pPr>
        <w:jc w:val="both"/>
        <w:ind w:left="200" w:right="219" w:firstLine="9"/>
        <w:spacing w:after="0" w:line="241" w:lineRule="auto"/>
        <w:tabs>
          <w:tab w:leader="none" w:pos="84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Unlawful Use, Medical Marijuana, Controlled Substances and Prohibited Activities</w:t>
      </w:r>
      <w:r>
        <w:rPr>
          <w:rFonts w:ascii="Times New Roman" w:cs="Times New Roman" w:eastAsia="Times New Roman" w:hAnsi="Times New Roman"/>
          <w:sz w:val="20"/>
          <w:szCs w:val="20"/>
          <w:color w:val="auto"/>
        </w:rPr>
        <w:t>. Grantor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use, occupy, or permit the use or occupancy of any leased or owned real property or any Collateral by Grantor or any lessee, tenant, licensee, permittee, agent, or any other person in any manner that would be a violation of any applicable federal, state or local law or regulation, regardless of whether such use or occupancy is lawful under any conflicting law, including without limitation any law relating to the use, sale, possession, cultivation, manufacture, distribution or marketing of any controlled substances or other contraband (whether for commercial, medical, or personal purposes), or any law relating to the medicinal use or distribution of marijuana (collectively, “</w:t>
      </w:r>
      <w:r>
        <w:rPr>
          <w:rFonts w:ascii="Times New Roman" w:cs="Times New Roman" w:eastAsia="Times New Roman" w:hAnsi="Times New Roman"/>
          <w:sz w:val="20"/>
          <w:szCs w:val="20"/>
          <w:b w:val="1"/>
          <w:bCs w:val="1"/>
          <w:u w:val="single" w:color="auto"/>
          <w:color w:val="auto"/>
        </w:rPr>
        <w:t>Prohibited Activities</w:t>
      </w:r>
      <w:r>
        <w:rPr>
          <w:rFonts w:ascii="Times New Roman" w:cs="Times New Roman" w:eastAsia="Times New Roman" w:hAnsi="Times New Roman"/>
          <w:sz w:val="20"/>
          <w:szCs w:val="20"/>
          <w:color w:val="auto"/>
        </w:rPr>
        <w:t>”). Any lease, license, sublease or other agreement for use, occupancy or possession of any leased or owned real property or any Collateral (collectively a “</w:t>
      </w:r>
      <w:r>
        <w:rPr>
          <w:rFonts w:ascii="Times New Roman" w:cs="Times New Roman" w:eastAsia="Times New Roman" w:hAnsi="Times New Roman"/>
          <w:sz w:val="20"/>
          <w:szCs w:val="20"/>
          <w:b w:val="1"/>
          <w:bCs w:val="1"/>
          <w:u w:val="single" w:color="auto"/>
          <w:color w:val="auto"/>
        </w:rPr>
        <w:t>lease</w:t>
      </w:r>
      <w:r>
        <w:rPr>
          <w:rFonts w:ascii="Times New Roman" w:cs="Times New Roman" w:eastAsia="Times New Roman" w:hAnsi="Times New Roman"/>
          <w:sz w:val="20"/>
          <w:szCs w:val="20"/>
          <w:color w:val="auto"/>
        </w:rPr>
        <w:t>”) with any third person (“</w:t>
      </w:r>
      <w:r>
        <w:rPr>
          <w:rFonts w:ascii="Times New Roman" w:cs="Times New Roman" w:eastAsia="Times New Roman" w:hAnsi="Times New Roman"/>
          <w:sz w:val="20"/>
          <w:szCs w:val="20"/>
          <w:b w:val="1"/>
          <w:bCs w:val="1"/>
          <w:u w:val="single" w:color="auto"/>
          <w:color w:val="auto"/>
        </w:rPr>
        <w:t>lessee</w:t>
      </w:r>
      <w:r>
        <w:rPr>
          <w:rFonts w:ascii="Times New Roman" w:cs="Times New Roman" w:eastAsia="Times New Roman" w:hAnsi="Times New Roman"/>
          <w:sz w:val="20"/>
          <w:szCs w:val="20"/>
          <w:color w:val="auto"/>
        </w:rPr>
        <w:t>”) shall expressly prohibit the lessee from engaging or permitting others to engage in any Prohibited Activities. Grantor shall upon demand provide Secured Party with a written statement setting forth its compliance with this section and stating whether any Prohibited Activities are or may be occurring in, on or around any leased or owned real property or any Collateral. If Grantor becomes aware that any lessee is likely engaged in any Prohibited Activities, Grantor shall, in compliance with applicable law, terminate the applicable lease and take all actions permitted by law to discontinue such activities. Grantor shall keep Secured Party fully advised of its actions and plans to comply with this section and to prevent Prohibited Activities.</w:t>
      </w:r>
    </w:p>
    <w:p>
      <w:pPr>
        <w:spacing w:after="0" w:line="196"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0"/>
          <w:szCs w:val="20"/>
          <w:color w:val="auto"/>
        </w:rPr>
        <w:t>This section is a material consideration and inducement upon which Secured Party relies in extending the Loan and other financial accommodations to Grantor. Failure by Grantor to comply with this section shall constitute a material non-curable Event of Default. Notwithstanding anything in this Agreement, the Credit Agreement or the Loan Documents regarding rights to cure Events of Default, Secured Party is entitled upon breach of this section to immediately exercise any and all remedies under this Agreement, the Credit Agreement, the Loan Documents, and by law.</w:t>
      </w:r>
    </w:p>
    <w:p>
      <w:pPr>
        <w:spacing w:after="0" w:line="200" w:lineRule="exact"/>
        <w:rPr>
          <w:sz w:val="20"/>
          <w:szCs w:val="20"/>
          <w:color w:val="auto"/>
        </w:rPr>
      </w:pPr>
    </w:p>
    <w:p>
      <w:pPr>
        <w:spacing w:after="0" w:line="20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0" w:name="page101"/>
    <w:bookmarkEnd w:id="100"/>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In addition and not by way of limitation, Grantor shall indemnify, defend and hold Secured Party harmless for, from and against any loss, claim, damage, liability, fine, penalty, cost or expense (including attorneys’ fees and expenses) arising from, out of or related to any Prohibited Activities at or on any leased or owned real property or any Collateral, Prohibited Activities by Grantor or any lessee of any leased or owned real property or any Collateral, or Grantor’s breach, violation, or failure to enforce or comply with any of the covenants set forth in this section. This indemnity includes, without limitation any claim by any governmental entity or agency, any lessee, or any third person, including any governmental action for seizure or forfeiture of any leased or owned real property or any Collateral (with or without compensation to Secured Party, and whether or not any leased or owned real property or any Collateral is taken free of or subject to Secured Party’s lien or security interest).</w:t>
      </w:r>
    </w:p>
    <w:p>
      <w:pPr>
        <w:spacing w:after="0" w:line="188" w:lineRule="exact"/>
        <w:rPr>
          <w:sz w:val="20"/>
          <w:szCs w:val="20"/>
          <w:color w:val="auto"/>
        </w:rPr>
      </w:pPr>
    </w:p>
    <w:p>
      <w:pPr>
        <w:jc w:val="both"/>
        <w:ind w:left="200" w:right="219" w:firstLine="9"/>
        <w:spacing w:after="0" w:line="255" w:lineRule="auto"/>
        <w:tabs>
          <w:tab w:leader="none" w:pos="84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WAIVER OF DEFENSES AND RELEASE OF CLAIMS</w:t>
      </w:r>
      <w:r>
        <w:rPr>
          <w:rFonts w:ascii="Times New Roman" w:cs="Times New Roman" w:eastAsia="Times New Roman" w:hAnsi="Times New Roman"/>
          <w:sz w:val="19"/>
          <w:szCs w:val="19"/>
          <w:color w:val="auto"/>
        </w:rPr>
        <w:t>. The undersigned hereby (i) represents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that neither the undersigned nor any principal of the undersigned has any defenses to or setoffs against any indebtedness or other obligations owing in connection with the Loan by Grantor, or by the undersigned’s principals, to Secured Party or Secured Party’s affiliates (as used in this </w:t>
      </w:r>
      <w:r>
        <w:rPr>
          <w:rFonts w:ascii="Times New Roman" w:cs="Times New Roman" w:eastAsia="Times New Roman" w:hAnsi="Times New Roman"/>
          <w:sz w:val="19"/>
          <w:szCs w:val="19"/>
          <w:u w:val="single" w:color="auto"/>
          <w:color w:val="auto"/>
        </w:rPr>
        <w:t>Section 28</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nor any claims against Secured Party or Secured Party’s affiliates for any matter whatsoever, related or unrelated to the Obligations, and (ii) releases Secured Party and Secured Party’s affiliates, officers, directors, employees and agents from all claims, causes of action, and costs, in law or equity, known or unknown, whether or not matured or contingent, existing as of the date hereof that the undersigned has or may have by reason of any matter of any conceivable kind or character whatsoever, related or unrelated to the Obligations, including the subject matter of this Agreement. The foregoing release does not apply, however, to claims for future performance of express contractual obligations that mature after the date hereof that are owing to the undersigned by Secured Party or Secured Party’s affiliates. As used in this paragraph, the word “undersigned” does not include Secured Party or any individual signing on behalf of Secured Party. The undersigned acknowledges that Secured Party has been induced to enter into or continue the Obligations by, among other things, the waivers and releases in this paragraph</w:t>
      </w:r>
      <w:r>
        <w:rPr>
          <w:rFonts w:ascii="Times New Roman" w:cs="Times New Roman" w:eastAsia="Times New Roman" w:hAnsi="Times New Roman"/>
          <w:sz w:val="19"/>
          <w:szCs w:val="19"/>
          <w:color w:val="008181"/>
        </w:rPr>
        <w:t>.</w:t>
      </w:r>
    </w:p>
    <w:p>
      <w:pPr>
        <w:spacing w:after="0" w:line="176" w:lineRule="exact"/>
        <w:rPr>
          <w:rFonts w:ascii="Times New Roman" w:cs="Times New Roman" w:eastAsia="Times New Roman" w:hAnsi="Times New Roman"/>
          <w:sz w:val="19"/>
          <w:szCs w:val="19"/>
          <w:color w:val="auto"/>
        </w:rPr>
      </w:pPr>
    </w:p>
    <w:p>
      <w:pPr>
        <w:jc w:val="both"/>
        <w:ind w:left="200" w:right="219" w:firstLine="9"/>
        <w:spacing w:after="0" w:line="243" w:lineRule="auto"/>
        <w:tabs>
          <w:tab w:leader="none" w:pos="8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Document Imaging</w:t>
      </w:r>
      <w:r>
        <w:rPr>
          <w:rFonts w:ascii="Times New Roman" w:cs="Times New Roman" w:eastAsia="Times New Roman" w:hAnsi="Times New Roman"/>
          <w:sz w:val="20"/>
          <w:szCs w:val="20"/>
          <w:color w:val="auto"/>
        </w:rPr>
        <w:t>. Secured Party shall be entitled, in its sole discretion, to image or make copies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all or any selection of the agreements, instruments, documents, and items and records governing, arising from or relating to any of Grantor’s loans, including, without limitation, this Agreement and the Loan Documents, and Secured Party may destroy or archive the paper originals. The parties hereto (i) waive any right to insist or require that Secured Party produce paper originals, (ii) agree that such images shall be accorded the same force and effect as the paper originals, (iii) agree that Secured Party is entitled to use such images in lieu of destroyed or archived originals for any purpose, including as admissible evidence in any demand, presentment or other proceedings, and (iv) further agree that any executed facsimile (faxed), scanned, or other imaged copy of this Agreement or any Loan Document shall be deemed to be of the same force and effect as the original manually executed document.</w:t>
      </w:r>
    </w:p>
    <w:p>
      <w:pPr>
        <w:spacing w:after="0" w:line="182" w:lineRule="exact"/>
        <w:rPr>
          <w:rFonts w:ascii="Times New Roman" w:cs="Times New Roman" w:eastAsia="Times New Roman" w:hAnsi="Times New Roman"/>
          <w:sz w:val="20"/>
          <w:szCs w:val="20"/>
          <w:color w:val="auto"/>
        </w:rPr>
      </w:pPr>
    </w:p>
    <w:p>
      <w:pPr>
        <w:jc w:val="both"/>
        <w:ind w:left="200" w:right="219" w:firstLine="9"/>
        <w:spacing w:after="0" w:line="244" w:lineRule="auto"/>
        <w:tabs>
          <w:tab w:leader="none" w:pos="8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 The headings of each section of this Agreement are for convenience only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define or limit the provisions thereof. This Agreement and all rights and obligations hereunder shall be binding upon Grantor and its respective successors and assigns, and shall inure to the benefit of Secured Party and its successors and assigns. This Agreement may be amended or modified only in writing signed by Secured Party and Grantor. If any term of this Agreement shall be held to be invalid, illegal or unenforceable, the validity of all other terms hereof shall in no way be affected thereby, and this Agreement shall be construed and be enforceable as if such invalid, illegal or unenforceable term had not been included herein. Grantor acknowledges receipt of a copy of this Agreement.</w:t>
      </w:r>
    </w:p>
    <w:p>
      <w:pPr>
        <w:spacing w:after="0" w:line="181" w:lineRule="exact"/>
        <w:rPr>
          <w:rFonts w:ascii="Times New Roman" w:cs="Times New Roman" w:eastAsia="Times New Roman" w:hAnsi="Times New Roman"/>
          <w:sz w:val="20"/>
          <w:szCs w:val="20"/>
          <w:color w:val="auto"/>
        </w:rPr>
      </w:pPr>
    </w:p>
    <w:p>
      <w:pPr>
        <w:ind w:left="860" w:hanging="651"/>
        <w:spacing w:after="0"/>
        <w:tabs>
          <w:tab w:leader="none" w:pos="8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Non-Borrower Grantor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 xml:space="preserve">30.1 </w:t>
      </w:r>
      <w:r>
        <w:rPr>
          <w:rFonts w:ascii="Times New Roman" w:cs="Times New Roman" w:eastAsia="Times New Roman" w:hAnsi="Times New Roman"/>
          <w:sz w:val="20"/>
          <w:szCs w:val="20"/>
          <w:b w:val="1"/>
          <w:bCs w:val="1"/>
          <w:u w:val="single" w:color="auto"/>
          <w:color w:val="auto"/>
        </w:rPr>
        <w:t>Rights of Secured Party</w:t>
      </w:r>
      <w:r>
        <w:rPr>
          <w:rFonts w:ascii="Times New Roman" w:cs="Times New Roman" w:eastAsia="Times New Roman" w:hAnsi="Times New Roman"/>
          <w:sz w:val="20"/>
          <w:szCs w:val="20"/>
          <w:color w:val="auto"/>
        </w:rPr>
        <w:t>. With respect to the Obligations, Grantor authorizes Secured Party to perform any or all of the following acts at any time in its sole discretion, all without notice to or</w:t>
      </w:r>
    </w:p>
    <w:p>
      <w:pPr>
        <w:spacing w:after="0" w:line="37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1" w:name="page102"/>
    <w:bookmarkEnd w:id="101"/>
    <w:p>
      <w:pPr>
        <w:ind w:left="200" w:right="239"/>
        <w:spacing w:after="0" w:line="269" w:lineRule="auto"/>
        <w:rPr>
          <w:sz w:val="20"/>
          <w:szCs w:val="20"/>
          <w:color w:val="auto"/>
        </w:rPr>
      </w:pPr>
      <w:r>
        <w:rPr>
          <w:rFonts w:ascii="Times New Roman" w:cs="Times New Roman" w:eastAsia="Times New Roman" w:hAnsi="Times New Roman"/>
          <w:sz w:val="20"/>
          <w:szCs w:val="20"/>
          <w:color w:val="auto"/>
        </w:rPr>
        <w:t>the consent or approval of Grantor and without affecting Secured Party’s rights or Grantor’s obligations under this Agreement:</w:t>
      </w:r>
    </w:p>
    <w:p>
      <w:pPr>
        <w:spacing w:after="0" w:line="173" w:lineRule="exact"/>
        <w:rPr>
          <w:sz w:val="20"/>
          <w:szCs w:val="20"/>
          <w:color w:val="auto"/>
        </w:rPr>
      </w:pPr>
    </w:p>
    <w:p>
      <w:pPr>
        <w:jc w:val="both"/>
        <w:ind w:left="200" w:right="219" w:firstLine="1305"/>
        <w:spacing w:after="0" w:line="242"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Secured Party may alter any Obligation, including renewing, compromising, extending or accelerating, or otherwise changing the time for payment of, or increasing or decreasing the rate of interest on, all or any part of any Obligation.</w:t>
      </w:r>
    </w:p>
    <w:p>
      <w:pPr>
        <w:spacing w:after="0" w:line="199" w:lineRule="exact"/>
        <w:rPr>
          <w:rFonts w:ascii="Times New Roman" w:cs="Times New Roman" w:eastAsia="Times New Roman" w:hAnsi="Times New Roman"/>
          <w:sz w:val="22"/>
          <w:szCs w:val="22"/>
          <w:color w:val="auto"/>
        </w:rPr>
      </w:pPr>
    </w:p>
    <w:p>
      <w:pPr>
        <w:jc w:val="both"/>
        <w:ind w:left="200" w:right="219" w:firstLine="1305"/>
        <w:spacing w:after="0" w:line="242"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Secured Party may take and hold security for any Obligation, accept additional or substituted security therefor, and subordinate, exchange, enforce, waive, release, compromise, fail to perfect, and sell or otherwise dispose of any such security.</w:t>
      </w:r>
    </w:p>
    <w:p>
      <w:pPr>
        <w:spacing w:after="0" w:line="199"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Secured Party may direct the order and manner of any public or private sale of all or any part of any security assigned to Secured Party by Borrower or any other person, or otherwise to comply with the Uniform Commercial Code with respect to any personal property collateral, and Secured Party may also bid at any such sale.</w:t>
      </w:r>
    </w:p>
    <w:p>
      <w:pPr>
        <w:spacing w:after="0" w:line="200"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Secured Party may apply any payments or recoveries from Borrower, any guarantor (a “</w:t>
      </w:r>
      <w:r>
        <w:rPr>
          <w:rFonts w:ascii="Times New Roman" w:cs="Times New Roman" w:eastAsia="Times New Roman" w:hAnsi="Times New Roman"/>
          <w:sz w:val="20"/>
          <w:szCs w:val="20"/>
          <w:b w:val="1"/>
          <w:bCs w:val="1"/>
          <w:u w:val="single" w:color="auto"/>
          <w:color w:val="auto"/>
        </w:rPr>
        <w:t>Guarantor</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of any Obligation or any other source, and any proceeds of any security, to the Obligations in such manner, order and priority as Secured Party may elect, whether or not those obligations are secured at the time of the application.</w:t>
      </w:r>
    </w:p>
    <w:p>
      <w:pPr>
        <w:spacing w:after="0" w:line="200" w:lineRule="exact"/>
        <w:rPr>
          <w:rFonts w:ascii="Times New Roman" w:cs="Times New Roman" w:eastAsia="Times New Roman" w:hAnsi="Times New Roman"/>
          <w:sz w:val="22"/>
          <w:szCs w:val="22"/>
          <w:color w:val="auto"/>
        </w:rPr>
      </w:pPr>
    </w:p>
    <w:p>
      <w:pPr>
        <w:ind w:left="200" w:right="219" w:firstLine="1305"/>
        <w:spacing w:after="0" w:line="245"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Secured Party may release Borrower or any other person of its liability for all or any part of any Obligation.</w:t>
      </w:r>
    </w:p>
    <w:p>
      <w:pPr>
        <w:spacing w:after="0" w:line="194"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Secured Party may substitute, add, or release any one or more Guarantors or</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endorsers.</w:t>
      </w:r>
    </w:p>
    <w:p>
      <w:pPr>
        <w:spacing w:after="0" w:line="207" w:lineRule="exact"/>
        <w:rPr>
          <w:rFonts w:ascii="Times New Roman" w:cs="Times New Roman" w:eastAsia="Times New Roman" w:hAnsi="Times New Roman"/>
          <w:sz w:val="22"/>
          <w:szCs w:val="22"/>
          <w:color w:val="auto"/>
        </w:rPr>
      </w:pPr>
    </w:p>
    <w:p>
      <w:pPr>
        <w:jc w:val="both"/>
        <w:ind w:left="200" w:right="219" w:firstLine="1305"/>
        <w:spacing w:after="0" w:line="242"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addition to the Obligations, Secured Party may extend other credit to Borrower, and may take and hold security for the credit so extended, all without affecting Grantor’s liability under this Agreement.</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20"/>
          <w:szCs w:val="20"/>
          <w:b w:val="1"/>
          <w:bCs w:val="1"/>
          <w:u w:val="single" w:color="auto"/>
          <w:color w:val="auto"/>
        </w:rPr>
        <w:t>Grantor’s Waivers</w:t>
      </w:r>
      <w:r>
        <w:rPr>
          <w:rFonts w:ascii="Times New Roman" w:cs="Times New Roman" w:eastAsia="Times New Roman" w:hAnsi="Times New Roman"/>
          <w:sz w:val="20"/>
          <w:szCs w:val="20"/>
          <w:color w:val="auto"/>
        </w:rPr>
        <w:t>. Grantor waives:</w:t>
      </w:r>
    </w:p>
    <w:p>
      <w:pPr>
        <w:spacing w:after="0" w:line="233" w:lineRule="exact"/>
        <w:rPr>
          <w:sz w:val="20"/>
          <w:szCs w:val="20"/>
          <w:color w:val="auto"/>
        </w:rPr>
      </w:pPr>
    </w:p>
    <w:p>
      <w:pPr>
        <w:jc w:val="both"/>
        <w:ind w:left="200" w:right="219" w:firstLine="1305"/>
        <w:spacing w:after="0" w:line="242" w:lineRule="auto"/>
        <w:tabs>
          <w:tab w:leader="none" w:pos="21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Subject to Section 13, any right it may have to require Secured Party to proceed against Borrower or any other person, proceed against or exhaust any security held from Borrower or any other person, or pursue any other remedy in Secured Party’s power to pursue;</w:t>
      </w:r>
    </w:p>
    <w:p>
      <w:pPr>
        <w:spacing w:after="0" w:line="199" w:lineRule="exact"/>
        <w:rPr>
          <w:rFonts w:ascii="Times New Roman" w:cs="Times New Roman" w:eastAsia="Times New Roman" w:hAnsi="Times New Roman"/>
          <w:sz w:val="22"/>
          <w:szCs w:val="22"/>
          <w:color w:val="auto"/>
        </w:rPr>
      </w:pPr>
    </w:p>
    <w:p>
      <w:pPr>
        <w:ind w:left="200" w:right="239" w:firstLine="1305"/>
        <w:spacing w:after="0" w:line="245" w:lineRule="auto"/>
        <w:tabs>
          <w:tab w:leader="none" w:pos="21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defense based on any claim that Grantor’s obligations exceed or are more burdensome than those of Borrower;</w:t>
      </w:r>
    </w:p>
    <w:p>
      <w:pPr>
        <w:spacing w:after="0" w:line="195" w:lineRule="exact"/>
        <w:rPr>
          <w:rFonts w:ascii="Times New Roman" w:cs="Times New Roman" w:eastAsia="Times New Roman" w:hAnsi="Times New Roman"/>
          <w:sz w:val="22"/>
          <w:szCs w:val="22"/>
          <w:color w:val="auto"/>
        </w:rPr>
      </w:pPr>
    </w:p>
    <w:p>
      <w:pPr>
        <w:jc w:val="both"/>
        <w:ind w:left="200" w:right="219" w:firstLine="1305"/>
        <w:spacing w:after="0"/>
        <w:tabs>
          <w:tab w:leader="none" w:pos="21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defense based on (i) any legal disability of Borrower or any other person, (ii) any release, discharge, modification, impairment, or limitation of the liability of Borrower or any other person to Secured Party from any cause, whether consented to by Secured Party or arising by operation of law or from any bankruptcy or other voluntary or involuntary proceeding, in or out of court, for the adjustment of debtor-creditor relationships (“</w:t>
      </w:r>
      <w:r>
        <w:rPr>
          <w:rFonts w:ascii="Times New Roman" w:cs="Times New Roman" w:eastAsia="Times New Roman" w:hAnsi="Times New Roman"/>
          <w:sz w:val="20"/>
          <w:szCs w:val="20"/>
          <w:b w:val="1"/>
          <w:bCs w:val="1"/>
          <w:u w:val="single" w:color="auto"/>
          <w:color w:val="auto"/>
        </w:rPr>
        <w:t>Insolvency Proceeding</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and (iii) any rejection or disaffirmance of all or any part of any Obligation, or any security therefor, in any such Insolvency Proceeding;</w:t>
      </w:r>
    </w:p>
    <w:p>
      <w:pPr>
        <w:spacing w:after="0" w:line="203" w:lineRule="exact"/>
        <w:rPr>
          <w:rFonts w:ascii="Times New Roman" w:cs="Times New Roman" w:eastAsia="Times New Roman" w:hAnsi="Times New Roman"/>
          <w:sz w:val="22"/>
          <w:szCs w:val="22"/>
          <w:color w:val="auto"/>
        </w:rPr>
      </w:pPr>
    </w:p>
    <w:p>
      <w:pPr>
        <w:jc w:val="both"/>
        <w:ind w:left="200" w:right="219" w:firstLine="1305"/>
        <w:spacing w:after="0" w:line="242" w:lineRule="auto"/>
        <w:tabs>
          <w:tab w:leader="none" w:pos="214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defense based on any action taken or omitted by Secured Party in any Insolvency Proceeding involving Borrower, including any election to have Secured Party’s claim allowed as being secured, partially secured or unsecured, any extension of credit by Secured Party to Borrower in</w:t>
      </w: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2" w:name="page103"/>
    <w:bookmarkEnd w:id="102"/>
    <w:p>
      <w:pPr>
        <w:ind w:left="200" w:right="219"/>
        <w:spacing w:after="0" w:line="269" w:lineRule="auto"/>
        <w:rPr>
          <w:sz w:val="20"/>
          <w:szCs w:val="20"/>
          <w:color w:val="auto"/>
        </w:rPr>
      </w:pPr>
      <w:r>
        <w:rPr>
          <w:rFonts w:ascii="Times New Roman" w:cs="Times New Roman" w:eastAsia="Times New Roman" w:hAnsi="Times New Roman"/>
          <w:sz w:val="20"/>
          <w:szCs w:val="20"/>
          <w:color w:val="auto"/>
        </w:rPr>
        <w:t>any Insolvency Proceeding, and the taking and holding by Secured Party of any security for any such extension of credit;</w:t>
      </w:r>
    </w:p>
    <w:p>
      <w:pPr>
        <w:spacing w:after="0" w:line="173" w:lineRule="exact"/>
        <w:rPr>
          <w:sz w:val="20"/>
          <w:szCs w:val="20"/>
          <w:color w:val="auto"/>
        </w:rPr>
      </w:pPr>
    </w:p>
    <w:p>
      <w:pPr>
        <w:jc w:val="both"/>
        <w:ind w:left="200" w:right="219" w:firstLine="1305"/>
        <w:spacing w:after="0" w:line="242"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presentments, demands for performance, notices of nonperformance, protests, notices of protest, notices of dishonor, and of the existence, creation, or incurring of new or additional indebtedness, and demands and notices of every kind;</w:t>
      </w:r>
    </w:p>
    <w:p>
      <w:pPr>
        <w:spacing w:after="0" w:line="199" w:lineRule="exact"/>
        <w:rPr>
          <w:rFonts w:ascii="Times New Roman" w:cs="Times New Roman" w:eastAsia="Times New Roman" w:hAnsi="Times New Roman"/>
          <w:sz w:val="22"/>
          <w:szCs w:val="22"/>
          <w:color w:val="auto"/>
        </w:rPr>
      </w:pPr>
    </w:p>
    <w:p>
      <w:pPr>
        <w:ind w:left="200" w:right="219" w:firstLine="1305"/>
        <w:spacing w:after="0" w:line="245"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defense based on or arising out of any defense that Borrower may have to the payment or performance of all or any part of any Obligation;</w:t>
      </w:r>
    </w:p>
    <w:p>
      <w:pPr>
        <w:spacing w:after="0" w:line="195" w:lineRule="exact"/>
        <w:rPr>
          <w:rFonts w:ascii="Times New Roman" w:cs="Times New Roman" w:eastAsia="Times New Roman" w:hAnsi="Times New Roman"/>
          <w:sz w:val="22"/>
          <w:szCs w:val="22"/>
          <w:color w:val="auto"/>
        </w:rPr>
      </w:pPr>
    </w:p>
    <w:p>
      <w:pPr>
        <w:jc w:val="both"/>
        <w:ind w:left="200" w:right="219" w:firstLine="1305"/>
        <w:spacing w:after="0" w:line="242"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defense based on the unenforceability or invalidity of any collateral assignment or guaranty with respect to any Obligation, or the lack of perfection or continuing perfection or lack of priority of any lien (other than the lien of the Agreement) which secures any Obligation; and</w:t>
      </w:r>
    </w:p>
    <w:p>
      <w:pPr>
        <w:spacing w:after="0" w:line="19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failure of Secured Party to marshal assets in favor of Grantor or any other</w:t>
      </w: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person.</w:t>
      </w:r>
    </w:p>
    <w:p>
      <w:pPr>
        <w:spacing w:after="0" w:line="19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b w:val="1"/>
          <w:bCs w:val="1"/>
          <w:u w:val="single" w:color="auto"/>
          <w:color w:val="auto"/>
        </w:rPr>
        <w:t>Waivers of Subrogation and Other Rights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left="200" w:right="219" w:firstLine="1305"/>
        <w:spacing w:after="0" w:line="251" w:lineRule="auto"/>
        <w:tabs>
          <w:tab w:leader="none" w:pos="2144"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Subject to Section 13, upon a default by Borrower, Secured Party in its sole discretion, without prior notice to or consent of Grantor, may elect to (i) foreclose either judicially or nonjudicially against any real or personal property security that Secured Party may hold for the Obligations,</w:t>
      </w:r>
    </w:p>
    <w:p>
      <w:pPr>
        <w:jc w:val="both"/>
        <w:ind w:left="200" w:right="219" w:firstLine="9"/>
        <w:spacing w:after="0"/>
        <w:tabs>
          <w:tab w:leader="none" w:pos="49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 a transfer of any such security in lieu of foreclosure, (iii) compromise or adjust all or any part of any Obligation or make any other accommodation with Borrower or any Guarantor, or (iv) exercise any other remedy against Borrower or any security. No such action by Secured Party shall release or limit the liability of Grantor, who shall remain liable under this Agreement after the action, even if the effect of the action is to deprive Grantor of any subrogation rights, rights of indemnity, or other rights to collect reimbursement from Borrower for any sums paid to Secured Party, whether contractual or arising by operation of law or otherwise. Grantor expressly agrees that under no circumstances shall it be deemed to have any right, title, interest, or claim in or to any real or personal property to be held by Secured Party or any third party after any foreclosure or transfer in lieu of foreclosure of any security for the Obligations.</w:t>
      </w:r>
    </w:p>
    <w:p>
      <w:pPr>
        <w:spacing w:after="0" w:line="203" w:lineRule="exact"/>
        <w:rPr>
          <w:rFonts w:ascii="Times New Roman" w:cs="Times New Roman" w:eastAsia="Times New Roman" w:hAnsi="Times New Roman"/>
          <w:sz w:val="20"/>
          <w:szCs w:val="20"/>
          <w:color w:val="auto"/>
        </w:rPr>
      </w:pPr>
    </w:p>
    <w:p>
      <w:pPr>
        <w:jc w:val="both"/>
        <w:ind w:left="200" w:right="219" w:firstLine="1305"/>
        <w:spacing w:after="0"/>
        <w:tabs>
          <w:tab w:leader="none" w:pos="214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Regardless of whether Grantor may have made any payments to Secured Party, Grantor forever waives (i) all rights of subrogation, all rights of indemnity, and any other rights to collect reimbursement from Borrower for any sums paid by Grantor to Secured Party with respect to the Obligations, whether contractual or arising by operation of law (including the United States Bankruptcy Code or any successor or similar statute) or otherwise, (ii) all rights to enforce any remedy that Grantor may have against Borrower with respect to the Obligations, and (iii) all rights to participate in any security now or later to be held by Secured Party for the Obligations.</w:t>
      </w:r>
    </w:p>
    <w:p>
      <w:pPr>
        <w:spacing w:after="0" w:line="203" w:lineRule="exact"/>
        <w:rPr>
          <w:rFonts w:ascii="Times New Roman" w:cs="Times New Roman" w:eastAsia="Times New Roman" w:hAnsi="Times New Roman"/>
          <w:sz w:val="22"/>
          <w:szCs w:val="22"/>
          <w:color w:val="auto"/>
        </w:rPr>
      </w:pPr>
    </w:p>
    <w:p>
      <w:pPr>
        <w:jc w:val="both"/>
        <w:ind w:left="200" w:right="219" w:firstLine="1305"/>
        <w:spacing w:after="0"/>
        <w:tabs>
          <w:tab w:leader="none" w:pos="214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Grantor understands and acknowledges that if Secured Party forecloses judicially or nonjudicially against any real property security for the Loan, such foreclosure could impair or destroy any ability that Grantor may have to seek reimbursement, contribution, or indemnification from Borrower or others based on any right that Grantor may have of subrogation, reimbursement, contribution, or indemnification for any amounts paid by Grantor under the Agreement.</w:t>
      </w:r>
    </w:p>
    <w:p>
      <w:pPr>
        <w:spacing w:after="0" w:line="204"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notices to Grantor, to Borrower, or to any other person, including, but not limited to, notices of the acceptance of this Agreement, or the creation, renewal, extension, modification or accrual of any of the Obligations owed to Secured Party and, enforcement of any right or remedy with respect thereto, and notice of any other matters relating thereto.</w:t>
      </w:r>
    </w:p>
    <w:p>
      <w:pPr>
        <w:spacing w:after="0" w:line="200" w:lineRule="exact"/>
        <w:rPr>
          <w:sz w:val="20"/>
          <w:szCs w:val="20"/>
          <w:color w:val="auto"/>
        </w:rPr>
      </w:pPr>
    </w:p>
    <w:p>
      <w:pPr>
        <w:spacing w:after="0" w:line="20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3" w:name="page104"/>
    <w:bookmarkEnd w:id="103"/>
    <w:p>
      <w:pPr>
        <w:ind w:left="2160" w:hanging="655"/>
        <w:spacing w:after="0"/>
        <w:tabs>
          <w:tab w:leader="none" w:pos="21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Diligence and demand of payment, presentment, protest, dishonor and notice of</w:t>
      </w:r>
    </w:p>
    <w:p>
      <w:pPr>
        <w:ind w:left="200"/>
        <w:spacing w:after="0"/>
        <w:rPr>
          <w:sz w:val="20"/>
          <w:szCs w:val="20"/>
          <w:color w:val="auto"/>
        </w:rPr>
      </w:pPr>
      <w:r>
        <w:rPr>
          <w:rFonts w:ascii="Times New Roman" w:cs="Times New Roman" w:eastAsia="Times New Roman" w:hAnsi="Times New Roman"/>
          <w:sz w:val="20"/>
          <w:szCs w:val="20"/>
          <w:color w:val="auto"/>
        </w:rPr>
        <w:t>dishonor.</w:t>
      </w:r>
    </w:p>
    <w:p>
      <w:pPr>
        <w:spacing w:after="0" w:line="207" w:lineRule="exact"/>
        <w:rPr>
          <w:sz w:val="20"/>
          <w:szCs w:val="20"/>
          <w:color w:val="auto"/>
        </w:rPr>
      </w:pPr>
    </w:p>
    <w:p>
      <w:pPr>
        <w:ind w:left="2160" w:hanging="655"/>
        <w:spacing w:after="0"/>
        <w:tabs>
          <w:tab w:leader="none" w:pos="21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defenses and claims based on principles of suretyship and/or guaranty.</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45" w:lineRule="auto"/>
        <w:tabs>
          <w:tab w:leader="none" w:pos="21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and all benefits under Arizona Revised Statutes (“</w:t>
      </w:r>
      <w:r>
        <w:rPr>
          <w:rFonts w:ascii="Times New Roman" w:cs="Times New Roman" w:eastAsia="Times New Roman" w:hAnsi="Times New Roman"/>
          <w:sz w:val="20"/>
          <w:szCs w:val="20"/>
          <w:u w:val="single" w:color="auto"/>
          <w:color w:val="auto"/>
        </w:rPr>
        <w:t>A.R.S.</w:t>
      </w:r>
      <w:r>
        <w:rPr>
          <w:rFonts w:ascii="Times New Roman" w:cs="Times New Roman" w:eastAsia="Times New Roman" w:hAnsi="Times New Roman"/>
          <w:sz w:val="20"/>
          <w:szCs w:val="20"/>
          <w:color w:val="auto"/>
        </w:rPr>
        <w:t>”) Sections 12-1641 through 12-1646 and Rule 17(f) of the Arizona Rules of Civil Procedure.</w:t>
      </w:r>
    </w:p>
    <w:p>
      <w:pPr>
        <w:spacing w:after="0" w:line="195" w:lineRule="exact"/>
        <w:rPr>
          <w:rFonts w:ascii="Times New Roman" w:cs="Times New Roman" w:eastAsia="Times New Roman" w:hAnsi="Times New Roman"/>
          <w:sz w:val="22"/>
          <w:szCs w:val="22"/>
          <w:color w:val="auto"/>
        </w:rPr>
      </w:pPr>
    </w:p>
    <w:p>
      <w:pPr>
        <w:ind w:left="200" w:right="239" w:firstLine="1305"/>
        <w:spacing w:after="0" w:line="245" w:lineRule="auto"/>
        <w:tabs>
          <w:tab w:leader="none" w:pos="21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statutes of limitations as a defense to any action or proceeding brought against Grantor by Secured Party, to the fullest extent permitted by law.</w:t>
      </w:r>
    </w:p>
    <w:p>
      <w:pPr>
        <w:spacing w:after="0" w:line="178"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0"/>
          <w:szCs w:val="20"/>
          <w:color w:val="auto"/>
        </w:rPr>
        <w:t xml:space="preserve">30.4 </w:t>
      </w:r>
      <w:r>
        <w:rPr>
          <w:rFonts w:ascii="Times New Roman" w:cs="Times New Roman" w:eastAsia="Times New Roman" w:hAnsi="Times New Roman"/>
          <w:sz w:val="20"/>
          <w:szCs w:val="20"/>
          <w:b w:val="1"/>
          <w:bCs w:val="1"/>
          <w:u w:val="single" w:color="auto"/>
          <w:color w:val="auto"/>
        </w:rPr>
        <w:t>Information Regarding Borrower</w:t>
      </w:r>
      <w:r>
        <w:rPr>
          <w:rFonts w:ascii="Times New Roman" w:cs="Times New Roman" w:eastAsia="Times New Roman" w:hAnsi="Times New Roman"/>
          <w:sz w:val="20"/>
          <w:szCs w:val="20"/>
          <w:color w:val="auto"/>
        </w:rPr>
        <w:t>. Grantor warrants and agrees that Grantor has not relied, and will not rely, on any representations and warranties by Secured Party to Grantor with respect to the creditworthiness of Borrower or the prospects of repayment of any Obligation from sources other than the Collateral. Before signing this Agreement, Grantor will have investigated the financial condition and business operations of Borrower, and such other matters as Grantor may deem appropriate to assure itself of Borrower’s ability to discharge its obligations under or with respect to the Obligations. Grantor assumes full responsibility for such due diligence, as well as for keeping informed of all matters which may affect Borrower’s ability to pay and perform its obligations to Secured Party. Secured Party has no duty to disclose to Grantor any information which Secured Party may have or receive about Borrower’s financial condition or business operations, or any other circumstances bearing on Borrower’s ability to perform. Grantor is familiar with the terms and conditions of the Loan Documents and consents to all provisions thereof.</w:t>
      </w:r>
    </w:p>
    <w:p>
      <w:pPr>
        <w:spacing w:after="0" w:line="18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0"/>
          <w:szCs w:val="20"/>
          <w:color w:val="auto"/>
        </w:rPr>
        <w:t xml:space="preserve">30.5 </w:t>
      </w:r>
      <w:r>
        <w:rPr>
          <w:rFonts w:ascii="Times New Roman" w:cs="Times New Roman" w:eastAsia="Times New Roman" w:hAnsi="Times New Roman"/>
          <w:sz w:val="20"/>
          <w:szCs w:val="20"/>
          <w:b w:val="1"/>
          <w:bCs w:val="1"/>
          <w:u w:val="single" w:color="auto"/>
          <w:color w:val="auto"/>
        </w:rPr>
        <w:t>Subordination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Any rights of Grantor, whether now existing or later arising, to receive payment on account of any indebtedness (including interest) owed to it by Borrower,</w:t>
      </w:r>
      <w:r>
        <w:rPr>
          <w:rFonts w:ascii="Times New Roman" w:cs="Times New Roman" w:eastAsia="Times New Roman" w:hAnsi="Times New Roman"/>
          <w:sz w:val="29"/>
          <w:szCs w:val="29"/>
          <w:u w:val="single" w:color="auto"/>
          <w:color w:val="0000EE"/>
          <w:vertAlign w:val="superscript"/>
        </w:rPr>
        <w:t>3</w:t>
      </w:r>
      <w:r>
        <w:rPr>
          <w:rFonts w:ascii="Times New Roman" w:cs="Times New Roman" w:eastAsia="Times New Roman" w:hAnsi="Times New Roman"/>
          <w:sz w:val="20"/>
          <w:szCs w:val="20"/>
          <w:color w:val="auto"/>
        </w:rPr>
        <w:t xml:space="preserve"> or to withdraw capital invested by it in Borrower (if applicable), or to receive distributions from Borrower (if applicable), shall at all times be subordinate as to lien and time of payment and in all other respects to the full and prior repayment to Secured Party of all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prior to the occurrence of an Event of Default, Grantor may receive payments of such subordinated obligations in the ordinary course of business and in a manner that is consistent with past practices. For the avoidance of doubt, this Section 30.5 does not apply to any payments made by Borrower and received by Grantor under and pursuant to that certain Master Services Agreement between Borrower and Grantor, dated July 1, 2018 (as the same may be amended and/or amended and restated from time to time).</w:t>
      </w:r>
    </w:p>
    <w:p>
      <w:pPr>
        <w:spacing w:after="0" w:line="18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19"/>
          <w:szCs w:val="19"/>
          <w:b w:val="1"/>
          <w:bCs w:val="1"/>
          <w:u w:val="single" w:color="auto"/>
          <w:color w:val="auto"/>
        </w:rPr>
        <w:t>Consideration</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left="200" w:right="219" w:firstLine="1305"/>
        <w:spacing w:after="0" w:line="242" w:lineRule="auto"/>
        <w:tabs>
          <w:tab w:leader="none" w:pos="21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Grantor acknowledges that it expects to benefit from Secured Party’s entering into certain material transactions with respect to the Obligations because of Grantor’s relationship to Borrower, and that it is executing this Agreement in consideration of such anticipated benefit.</w:t>
      </w:r>
    </w:p>
    <w:p>
      <w:pPr>
        <w:spacing w:after="0" w:line="199" w:lineRule="exact"/>
        <w:rPr>
          <w:rFonts w:ascii="Times New Roman" w:cs="Times New Roman" w:eastAsia="Times New Roman" w:hAnsi="Times New Roman"/>
          <w:sz w:val="22"/>
          <w:szCs w:val="22"/>
          <w:color w:val="auto"/>
        </w:rPr>
      </w:pPr>
    </w:p>
    <w:p>
      <w:pPr>
        <w:jc w:val="both"/>
        <w:ind w:left="200" w:right="219" w:firstLine="1305"/>
        <w:spacing w:after="0"/>
        <w:tabs>
          <w:tab w:leader="none" w:pos="21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Grantor does not intend to defraud any of its creditors by execution and delivery of the Agreement. Grantor is not insolvent, and Grantor shall not be rendered insolvent by virtue of such execution of the Agreement. Grantor has determined that, in its opinion, the fair market value of the benefits to be derived by it from such execution of the Agreement will equal or exceed the cost and expense that may be incurred by Grantor under or in connection with the Agreement.</w:t>
      </w:r>
    </w:p>
    <w:p>
      <w:pPr>
        <w:spacing w:after="0" w:line="187" w:lineRule="exact"/>
        <w:rPr>
          <w:sz w:val="20"/>
          <w:szCs w:val="20"/>
          <w:color w:val="auto"/>
        </w:rPr>
      </w:pPr>
    </w:p>
    <w:p>
      <w:pPr>
        <w:ind w:left="200" w:right="219" w:firstLine="648"/>
        <w:spacing w:after="0" w:line="273" w:lineRule="auto"/>
        <w:rPr>
          <w:sz w:val="20"/>
          <w:szCs w:val="20"/>
          <w:color w:val="auto"/>
        </w:rPr>
      </w:pPr>
      <w:r>
        <w:rPr>
          <w:rFonts w:ascii="Times New Roman" w:cs="Times New Roman" w:eastAsia="Times New Roman" w:hAnsi="Times New Roman"/>
          <w:sz w:val="20"/>
          <w:szCs w:val="20"/>
          <w:color w:val="auto"/>
        </w:rPr>
        <w:t xml:space="preserve">30.7 </w:t>
      </w:r>
      <w:r>
        <w:rPr>
          <w:rFonts w:ascii="Times New Roman" w:cs="Times New Roman" w:eastAsia="Times New Roman" w:hAnsi="Times New Roman"/>
          <w:sz w:val="20"/>
          <w:szCs w:val="20"/>
          <w:b w:val="1"/>
          <w:bCs w:val="1"/>
          <w:u w:val="single" w:color="auto"/>
          <w:color w:val="auto"/>
        </w:rPr>
        <w:t>Lawfulness and Reasonableness</w:t>
      </w:r>
      <w:r>
        <w:rPr>
          <w:rFonts w:ascii="Times New Roman" w:cs="Times New Roman" w:eastAsia="Times New Roman" w:hAnsi="Times New Roman"/>
          <w:sz w:val="20"/>
          <w:szCs w:val="20"/>
          <w:color w:val="auto"/>
        </w:rPr>
        <w:t>. Grantor warrants that all of the waivers in this Agreement are made with full knowledge of their significance, and of the fact that events giving rise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13627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11" w:lineRule="exact"/>
        <w:rPr>
          <w:sz w:val="20"/>
          <w:szCs w:val="20"/>
          <w:color w:val="auto"/>
        </w:rPr>
      </w:pPr>
    </w:p>
    <w:p>
      <w:pPr>
        <w:ind w:left="340" w:hanging="131"/>
        <w:spacing w:after="0"/>
        <w:tabs>
          <w:tab w:leader="none" w:pos="340"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Note to draft: Confirm no debt currently owed by GCU to GCE.</w:t>
      </w:r>
    </w:p>
    <w:p>
      <w:pPr>
        <w:spacing w:after="0" w:line="19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15</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2" w:right="1440" w:bottom="1440" w:gutter="0" w:footer="0" w:header="0"/>
        </w:sectPr>
      </w:pPr>
    </w:p>
    <w:bookmarkStart w:id="104" w:name="page105"/>
    <w:bookmarkEnd w:id="104"/>
    <w:p>
      <w:pPr>
        <w:jc w:val="both"/>
        <w:ind w:left="200" w:right="219"/>
        <w:spacing w:after="0" w:line="246" w:lineRule="auto"/>
        <w:rPr>
          <w:sz w:val="20"/>
          <w:szCs w:val="20"/>
          <w:color w:val="auto"/>
        </w:rPr>
      </w:pPr>
      <w:r>
        <w:rPr>
          <w:rFonts w:ascii="Times New Roman" w:cs="Times New Roman" w:eastAsia="Times New Roman" w:hAnsi="Times New Roman"/>
          <w:sz w:val="20"/>
          <w:szCs w:val="20"/>
          <w:color w:val="auto"/>
        </w:rPr>
        <w:t>defense or other benefit waived by Grantor may destroy or impair rights which Grantor would otherwise have against Secured Party, Borrower and other persons, or against collateral. Grantor agrees that (i) all such waivers are reasonable under the circumstances and (ii) if any such waiver is determined (by a court of competent jurisdiction) to be contrary to any law or public policy, the other waivers herein shall nonetheless remain in full force and effect.</w:t>
      </w:r>
    </w:p>
    <w:p>
      <w:pPr>
        <w:spacing w:after="0" w:line="181" w:lineRule="exact"/>
        <w:rPr>
          <w:sz w:val="20"/>
          <w:szCs w:val="20"/>
          <w:color w:val="auto"/>
        </w:rPr>
      </w:pPr>
    </w:p>
    <w:p>
      <w:pPr>
        <w:jc w:val="both"/>
        <w:ind w:left="200" w:right="219" w:firstLine="648"/>
        <w:spacing w:after="0" w:line="300" w:lineRule="auto"/>
        <w:rPr>
          <w:sz w:val="20"/>
          <w:szCs w:val="20"/>
          <w:color w:val="auto"/>
        </w:rPr>
      </w:pPr>
      <w:r>
        <w:rPr>
          <w:rFonts w:ascii="Times New Roman" w:cs="Times New Roman" w:eastAsia="Times New Roman" w:hAnsi="Times New Roman"/>
          <w:sz w:val="19"/>
          <w:szCs w:val="19"/>
          <w:color w:val="auto"/>
        </w:rPr>
        <w:t xml:space="preserve">30.8 </w:t>
      </w:r>
      <w:r>
        <w:rPr>
          <w:rFonts w:ascii="Times New Roman" w:cs="Times New Roman" w:eastAsia="Times New Roman" w:hAnsi="Times New Roman"/>
          <w:sz w:val="19"/>
          <w:szCs w:val="19"/>
          <w:b w:val="1"/>
          <w:bCs w:val="1"/>
          <w:u w:val="single" w:color="auto"/>
          <w:color w:val="auto"/>
        </w:rPr>
        <w:t>Agreement to be Absolute</w:t>
      </w:r>
      <w:r>
        <w:rPr>
          <w:rFonts w:ascii="Times New Roman" w:cs="Times New Roman" w:eastAsia="Times New Roman" w:hAnsi="Times New Roman"/>
          <w:sz w:val="19"/>
          <w:szCs w:val="19"/>
          <w:color w:val="auto"/>
        </w:rPr>
        <w:t>. Grantor expressly agrees that until each and every term, covenant and condition of this Agreement is fully performed, Grantor shall not be released by or because of:</w:t>
      </w:r>
    </w:p>
    <w:p>
      <w:pPr>
        <w:spacing w:after="0" w:line="146" w:lineRule="exact"/>
        <w:rPr>
          <w:sz w:val="20"/>
          <w:szCs w:val="20"/>
          <w:color w:val="auto"/>
        </w:rPr>
      </w:pPr>
    </w:p>
    <w:p>
      <w:pPr>
        <w:ind w:left="200" w:right="219" w:firstLine="1305"/>
        <w:spacing w:after="0" w:line="245"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act or event which might otherwise discharge, reduce, limit or modify Grantor’s obligations under this Agreement;</w:t>
      </w:r>
    </w:p>
    <w:p>
      <w:pPr>
        <w:spacing w:after="0" w:line="195" w:lineRule="exact"/>
        <w:rPr>
          <w:rFonts w:ascii="Times New Roman" w:cs="Times New Roman" w:eastAsia="Times New Roman" w:hAnsi="Times New Roman"/>
          <w:sz w:val="22"/>
          <w:szCs w:val="22"/>
          <w:color w:val="auto"/>
        </w:rPr>
      </w:pPr>
    </w:p>
    <w:p>
      <w:pPr>
        <w:ind w:left="200" w:right="219" w:firstLine="1305"/>
        <w:spacing w:after="0" w:line="245"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waiver, extension, modification, forbearance, delay or other act or omission of Secured Party, or its failure to proceed promptly or otherwise against Borrower, Grantor or any security;</w:t>
      </w:r>
    </w:p>
    <w:p>
      <w:pPr>
        <w:spacing w:after="0" w:line="195" w:lineRule="exact"/>
        <w:rPr>
          <w:rFonts w:ascii="Times New Roman" w:cs="Times New Roman" w:eastAsia="Times New Roman" w:hAnsi="Times New Roman"/>
          <w:sz w:val="22"/>
          <w:szCs w:val="22"/>
          <w:color w:val="auto"/>
        </w:rPr>
      </w:pPr>
    </w:p>
    <w:p>
      <w:pPr>
        <w:jc w:val="both"/>
        <w:ind w:left="200" w:right="219" w:firstLine="1305"/>
        <w:spacing w:after="0" w:line="242"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action, omission or circumstance which might increase the likelihood that Grantor may be called upon to perform under this Agreement or which might affect the rights or remedies of Grantor against Borrower; or</w:t>
      </w:r>
    </w:p>
    <w:p>
      <w:pPr>
        <w:spacing w:after="0" w:line="199" w:lineRule="exact"/>
        <w:rPr>
          <w:rFonts w:ascii="Times New Roman" w:cs="Times New Roman" w:eastAsia="Times New Roman" w:hAnsi="Times New Roman"/>
          <w:sz w:val="22"/>
          <w:szCs w:val="22"/>
          <w:color w:val="auto"/>
        </w:rPr>
      </w:pPr>
    </w:p>
    <w:p>
      <w:pPr>
        <w:ind w:left="200" w:right="239" w:firstLine="1305"/>
        <w:spacing w:after="0" w:line="245" w:lineRule="auto"/>
        <w:tabs>
          <w:tab w:leader="none" w:pos="21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dealings occurring at any time between Borrower and Secured Party, whether relating to the Obligations or otherwise.</w:t>
      </w:r>
    </w:p>
    <w:p>
      <w:pPr>
        <w:spacing w:after="0" w:line="182" w:lineRule="exact"/>
        <w:rPr>
          <w:sz w:val="20"/>
          <w:szCs w:val="20"/>
          <w:color w:val="auto"/>
        </w:rPr>
      </w:pPr>
    </w:p>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Grantor hereby expressly waives and surrenders any defense to its liability under this Agreement based upon any of the foregoing acts, omissions, agreements, waivers or matters. It is the purpose and intent of this Agreement that the obligations of Grantor under it shall be absolute and unconditional under any and all circumstances.</w:t>
      </w:r>
    </w:p>
    <w:p>
      <w:pPr>
        <w:spacing w:after="0" w:line="176"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0"/>
          <w:szCs w:val="20"/>
          <w:color w:val="auto"/>
        </w:rPr>
        <w:t xml:space="preserve">30.9 </w:t>
      </w:r>
      <w:r>
        <w:rPr>
          <w:rFonts w:ascii="Times New Roman" w:cs="Times New Roman" w:eastAsia="Times New Roman" w:hAnsi="Times New Roman"/>
          <w:sz w:val="20"/>
          <w:szCs w:val="20"/>
          <w:b w:val="1"/>
          <w:bCs w:val="1"/>
          <w:u w:val="single" w:color="auto"/>
          <w:color w:val="auto"/>
        </w:rPr>
        <w:t>Limitation on Amount Obligated; Contribution by Other Persons</w:t>
      </w:r>
      <w:r>
        <w:rPr>
          <w:rFonts w:ascii="Times New Roman" w:cs="Times New Roman" w:eastAsia="Times New Roman" w:hAnsi="Times New Roman"/>
          <w:sz w:val="20"/>
          <w:szCs w:val="20"/>
          <w:color w:val="auto"/>
        </w:rPr>
        <w:t>. Anything contained in this Agreement to the contrary notwithstanding, if any Fraudulent Transfer Law (as hereinafter defined) is determined by a court of competent jurisdiction to be applicable to the obligations of Grantor under the Agreement, such obligations shall be limited to a maximum aggregate amount equal to the largest amount that would not render Grantor’s obligations under the Agreement subject to avoidance as a fraudulent transfer or conveyance under Section 548 of Title 11 of the United States Code or any applicable provisions of comparable state law (collectively, the “</w:t>
      </w:r>
      <w:r>
        <w:rPr>
          <w:rFonts w:ascii="Times New Roman" w:cs="Times New Roman" w:eastAsia="Times New Roman" w:hAnsi="Times New Roman"/>
          <w:sz w:val="20"/>
          <w:szCs w:val="20"/>
          <w:b w:val="1"/>
          <w:bCs w:val="1"/>
          <w:u w:val="single" w:color="auto"/>
          <w:color w:val="auto"/>
        </w:rPr>
        <w:t>Fraudulent Transfer Laws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in each case after giving effect to all other liabilities of Grantor, contingent or otherwise, that are relevant under the Fraudulent Transfer Laws (specifically excluding, however, any liabilities of Grantor in respect of intercompany indebtedness, if any, to Borrower or any Affiliate (as defined in the Credit Agreement) of Borrower to the extent that such indebtedness would be discharged in an amount equal to the amount paid by Grantor under the Agreement pursuant to which the liability of Grantor under the Agreement is included in the liabilities taken into account in determining such maximum amount) and after giving effect as assets to the value (as determined under the applicable provisions of the Fraudulent Transfer Laws) of any rights to subrogation, reimbursement, indemnification, or contribution of Grantor pursuant to applicable law or pursuant to the terms of any agreement.</w:t>
      </w:r>
    </w:p>
    <w:p>
      <w:pPr>
        <w:spacing w:after="0" w:line="19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30.10 </w:t>
      </w: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Grantor hereby acknowledges that (i) the obligations undertaken by Grantor in the Agreement are complex in nature, (ii) numerous possible defenses to the enforceability of these obligations may presently exist and/or may arise hereafter, (iii) as part of Secured Party’s consideration for accepting the Agreement as security the Loan, Secured Party has specifically bargained for the waiver and relinquishment by Grantor of all such defenses, and (iv) Grantor has had the opportunity to seek and receive legal advice from skilled legal counsel in the area of financial transactions of the type</w:t>
      </w: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16</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5" w:name="page106"/>
    <w:bookmarkEnd w:id="105"/>
    <w:p>
      <w:pPr>
        <w:jc w:val="both"/>
        <w:ind w:left="200" w:right="219"/>
        <w:spacing w:after="0" w:line="259" w:lineRule="auto"/>
        <w:rPr>
          <w:sz w:val="20"/>
          <w:szCs w:val="20"/>
          <w:color w:val="auto"/>
        </w:rPr>
      </w:pPr>
      <w:r>
        <w:rPr>
          <w:rFonts w:ascii="Times New Roman" w:cs="Times New Roman" w:eastAsia="Times New Roman" w:hAnsi="Times New Roman"/>
          <w:sz w:val="19"/>
          <w:szCs w:val="19"/>
          <w:color w:val="auto"/>
        </w:rPr>
        <w:t>contemplated herein. Given all of the above, Grantor hereby represents and confirms to Secured Party that Grantor is fully informed regarding, and that Grantor does thoroughly understand, (w) the nature of all such possible defenses, (x) the circumstances under which such defenses may arise, (y) the benefits which such defenses might confer upon Grantor, and (z) the legal consequences to Grantor of waiving such defenses. Grantor acknowledges that Grantor enters into this Agreement with the intent that the Agreement and all of the informed waivers in this Agreement shall each and all be fully enforceable by Secured Party, and that Secured Party is accepting the Agreement in material reliance upon the presumed full enforceability thereof.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36"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17</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385445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6" w:name="page107"/>
    <w:bookmarkEnd w:id="106"/>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intending to be legally bound, Grantor has caused this Agreement to be duly executed as of the date first above written.</w:t>
      </w:r>
    </w:p>
    <w:p>
      <w:pPr>
        <w:spacing w:after="0" w:line="1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DEBTOR:</w:t>
      </w:r>
    </w:p>
    <w:p>
      <w:pPr>
        <w:spacing w:after="0" w:line="229" w:lineRule="exact"/>
        <w:rPr>
          <w:sz w:val="20"/>
          <w:szCs w:val="20"/>
          <w:color w:val="auto"/>
        </w:rPr>
      </w:pPr>
    </w:p>
    <w:p>
      <w:pPr>
        <w:ind w:left="4080" w:right="219"/>
        <w:spacing w:after="0" w:line="269" w:lineRule="auto"/>
        <w:rPr>
          <w:sz w:val="20"/>
          <w:szCs w:val="20"/>
          <w:color w:val="auto"/>
        </w:rPr>
      </w:pPr>
      <w:r>
        <w:rPr>
          <w:rFonts w:ascii="Times New Roman" w:cs="Times New Roman" w:eastAsia="Times New Roman" w:hAnsi="Times New Roman"/>
          <w:sz w:val="20"/>
          <w:szCs w:val="20"/>
          <w:color w:val="auto"/>
        </w:rPr>
        <w:t>GRAND CANYON EDUCATION, INC., a Delaware corporation</w:t>
      </w: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/s/ Daniel E. Bachus</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Daniel E. Bachus</w:t>
      </w:r>
    </w:p>
    <w:p>
      <w:pPr>
        <w:ind w:left="408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Security Agreement (GCE)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ACTIVE\1613589805.4</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7" w:name="page108"/>
    <w:bookmarkEnd w:id="107"/>
    <w:p>
      <w:pPr>
        <w:ind w:left="4100"/>
        <w:spacing w:after="0"/>
        <w:rPr>
          <w:sz w:val="20"/>
          <w:szCs w:val="20"/>
          <w:color w:val="auto"/>
        </w:rPr>
      </w:pPr>
      <w:r>
        <w:rPr>
          <w:rFonts w:ascii="Times New Roman" w:cs="Times New Roman" w:eastAsia="Times New Roman" w:hAnsi="Times New Roman"/>
          <w:sz w:val="20"/>
          <w:szCs w:val="20"/>
          <w:color w:val="auto"/>
        </w:rPr>
        <w:t>Accepted:</w:t>
      </w:r>
    </w:p>
    <w:p>
      <w:pPr>
        <w:spacing w:after="0" w:line="216" w:lineRule="exact"/>
        <w:rPr>
          <w:sz w:val="20"/>
          <w:szCs w:val="20"/>
          <w:color w:val="auto"/>
        </w:rPr>
      </w:pPr>
    </w:p>
    <w:p>
      <w:pPr>
        <w:ind w:left="4100" w:right="239"/>
        <w:spacing w:after="0" w:line="269" w:lineRule="auto"/>
        <w:rPr>
          <w:sz w:val="20"/>
          <w:szCs w:val="20"/>
          <w:color w:val="auto"/>
        </w:rPr>
      </w:pPr>
      <w:r>
        <w:rPr>
          <w:rFonts w:ascii="Times New Roman" w:cs="Times New Roman" w:eastAsia="Times New Roman" w:hAnsi="Times New Roman"/>
          <w:sz w:val="20"/>
          <w:szCs w:val="20"/>
          <w:color w:val="auto"/>
        </w:rPr>
        <w:t>ZIONS BANCORPORATION, N.A. dba National Bank of Arizona</w:t>
      </w: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/s/ Sabina Aaronson</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 Sabina Aaronson</w:t>
      </w:r>
    </w:p>
    <w:p>
      <w:pPr>
        <w:ind w:left="41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Security Agreement (GCE)</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ACTIVE\1613589805.4</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4856-1568-9703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387985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8" w:name="page109"/>
    <w:bookmarkEnd w:id="108"/>
    <w:p>
      <w:pPr>
        <w:ind w:left="758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PLEDGE AND SECURITY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THIS PLEDGE AND SECURITY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October 1, 2024, is by and between </w:t>
      </w:r>
      <w:r>
        <w:rPr>
          <w:rFonts w:ascii="Times New Roman" w:cs="Times New Roman" w:eastAsia="Times New Roman" w:hAnsi="Times New Roman"/>
          <w:sz w:val="22"/>
          <w:szCs w:val="22"/>
          <w:b w:val="1"/>
          <w:bCs w:val="1"/>
          <w:color w:val="auto"/>
        </w:rPr>
        <w:t>GRAND CANYON EDUCATION, INC.,</w:t>
      </w:r>
      <w:r>
        <w:rPr>
          <w:rFonts w:ascii="Times New Roman" w:cs="Times New Roman" w:eastAsia="Times New Roman" w:hAnsi="Times New Roman"/>
          <w:sz w:val="22"/>
          <w:szCs w:val="22"/>
          <w:color w:val="auto"/>
        </w:rPr>
        <w:t xml:space="preserve"> a Delaware corporation (“</w:t>
      </w:r>
      <w:r>
        <w:rPr>
          <w:rFonts w:ascii="Times New Roman" w:cs="Times New Roman" w:eastAsia="Times New Roman" w:hAnsi="Times New Roman"/>
          <w:sz w:val="22"/>
          <w:szCs w:val="22"/>
          <w:b w:val="1"/>
          <w:bCs w:val="1"/>
          <w:color w:val="auto"/>
        </w:rPr>
        <w:t>Pledgor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MIDFIRST BANK,</w:t>
      </w:r>
      <w:r>
        <w:rPr>
          <w:rFonts w:ascii="Times New Roman" w:cs="Times New Roman" w:eastAsia="Times New Roman" w:hAnsi="Times New Roman"/>
          <w:sz w:val="22"/>
          <w:szCs w:val="22"/>
          <w:color w:val="auto"/>
        </w:rPr>
        <w:t xml:space="preserve"> a federally chartered savings association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RECITALS:</w:t>
      </w:r>
    </w:p>
    <w:p>
      <w:pPr>
        <w:spacing w:after="0" w:line="202" w:lineRule="exact"/>
        <w:rPr>
          <w:sz w:val="20"/>
          <w:szCs w:val="20"/>
          <w:color w:val="auto"/>
        </w:rPr>
      </w:pPr>
    </w:p>
    <w:p>
      <w:pPr>
        <w:jc w:val="both"/>
        <w:ind w:left="200" w:right="219" w:firstLine="657"/>
        <w:spacing w:after="0" w:line="236" w:lineRule="auto"/>
        <w:tabs>
          <w:tab w:leader="none" w:pos="14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GRAND CANYON UNIVERSITY</w:t>
      </w:r>
      <w:r>
        <w:rPr>
          <w:rFonts w:ascii="Times New Roman" w:cs="Times New Roman" w:eastAsia="Times New Roman" w:hAnsi="Times New Roman"/>
          <w:sz w:val="22"/>
          <w:szCs w:val="22"/>
          <w:color w:val="auto"/>
        </w:rPr>
        <w:t>, an Arizona nonprofit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and Lender entered into that certain Loan Agreement dated as of the date hereof (the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 pursuant to which the Lender has made a term loan to Borrower in the principal amount of TWO HUNDRED FIFTY MILLION AND NO/100 DOLLARS ($250,000,000.00) (the “</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upon the terms and conditions set forth in the Loan Agreement. All capitalized terms used in this Agreement and not otherwise defined have the meanings given to such terms in the Loan Agreement.</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is evidenced by that (i) certain $150,000,000.00 Promissory Note A (“</w:t>
      </w:r>
      <w:r>
        <w:rPr>
          <w:rFonts w:ascii="Times New Roman" w:cs="Times New Roman" w:eastAsia="Times New Roman" w:hAnsi="Times New Roman"/>
          <w:sz w:val="22"/>
          <w:szCs w:val="22"/>
          <w:b w:val="1"/>
          <w:bCs w:val="1"/>
          <w:color w:val="auto"/>
        </w:rPr>
        <w:t>Note A</w:t>
      </w:r>
      <w:r>
        <w:rPr>
          <w:rFonts w:ascii="Times New Roman" w:cs="Times New Roman" w:eastAsia="Times New Roman" w:hAnsi="Times New Roman"/>
          <w:sz w:val="22"/>
          <w:szCs w:val="22"/>
          <w:color w:val="auto"/>
        </w:rPr>
        <w:t>”), dated of even date herewith, made by Borrower in favor of Lender and (ii) certain $100,000,000.00 Promissory Note B, dated of even date herewith, made by Borrower in favor of Lender (“</w:t>
      </w:r>
      <w:r>
        <w:rPr>
          <w:rFonts w:ascii="Times New Roman" w:cs="Times New Roman" w:eastAsia="Times New Roman" w:hAnsi="Times New Roman"/>
          <w:sz w:val="22"/>
          <w:szCs w:val="22"/>
          <w:b w:val="1"/>
          <w:bCs w:val="1"/>
          <w:color w:val="auto"/>
        </w:rPr>
        <w:t>Note B</w:t>
      </w:r>
      <w:r>
        <w:rPr>
          <w:rFonts w:ascii="Times New Roman" w:cs="Times New Roman" w:eastAsia="Times New Roman" w:hAnsi="Times New Roman"/>
          <w:sz w:val="22"/>
          <w:szCs w:val="22"/>
          <w:color w:val="auto"/>
        </w:rPr>
        <w:t>” and individually and/or collectively, as the context requires, with Note A, the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and Pledgor now desire to enter into this Agreement to grant to Lender a first priority lien and security interest in and to, and a right of set-off with respect to, the Deposit Account (as hereinafter defined) to secure Borrower’s obligations under the Loan Documents.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NOW, THEREFORE, Pledgor and Lender hereby agree as follows:</w:t>
      </w:r>
    </w:p>
    <w:p>
      <w:pPr>
        <w:spacing w:after="0" w:line="206" w:lineRule="exact"/>
        <w:rPr>
          <w:sz w:val="20"/>
          <w:szCs w:val="20"/>
          <w:color w:val="auto"/>
        </w:rPr>
      </w:pPr>
    </w:p>
    <w:p>
      <w:pPr>
        <w:ind w:left="1500" w:hanging="643"/>
        <w:spacing w:after="0"/>
        <w:tabs>
          <w:tab w:leader="none" w:pos="150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Establishment of Controlled Account and Unrestricted Account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jc w:val="both"/>
        <w:ind w:left="860" w:right="219" w:firstLine="645"/>
        <w:spacing w:after="0" w:line="239" w:lineRule="auto"/>
        <w:tabs>
          <w:tab w:leader="none" w:pos="2156"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Establishment</w:t>
      </w:r>
      <w:r>
        <w:rPr>
          <w:rFonts w:ascii="Times New Roman" w:cs="Times New Roman" w:eastAsia="Times New Roman" w:hAnsi="Times New Roman"/>
          <w:sz w:val="22"/>
          <w:szCs w:val="22"/>
          <w:color w:val="auto"/>
        </w:rPr>
        <w:t>. Pledgor and Lender agree that substantially concurrently herewith, that certain deposit account number 2521005818 in the name of Pledgor with a minimum balance of One Hundred Million and No/100 Dollars ($100,000,000.00) (the “</w:t>
      </w:r>
      <w:r>
        <w:rPr>
          <w:rFonts w:ascii="Times New Roman" w:cs="Times New Roman" w:eastAsia="Times New Roman" w:hAnsi="Times New Roman"/>
          <w:sz w:val="22"/>
          <w:szCs w:val="22"/>
          <w:b w:val="1"/>
          <w:bCs w:val="1"/>
          <w:color w:val="auto"/>
        </w:rPr>
        <w:t>Deposit Account</w:t>
      </w:r>
      <w:r>
        <w:rPr>
          <w:rFonts w:ascii="Times New Roman" w:cs="Times New Roman" w:eastAsia="Times New Roman" w:hAnsi="Times New Roman"/>
          <w:sz w:val="22"/>
          <w:szCs w:val="22"/>
          <w:color w:val="auto"/>
        </w:rPr>
        <w:t>”) is established and shall be maintained with Lender.</w:t>
      </w:r>
    </w:p>
    <w:p>
      <w:pPr>
        <w:sectPr>
          <w:pgSz w:w="11900" w:h="16838" w:orient="portrait"/>
          <w:cols w:equalWidth="0" w:num="1">
            <w:col w:w="9019"/>
          </w:cols>
          <w:pgMar w:left="1440" w:top="108" w:right="1440" w:bottom="1440" w:gutter="0" w:footer="0" w:header="0"/>
        </w:sectPr>
      </w:pPr>
    </w:p>
    <w:p>
      <w:pPr>
        <w:spacing w:after="0" w:line="180" w:lineRule="exact"/>
        <w:rPr>
          <w:sz w:val="20"/>
          <w:szCs w:val="20"/>
          <w:color w:val="auto"/>
        </w:rPr>
      </w:pPr>
    </w:p>
    <w:p>
      <w:pPr>
        <w:jc w:val="both"/>
        <w:ind w:left="860" w:firstLine="645"/>
        <w:spacing w:after="0" w:line="244" w:lineRule="auto"/>
        <w:tabs>
          <w:tab w:leader="none" w:pos="2156"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Control; Disbursements</w:t>
      </w:r>
      <w:r>
        <w:rPr>
          <w:rFonts w:ascii="Times New Roman" w:cs="Times New Roman" w:eastAsia="Times New Roman" w:hAnsi="Times New Roman"/>
          <w:sz w:val="22"/>
          <w:szCs w:val="22"/>
          <w:color w:val="auto"/>
        </w:rPr>
        <w:t>. until the termination of this Agreement. Deposit Account.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19" w:hanging="17"/>
        <w:spacing w:after="0" w:line="258" w:lineRule="auto"/>
        <w:rPr>
          <w:sz w:val="20"/>
          <w:szCs w:val="20"/>
          <w:color w:val="auto"/>
        </w:rPr>
      </w:pPr>
      <w:r>
        <w:rPr>
          <w:rFonts w:ascii="Times New Roman" w:cs="Times New Roman" w:eastAsia="Times New Roman" w:hAnsi="Times New Roman"/>
          <w:sz w:val="22"/>
          <w:szCs w:val="22"/>
          <w:color w:val="auto"/>
        </w:rPr>
        <w:t>Lender has sole control of the Deposit Account Thereafter, Pledgor shall have sole control of the</w:t>
      </w:r>
    </w:p>
    <w:p>
      <w:pPr>
        <w:spacing w:after="0" w:line="400" w:lineRule="exact"/>
        <w:rPr>
          <w:sz w:val="20"/>
          <w:szCs w:val="20"/>
          <w:color w:val="auto"/>
        </w:rPr>
      </w:pPr>
    </w:p>
    <w:p>
      <w:pPr>
        <w:sectPr>
          <w:pgSz w:w="11900" w:h="16838" w:orient="portrait"/>
          <w:cols w:equalWidth="0" w:num="2">
            <w:col w:w="4360" w:space="120"/>
            <w:col w:w="4539"/>
          </w:cols>
          <w:pgMar w:left="1440" w:top="108" w:right="1440" w:bottom="1440" w:gutter="0" w:footer="0" w:header="0"/>
          <w:type w:val="continuous"/>
        </w:sectPr>
      </w:pPr>
    </w:p>
    <w:p>
      <w:pPr>
        <w:jc w:val="both"/>
        <w:ind w:left="860" w:right="219" w:firstLine="645"/>
        <w:spacing w:after="0" w:line="255" w:lineRule="auto"/>
        <w:tabs>
          <w:tab w:leader="none" w:pos="21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Unrestricted Account</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Pledgor and Lender agree that substantially concurrently herewith, that certain deposit account number 2529937052 in the name of Pledgor (the “</w:t>
      </w:r>
      <w:r>
        <w:rPr>
          <w:rFonts w:ascii="Times New Roman" w:cs="Times New Roman" w:eastAsia="Times New Roman" w:hAnsi="Times New Roman"/>
          <w:sz w:val="21"/>
          <w:szCs w:val="21"/>
          <w:b w:val="1"/>
          <w:bCs w:val="1"/>
          <w:color w:val="auto"/>
        </w:rPr>
        <w:t>Unrestricted Account</w:t>
      </w:r>
      <w:r>
        <w:rPr>
          <w:rFonts w:ascii="Times New Roman" w:cs="Times New Roman" w:eastAsia="Times New Roman" w:hAnsi="Times New Roman"/>
          <w:sz w:val="21"/>
          <w:szCs w:val="21"/>
          <w:color w:val="auto"/>
        </w:rPr>
        <w:t>”) is established and shall be maintained with Lender. Upon the monthly posting of interest earned on the Deposit Account and so long as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1097280</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09" w:name="page110"/>
    <w:bookmarkEnd w:id="109"/>
    <w:p>
      <w:pPr>
        <w:jc w:val="both"/>
        <w:ind w:left="860" w:right="219"/>
        <w:spacing w:after="0" w:line="244" w:lineRule="auto"/>
        <w:rPr>
          <w:sz w:val="20"/>
          <w:szCs w:val="20"/>
          <w:color w:val="auto"/>
        </w:rPr>
      </w:pPr>
      <w:r>
        <w:rPr>
          <w:rFonts w:ascii="Times New Roman" w:cs="Times New Roman" w:eastAsia="Times New Roman" w:hAnsi="Times New Roman"/>
          <w:sz w:val="22"/>
          <w:szCs w:val="22"/>
          <w:color w:val="auto"/>
        </w:rPr>
        <w:t>Event of Default shall have occurred and be continuing, Lender shall sweep the interest earned on the Deposit Account to the Unrestricted Account. Pledgor shall have sole control of the Unrestricted Account.</w:t>
      </w:r>
    </w:p>
    <w:p>
      <w:pPr>
        <w:spacing w:after="0" w:line="174" w:lineRule="exact"/>
        <w:rPr>
          <w:sz w:val="20"/>
          <w:szCs w:val="20"/>
          <w:color w:val="auto"/>
        </w:rPr>
      </w:pPr>
    </w:p>
    <w:p>
      <w:pPr>
        <w:ind w:left="1500" w:hanging="643"/>
        <w:spacing w:after="0"/>
        <w:tabs>
          <w:tab w:leader="none" w:pos="150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jc w:val="both"/>
        <w:ind w:left="860" w:right="219" w:firstLine="645"/>
        <w:spacing w:after="0" w:line="243" w:lineRule="auto"/>
        <w:tabs>
          <w:tab w:leader="none" w:pos="215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As collateral security for the prompt and complete payment when due of all the Obligations under the Loan Documents, Pledgor has granted, bargained, sold, assigned, pledged, and set over and by these presents does hereby grant, bargain, sell, assign, pledge, transfer and set over unto the Lender for the benefit of Lender and its successors and assigns, a security interest in and to, all of Pledgor’s right, title and interest in and to the Deposit Account (including cash now or hereafter held by the Lender or deposited in the Deposit Account), together with all rights and proceeds respecting Deposit Account (collectively, the “</w:t>
      </w:r>
      <w:r>
        <w:rPr>
          <w:rFonts w:ascii="Times New Roman" w:cs="Times New Roman" w:eastAsia="Times New Roman" w:hAnsi="Times New Roman"/>
          <w:sz w:val="21"/>
          <w:szCs w:val="21"/>
          <w:b w:val="1"/>
          <w:bCs w:val="1"/>
          <w:color w:val="auto"/>
        </w:rPr>
        <w:t>Collateral</w:t>
      </w:r>
      <w:r>
        <w:rPr>
          <w:rFonts w:ascii="Times New Roman" w:cs="Times New Roman" w:eastAsia="Times New Roman" w:hAnsi="Times New Roman"/>
          <w:sz w:val="21"/>
          <w:szCs w:val="21"/>
          <w:color w:val="auto"/>
        </w:rPr>
        <w:t>”). Pledgor does hereby grant control of the Deposit Account to Lender in accordance with the Arizona Uniform Commercial Code. If requested by Lender, Pledgor authorizes Lender prepare and file one or more UCC financing statements for filing by Lender with the Delaware Secretary of State (the jurisdiction of Pledgor’s formation), or such other governmental offices as Lender may deem necessary to perfect its security interests hereunder and Pledgor agrees to execute and deliver one or more control agreements or other documents requested by Lender. Pledgor authorizes Lender to enter into any agreement or other instruments as Lender deems necessary to effect control over the Deposit Account and all amounts on deposit therein. Notwithstanding anything to the contrary in this Agreement, the assignment of Pledgor’s rights and interests in and to the Deposit Account and all amounts on deposit therein does not include Pledgor delegating or assigning to Lender any of its obligations under the Deposit Account and any agreement governing such Deposit Account between Lender, in its capacity as the administrator of the account, and Pledgor.</w:t>
      </w: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jc w:val="both"/>
        <w:ind w:left="860" w:right="219" w:firstLine="645"/>
        <w:spacing w:after="0" w:line="232" w:lineRule="auto"/>
        <w:tabs>
          <w:tab w:leader="none" w:pos="2156"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 xml:space="preserve">To the extent that applicable law imposes duties on Lender to exercise remedies in a commercially reasonable manner, Pledgor acknowledges and agrees that it is not commercially unreasonable for Lender to (i) fail to incur expenses to prepare the Deposit Account for disposition, (ii) to fail to obtain governmental or third party consents for the disposition of the Deposit Account, (iii) to fail to remove liens or encumbrances on or any adverse claims against the Deposit Account, (iv) to disclaim disposition warranties, or (v) to the extent deemed appropriate by Lender, to obtain the services of other brokers, investment bankers, consultants and other professionals to assist Lender in the collection or disposition of any of the Deposit Account. Pledgor acknowledges that the purpose of this </w:t>
      </w:r>
      <w:r>
        <w:rPr>
          <w:rFonts w:ascii="Times New Roman" w:cs="Times New Roman" w:eastAsia="Times New Roman" w:hAnsi="Times New Roman"/>
          <w:sz w:val="22"/>
          <w:szCs w:val="22"/>
          <w:b w:val="1"/>
          <w:bCs w:val="1"/>
          <w:color w:val="auto"/>
        </w:rPr>
        <w:t xml:space="preserve">Section 2(b) </w:t>
      </w:r>
      <w:r>
        <w:rPr>
          <w:rFonts w:ascii="Times New Roman" w:cs="Times New Roman" w:eastAsia="Times New Roman" w:hAnsi="Times New Roman"/>
          <w:sz w:val="22"/>
          <w:szCs w:val="22"/>
          <w:color w:val="auto"/>
        </w:rPr>
        <w:t>is to provide non-exhaustive indications of what actions or omissions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Lender would fulfill Lender’s duties under the Uniform Commercial Code or other law of the State of Arizona or any other relevant jurisdiction in Lender’s exercise of remedies against the Deposit Account and that other actions or omissions by Lender shall not be deemed to fail to fulfill such duties solely on account of not being indicated in this </w:t>
      </w:r>
      <w:r>
        <w:rPr>
          <w:rFonts w:ascii="Times New Roman" w:cs="Times New Roman" w:eastAsia="Times New Roman" w:hAnsi="Times New Roman"/>
          <w:sz w:val="22"/>
          <w:szCs w:val="22"/>
          <w:b w:val="1"/>
          <w:bCs w:val="1"/>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2(b)</w:t>
      </w:r>
      <w:r>
        <w:rPr>
          <w:rFonts w:ascii="Times New Roman" w:cs="Times New Roman" w:eastAsia="Times New Roman" w:hAnsi="Times New Roman"/>
          <w:sz w:val="22"/>
          <w:szCs w:val="22"/>
          <w:color w:val="auto"/>
        </w:rPr>
        <w:t>. Without limitation upon the foregoing, nothing contained in this</w:t>
      </w:r>
      <w:r>
        <w:rPr>
          <w:rFonts w:ascii="Times New Roman" w:cs="Times New Roman" w:eastAsia="Times New Roman" w:hAnsi="Times New Roman"/>
          <w:sz w:val="22"/>
          <w:szCs w:val="22"/>
          <w:b w:val="1"/>
          <w:bCs w:val="1"/>
          <w:color w:val="auto"/>
        </w:rPr>
        <w:t xml:space="preserve"> Section 2(b) </w:t>
      </w:r>
      <w:r>
        <w:rPr>
          <w:rFonts w:ascii="Times New Roman" w:cs="Times New Roman" w:eastAsia="Times New Roman" w:hAnsi="Times New Roman"/>
          <w:sz w:val="22"/>
          <w:szCs w:val="22"/>
          <w:color w:val="auto"/>
        </w:rPr>
        <w:t>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construed to grant any rights to Pledgor or to impose any duties on Lender that would not have been granted or imposed by this Agreement or by applicable law in the absence of this </w:t>
      </w:r>
      <w:r>
        <w:rPr>
          <w:rFonts w:ascii="Times New Roman" w:cs="Times New Roman" w:eastAsia="Times New Roman" w:hAnsi="Times New Roman"/>
          <w:sz w:val="22"/>
          <w:szCs w:val="22"/>
          <w:b w:val="1"/>
          <w:bCs w:val="1"/>
          <w:color w:val="auto"/>
        </w:rPr>
        <w:t>Section 2(b)</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0" w:name="page111"/>
    <w:bookmarkEnd w:id="110"/>
    <w:p>
      <w:pPr>
        <w:jc w:val="both"/>
        <w:ind w:left="860" w:right="219" w:firstLine="645"/>
        <w:spacing w:after="0" w:line="234" w:lineRule="auto"/>
        <w:tabs>
          <w:tab w:leader="none" w:pos="2156"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Pledgor represents and warrants to Lender as follows: (a) Pledgor’s exact legal name is as indicated in the introductory paragraph hereof and on the signature page hereof and (b) Pledgor is an organization of the type and is organized in the jurisdiction set forth in the introductory paragraph hereof. Pledgor covenants with Lender as follows: (x) without providing at least 30 days prior written notice to Lender, Pledgor will not change its name, its place of business or, if more than one, chief executive office, or its mailing address or organizational identification number if it has one, (y) if Pledgor does not have an organizational identification number and later obtains one, Pledgor shall forthwith notify Lender of such organizational identification number, and (z) Pledgor will not change its type of organization, jurisdiction of organization or other legal structure.</w:t>
      </w:r>
    </w:p>
    <w:p>
      <w:pPr>
        <w:spacing w:after="0" w:line="179" w:lineRule="exact"/>
        <w:rPr>
          <w:rFonts w:ascii="Times New Roman" w:cs="Times New Roman" w:eastAsia="Times New Roman" w:hAnsi="Times New Roman"/>
          <w:sz w:val="19"/>
          <w:szCs w:val="19"/>
          <w:color w:val="auto"/>
        </w:rPr>
      </w:pPr>
    </w:p>
    <w:p>
      <w:pPr>
        <w:ind w:left="1500" w:hanging="643"/>
        <w:spacing w:after="0"/>
        <w:tabs>
          <w:tab w:leader="none" w:pos="150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jc w:val="both"/>
        <w:ind w:left="860" w:right="219" w:firstLine="645"/>
        <w:spacing w:after="0" w:line="239" w:lineRule="auto"/>
        <w:tabs>
          <w:tab w:leader="none" w:pos="215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Administration by Lender of the Deposit Account</w:t>
      </w:r>
      <w:r>
        <w:rPr>
          <w:rFonts w:ascii="Times New Roman" w:cs="Times New Roman" w:eastAsia="Times New Roman" w:hAnsi="Times New Roman"/>
          <w:sz w:val="22"/>
          <w:szCs w:val="22"/>
          <w:color w:val="auto"/>
        </w:rPr>
        <w:t>. The Deposit Account shall be held in the sole dominion and control of Lender and shall be administered, invested and managed by Lender in its reasonable discretion, and Pledgor shall have no rights or powers with respect to, or control over, the Deposit Account.</w:t>
      </w:r>
    </w:p>
    <w:p>
      <w:pPr>
        <w:spacing w:after="0" w:line="180" w:lineRule="exact"/>
        <w:rPr>
          <w:rFonts w:ascii="Times New Roman" w:cs="Times New Roman" w:eastAsia="Times New Roman" w:hAnsi="Times New Roman"/>
          <w:sz w:val="19"/>
          <w:szCs w:val="19"/>
          <w:color w:val="auto"/>
        </w:rPr>
      </w:pPr>
    </w:p>
    <w:p>
      <w:pPr>
        <w:jc w:val="both"/>
        <w:ind w:left="860" w:right="219" w:firstLine="645"/>
        <w:spacing w:after="0" w:line="238" w:lineRule="auto"/>
        <w:tabs>
          <w:tab w:leader="none" w:pos="215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Lender’s Rights</w:t>
      </w:r>
      <w:r>
        <w:rPr>
          <w:rFonts w:ascii="Times New Roman" w:cs="Times New Roman" w:eastAsia="Times New Roman" w:hAnsi="Times New Roman"/>
          <w:sz w:val="22"/>
          <w:szCs w:val="22"/>
          <w:color w:val="auto"/>
        </w:rPr>
        <w:t>. Lender has, with respect to the amounts deposited by Pledgor into the Deposit Account, all rights and remedies of a secured party under Articles 8 and 9a of the Arizona Uniform Commercial Code and other applicable laws. Pledgor does hereby grant Lender, control of the Deposit Account and any funds therein, as provided by the applicable Uniform Commercial Code.</w:t>
      </w:r>
    </w:p>
    <w:p>
      <w:pPr>
        <w:spacing w:after="0" w:line="176" w:lineRule="exact"/>
        <w:rPr>
          <w:rFonts w:ascii="Times New Roman" w:cs="Times New Roman" w:eastAsia="Times New Roman" w:hAnsi="Times New Roman"/>
          <w:sz w:val="19"/>
          <w:szCs w:val="19"/>
          <w:color w:val="auto"/>
        </w:rPr>
      </w:pPr>
    </w:p>
    <w:p>
      <w:pPr>
        <w:jc w:val="both"/>
        <w:ind w:left="860" w:right="219" w:firstLine="645"/>
        <w:spacing w:after="0" w:line="233" w:lineRule="auto"/>
        <w:tabs>
          <w:tab w:leader="none" w:pos="215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Set-Off</w:t>
      </w:r>
      <w:r>
        <w:rPr>
          <w:rFonts w:ascii="Times New Roman" w:cs="Times New Roman" w:eastAsia="Times New Roman" w:hAnsi="Times New Roman"/>
          <w:sz w:val="22"/>
          <w:szCs w:val="22"/>
          <w:color w:val="auto"/>
        </w:rPr>
        <w:t xml:space="preserve">. In addition to any other rights and remedies of Lender, Lender is authorized at any time and from time to time, following the occurrence of an Event of Default, without prior notice to Pledgor (any such notice being waived by Pledgor to the fullest extent permitted by law) to setoff and apply any and all amounts in Deposit Account at any time held by Lender to or for the credit or the account of Pledgor against any and all obligations of Borrower under the Loan Documents, now or hereafter existing, irrespective of whether or not Lender shall have made demand under the Loan Agreement or any other Loan Document and although such amounts owed may be contingent or unmatured. If Lender exercises such setoff right, it agrees promptly to notify Pledgor after any such setoff and application made by Lender and to provide a reasonable accounting of how such setoff was applied;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failure to give such notice shall not affect the validity of such setoff and application.</w:t>
      </w:r>
    </w:p>
    <w:p>
      <w:pPr>
        <w:spacing w:after="0" w:line="184" w:lineRule="exact"/>
        <w:rPr>
          <w:rFonts w:ascii="Times New Roman" w:cs="Times New Roman" w:eastAsia="Times New Roman" w:hAnsi="Times New Roman"/>
          <w:sz w:val="19"/>
          <w:szCs w:val="19"/>
          <w:color w:val="auto"/>
        </w:rPr>
      </w:pPr>
    </w:p>
    <w:p>
      <w:pPr>
        <w:jc w:val="both"/>
        <w:ind w:left="860" w:right="219" w:firstLine="645"/>
        <w:spacing w:after="0" w:line="243" w:lineRule="auto"/>
        <w:tabs>
          <w:tab w:leader="none" w:pos="215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Lender’s Agreements Regarding Remedies</w:t>
      </w:r>
      <w:r>
        <w:rPr>
          <w:rFonts w:ascii="Times New Roman" w:cs="Times New Roman" w:eastAsia="Times New Roman" w:hAnsi="Times New Roman"/>
          <w:sz w:val="22"/>
          <w:szCs w:val="22"/>
          <w:color w:val="auto"/>
        </w:rPr>
        <w:t xml:space="preserve">. Notwithstanding anything to the contrary in this Agreement, Lender agrees that, </w:t>
      </w:r>
      <w:r>
        <w:rPr>
          <w:rFonts w:ascii="Times New Roman" w:cs="Times New Roman" w:eastAsia="Times New Roman" w:hAnsi="Times New Roman"/>
          <w:sz w:val="19"/>
          <w:szCs w:val="19"/>
          <w:color w:val="auto"/>
        </w:rPr>
        <w:t>so long as the time for payment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Indebtedness by Borrower has not been stayed, enjoined or prevented for any reason (including a stay or injunction resulting from the pendency against Borrower of a bankruptcy, insolvency, reorganization, dissolution or similar proceeding), Lender shall exhaust its rights and remedies under the Borrower Pledge Agreement prior to exercising its rights under this Agreement</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19"/>
          <w:szCs w:val="19"/>
          <w:color w:val="auto"/>
        </w:rPr>
      </w:pPr>
    </w:p>
    <w:p>
      <w:pPr>
        <w:jc w:val="both"/>
        <w:ind w:left="200" w:right="219" w:firstLine="657"/>
        <w:spacing w:after="0" w:line="243" w:lineRule="auto"/>
        <w:tabs>
          <w:tab w:leader="none" w:pos="1496"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Termination and Disbursements from the Deposit Account</w:t>
      </w:r>
      <w:r>
        <w:rPr>
          <w:rFonts w:ascii="Times New Roman" w:cs="Times New Roman" w:eastAsia="Times New Roman" w:hAnsi="Times New Roman"/>
          <w:sz w:val="22"/>
          <w:szCs w:val="22"/>
          <w:color w:val="auto"/>
        </w:rPr>
        <w:t>. Upon the earlier of (</w:t>
      </w:r>
      <w:r>
        <w:rPr>
          <w:rFonts w:ascii="Times New Roman" w:cs="Times New Roman" w:eastAsia="Times New Roman" w:hAnsi="Times New Roman"/>
          <w:sz w:val="19"/>
          <w:szCs w:val="19"/>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payment in full of all Indebtedness due and owing under Note B, or (b) Borrower’s pledge to Lender of $100,000,000.00 in cash collateral in substitution of the Collateral, </w:t>
      </w:r>
      <w:r>
        <w:rPr>
          <w:rFonts w:ascii="Times New Roman" w:cs="Times New Roman" w:eastAsia="Times New Roman" w:hAnsi="Times New Roman"/>
          <w:sz w:val="21"/>
          <w:szCs w:val="21"/>
          <w:color w:val="auto"/>
        </w:rPr>
        <w:t>Lender agrees to deliver and assign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1" w:name="page112"/>
    <w:bookmarkEnd w:id="111"/>
    <w:p>
      <w:pPr>
        <w:ind w:left="200" w:right="219"/>
        <w:spacing w:after="0" w:line="258" w:lineRule="auto"/>
        <w:rPr>
          <w:sz w:val="20"/>
          <w:szCs w:val="20"/>
          <w:color w:val="auto"/>
        </w:rPr>
      </w:pPr>
      <w:r>
        <w:rPr>
          <w:rFonts w:ascii="Times New Roman" w:cs="Times New Roman" w:eastAsia="Times New Roman" w:hAnsi="Times New Roman"/>
          <w:sz w:val="22"/>
          <w:szCs w:val="22"/>
          <w:color w:val="auto"/>
        </w:rPr>
        <w:t>back to Pledgor all of Lender’s rights in and to the Deposit Account and all funds then contained therein.</w:t>
      </w:r>
    </w:p>
    <w:p>
      <w:pPr>
        <w:spacing w:after="0" w:line="159" w:lineRule="exact"/>
        <w:rPr>
          <w:sz w:val="20"/>
          <w:szCs w:val="20"/>
          <w:color w:val="auto"/>
        </w:rPr>
      </w:pPr>
    </w:p>
    <w:p>
      <w:pPr>
        <w:ind w:left="1500" w:hanging="643"/>
        <w:spacing w:after="0"/>
        <w:tabs>
          <w:tab w:leader="none" w:pos="15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Pledgor Waivers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jc w:val="both"/>
        <w:ind w:left="860" w:right="219" w:firstLine="645"/>
        <w:spacing w:after="0" w:line="235" w:lineRule="auto"/>
        <w:tabs>
          <w:tab w:leader="none" w:pos="215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Note and Notice Waivers</w:t>
      </w:r>
      <w:r>
        <w:rPr>
          <w:rFonts w:ascii="Times New Roman" w:cs="Times New Roman" w:eastAsia="Times New Roman" w:hAnsi="Times New Roman"/>
          <w:sz w:val="22"/>
          <w:szCs w:val="22"/>
          <w:color w:val="auto"/>
        </w:rPr>
        <w:t>. Pledgor waives, to the full extent permitted by law, presentment, notice of dishonor, protest, notice of protest, notice of intent to accelerate, notice of acceleration, and all other notices or demands of any kind (including, without limitation, notice of the acceptance by Lender of this Agreement, notice of the existence, creation, non-payment, or non-performance of any or all Obligations, and notice of the acts or omissions of Lender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excepting only notices specifically provided for in this Agreement.</w:t>
      </w:r>
    </w:p>
    <w:p>
      <w:pPr>
        <w:spacing w:after="0" w:line="183" w:lineRule="exact"/>
        <w:rPr>
          <w:rFonts w:ascii="Times New Roman" w:cs="Times New Roman" w:eastAsia="Times New Roman" w:hAnsi="Times New Roman"/>
          <w:sz w:val="19"/>
          <w:szCs w:val="19"/>
          <w:color w:val="auto"/>
        </w:rPr>
      </w:pPr>
    </w:p>
    <w:p>
      <w:pPr>
        <w:jc w:val="both"/>
        <w:ind w:left="860" w:right="219" w:firstLine="645"/>
        <w:spacing w:after="0" w:line="244" w:lineRule="auto"/>
        <w:tabs>
          <w:tab w:leader="none" w:pos="215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Waiver of Acts and Omissions of Lender</w:t>
      </w:r>
      <w:r>
        <w:rPr>
          <w:rFonts w:ascii="Times New Roman" w:cs="Times New Roman" w:eastAsia="Times New Roman" w:hAnsi="Times New Roman"/>
          <w:sz w:val="22"/>
          <w:szCs w:val="22"/>
          <w:color w:val="auto"/>
        </w:rPr>
        <w:t>. Pledgor waives any defense to enforcement of the Obligations or any liens and encumbrances granted by Pledgor based on acts and omissions of Lender.</w:t>
      </w:r>
    </w:p>
    <w:p>
      <w:pPr>
        <w:spacing w:after="0" w:line="173" w:lineRule="exact"/>
        <w:rPr>
          <w:rFonts w:ascii="Times New Roman" w:cs="Times New Roman" w:eastAsia="Times New Roman" w:hAnsi="Times New Roman"/>
          <w:sz w:val="19"/>
          <w:szCs w:val="19"/>
          <w:color w:val="auto"/>
        </w:rPr>
      </w:pPr>
    </w:p>
    <w:p>
      <w:pPr>
        <w:ind w:left="860" w:right="219" w:firstLine="645"/>
        <w:spacing w:after="0" w:line="258" w:lineRule="auto"/>
        <w:tabs>
          <w:tab w:leader="none" w:pos="215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Waiver of Statute of Limitations</w:t>
      </w:r>
      <w:r>
        <w:rPr>
          <w:rFonts w:ascii="Times New Roman" w:cs="Times New Roman" w:eastAsia="Times New Roman" w:hAnsi="Times New Roman"/>
          <w:sz w:val="22"/>
          <w:szCs w:val="22"/>
          <w:color w:val="auto"/>
        </w:rPr>
        <w:t>. To the full extent permitted by law, Pledgor waives any and all statutes of limitations as a defense to any or all Obligations.</w:t>
      </w:r>
    </w:p>
    <w:p>
      <w:pPr>
        <w:spacing w:after="0" w:line="158" w:lineRule="exact"/>
        <w:rPr>
          <w:rFonts w:ascii="Times New Roman" w:cs="Times New Roman" w:eastAsia="Times New Roman" w:hAnsi="Times New Roman"/>
          <w:sz w:val="19"/>
          <w:szCs w:val="19"/>
          <w:color w:val="auto"/>
        </w:rPr>
      </w:pPr>
    </w:p>
    <w:p>
      <w:pPr>
        <w:jc w:val="both"/>
        <w:ind w:left="940" w:right="219" w:firstLine="565"/>
        <w:spacing w:after="0" w:line="241" w:lineRule="auto"/>
        <w:tabs>
          <w:tab w:leader="none" w:pos="2157"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Waiver of Law and Equitable Principles Conflicting With This Agreement</w:t>
      </w:r>
      <w:r>
        <w:rPr>
          <w:rFonts w:ascii="Times New Roman" w:cs="Times New Roman" w:eastAsia="Times New Roman" w:hAnsi="Times New Roman"/>
          <w:sz w:val="22"/>
          <w:szCs w:val="22"/>
          <w:color w:val="auto"/>
        </w:rPr>
        <w:t>. Pledgor waives any and all provisions of law and equitable principles that conflict with</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this Agreement.</w:t>
      </w:r>
    </w:p>
    <w:p>
      <w:pPr>
        <w:spacing w:after="0" w:line="182" w:lineRule="exact"/>
        <w:rPr>
          <w:sz w:val="20"/>
          <w:szCs w:val="20"/>
          <w:color w:val="auto"/>
        </w:rPr>
      </w:pPr>
    </w:p>
    <w:p>
      <w:pPr>
        <w:ind w:left="1500" w:hanging="643"/>
        <w:spacing w:after="0"/>
        <w:tabs>
          <w:tab w:leader="none" w:pos="150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Subject in each case to Section 3(d):</w:t>
      </w:r>
    </w:p>
    <w:p>
      <w:pPr>
        <w:spacing w:after="0" w:line="206" w:lineRule="exact"/>
        <w:rPr>
          <w:rFonts w:ascii="Times New Roman" w:cs="Times New Roman" w:eastAsia="Times New Roman" w:hAnsi="Times New Roman"/>
          <w:sz w:val="19"/>
          <w:szCs w:val="19"/>
          <w:color w:val="auto"/>
        </w:rPr>
      </w:pPr>
    </w:p>
    <w:p>
      <w:pPr>
        <w:jc w:val="both"/>
        <w:ind w:left="860" w:right="219" w:firstLine="645"/>
        <w:spacing w:after="0" w:line="239" w:lineRule="auto"/>
        <w:tabs>
          <w:tab w:leader="none" w:pos="215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Notwithstanding any provision to the contrary herein or any of the other Loan Documents, upon the happening of any Event of Default under the Loan Agreement, Lender may exercise all rights and remedies available to it under the Uniform Commercial Code, hereunder or under any or all of the Loan Documents.</w:t>
      </w:r>
    </w:p>
    <w:p>
      <w:pPr>
        <w:spacing w:after="0" w:line="180" w:lineRule="exact"/>
        <w:rPr>
          <w:rFonts w:ascii="Times New Roman" w:cs="Times New Roman" w:eastAsia="Times New Roman" w:hAnsi="Times New Roman"/>
          <w:sz w:val="19"/>
          <w:szCs w:val="19"/>
          <w:color w:val="auto"/>
        </w:rPr>
      </w:pPr>
    </w:p>
    <w:p>
      <w:pPr>
        <w:jc w:val="both"/>
        <w:ind w:left="860" w:right="219" w:firstLine="645"/>
        <w:spacing w:after="0" w:line="255" w:lineRule="auto"/>
        <w:tabs>
          <w:tab w:leader="none" w:pos="215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Application of Funds</w:t>
      </w:r>
      <w:r>
        <w:rPr>
          <w:rFonts w:ascii="Times New Roman" w:cs="Times New Roman" w:eastAsia="Times New Roman" w:hAnsi="Times New Roman"/>
          <w:sz w:val="21"/>
          <w:szCs w:val="21"/>
          <w:color w:val="auto"/>
        </w:rPr>
        <w:t>. From and after the occurrence and during the continuation of an Event of Default and without notice to or comment from Pledgor, Lender may apply such sums in the Deposit Account to Borrower’s Obligations under the Loan Documents in such order as Lender may determine, in its sole and absolute discretion.</w:t>
      </w:r>
    </w:p>
    <w:p>
      <w:pPr>
        <w:spacing w:after="0" w:line="161" w:lineRule="exact"/>
        <w:rPr>
          <w:rFonts w:ascii="Times New Roman" w:cs="Times New Roman" w:eastAsia="Times New Roman" w:hAnsi="Times New Roman"/>
          <w:sz w:val="18"/>
          <w:szCs w:val="18"/>
          <w:color w:val="auto"/>
        </w:rPr>
      </w:pPr>
    </w:p>
    <w:p>
      <w:pPr>
        <w:jc w:val="both"/>
        <w:ind w:left="860" w:right="219" w:firstLine="645"/>
        <w:spacing w:after="0" w:line="234" w:lineRule="auto"/>
        <w:tabs>
          <w:tab w:leader="none" w:pos="215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Set Off</w:t>
      </w:r>
      <w:r>
        <w:rPr>
          <w:rFonts w:ascii="Times New Roman" w:cs="Times New Roman" w:eastAsia="Times New Roman" w:hAnsi="Times New Roman"/>
          <w:sz w:val="22"/>
          <w:szCs w:val="22"/>
          <w:color w:val="auto"/>
        </w:rPr>
        <w:t>. In addition to the foregoing contractual right to apply the funds held in the Deposit Account, if an Event of Default exists and is continuing, Lender is authorized at any time and from time to time during the continuance of the Event of Default, without prior notice to Pledgor (any such notice being waived by Pledgor to the fullest extent permitted by law) to set-off and apply any and all deposits or deposit accounts (general or special, time or demand, provisional or final) at any time held by Lender to or for the credit or the account of Pledgor against any and all obligations of Borrower under the Loan Documents, now or hereafter existing, irrespective of whether or not Lender shall have made demand under this Loan Agreement or any other Loan Document and although such amounts owed may be contingent or unmatured.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2" w:name="page113"/>
    <w:bookmarkEnd w:id="112"/>
    <w:p>
      <w:pPr>
        <w:jc w:val="both"/>
        <w:ind w:left="200" w:right="219" w:firstLine="657"/>
        <w:spacing w:after="0" w:line="238" w:lineRule="auto"/>
        <w:tabs>
          <w:tab w:leader="none" w:pos="149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Pledgor will, at any time and from time to time, execute and deliver such further documents, instruments and agreements and do such further acts as shall be required by law or be requested by Lender in its reasonable discretion to confirm, perfect, protect or further assure the interests of Lender hereunder, including but not limited to the perfection and maintenance of a first priority lien and security interest in the Deposit Account.</w:t>
      </w:r>
    </w:p>
    <w:p>
      <w:pPr>
        <w:spacing w:after="0" w:line="177" w:lineRule="exact"/>
        <w:rPr>
          <w:rFonts w:ascii="Times New Roman" w:cs="Times New Roman" w:eastAsia="Times New Roman" w:hAnsi="Times New Roman"/>
          <w:sz w:val="19"/>
          <w:szCs w:val="19"/>
          <w:color w:val="auto"/>
        </w:rPr>
      </w:pPr>
    </w:p>
    <w:p>
      <w:pPr>
        <w:jc w:val="both"/>
        <w:ind w:left="200" w:right="219" w:firstLine="657"/>
        <w:spacing w:after="0" w:line="239" w:lineRule="auto"/>
        <w:tabs>
          <w:tab w:leader="none" w:pos="149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No Liability for Lawful Actions</w:t>
      </w:r>
      <w:r>
        <w:rPr>
          <w:rFonts w:ascii="Times New Roman" w:cs="Times New Roman" w:eastAsia="Times New Roman" w:hAnsi="Times New Roman"/>
          <w:sz w:val="22"/>
          <w:szCs w:val="22"/>
          <w:color w:val="auto"/>
        </w:rPr>
        <w:t>. Neither Lender nor any of its officers, directors, employees, agents, advisers, attorneys-in-fact or affiliates shall be liable for any action lawfully taken or omitted to be taken by any of them under or in connection with, and in accordance with the terms of, this Agreement (except for gross negligence or willful misconduct).</w:t>
      </w:r>
    </w:p>
    <w:p>
      <w:pPr>
        <w:spacing w:after="0" w:line="180" w:lineRule="exact"/>
        <w:rPr>
          <w:rFonts w:ascii="Times New Roman" w:cs="Times New Roman" w:eastAsia="Times New Roman" w:hAnsi="Times New Roman"/>
          <w:sz w:val="19"/>
          <w:szCs w:val="19"/>
          <w:color w:val="auto"/>
        </w:rPr>
      </w:pPr>
    </w:p>
    <w:p>
      <w:pPr>
        <w:jc w:val="both"/>
        <w:ind w:left="200" w:right="219" w:firstLine="657"/>
        <w:spacing w:after="0" w:line="239" w:lineRule="auto"/>
        <w:tabs>
          <w:tab w:leader="none" w:pos="149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communication required or permitted under this Agreement must be made in writing and sent by (a) personal delivery, (b) expedited delivery service with proof of delivery, or (c) United States Mail, postage prepaid, registered or certified mail, addressed as follows:</w:t>
      </w:r>
    </w:p>
    <w:p>
      <w:pPr>
        <w:sectPr>
          <w:pgSz w:w="11900" w:h="16838" w:orient="portrait"/>
          <w:cols w:equalWidth="0" w:num="1">
            <w:col w:w="9019"/>
          </w:cols>
          <w:pgMar w:left="1440" w:top="111" w:right="1440" w:bottom="1440" w:gutter="0" w:footer="0" w:header="0"/>
        </w:sectPr>
      </w:pP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To Lender: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MidFirst Bank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3030 E. Camelback Road</w:t>
      </w:r>
    </w:p>
    <w:p>
      <w:pPr>
        <w:spacing w:after="0" w:line="231" w:lineRule="auto"/>
        <w:rPr>
          <w:sz w:val="20"/>
          <w:szCs w:val="20"/>
          <w:color w:val="auto"/>
        </w:rPr>
      </w:pPr>
      <w:r>
        <w:rPr>
          <w:rFonts w:ascii="Times New Roman" w:cs="Times New Roman" w:eastAsia="Times New Roman" w:hAnsi="Times New Roman"/>
          <w:sz w:val="22"/>
          <w:szCs w:val="22"/>
          <w:color w:val="auto"/>
        </w:rPr>
        <w:t>Phoenix, Arizona 85016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Gary Naquin</w:t>
      </w:r>
    </w:p>
    <w:p>
      <w:pPr>
        <w:spacing w:after="0" w:line="200" w:lineRule="exact"/>
        <w:rPr>
          <w:sz w:val="20"/>
          <w:szCs w:val="20"/>
          <w:color w:val="auto"/>
        </w:rPr>
      </w:pPr>
    </w:p>
    <w:p>
      <w:pPr>
        <w:sectPr>
          <w:pgSz w:w="11900" w:h="16838" w:orient="portrait"/>
          <w:cols w:equalWidth="0" w:num="2">
            <w:col w:w="2080" w:space="720"/>
            <w:col w:w="6219"/>
          </w:cols>
          <w:pgMar w:left="1440" w:top="111" w:right="1440" w:bottom="1440" w:gutter="0" w:footer="0" w:header="0"/>
          <w:type w:val="continuous"/>
        </w:sectPr>
      </w:pP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MidFirst Bank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Department</w:t>
      </w:r>
    </w:p>
    <w:p>
      <w:pPr>
        <w:spacing w:after="0" w:line="230" w:lineRule="auto"/>
        <w:rPr>
          <w:sz w:val="20"/>
          <w:szCs w:val="20"/>
          <w:color w:val="auto"/>
        </w:rPr>
      </w:pPr>
      <w:r>
        <w:rPr>
          <w:rFonts w:ascii="Times New Roman" w:cs="Times New Roman" w:eastAsia="Times New Roman" w:hAnsi="Times New Roman"/>
          <w:sz w:val="22"/>
          <w:szCs w:val="22"/>
          <w:color w:val="auto"/>
        </w:rPr>
        <w:t>501 NW Grand Blvd.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Oklahoma City, OK 73118</w:t>
      </w:r>
    </w:p>
    <w:p>
      <w:pPr>
        <w:spacing w:after="0" w:line="140" w:lineRule="exact"/>
        <w:rPr>
          <w:sz w:val="20"/>
          <w:szCs w:val="20"/>
          <w:color w:val="auto"/>
        </w:rPr>
      </w:pPr>
    </w:p>
    <w:p>
      <w:pPr>
        <w:sectPr>
          <w:pgSz w:w="11900" w:h="16838" w:orient="portrait"/>
          <w:cols w:equalWidth="0" w:num="2">
            <w:col w:w="2520" w:space="280"/>
            <w:col w:w="6219"/>
          </w:cols>
          <w:pgMar w:left="1440" w:top="111" w:right="1440" w:bottom="1440" w:gutter="0" w:footer="0" w:header="0"/>
          <w:type w:val="continuous"/>
        </w:sectPr>
      </w:pPr>
    </w:p>
    <w:p>
      <w:pPr>
        <w:jc w:val="center"/>
        <w:ind w:left="640"/>
        <w:spacing w:after="0"/>
        <w:rPr>
          <w:sz w:val="20"/>
          <w:szCs w:val="20"/>
          <w:color w:val="auto"/>
        </w:rPr>
      </w:pPr>
      <w:r>
        <w:rPr>
          <w:rFonts w:ascii="Times New Roman" w:cs="Times New Roman" w:eastAsia="Times New Roman" w:hAnsi="Times New Roman"/>
          <w:sz w:val="21"/>
          <w:szCs w:val="21"/>
          <w:color w:val="auto"/>
        </w:rPr>
        <w:t>To Pledgor: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 W. Camelback Road</w:t>
      </w:r>
    </w:p>
    <w:p>
      <w:pPr>
        <w:spacing w:after="0" w:line="230" w:lineRule="auto"/>
        <w:rPr>
          <w:sz w:val="20"/>
          <w:szCs w:val="20"/>
          <w:color w:val="auto"/>
        </w:rPr>
      </w:pPr>
      <w:r>
        <w:rPr>
          <w:rFonts w:ascii="Times New Roman" w:cs="Times New Roman" w:eastAsia="Times New Roman" w:hAnsi="Times New Roman"/>
          <w:sz w:val="22"/>
          <w:szCs w:val="22"/>
          <w:color w:val="auto"/>
        </w:rPr>
        <w:t>Phoenix, Arizona 85017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Dan Bachus, Chief Financial Officer</w:t>
      </w:r>
    </w:p>
    <w:p>
      <w:pPr>
        <w:spacing w:after="0" w:line="200" w:lineRule="exact"/>
        <w:rPr>
          <w:sz w:val="20"/>
          <w:szCs w:val="20"/>
          <w:color w:val="auto"/>
        </w:rPr>
      </w:pPr>
    </w:p>
    <w:p>
      <w:pPr>
        <w:sectPr>
          <w:pgSz w:w="11900" w:h="16838" w:orient="portrait"/>
          <w:cols w:equalWidth="0" w:num="2">
            <w:col w:w="2080" w:space="720"/>
            <w:col w:w="6219"/>
          </w:cols>
          <w:pgMar w:left="1440" w:top="111"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 W. Camelback Road</w:t>
      </w:r>
    </w:p>
    <w:p>
      <w:pPr>
        <w:spacing w:after="0" w:line="230" w:lineRule="auto"/>
        <w:rPr>
          <w:sz w:val="20"/>
          <w:szCs w:val="20"/>
          <w:color w:val="auto"/>
        </w:rPr>
      </w:pPr>
      <w:r>
        <w:rPr>
          <w:rFonts w:ascii="Times New Roman" w:cs="Times New Roman" w:eastAsia="Times New Roman" w:hAnsi="Times New Roman"/>
          <w:sz w:val="22"/>
          <w:szCs w:val="22"/>
          <w:color w:val="auto"/>
        </w:rPr>
        <w:t>Phoenix, Arizona 85017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Sarah Collins, General Counsel</w:t>
      </w:r>
    </w:p>
    <w:p>
      <w:pPr>
        <w:spacing w:after="0" w:line="200" w:lineRule="exact"/>
        <w:rPr>
          <w:sz w:val="20"/>
          <w:szCs w:val="20"/>
          <w:color w:val="auto"/>
        </w:rPr>
      </w:pPr>
    </w:p>
    <w:p>
      <w:pPr>
        <w:sectPr>
          <w:pgSz w:w="11900" w:h="16838" w:orient="portrait"/>
          <w:cols w:equalWidth="0" w:num="2">
            <w:col w:w="2180" w:space="620"/>
            <w:col w:w="6219"/>
          </w:cols>
          <w:pgMar w:left="1440" w:top="111" w:right="1440" w:bottom="1440" w:gutter="0" w:footer="0" w:header="0"/>
          <w:type w:val="continuous"/>
        </w:sectPr>
      </w:pPr>
    </w:p>
    <w:p>
      <w:pPr>
        <w:spacing w:after="0" w:line="21"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or to such other address as Lender or Pledgor may designate in writing and deliver in accordance with this Section. Any change of address will be effective on the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Business Day after notice is given pursuant to the terms of this Section. Any notice or communication sent in accordance with this Section will be deemed to be given (i) at the time of personal delivery, or (ii) if sent by delivery service or mail, as of the date of the first attempted delivery at the address and in the manner provided in this Section. Pledgor consents to Lender recording any telephone communications between Lender and Pledgor.</w:t>
      </w:r>
    </w:p>
    <w:p>
      <w:pPr>
        <w:spacing w:after="0" w:line="345" w:lineRule="exact"/>
        <w:rPr>
          <w:sz w:val="20"/>
          <w:szCs w:val="20"/>
          <w:color w:val="auto"/>
        </w:rPr>
      </w:pPr>
    </w:p>
    <w:p>
      <w:pPr>
        <w:ind w:left="200" w:right="219" w:firstLine="657"/>
        <w:spacing w:after="0" w:line="258" w:lineRule="auto"/>
        <w:tabs>
          <w:tab w:leader="none" w:pos="149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No Failure, etc.</w:t>
      </w:r>
      <w:r>
        <w:rPr>
          <w:rFonts w:ascii="Times New Roman" w:cs="Times New Roman" w:eastAsia="Times New Roman" w:hAnsi="Times New Roman"/>
          <w:sz w:val="22"/>
          <w:szCs w:val="22"/>
          <w:color w:val="auto"/>
        </w:rPr>
        <w:t xml:space="preserve"> No failure to exercise and no delay in exercising on the part of the Lender of any right, power or privilege hereunder shall operate as a waiver thereof, nor shall any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113" w:name="page114"/>
    <w:bookmarkEnd w:id="113"/>
    <w:p>
      <w:pPr>
        <w:jc w:val="both"/>
        <w:ind w:left="200" w:right="219"/>
        <w:spacing w:after="0"/>
        <w:rPr>
          <w:sz w:val="20"/>
          <w:szCs w:val="20"/>
          <w:color w:val="auto"/>
        </w:rPr>
      </w:pPr>
      <w:r>
        <w:rPr>
          <w:rFonts w:ascii="Times New Roman" w:cs="Times New Roman" w:eastAsia="Times New Roman" w:hAnsi="Times New Roman"/>
          <w:sz w:val="22"/>
          <w:szCs w:val="22"/>
          <w:color w:val="auto"/>
        </w:rPr>
        <w:t>single or partial exercise of any right, power or privilege preclude any other or further exercise thereof, or the exercise of any other power or right. The rights and remedies provided in this Agreement are cumulative and not exclusive of any rights or remedies provided by law or at equity.</w:t>
      </w:r>
    </w:p>
    <w:p>
      <w:pPr>
        <w:spacing w:after="0" w:line="177" w:lineRule="exact"/>
        <w:rPr>
          <w:sz w:val="20"/>
          <w:szCs w:val="20"/>
          <w:color w:val="auto"/>
        </w:rPr>
      </w:pPr>
    </w:p>
    <w:p>
      <w:pPr>
        <w:jc w:val="both"/>
        <w:ind w:left="200" w:right="239" w:firstLine="657"/>
        <w:spacing w:after="0" w:line="244" w:lineRule="auto"/>
        <w:tabs>
          <w:tab w:leader="none" w:pos="149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Waiver; Amendments</w:t>
      </w:r>
      <w:r>
        <w:rPr>
          <w:rFonts w:ascii="Times New Roman" w:cs="Times New Roman" w:eastAsia="Times New Roman" w:hAnsi="Times New Roman"/>
          <w:sz w:val="22"/>
          <w:szCs w:val="22"/>
          <w:color w:val="auto"/>
        </w:rPr>
        <w:t>. None of the terms and provisions of this Agreement may be waived, altered, modified or amended except by an instrument in writing executed by the parties hereto.</w:t>
      </w:r>
    </w:p>
    <w:p>
      <w:pPr>
        <w:spacing w:after="0" w:line="173" w:lineRule="exact"/>
        <w:rPr>
          <w:rFonts w:ascii="Times New Roman" w:cs="Times New Roman" w:eastAsia="Times New Roman" w:hAnsi="Times New Roman"/>
          <w:sz w:val="19"/>
          <w:szCs w:val="19"/>
          <w:color w:val="auto"/>
        </w:rPr>
      </w:pPr>
    </w:p>
    <w:p>
      <w:pPr>
        <w:ind w:left="1500" w:hanging="643"/>
        <w:spacing w:after="0"/>
        <w:tabs>
          <w:tab w:leader="none" w:pos="150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Representations, Warranties and Covenants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ind w:left="860" w:right="219" w:firstLine="645"/>
        <w:spacing w:after="0" w:line="258" w:lineRule="auto"/>
        <w:tabs>
          <w:tab w:leader="none" w:pos="2156"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Pledgor hereby represents and warrants to Lender, effective upon the date hereof:</w:t>
      </w:r>
    </w:p>
    <w:p>
      <w:pPr>
        <w:spacing w:after="0" w:line="158" w:lineRule="exact"/>
        <w:rPr>
          <w:rFonts w:ascii="Times New Roman" w:cs="Times New Roman" w:eastAsia="Times New Roman" w:hAnsi="Times New Roman"/>
          <w:sz w:val="19"/>
          <w:szCs w:val="19"/>
          <w:color w:val="auto"/>
        </w:rPr>
      </w:pPr>
    </w:p>
    <w:p>
      <w:pPr>
        <w:jc w:val="both"/>
        <w:ind w:left="1500" w:right="219" w:firstLine="653"/>
        <w:spacing w:after="0" w:line="255" w:lineRule="auto"/>
        <w:tabs>
          <w:tab w:leader="none" w:pos="2796"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No filing, recordation, registration or declaration with or notice to any person or entity is required in connection with the execution, delivery and performance of this Agreement by Pledgor or in order to preserve or perfect the first priority lien and charge intended to be created hereunder in the Deposit Account.</w:t>
      </w:r>
    </w:p>
    <w:p>
      <w:pPr>
        <w:spacing w:after="0" w:line="161" w:lineRule="exact"/>
        <w:rPr>
          <w:rFonts w:ascii="Times New Roman" w:cs="Times New Roman" w:eastAsia="Times New Roman" w:hAnsi="Times New Roman"/>
          <w:sz w:val="18"/>
          <w:szCs w:val="18"/>
          <w:color w:val="auto"/>
        </w:rPr>
      </w:pPr>
    </w:p>
    <w:p>
      <w:pPr>
        <w:jc w:val="both"/>
        <w:ind w:left="1500" w:right="219" w:firstLine="653"/>
        <w:spacing w:after="0" w:line="239" w:lineRule="auto"/>
        <w:tabs>
          <w:tab w:leader="none" w:pos="2796"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Except for the security interest granted to Lender pursuant to this Agreement, Pledgor is the sole owner of the Deposit Account, having good and marketable title thereto, free and clear of any and all mortgages, liens, security interests, encumbrances, claims or rights of others.</w:t>
      </w:r>
    </w:p>
    <w:p>
      <w:pPr>
        <w:spacing w:after="0" w:line="180" w:lineRule="exact"/>
        <w:rPr>
          <w:rFonts w:ascii="Times New Roman" w:cs="Times New Roman" w:eastAsia="Times New Roman" w:hAnsi="Times New Roman"/>
          <w:sz w:val="19"/>
          <w:szCs w:val="19"/>
          <w:color w:val="auto"/>
        </w:rPr>
      </w:pPr>
    </w:p>
    <w:p>
      <w:pPr>
        <w:jc w:val="both"/>
        <w:ind w:left="1500" w:right="219" w:firstLine="653"/>
        <w:spacing w:after="0" w:line="239" w:lineRule="auto"/>
        <w:tabs>
          <w:tab w:leader="none" w:pos="2796" w:val="left"/>
        </w:tabs>
        <w:numPr>
          <w:ilvl w:val="2"/>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No security agreement, financing statement, control agreement, equivalent security or lien instrument or continuation statement covering all or any part of the Deposit Account exists or is on file or of record in any public office, except such as may have been given or filed by Pledgor in favor of Lender.</w:t>
      </w:r>
    </w:p>
    <w:p>
      <w:pPr>
        <w:spacing w:after="0" w:line="180" w:lineRule="exact"/>
        <w:rPr>
          <w:rFonts w:ascii="Times New Roman" w:cs="Times New Roman" w:eastAsia="Times New Roman" w:hAnsi="Times New Roman"/>
          <w:sz w:val="19"/>
          <w:szCs w:val="19"/>
          <w:color w:val="auto"/>
        </w:rPr>
      </w:pPr>
    </w:p>
    <w:p>
      <w:pPr>
        <w:jc w:val="both"/>
        <w:ind w:left="860" w:right="219" w:firstLine="645"/>
        <w:spacing w:after="0" w:line="236" w:lineRule="auto"/>
        <w:tabs>
          <w:tab w:leader="none" w:pos="2156"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Without the prior written consent of the Lender, Pledgor hereby covenants and agrees that it will not sell, assign, transfer, exchange or otherwise dispose of, or grant any option with respect to, the Deposit Account, nor will it create, incur or permit to exist any pledge, lien, mortgage, hypothecation, security interest, charge, option or any other encumbrance with respect to the Deposit Account or any interest therein, except for the security interest provided for by this Agreement.</w:t>
      </w:r>
    </w:p>
    <w:p>
      <w:pPr>
        <w:spacing w:after="0" w:line="181" w:lineRule="exact"/>
        <w:rPr>
          <w:rFonts w:ascii="Times New Roman" w:cs="Times New Roman" w:eastAsia="Times New Roman" w:hAnsi="Times New Roman"/>
          <w:sz w:val="19"/>
          <w:szCs w:val="19"/>
          <w:color w:val="auto"/>
        </w:rPr>
      </w:pPr>
    </w:p>
    <w:p>
      <w:pPr>
        <w:jc w:val="both"/>
        <w:ind w:left="860" w:right="219" w:firstLine="645"/>
        <w:spacing w:after="0" w:line="239" w:lineRule="auto"/>
        <w:tabs>
          <w:tab w:leader="none" w:pos="2156"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Defense of Title</w:t>
      </w:r>
      <w:r>
        <w:rPr>
          <w:rFonts w:ascii="Times New Roman" w:cs="Times New Roman" w:eastAsia="Times New Roman" w:hAnsi="Times New Roman"/>
          <w:sz w:val="22"/>
          <w:szCs w:val="22"/>
          <w:color w:val="auto"/>
        </w:rPr>
        <w:t>. Pledgor hereby covenants and agrees that it will defend the right, title and security interest of Lender in and to the Deposit Account against the claims and demands of all persons whomsoever except to the extent the same arise out of the willful misconduct or gross negligence of Lender.</w:t>
      </w:r>
    </w:p>
    <w:p>
      <w:pPr>
        <w:spacing w:after="0" w:line="180" w:lineRule="exact"/>
        <w:rPr>
          <w:rFonts w:ascii="Times New Roman" w:cs="Times New Roman" w:eastAsia="Times New Roman" w:hAnsi="Times New Roman"/>
          <w:sz w:val="19"/>
          <w:szCs w:val="19"/>
          <w:color w:val="auto"/>
        </w:rPr>
      </w:pPr>
    </w:p>
    <w:p>
      <w:pPr>
        <w:jc w:val="both"/>
        <w:ind w:left="200" w:right="219" w:firstLine="657"/>
        <w:spacing w:after="0" w:line="238" w:lineRule="auto"/>
        <w:tabs>
          <w:tab w:leader="none" w:pos="149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Expenses and Liabilities</w:t>
      </w:r>
      <w:r>
        <w:rPr>
          <w:rFonts w:ascii="Times New Roman" w:cs="Times New Roman" w:eastAsia="Times New Roman" w:hAnsi="Times New Roman"/>
          <w:sz w:val="22"/>
          <w:szCs w:val="22"/>
          <w:color w:val="auto"/>
        </w:rPr>
        <w:t>. Pledgor shall pay all costs and out-of-pocket reasonable expenses of Lender in connection with the maintenance and operation of this Agreement made in accordance with the terms hereof. Pledgor also agrees to pay all costs of Lender, including reasonable attorneys’ fees, incurred with respect to the enforcement of the rights of Lender hereunder.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4" w:name="page115"/>
    <w:bookmarkEnd w:id="114"/>
    <w:p>
      <w:pPr>
        <w:jc w:val="both"/>
        <w:ind w:left="200" w:right="219" w:firstLine="657"/>
        <w:spacing w:after="0" w:line="236" w:lineRule="auto"/>
        <w:tabs>
          <w:tab w:leader="none" w:pos="149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OF THIS AGREEMENT, THE CONSTRUCTION, INTERPRETATION, AND ENFORCEMENT HEREOF, AND THE RIGHTS OF THE PARTIES HERETO WITH RESPECT TO ALL MATTERS ARISING HEREUNDER OR RELATED HERETO SHALL BE DETERMINED UNDER, GOVERNED BY, AND CONSTRUED IN ACCORDANCE WITH THE LAWS OF THE STATE OF ARIZONA WITHOUT GIVING EFFECT TO CONFLICT OF LAWS PRINCIPLES.</w:t>
      </w:r>
    </w:p>
    <w:p>
      <w:pPr>
        <w:spacing w:after="0" w:line="181" w:lineRule="exact"/>
        <w:rPr>
          <w:rFonts w:ascii="Times New Roman" w:cs="Times New Roman" w:eastAsia="Times New Roman" w:hAnsi="Times New Roman"/>
          <w:sz w:val="19"/>
          <w:szCs w:val="19"/>
          <w:color w:val="auto"/>
        </w:rPr>
      </w:pPr>
    </w:p>
    <w:p>
      <w:pPr>
        <w:jc w:val="both"/>
        <w:ind w:left="200" w:right="219" w:firstLine="657"/>
        <w:spacing w:after="0" w:line="238" w:lineRule="auto"/>
        <w:tabs>
          <w:tab w:leader="none" w:pos="149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6" w:lineRule="exact"/>
        <w:rPr>
          <w:rFonts w:ascii="Times New Roman" w:cs="Times New Roman" w:eastAsia="Times New Roman" w:hAnsi="Times New Roman"/>
          <w:sz w:val="19"/>
          <w:szCs w:val="19"/>
          <w:color w:val="auto"/>
        </w:rPr>
      </w:pPr>
    </w:p>
    <w:p>
      <w:pPr>
        <w:jc w:val="both"/>
        <w:ind w:left="200" w:right="219" w:firstLine="657"/>
        <w:spacing w:after="0" w:line="261" w:lineRule="auto"/>
        <w:tabs>
          <w:tab w:leader="none" w:pos="149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and all obligations of Pledgor under this Agreement are binding upon the successors or assigns of Pledgor, and, together with the rights and remedies of Lender hereunder, inure to the benefit of Lender and their successors and assigns.</w:t>
      </w:r>
    </w:p>
    <w:p>
      <w:pPr>
        <w:spacing w:after="0" w:line="157" w:lineRule="exact"/>
        <w:rPr>
          <w:rFonts w:ascii="Times New Roman" w:cs="Times New Roman" w:eastAsia="Times New Roman" w:hAnsi="Times New Roman"/>
          <w:sz w:val="18"/>
          <w:szCs w:val="18"/>
          <w:color w:val="auto"/>
        </w:rPr>
      </w:pPr>
    </w:p>
    <w:p>
      <w:pPr>
        <w:jc w:val="both"/>
        <w:ind w:left="200" w:right="219" w:firstLine="657"/>
        <w:spacing w:after="0" w:line="236" w:lineRule="auto"/>
        <w:tabs>
          <w:tab w:leader="none" w:pos="149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Pledgor agrees to indemnify and hold harmless Lender, and its affiliates, officers, directors, employees, attorneys, and other agents from and against any and all claims, causes of action, and judgments, of any nature, arising under, or in connection with, this Agreement, the assignment of Pledgor’s rights in and to the Deposit Account, or any other claim made by any person or entity in connection with this Agreement unless said claim was caused by the gross negligence or intentional misconduct of Lender.</w:t>
      </w:r>
    </w:p>
    <w:p>
      <w:pPr>
        <w:spacing w:after="0" w:line="181" w:lineRule="exact"/>
        <w:rPr>
          <w:rFonts w:ascii="Times New Roman" w:cs="Times New Roman" w:eastAsia="Times New Roman" w:hAnsi="Times New Roman"/>
          <w:sz w:val="19"/>
          <w:szCs w:val="19"/>
          <w:color w:val="auto"/>
        </w:rPr>
      </w:pPr>
    </w:p>
    <w:p>
      <w:pPr>
        <w:ind w:left="200" w:right="239" w:firstLine="657"/>
        <w:spacing w:after="0" w:line="258" w:lineRule="auto"/>
        <w:tabs>
          <w:tab w:leader="none" w:pos="149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This Agreement is for the benefit of Lender and Pledgor only and is not intended to benefit any other third party.</w:t>
      </w:r>
    </w:p>
    <w:p>
      <w:pPr>
        <w:spacing w:after="0" w:line="158" w:lineRule="exact"/>
        <w:rPr>
          <w:rFonts w:ascii="Times New Roman" w:cs="Times New Roman" w:eastAsia="Times New Roman" w:hAnsi="Times New Roman"/>
          <w:sz w:val="19"/>
          <w:szCs w:val="19"/>
          <w:color w:val="auto"/>
        </w:rPr>
      </w:pPr>
    </w:p>
    <w:p>
      <w:pPr>
        <w:ind w:left="1500" w:hanging="643"/>
        <w:spacing w:after="0"/>
        <w:tabs>
          <w:tab w:leader="none" w:pos="150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NON-BORROWER PLEDGOR PROVISIONS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jc w:val="both"/>
        <w:ind w:left="860" w:right="219" w:firstLine="645"/>
        <w:spacing w:after="0" w:line="239" w:lineRule="auto"/>
        <w:tabs>
          <w:tab w:leader="none" w:pos="2156"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Rights of Lender</w:t>
      </w:r>
      <w:r>
        <w:rPr>
          <w:rFonts w:ascii="Times New Roman" w:cs="Times New Roman" w:eastAsia="Times New Roman" w:hAnsi="Times New Roman"/>
          <w:sz w:val="22"/>
          <w:szCs w:val="22"/>
          <w:color w:val="auto"/>
        </w:rPr>
        <w:t>. With respect to the Loan, Pledgor authorizes Lender to perform any or all of the following acts at any time in its sole discretion, all without notice to or the consent or approval of Pledgor and without affecting Pledgor's obligations under this Agreement:</w:t>
      </w:r>
    </w:p>
    <w:p>
      <w:pPr>
        <w:spacing w:after="0" w:line="180" w:lineRule="exact"/>
        <w:rPr>
          <w:rFonts w:ascii="Times New Roman" w:cs="Times New Roman" w:eastAsia="Times New Roman" w:hAnsi="Times New Roman"/>
          <w:sz w:val="19"/>
          <w:szCs w:val="19"/>
          <w:color w:val="auto"/>
        </w:rPr>
      </w:pPr>
    </w:p>
    <w:p>
      <w:pPr>
        <w:jc w:val="both"/>
        <w:ind w:left="1500" w:right="219" w:firstLine="653"/>
        <w:spacing w:after="0" w:line="238" w:lineRule="auto"/>
        <w:tabs>
          <w:tab w:leader="none" w:pos="2796" w:val="left"/>
        </w:tabs>
        <w:numPr>
          <w:ilvl w:val="2"/>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Lender, with the consent and agreement of Borrower (if required), may, other than increasing the principal balance of the Note, alter the Loan, including renewing, compromising, extending or accelerating, or otherwise changing the time for payment of, or increasing or decreasing the rate of interest on, all or any part of the Loan.</w:t>
      </w:r>
    </w:p>
    <w:p>
      <w:pPr>
        <w:spacing w:after="0" w:line="176" w:lineRule="exact"/>
        <w:rPr>
          <w:rFonts w:ascii="Times New Roman" w:cs="Times New Roman" w:eastAsia="Times New Roman" w:hAnsi="Times New Roman"/>
          <w:sz w:val="19"/>
          <w:szCs w:val="19"/>
          <w:color w:val="auto"/>
        </w:rPr>
      </w:pPr>
    </w:p>
    <w:p>
      <w:pPr>
        <w:jc w:val="both"/>
        <w:ind w:left="1500" w:right="219" w:firstLine="653"/>
        <w:spacing w:after="0" w:line="244" w:lineRule="auto"/>
        <w:tabs>
          <w:tab w:leader="none" w:pos="2796" w:val="left"/>
        </w:tabs>
        <w:numPr>
          <w:ilvl w:val="2"/>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Lender may take and hold security for the Loan, accept additional or substituted security therefor, and subordinate, exchange, enforce, waive, release, compromise, and sell or otherwise dispose of any such security.</w:t>
      </w:r>
    </w:p>
    <w:p>
      <w:pPr>
        <w:spacing w:after="0" w:line="173" w:lineRule="exact"/>
        <w:rPr>
          <w:rFonts w:ascii="Times New Roman" w:cs="Times New Roman" w:eastAsia="Times New Roman" w:hAnsi="Times New Roman"/>
          <w:sz w:val="19"/>
          <w:szCs w:val="19"/>
          <w:color w:val="auto"/>
        </w:rPr>
      </w:pPr>
    </w:p>
    <w:p>
      <w:pPr>
        <w:ind w:left="1500" w:right="239" w:firstLine="653"/>
        <w:spacing w:after="0" w:line="282" w:lineRule="auto"/>
        <w:tabs>
          <w:tab w:leader="none" w:pos="279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Lender may apply any payments or recoveries from Borrower, of the Loan or any other source, and any proceeds of any security, to the Loan in such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5" w:name="page116"/>
    <w:bookmarkEnd w:id="115"/>
    <w:p>
      <w:pPr>
        <w:ind w:left="1500" w:right="219"/>
        <w:spacing w:after="0" w:line="258" w:lineRule="auto"/>
        <w:rPr>
          <w:sz w:val="20"/>
          <w:szCs w:val="20"/>
          <w:color w:val="auto"/>
        </w:rPr>
      </w:pPr>
      <w:r>
        <w:rPr>
          <w:rFonts w:ascii="Times New Roman" w:cs="Times New Roman" w:eastAsia="Times New Roman" w:hAnsi="Times New Roman"/>
          <w:sz w:val="22"/>
          <w:szCs w:val="22"/>
          <w:color w:val="auto"/>
        </w:rPr>
        <w:t>manner, order and priority as Lender may elect, whether or not those obligations are secured at the time of the application.</w:t>
      </w:r>
    </w:p>
    <w:p>
      <w:pPr>
        <w:spacing w:after="0" w:line="159" w:lineRule="exact"/>
        <w:rPr>
          <w:sz w:val="20"/>
          <w:szCs w:val="20"/>
          <w:color w:val="auto"/>
        </w:rPr>
      </w:pPr>
    </w:p>
    <w:p>
      <w:pPr>
        <w:jc w:val="both"/>
        <w:ind w:left="1500" w:right="239" w:firstLine="653"/>
        <w:spacing w:after="0" w:line="244" w:lineRule="auto"/>
        <w:tabs>
          <w:tab w:leader="none" w:pos="2796"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In addition to the Loan, Lender may extend other credit to Borrower, and may take and hold security for the credit so extended, all without affecting Pledgor's liability under this Agreement.</w:t>
      </w:r>
    </w:p>
    <w:p>
      <w:pPr>
        <w:spacing w:after="0" w:line="173" w:lineRule="exact"/>
        <w:rPr>
          <w:rFonts w:ascii="Times New Roman" w:cs="Times New Roman" w:eastAsia="Times New Roman" w:hAnsi="Times New Roman"/>
          <w:sz w:val="19"/>
          <w:szCs w:val="19"/>
          <w:color w:val="auto"/>
        </w:rPr>
      </w:pPr>
    </w:p>
    <w:p>
      <w:pPr>
        <w:ind w:left="860" w:right="219" w:firstLine="645"/>
        <w:spacing w:after="0" w:line="258" w:lineRule="auto"/>
        <w:tabs>
          <w:tab w:leader="none" w:pos="2156"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Pledgor's Waivers</w:t>
      </w:r>
      <w:r>
        <w:rPr>
          <w:rFonts w:ascii="Times New Roman" w:cs="Times New Roman" w:eastAsia="Times New Roman" w:hAnsi="Times New Roman"/>
          <w:sz w:val="22"/>
          <w:szCs w:val="22"/>
          <w:color w:val="auto"/>
        </w:rPr>
        <w:t>. Pledgor waives to the full extent permitted under applicable law:</w:t>
      </w:r>
    </w:p>
    <w:p>
      <w:pPr>
        <w:spacing w:after="0" w:line="158" w:lineRule="exact"/>
        <w:rPr>
          <w:rFonts w:ascii="Times New Roman" w:cs="Times New Roman" w:eastAsia="Times New Roman" w:hAnsi="Times New Roman"/>
          <w:sz w:val="19"/>
          <w:szCs w:val="19"/>
          <w:color w:val="auto"/>
        </w:rPr>
      </w:pPr>
    </w:p>
    <w:p>
      <w:pPr>
        <w:jc w:val="both"/>
        <w:ind w:left="1500" w:right="219" w:firstLine="653"/>
        <w:spacing w:after="0" w:line="261" w:lineRule="auto"/>
        <w:tabs>
          <w:tab w:leader="none" w:pos="279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right it may have to require Lender to proceed against Borrower or any other person, proceed against or exhaust any security held from Borrower or any other person, or pursue any other remedy in Lender's power to pursue;</w:t>
      </w:r>
    </w:p>
    <w:p>
      <w:pPr>
        <w:spacing w:after="0" w:line="157" w:lineRule="exact"/>
        <w:rPr>
          <w:rFonts w:ascii="Times New Roman" w:cs="Times New Roman" w:eastAsia="Times New Roman" w:hAnsi="Times New Roman"/>
          <w:sz w:val="18"/>
          <w:szCs w:val="18"/>
          <w:color w:val="auto"/>
        </w:rPr>
      </w:pPr>
    </w:p>
    <w:p>
      <w:pPr>
        <w:ind w:left="1500" w:right="219" w:firstLine="653"/>
        <w:spacing w:after="0" w:line="258" w:lineRule="auto"/>
        <w:tabs>
          <w:tab w:leader="none" w:pos="27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Any defense based on any claim that Pledgor's obligations exceed or are more burdensome than those of Borrower;</w:t>
      </w:r>
    </w:p>
    <w:p>
      <w:pPr>
        <w:spacing w:after="0" w:line="158" w:lineRule="exact"/>
        <w:rPr>
          <w:rFonts w:ascii="Times New Roman" w:cs="Times New Roman" w:eastAsia="Times New Roman" w:hAnsi="Times New Roman"/>
          <w:sz w:val="19"/>
          <w:szCs w:val="19"/>
          <w:color w:val="auto"/>
        </w:rPr>
      </w:pPr>
    </w:p>
    <w:p>
      <w:pPr>
        <w:jc w:val="both"/>
        <w:ind w:left="1500" w:right="219" w:firstLine="653"/>
        <w:spacing w:after="0" w:line="235" w:lineRule="auto"/>
        <w:tabs>
          <w:tab w:leader="none" w:pos="27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Any defense based on (i) any legal disability of Borrower or any other person, (ii) any release, discharge, modification, impairment, or limitation of the liability of Borrower or any other person to Lender from any cause, whether consented to by Lender or arising by operation of law or from any bankruptcy or other voluntary or involuntary proceeding, in or out of court, for the adjustment of debtor-creditor relationships ("</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and (iii) any rejection or disaffirmance of all or any part of the Loan, or any security therefor, in any such Insolvency Proceeding;</w:t>
      </w:r>
    </w:p>
    <w:p>
      <w:pPr>
        <w:spacing w:after="0" w:line="178" w:lineRule="exact"/>
        <w:rPr>
          <w:rFonts w:ascii="Times New Roman" w:cs="Times New Roman" w:eastAsia="Times New Roman" w:hAnsi="Times New Roman"/>
          <w:sz w:val="19"/>
          <w:szCs w:val="19"/>
          <w:color w:val="auto"/>
        </w:rPr>
      </w:pPr>
    </w:p>
    <w:p>
      <w:pPr>
        <w:jc w:val="both"/>
        <w:ind w:left="1500" w:right="219" w:firstLine="653"/>
        <w:spacing w:after="0" w:line="238" w:lineRule="auto"/>
        <w:tabs>
          <w:tab w:leader="none" w:pos="27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Any defense based on any action taken or omitted by Lender in any Insolvency Proceeding involving Borrower, including any election to have Lender's claim allowed as being secured, partially secured or unsecured, any extension of credit by Lender to Borrower in any Insolvency Proceeding, and the taking and holding by Lender of any security for any such extension of credit;</w:t>
      </w:r>
    </w:p>
    <w:p>
      <w:pPr>
        <w:spacing w:after="0" w:line="176" w:lineRule="exact"/>
        <w:rPr>
          <w:rFonts w:ascii="Times New Roman" w:cs="Times New Roman" w:eastAsia="Times New Roman" w:hAnsi="Times New Roman"/>
          <w:sz w:val="19"/>
          <w:szCs w:val="19"/>
          <w:color w:val="auto"/>
        </w:rPr>
      </w:pPr>
    </w:p>
    <w:p>
      <w:pPr>
        <w:jc w:val="both"/>
        <w:ind w:left="1500" w:right="219" w:firstLine="653"/>
        <w:spacing w:after="0" w:line="239" w:lineRule="auto"/>
        <w:tabs>
          <w:tab w:leader="none" w:pos="27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All presentments, demands for performance, notices of nonperformance, protests, notices of protest, notices of dishonor, and of the existence, creation, or incurring of new or additional indebtedness, and demands and notices of every kind except as provide for herein;</w:t>
      </w:r>
    </w:p>
    <w:p>
      <w:pPr>
        <w:spacing w:after="0" w:line="180" w:lineRule="exact"/>
        <w:rPr>
          <w:rFonts w:ascii="Times New Roman" w:cs="Times New Roman" w:eastAsia="Times New Roman" w:hAnsi="Times New Roman"/>
          <w:sz w:val="19"/>
          <w:szCs w:val="19"/>
          <w:color w:val="auto"/>
        </w:rPr>
      </w:pPr>
    </w:p>
    <w:p>
      <w:pPr>
        <w:ind w:left="1500" w:right="219" w:firstLine="653"/>
        <w:spacing w:after="0" w:line="258" w:lineRule="auto"/>
        <w:tabs>
          <w:tab w:leader="none" w:pos="27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Any defense based on or arising out of any defense that Borrower may have to the payment or performance of all or any part of the Loan;</w:t>
      </w:r>
    </w:p>
    <w:p>
      <w:pPr>
        <w:spacing w:after="0" w:line="158" w:lineRule="exact"/>
        <w:rPr>
          <w:rFonts w:ascii="Times New Roman" w:cs="Times New Roman" w:eastAsia="Times New Roman" w:hAnsi="Times New Roman"/>
          <w:sz w:val="19"/>
          <w:szCs w:val="19"/>
          <w:color w:val="auto"/>
        </w:rPr>
      </w:pPr>
    </w:p>
    <w:p>
      <w:pPr>
        <w:jc w:val="both"/>
        <w:ind w:left="1500" w:right="219" w:firstLine="653"/>
        <w:spacing w:after="0" w:line="239" w:lineRule="auto"/>
        <w:tabs>
          <w:tab w:leader="none" w:pos="27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Any defense based on the unenforceability or invalidity of any collateral assignment, security or guaranty with respect to the Loan, or the lack of perfection or continuing perfection or lack of priority of any lien which secures the Loan; and</w:t>
      </w:r>
    </w:p>
    <w:p>
      <w:pPr>
        <w:spacing w:after="0" w:line="180" w:lineRule="exact"/>
        <w:rPr>
          <w:rFonts w:ascii="Times New Roman" w:cs="Times New Roman" w:eastAsia="Times New Roman" w:hAnsi="Times New Roman"/>
          <w:sz w:val="19"/>
          <w:szCs w:val="19"/>
          <w:color w:val="auto"/>
        </w:rPr>
      </w:pPr>
    </w:p>
    <w:p>
      <w:pPr>
        <w:ind w:left="1500" w:right="219" w:firstLine="653"/>
        <w:spacing w:after="0" w:line="258" w:lineRule="auto"/>
        <w:tabs>
          <w:tab w:leader="none" w:pos="2796"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Any suretyship defenses Pledgor has or would have under the laws of the State of Arizona or any other jurisdiction.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6" w:name="page117"/>
    <w:bookmarkEnd w:id="116"/>
    <w:p>
      <w:pPr>
        <w:ind w:left="2160" w:hanging="655"/>
        <w:spacing w:after="0"/>
        <w:tabs>
          <w:tab w:leader="none" w:pos="216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Waivers of Subrogation and Other Rights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jc w:val="both"/>
        <w:ind w:left="1500" w:right="219" w:firstLine="653"/>
        <w:spacing w:after="0" w:line="233" w:lineRule="auto"/>
        <w:tabs>
          <w:tab w:leader="none" w:pos="279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Upon a default by Borrower, Lender in its sole discretion, subject to Section 3(d), without prior notice to or consent of Pledgor, may elect to (i) foreclose any Collateral that Lender may hold for the Loan, (ii) compromise or adjust all or any part of the Loan or make any other accommodation with Borrower or any Pledgor, or (iii) exercise any other remedy against Borrower or any security. No such action by Lender shall release or limit the liability of Pledgor, who shall remain liable under this Agreement after the action, even if the effect of the action is to deprive Pledgor of any subrogation rights, rights of indemnity, or other rights to collect reimbursement from Borrower for any sums paid to Lender, whether contractual or arising by operation of law or otherwise. Pledgor expressly agrees that under no circumstances shall it be deemed to have any right, title, interest, or claim in or to any property to be held by Lender or any third party after any foreclosure of any security for the Loan.</w:t>
      </w:r>
    </w:p>
    <w:p>
      <w:pPr>
        <w:spacing w:after="0" w:line="182" w:lineRule="exact"/>
        <w:rPr>
          <w:rFonts w:ascii="Times New Roman" w:cs="Times New Roman" w:eastAsia="Times New Roman" w:hAnsi="Times New Roman"/>
          <w:sz w:val="19"/>
          <w:szCs w:val="19"/>
          <w:color w:val="auto"/>
        </w:rPr>
      </w:pPr>
    </w:p>
    <w:p>
      <w:pPr>
        <w:jc w:val="both"/>
        <w:ind w:left="1500" w:right="219" w:firstLine="653"/>
        <w:spacing w:after="0" w:line="234" w:lineRule="auto"/>
        <w:tabs>
          <w:tab w:leader="none" w:pos="2796"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Regardless of whether Pledgor may have made any payments to Lender, until such time as the Loan is fully and completely paid, Pledgor waives (i) all rights of subrogation, all rights of indemnity, and any other rights to collect reimbursement from Borrower for any sums paid by Pledgor to Lender with respect to the Loan, whether contractual or arising by operation of law (including the United States Bankruptcy Code or any successor or similar statute) or otherwise, (ii) all rights to enforce any remedy that Pledgor may have against Borrower with respect to the Loan, and (iii) all rights to participate in any security now or later to be held by Lender for the Loan.</w:t>
      </w:r>
    </w:p>
    <w:p>
      <w:pPr>
        <w:spacing w:after="0" w:line="183" w:lineRule="exact"/>
        <w:rPr>
          <w:rFonts w:ascii="Times New Roman" w:cs="Times New Roman" w:eastAsia="Times New Roman" w:hAnsi="Times New Roman"/>
          <w:sz w:val="19"/>
          <w:szCs w:val="19"/>
          <w:color w:val="auto"/>
        </w:rPr>
      </w:pPr>
    </w:p>
    <w:p>
      <w:pPr>
        <w:ind w:left="860" w:right="219" w:firstLine="645"/>
        <w:spacing w:after="0" w:line="233" w:lineRule="auto"/>
        <w:tabs>
          <w:tab w:leader="none" w:pos="2156"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Information Regarding Borrower and the Property</w:t>
      </w:r>
      <w:r>
        <w:rPr>
          <w:rFonts w:ascii="Times New Roman" w:cs="Times New Roman" w:eastAsia="Times New Roman" w:hAnsi="Times New Roman"/>
          <w:sz w:val="22"/>
          <w:szCs w:val="22"/>
          <w:color w:val="auto"/>
        </w:rPr>
        <w:t>. Pledgor warrants and agrees that Pledgor has not relied, and will not rely, on any representations and warranties by Lender to Pledgor with respect to the creditworthiness of Borrower or the prospects of repayment of the Loan from sources other than the Collateral. Before signing this Agreement, Pledgor will have investigated the financial condition and business operations of Borrower and such other matters as Pledgor may deem appropriate to assure itself of Borrower's ability to discharge its obligations under or with respect to the Loan. Pledgor assumes full responsibility for such due diligence, as well as for keeping informed of all matters which may affect Borrower's ability to pay and perform its obligations to Lender. Lender has no duty to disclose to Pledgor any information which Lender may have or receive about Borrower's financial condition or business operations or any other circumstances bearing on Borrower's ability to perform. Pledgor and its counsel have reviewed the terms and conditions of the Loan Documents and consents to all provisions thereof.</w:t>
      </w:r>
    </w:p>
    <w:p>
      <w:pPr>
        <w:spacing w:after="0" w:line="179" w:lineRule="exact"/>
        <w:rPr>
          <w:rFonts w:ascii="Times New Roman" w:cs="Times New Roman" w:eastAsia="Times New Roman" w:hAnsi="Times New Roman"/>
          <w:sz w:val="19"/>
          <w:szCs w:val="19"/>
          <w:color w:val="auto"/>
        </w:rPr>
      </w:pPr>
    </w:p>
    <w:p>
      <w:pPr>
        <w:jc w:val="both"/>
        <w:ind w:left="860" w:right="219" w:firstLine="645"/>
        <w:spacing w:after="0" w:line="251" w:lineRule="auto"/>
        <w:tabs>
          <w:tab w:leader="none" w:pos="215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Subordination</w:t>
      </w:r>
      <w:r>
        <w:rPr>
          <w:rFonts w:ascii="Times New Roman" w:cs="Times New Roman" w:eastAsia="Times New Roman" w:hAnsi="Times New Roman"/>
          <w:sz w:val="21"/>
          <w:szCs w:val="21"/>
          <w:color w:val="auto"/>
        </w:rPr>
        <w:t>. Any rights of Pledgor, whether now existing or later arising, to receive payment on account of any indebtedness (including interest) owed to it by Borrower or any subsequent owner of any of the Collateral, or to withdraw capital invested by it in Borrower (if applicable), or to receive distributions from Borrower (if applicable), shall at all times be subordinate as to lien and time of payment and in all other respects to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7" w:name="page118"/>
    <w:bookmarkEnd w:id="117"/>
    <w:p>
      <w:pPr>
        <w:jc w:val="both"/>
        <w:ind w:left="860" w:right="219"/>
        <w:spacing w:after="0" w:line="235" w:lineRule="auto"/>
        <w:rPr>
          <w:sz w:val="20"/>
          <w:szCs w:val="20"/>
          <w:color w:val="auto"/>
        </w:rPr>
      </w:pPr>
      <w:r>
        <w:rPr>
          <w:rFonts w:ascii="Times New Roman" w:cs="Times New Roman" w:eastAsia="Times New Roman" w:hAnsi="Times New Roman"/>
          <w:sz w:val="22"/>
          <w:szCs w:val="22"/>
          <w:color w:val="auto"/>
        </w:rPr>
        <w:t xml:space="preserve">the full and prior repayment to Lender of all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prior to the occurrence of an Event of Default, Pledgor may receive payments of such subordinated obligations in the ordinary course of business and in a manner that is consistent with past practices. For the avoidance of doubt, this Section 19(e) does not apply to any payments made by Borrower and received by Pledgor under and pursuant to that certain Master Services Agreement between Borrower and Pledgor, dated July 1, 2018 (as the same may be amended and/or amended and restated from time to time).</w:t>
      </w:r>
    </w:p>
    <w:p>
      <w:pPr>
        <w:spacing w:after="0" w:line="184" w:lineRule="exact"/>
        <w:rPr>
          <w:sz w:val="20"/>
          <w:szCs w:val="20"/>
          <w:color w:val="auto"/>
        </w:rPr>
      </w:pPr>
    </w:p>
    <w:p>
      <w:pPr>
        <w:ind w:left="2160" w:hanging="655"/>
        <w:spacing w:after="0"/>
        <w:tabs>
          <w:tab w:leader="none" w:pos="216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19"/>
          <w:szCs w:val="19"/>
          <w:color w:val="auto"/>
        </w:rPr>
      </w:pPr>
    </w:p>
    <w:p>
      <w:pPr>
        <w:jc w:val="both"/>
        <w:ind w:left="1500" w:right="219" w:firstLine="653"/>
        <w:spacing w:after="0" w:line="239" w:lineRule="auto"/>
        <w:tabs>
          <w:tab w:leader="none" w:pos="2796"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Pledgor acknowledges that it expects to benefit from Lender's entering into certain material transactions with respect to the Loan because of Pledgor's relationship to Borrower, and that it is executing this Agreement in consideration of such anticipated benefit.</w:t>
      </w:r>
    </w:p>
    <w:p>
      <w:pPr>
        <w:spacing w:after="0" w:line="180" w:lineRule="exact"/>
        <w:rPr>
          <w:rFonts w:ascii="Times New Roman" w:cs="Times New Roman" w:eastAsia="Times New Roman" w:hAnsi="Times New Roman"/>
          <w:sz w:val="19"/>
          <w:szCs w:val="19"/>
          <w:color w:val="auto"/>
        </w:rPr>
      </w:pPr>
    </w:p>
    <w:p>
      <w:pPr>
        <w:jc w:val="both"/>
        <w:ind w:left="1500" w:right="219" w:firstLine="653"/>
        <w:spacing w:after="0" w:line="249" w:lineRule="auto"/>
        <w:tabs>
          <w:tab w:leader="none" w:pos="279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Pledgor does not intend to defraud any of its creditors by execution and delivery of this Agreement. Pledgor is not insolvent, and Pledgor shall not be rendered insolvent by virtue of such execution of this Agreement. Pledgor has determined that, in its opinion, the fair market value of the benefits to be derived by it from such execution of this Agreement will equal or exceed the cost and expense that may be incurred by Pledgor under or in connection with this Agreement.</w:t>
      </w:r>
    </w:p>
    <w:p>
      <w:pPr>
        <w:spacing w:after="0" w:line="170" w:lineRule="exact"/>
        <w:rPr>
          <w:rFonts w:ascii="Times New Roman" w:cs="Times New Roman" w:eastAsia="Times New Roman" w:hAnsi="Times New Roman"/>
          <w:sz w:val="18"/>
          <w:szCs w:val="18"/>
          <w:color w:val="auto"/>
        </w:rPr>
      </w:pPr>
    </w:p>
    <w:p>
      <w:pPr>
        <w:jc w:val="both"/>
        <w:ind w:left="860" w:right="219" w:firstLine="645"/>
        <w:spacing w:after="0" w:line="235" w:lineRule="auto"/>
        <w:tabs>
          <w:tab w:leader="none" w:pos="2156"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Lawfulness and Reasonableness</w:t>
      </w:r>
      <w:r>
        <w:rPr>
          <w:rFonts w:ascii="Times New Roman" w:cs="Times New Roman" w:eastAsia="Times New Roman" w:hAnsi="Times New Roman"/>
          <w:sz w:val="22"/>
          <w:szCs w:val="22"/>
          <w:color w:val="auto"/>
        </w:rPr>
        <w:t>. Pledgor warrants that all of the waivers in this Agreement are made with full knowledge of their significance, and of the fact that events giving rise to any defense or other benefit waived by Pledgor may destroy or impair rights which Pledgor would otherwise have against Lender, Borrower and other persons, or against collateral. Pledgor agrees that (i) all such waivers are reasonable under the circumstances and (ii) if any such waiver is determined (by a court of competent jurisdiction) to be contrary to any law or public policy, the other waivers herein shall nonetheless remain in full force and effect.</w:t>
      </w:r>
    </w:p>
    <w:p>
      <w:pPr>
        <w:spacing w:after="0" w:line="178" w:lineRule="exact"/>
        <w:rPr>
          <w:rFonts w:ascii="Times New Roman" w:cs="Times New Roman" w:eastAsia="Times New Roman" w:hAnsi="Times New Roman"/>
          <w:sz w:val="19"/>
          <w:szCs w:val="19"/>
          <w:color w:val="auto"/>
        </w:rPr>
      </w:pPr>
    </w:p>
    <w:p>
      <w:pPr>
        <w:jc w:val="both"/>
        <w:ind w:left="860" w:right="219" w:firstLine="645"/>
        <w:spacing w:after="0" w:line="244" w:lineRule="auto"/>
        <w:tabs>
          <w:tab w:leader="none" w:pos="21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Limitation on Amount Obligated; Contribution by Other Persons</w:t>
      </w:r>
      <w:r>
        <w:rPr>
          <w:rFonts w:ascii="Times New Roman" w:cs="Times New Roman" w:eastAsia="Times New Roman" w:hAnsi="Times New Roman"/>
          <w:sz w:val="21"/>
          <w:szCs w:val="21"/>
          <w:color w:val="auto"/>
        </w:rPr>
        <w:t>. Anything contained in this Agreement to the contrary notwithstanding, if any Fraudulent Transfer Law (as hereinafter defined) is determined by a court of competent jurisdiction to be applicable to the Loan of Pledgor under this Agreement, such obligations shall be limited to a maximum aggregate amount equal to the largest amount that would not render Pledgor's obligations under this Agreement subject to avoidance as a fraudulent transfer or conveyance under Section 548 of Title 11 of the United States Code or any applicable provisions of comparable state law (collectively, the "</w:t>
      </w:r>
      <w:r>
        <w:rPr>
          <w:rFonts w:ascii="Times New Roman" w:cs="Times New Roman" w:eastAsia="Times New Roman" w:hAnsi="Times New Roman"/>
          <w:sz w:val="21"/>
          <w:szCs w:val="21"/>
          <w:u w:val="single" w:color="auto"/>
          <w:color w:val="auto"/>
        </w:rPr>
        <w:t>Fraudulent Transfer Laws</w:t>
      </w:r>
      <w:r>
        <w:rPr>
          <w:rFonts w:ascii="Times New Roman" w:cs="Times New Roman" w:eastAsia="Times New Roman" w:hAnsi="Times New Roman"/>
          <w:sz w:val="21"/>
          <w:szCs w:val="21"/>
          <w:color w:val="auto"/>
        </w:rPr>
        <w:t>"), in each case after giving effect to all other liabilities of Pledgor, contingent or otherwise, that are relevant under the Fraudulent Transfer Laws (specifically excluding, however, any liabilities of Pledgor in respect of intercompany indebtedness, if any, to Borrower or any affiliate of Borrower to the extent that such indebtedness would be discharged in an amount equal to the amount paid by Pledgor under this Agreement pursuant to which the liability of Pledgor under this Agreement is included in the liabilities taken into account in</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8" w:name="page119"/>
    <w:bookmarkEnd w:id="118"/>
    <w:p>
      <w:pPr>
        <w:jc w:val="both"/>
        <w:ind w:left="860" w:right="219"/>
        <w:spacing w:after="0"/>
        <w:rPr>
          <w:sz w:val="20"/>
          <w:szCs w:val="20"/>
          <w:color w:val="auto"/>
        </w:rPr>
      </w:pPr>
      <w:r>
        <w:rPr>
          <w:rFonts w:ascii="Times New Roman" w:cs="Times New Roman" w:eastAsia="Times New Roman" w:hAnsi="Times New Roman"/>
          <w:sz w:val="22"/>
          <w:szCs w:val="22"/>
          <w:color w:val="auto"/>
        </w:rPr>
        <w:t>determining such maximum amount) and after giving effect as assets to the value (as determined under the applicable provisions of the Fraudulent Transfer Laws) of any rights to subrogation, reimbursement, indemnification, or contribution of Pledgor pursuant to applicable law or pursuant to the terms of any agreement.</w:t>
      </w:r>
    </w:p>
    <w:p>
      <w:pPr>
        <w:spacing w:after="0" w:line="177" w:lineRule="exact"/>
        <w:rPr>
          <w:sz w:val="20"/>
          <w:szCs w:val="20"/>
          <w:color w:val="auto"/>
        </w:rPr>
      </w:pPr>
    </w:p>
    <w:p>
      <w:pPr>
        <w:jc w:val="both"/>
        <w:ind w:left="860" w:right="219" w:firstLine="645"/>
        <w:spacing w:after="0" w:line="232" w:lineRule="auto"/>
        <w:tabs>
          <w:tab w:leader="none" w:pos="215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Pledgor hereby acknowledges that (i) the obligations undertaken by Pledgor in the this Agreement are complex in nature, (ii) numerous possible defenses to the enforceability of these obligations may presently exist and/or may arise hereafter, (iii) as part of Lender's consideration for accepting this Agreement, Lender has specifically bargained for the waiver and relinquishment by Pledgor of all such defenses, and (iv) Pledgor has had the opportunity to seek and receive legal advice from skilled legal counsel in the area of financial transactions of the type contemplated herein. Given all of the above, Pledgor hereby represents and confirms to Lender that Pledgor is fully informed regarding, and that Pledgor does thoroughly understand, (w) the nature of all such possible defenses, (x) the circumstances under which such defenses may arise, (y) the benefits which such defenses might confer upon Pledgor, and (z) the legal consequences to Pledgor of waiving such defenses. Pledgor acknowledges that Pledgor enters into this Agreement with the intent that this Agreement and all of the informed waivers in this Agreement shall each and all be fully enforceable by Lender to the extent lawful, and that Lender is accepting this Agreement in material reliance upon the presumed full enforceability thereof.</w:t>
      </w:r>
    </w:p>
    <w:p>
      <w:pPr>
        <w:spacing w:after="0" w:line="191" w:lineRule="exact"/>
        <w:rPr>
          <w:rFonts w:ascii="Times New Roman" w:cs="Times New Roman" w:eastAsia="Times New Roman" w:hAnsi="Times New Roman"/>
          <w:sz w:val="19"/>
          <w:szCs w:val="19"/>
          <w:color w:val="auto"/>
        </w:rPr>
      </w:pPr>
    </w:p>
    <w:p>
      <w:pPr>
        <w:jc w:val="both"/>
        <w:ind w:left="860" w:right="219" w:firstLine="645"/>
        <w:spacing w:after="0" w:line="244" w:lineRule="auto"/>
        <w:tabs>
          <w:tab w:leader="none" w:pos="215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part of this Agreement is unenforceable or invalid, then that part of the Agreement will be removed from the Agreement. All remaining portions of the Agreement will remain enforceable and valid.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jc w:val="center"/>
        <w:ind w:right="19"/>
        <w:spacing w:after="0" w:line="201" w:lineRule="auto"/>
        <w:rPr>
          <w:sz w:val="20"/>
          <w:szCs w:val="20"/>
          <w:color w:val="auto"/>
        </w:rPr>
      </w:pPr>
      <w:r>
        <w:rPr>
          <w:rFonts w:ascii="Times New Roman" w:cs="Times New Roman" w:eastAsia="Times New Roman" w:hAnsi="Times New Roman"/>
          <w:sz w:val="22"/>
          <w:szCs w:val="22"/>
          <w:color w:val="auto"/>
        </w:rPr>
        <w:t>11</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9" w:name="page120"/>
    <w:bookmarkEnd w:id="119"/>
    <w:p>
      <w:pPr>
        <w:ind w:left="200" w:right="27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or caused this instrument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 xml:space="preserve">GRAND CANYON EDUCATION, INC., </w:t>
      </w:r>
      <w:r>
        <w:rPr>
          <w:rFonts w:ascii="Times New Roman" w:cs="Times New Roman" w:eastAsia="Times New Roman" w:hAnsi="Times New Roman"/>
          <w:sz w:val="22"/>
          <w:szCs w:val="22"/>
          <w:color w:val="auto"/>
        </w:rPr>
        <w:t>a</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Delaware corporation</w:t>
      </w:r>
    </w:p>
    <w:p>
      <w:pPr>
        <w:spacing w:after="0" w:line="200" w:lineRule="exact"/>
        <w:rPr>
          <w:sz w:val="20"/>
          <w:szCs w:val="20"/>
          <w:color w:val="auto"/>
        </w:rPr>
      </w:pPr>
    </w:p>
    <w:p>
      <w:pPr>
        <w:spacing w:after="0" w:line="25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/s/ Daniel E. Bachus</w:t>
      </w: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Daniel E. Bachus</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ind w:left="4100" w:right="21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MIDFIRST BANK, </w:t>
      </w:r>
      <w:r>
        <w:rPr>
          <w:rFonts w:ascii="Times New Roman" w:cs="Times New Roman" w:eastAsia="Times New Roman" w:hAnsi="Times New Roman"/>
          <w:sz w:val="22"/>
          <w:szCs w:val="22"/>
          <w:color w:val="auto"/>
        </w:rPr>
        <w:t>a federally chartered savings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association</w:t>
      </w:r>
    </w:p>
    <w:p>
      <w:pPr>
        <w:spacing w:after="0" w:line="200" w:lineRule="exact"/>
        <w:rPr>
          <w:sz w:val="20"/>
          <w:szCs w:val="20"/>
          <w:color w:val="auto"/>
        </w:rPr>
      </w:pPr>
    </w:p>
    <w:p>
      <w:pPr>
        <w:spacing w:after="0" w:line="2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By: /s/ Gary J. Naquin</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Gary J. Naquin</w:t>
      </w:r>
    </w:p>
    <w:p>
      <w:pPr>
        <w:ind w:left="41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ind w:left="200"/>
        <w:spacing w:after="0"/>
        <w:rPr>
          <w:sz w:val="20"/>
          <w:szCs w:val="20"/>
          <w:color w:val="auto"/>
        </w:rPr>
      </w:pPr>
      <w:r>
        <w:rPr>
          <w:rFonts w:ascii="Times New Roman" w:cs="Times New Roman" w:eastAsia="Times New Roman" w:hAnsi="Times New Roman"/>
          <w:sz w:val="14"/>
          <w:szCs w:val="14"/>
          <w:color w:val="auto"/>
        </w:rPr>
        <w:t>1613588799.4</w:t>
      </w:r>
    </w:p>
    <w:p>
      <w:pPr>
        <w:spacing w:after="0" w:line="1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1613588799.4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457835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0" w:name="page121"/>
    <w:bookmarkEnd w:id="120"/>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GRAND CANYON EDUCATION,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Overview</w:t>
      </w:r>
    </w:p>
    <w:p>
      <w:pPr>
        <w:spacing w:after="0" w:line="21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Grand Canyon Education, Inc. (the “Company”) is regularly involved in matters that are sensitive in nature and important to the Company, its employees and its stockholders. Federal securities laws impose certain obligations on the Company regarding the disclosure of material information to the public and certain prohibitions on trading in the Company’s securities by any person in possession of undisclosed material information. To satisfy requirements of federal securities laws, the Company has established the following policies and procedures, which are applicable to all of its employees.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Scope</w:t>
      </w:r>
    </w:p>
    <w:p>
      <w:pPr>
        <w:spacing w:after="0" w:line="102"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This policy applies to all employees/departments of the Company, and its subsidiaries. Any employee found to have violated this policy may be subject to disciplinary action, up to and including termination of employment.</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Policy</w:t>
      </w:r>
    </w:p>
    <w:p>
      <w:pPr>
        <w:spacing w:after="0" w:line="204" w:lineRule="exact"/>
        <w:rPr>
          <w:sz w:val="20"/>
          <w:szCs w:val="20"/>
          <w:color w:val="auto"/>
        </w:rPr>
      </w:pPr>
    </w:p>
    <w:p>
      <w:pPr>
        <w:ind w:left="200" w:right="219" w:firstLine="9"/>
        <w:spacing w:after="0" w:line="264" w:lineRule="auto"/>
        <w:tabs>
          <w:tab w:leader="none" w:pos="84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Trading in Company Securities While in Possession of Material Nonpublic Information is Prohibited</w:t>
      </w:r>
    </w:p>
    <w:p>
      <w:pPr>
        <w:spacing w:after="0" w:line="151"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 xml:space="preserve">The purchase or sale of securities by any person who possesses material nonpublic information is a violation of federal and state securities laws. Furthermore, it is important that the </w:t>
      </w:r>
      <w:r>
        <w:rPr>
          <w:rFonts w:ascii="Times New Roman" w:cs="Times New Roman" w:eastAsia="Times New Roman" w:hAnsi="Times New Roman"/>
          <w:sz w:val="21"/>
          <w:szCs w:val="21"/>
          <w:i w:val="1"/>
          <w:iCs w:val="1"/>
          <w:color w:val="auto"/>
        </w:rPr>
        <w:t>appearance</w:t>
      </w:r>
      <w:r>
        <w:rPr>
          <w:rFonts w:ascii="Times New Roman" w:cs="Times New Roman" w:eastAsia="Times New Roman" w:hAnsi="Times New Roman"/>
          <w:sz w:val="21"/>
          <w:szCs w:val="21"/>
          <w:color w:val="auto"/>
        </w:rPr>
        <w:t>, as well as the fact, of trading on the basis of material nonpublic information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avoided. Therefore, it is the policy of the Company that any person subject to this Insider Trading Policy (“Policy”) who possesses material nonpublic information pertaining to the Company may not trade in the Company’s securities, advise anyone else to do so, or communicate the information to anyone else until you know that the information has been disseminated to the public.</w:t>
      </w:r>
    </w:p>
    <w:p>
      <w:pPr>
        <w:spacing w:after="0" w:line="17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No person subject to this Policy who is aware of material nonpublic information relating to the Company may, directly or indirectly (through family members or other persons or entities):</w:t>
      </w:r>
    </w:p>
    <w:p>
      <w:pPr>
        <w:spacing w:after="0" w:line="158" w:lineRule="exact"/>
        <w:rPr>
          <w:sz w:val="20"/>
          <w:szCs w:val="20"/>
          <w:color w:val="auto"/>
        </w:rPr>
      </w:pPr>
    </w:p>
    <w:p>
      <w:pPr>
        <w:jc w:val="both"/>
        <w:ind w:left="1500" w:right="239" w:hanging="319"/>
        <w:spacing w:after="0" w:line="261" w:lineRule="auto"/>
        <w:tabs>
          <w:tab w:leader="none" w:pos="150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 sell, or otherwise trade in the securities of the Company (other than pursuant to a trading plan that complies with Rule 10b5-1 promulgated by the Securities and Exchange Commission (“SEC”) and in full compliance with </w:t>
      </w:r>
      <w:r>
        <w:rPr>
          <w:rFonts w:ascii="Times New Roman" w:cs="Times New Roman" w:eastAsia="Times New Roman" w:hAnsi="Times New Roman"/>
          <w:sz w:val="21"/>
          <w:szCs w:val="21"/>
          <w:u w:val="single" w:color="auto"/>
          <w:color w:val="auto"/>
        </w:rPr>
        <w:t>Appendix I</w:t>
      </w:r>
      <w:r>
        <w:rPr>
          <w:rFonts w:ascii="Times New Roman" w:cs="Times New Roman" w:eastAsia="Times New Roman" w:hAnsi="Times New Roman"/>
          <w:sz w:val="21"/>
          <w:szCs w:val="21"/>
          <w:color w:val="auto"/>
        </w:rPr>
        <w:t xml:space="preserve"> hereto).</w:t>
      </w:r>
    </w:p>
    <w:p>
      <w:pPr>
        <w:spacing w:after="0" w:line="157" w:lineRule="exact"/>
        <w:rPr>
          <w:rFonts w:ascii="Times New Roman" w:cs="Times New Roman" w:eastAsia="Times New Roman" w:hAnsi="Times New Roman"/>
          <w:sz w:val="21"/>
          <w:szCs w:val="21"/>
          <w:color w:val="auto"/>
        </w:rPr>
      </w:pPr>
    </w:p>
    <w:p>
      <w:pPr>
        <w:ind w:left="1500" w:right="219" w:hanging="319"/>
        <w:spacing w:after="0" w:line="258" w:lineRule="auto"/>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advise any other person to buy, sell or otherwise trade in the securities of the Company.</w:t>
      </w:r>
    </w:p>
    <w:p>
      <w:pPr>
        <w:spacing w:after="0" w:line="158"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engage in any action to take personal advantage of that information.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94" w:right="1440" w:bottom="1440" w:gutter="0" w:footer="0" w:header="0"/>
        </w:sectPr>
      </w:pPr>
    </w:p>
    <w:bookmarkStart w:id="121" w:name="page122"/>
    <w:bookmarkEnd w:id="121"/>
    <w:p>
      <w:pPr>
        <w:ind w:left="1500" w:right="239" w:hanging="319"/>
        <w:spacing w:after="0" w:line="258" w:lineRule="auto"/>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pass that information on to others outside the Company, including friends and family (a practice referred to as “tipping”).</w:t>
      </w:r>
    </w:p>
    <w:p>
      <w:pPr>
        <w:spacing w:after="0" w:line="15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In addition, it is the policy of the Company that no person subject to this Policy who, in the course of working for the Company, learns of material nonpublic information of another company with which the Company does business, such as a customer or supplier, may trade in that company’s securities until that information becomes public or is no longer material. For purposes of this Policy, the term “</w:t>
      </w:r>
      <w:r>
        <w:rPr>
          <w:rFonts w:ascii="Times New Roman" w:cs="Times New Roman" w:eastAsia="Times New Roman" w:hAnsi="Times New Roman"/>
          <w:sz w:val="22"/>
          <w:szCs w:val="22"/>
          <w:b w:val="1"/>
          <w:bCs w:val="1"/>
          <w:i w:val="1"/>
          <w:iCs w:val="1"/>
          <w:color w:val="auto"/>
        </w:rPr>
        <w:t>trade</w:t>
      </w:r>
      <w:r>
        <w:rPr>
          <w:rFonts w:ascii="Times New Roman" w:cs="Times New Roman" w:eastAsia="Times New Roman" w:hAnsi="Times New Roman"/>
          <w:sz w:val="22"/>
          <w:szCs w:val="22"/>
          <w:color w:val="auto"/>
        </w:rPr>
        <w:t>” includes any transaction in Company securities, including gifts and pledges.</w:t>
      </w:r>
    </w:p>
    <w:p>
      <w:pPr>
        <w:spacing w:after="0" w:line="175" w:lineRule="exact"/>
        <w:rPr>
          <w:sz w:val="20"/>
          <w:szCs w:val="20"/>
          <w:color w:val="auto"/>
        </w:rPr>
      </w:pPr>
    </w:p>
    <w:p>
      <w:pPr>
        <w:ind w:left="200" w:right="239" w:firstLine="9"/>
        <w:spacing w:after="0" w:line="264" w:lineRule="auto"/>
        <w:tabs>
          <w:tab w:leader="none" w:pos="848"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All Employees, Officers, Directors, and their Family Members and Affiliates Are Subject to this Policy</w:t>
      </w:r>
    </w:p>
    <w:p>
      <w:pPr>
        <w:spacing w:after="0" w:line="151"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This Policy applies to all employees of the Company, their family members, and entities (such as trusts, limited partnerships, and corporations) over which such individuals have or share voting or investment control. This Policy also applies to any other persons whom the Company’s insider trading Compliance Officer may designate because they have access to material nonpublic information concerning the Company, as well as any person who receives material nonpublic information from any Company insider. For the purposes of this Policy, officers, directors, consultants and any other persons designated by the Compliance Officer are included within the term “employee.” Employees are responsible for ensuring compliance by family members and members of their households and by entities over which they exercise voting or investment control, including any pre-clearances required. For purposes of this Policy, “family members” include people who live with you, or are financially dependent on you, and include those whose transactions in securities are directed by you or are subject to your influence or control.</w:t>
      </w:r>
    </w:p>
    <w:p>
      <w:pPr>
        <w:spacing w:after="0" w:line="168" w:lineRule="exact"/>
        <w:rPr>
          <w:sz w:val="20"/>
          <w:szCs w:val="20"/>
          <w:color w:val="auto"/>
        </w:rPr>
      </w:pPr>
    </w:p>
    <w:p>
      <w:pPr>
        <w:ind w:left="200" w:right="219" w:firstLine="9"/>
        <w:spacing w:after="0" w:line="264" w:lineRule="auto"/>
        <w:tabs>
          <w:tab w:leader="none" w:pos="848"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Trading in Other Public Companies’ Securities While in Possession of Material Nonpublic Information is Prohibited.</w:t>
      </w:r>
    </w:p>
    <w:p>
      <w:pPr>
        <w:spacing w:after="0" w:line="151"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No person subject to this Policy who possesses material nonpublic information relating to other publicly traded companies, including our vendors, customers and partners, as a result of their relationship with the Company or the performance of services on our behalf, may, directly or indirectly (through family members, other persons, entities or otherwise) buy or sell securities of such companies, or advise anyone else to do so, or otherwise engage in any action to take personal advantage of that information.</w:t>
      </w:r>
    </w:p>
    <w:p>
      <w:pPr>
        <w:spacing w:after="0" w:line="175" w:lineRule="exact"/>
        <w:rPr>
          <w:sz w:val="20"/>
          <w:szCs w:val="20"/>
          <w:color w:val="auto"/>
        </w:rPr>
      </w:pPr>
    </w:p>
    <w:p>
      <w:pPr>
        <w:jc w:val="both"/>
        <w:ind w:left="200" w:right="219"/>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IV. </w:t>
      </w:r>
      <w:r>
        <w:rPr>
          <w:rFonts w:ascii="Times New Roman" w:cs="Times New Roman" w:eastAsia="Times New Roman" w:hAnsi="Times New Roman"/>
          <w:sz w:val="22"/>
          <w:szCs w:val="22"/>
          <w:b w:val="1"/>
          <w:bCs w:val="1"/>
          <w:i w:val="1"/>
          <w:iCs w:val="1"/>
          <w:color w:val="auto"/>
        </w:rPr>
        <w:t>Executive Officers, Directors and Certain Named Employees Are Subject to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Restrictions</w:t>
      </w:r>
    </w:p>
    <w:p>
      <w:pPr>
        <w:spacing w:after="0" w:line="145" w:lineRule="exact"/>
        <w:rPr>
          <w:sz w:val="20"/>
          <w:szCs w:val="20"/>
          <w:color w:val="auto"/>
        </w:rPr>
      </w:pPr>
    </w:p>
    <w:p>
      <w:pPr>
        <w:jc w:val="both"/>
        <w:ind w:left="200" w:right="219" w:firstLine="657"/>
        <w:spacing w:after="0" w:line="249" w:lineRule="auto"/>
        <w:tabs>
          <w:tab w:leader="none" w:pos="1172"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Section 16 Insiders. </w:t>
      </w:r>
      <w:r>
        <w:rPr>
          <w:rFonts w:ascii="Times New Roman" w:cs="Times New Roman" w:eastAsia="Times New Roman" w:hAnsi="Times New Roman"/>
          <w:sz w:val="21"/>
          <w:szCs w:val="21"/>
          <w:color w:val="auto"/>
        </w:rPr>
        <w:t>The Company has designated certain persons as the directors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executive officers who are subject to the reporting provisions and trading restrictions of Section 16 of the Securities Exchange Act of 1934, as amended (the “Exchange Act”), and the underlying rules and regulations promulgated by the SEC. Each such person is referred to herein as a “Section 16 Insider.” The Compliance Officer will maintain the list of Section 16 Insiders, periodically notify each Section 16 Insider of his or her status as such and amend the list from time to time as necessary to reflect the addition and the resignation or departure of Section 16 Insiders.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22" w:name="page123"/>
    <w:bookmarkEnd w:id="122"/>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b w:val="1"/>
          <w:bCs w:val="1"/>
          <w:i w:val="1"/>
          <w:iCs w:val="1"/>
          <w:color w:val="auto"/>
        </w:rPr>
        <w:t>Insider Employees.</w:t>
      </w:r>
      <w:r>
        <w:rPr>
          <w:rFonts w:ascii="Times New Roman" w:cs="Times New Roman" w:eastAsia="Times New Roman" w:hAnsi="Times New Roman"/>
          <w:sz w:val="22"/>
          <w:szCs w:val="22"/>
          <w:color w:val="auto"/>
        </w:rPr>
        <w:t xml:space="preserve"> The Company has designated additional persons as employees who have frequent access to material nonpublic information concerning the Company (“Insider Employees”). The Compliance Officer will maintain the list of Insider Employees, periodically notify each Insider Employee of his or her status as such and will amend the list from time to time as necessary to reflect the addition and departure of Insider Employees.</w:t>
      </w:r>
    </w:p>
    <w:p>
      <w:pPr>
        <w:spacing w:after="0" w:line="171" w:lineRule="exact"/>
        <w:rPr>
          <w:sz w:val="20"/>
          <w:szCs w:val="20"/>
          <w:color w:val="auto"/>
        </w:rPr>
      </w:pPr>
    </w:p>
    <w:p>
      <w:pPr>
        <w:jc w:val="both"/>
        <w:ind w:left="200" w:right="219" w:firstLine="657"/>
        <w:spacing w:after="0" w:line="237" w:lineRule="auto"/>
        <w:tabs>
          <w:tab w:leader="none" w:pos="117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Additional Restrictions. </w:t>
      </w:r>
      <w:r>
        <w:rPr>
          <w:rFonts w:ascii="Times New Roman" w:cs="Times New Roman" w:eastAsia="Times New Roman" w:hAnsi="Times New Roman"/>
          <w:sz w:val="22"/>
          <w:szCs w:val="22"/>
          <w:color w:val="auto"/>
        </w:rPr>
        <w:t>Because Section 16 Insiders and Insider Employees regularly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possess material nonpublic information about the Company, and in light of the reporting requirements to which Section 16 Insiders are subject under Section 16 of the Exchange Act, Section 16 Insiders and Insider Employees are subject to the additional restrictions set forth in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xml:space="preserve"> hereto. For purposes of this Policy, Section 16 Insiders and Insider Employees are each referred to as “Insiders.”</w:t>
      </w:r>
    </w:p>
    <w:p>
      <w:pPr>
        <w:spacing w:after="0" w:line="175"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Insider Trading Compliance Officer</w:t>
      </w:r>
    </w:p>
    <w:p>
      <w:pPr>
        <w:spacing w:after="0" w:line="212"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has designated its General Counsel as its Insider Trading Compliance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Officer (the “Compliance Officer”).</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duties of the Compliance Officer will include the following (provided that the Company has designated its Associate Vice President – SEC Reporting (“AVP-SEC”) to handle duties ## 5 and 8 below):</w:t>
      </w:r>
    </w:p>
    <w:p>
      <w:pPr>
        <w:spacing w:after="0" w:line="173" w:lineRule="exact"/>
        <w:rPr>
          <w:sz w:val="20"/>
          <w:szCs w:val="20"/>
          <w:color w:val="auto"/>
        </w:rPr>
      </w:pPr>
    </w:p>
    <w:p>
      <w:pPr>
        <w:ind w:left="1820" w:right="239" w:hanging="315"/>
        <w:spacing w:after="0" w:line="258" w:lineRule="auto"/>
        <w:tabs>
          <w:tab w:leader="none" w:pos="18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Administering this Policy and monitoring and enforcing compliance with all Policy provisions and procedures.</w:t>
      </w:r>
    </w:p>
    <w:p>
      <w:pPr>
        <w:spacing w:after="0" w:line="158"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all inquiries relating to this Policy and its procedures.</w:t>
      </w:r>
    </w:p>
    <w:p>
      <w:pPr>
        <w:spacing w:after="0" w:line="206" w:lineRule="exact"/>
        <w:rPr>
          <w:rFonts w:ascii="Times New Roman" w:cs="Times New Roman" w:eastAsia="Times New Roman" w:hAnsi="Times New Roman"/>
          <w:sz w:val="22"/>
          <w:szCs w:val="22"/>
          <w:color w:val="auto"/>
        </w:rPr>
      </w:pPr>
    </w:p>
    <w:p>
      <w:pPr>
        <w:ind w:left="1820" w:right="219" w:hanging="315"/>
        <w:spacing w:after="0" w:line="258" w:lineRule="auto"/>
        <w:tabs>
          <w:tab w:leader="none" w:pos="18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Designating and announcing special trading blackout periods during which no Insiders may trade in Company securities.</w:t>
      </w:r>
    </w:p>
    <w:p>
      <w:pPr>
        <w:spacing w:after="0" w:line="158" w:lineRule="exact"/>
        <w:rPr>
          <w:rFonts w:ascii="Times New Roman" w:cs="Times New Roman" w:eastAsia="Times New Roman" w:hAnsi="Times New Roman"/>
          <w:sz w:val="22"/>
          <w:szCs w:val="22"/>
          <w:color w:val="auto"/>
        </w:rPr>
      </w:pPr>
    </w:p>
    <w:p>
      <w:pPr>
        <w:jc w:val="both"/>
        <w:ind w:left="1820" w:right="219" w:hanging="315"/>
        <w:spacing w:after="0" w:line="239" w:lineRule="auto"/>
        <w:tabs>
          <w:tab w:leader="none" w:pos="18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copies of this Policy and other appropriate materials to all current and new directors, officers and employees, and such other persons as the Compliance Officer determines have access to material nonpublic information concerning the Company.</w:t>
      </w:r>
    </w:p>
    <w:p>
      <w:pPr>
        <w:spacing w:after="0" w:line="180" w:lineRule="exact"/>
        <w:rPr>
          <w:rFonts w:ascii="Times New Roman" w:cs="Times New Roman" w:eastAsia="Times New Roman" w:hAnsi="Times New Roman"/>
          <w:sz w:val="22"/>
          <w:szCs w:val="22"/>
          <w:color w:val="auto"/>
        </w:rPr>
      </w:pPr>
    </w:p>
    <w:p>
      <w:pPr>
        <w:jc w:val="both"/>
        <w:ind w:left="1820" w:right="219" w:hanging="315"/>
        <w:spacing w:after="0" w:line="255" w:lineRule="auto"/>
        <w:tabs>
          <w:tab w:leader="none" w:pos="182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Administering, monitoring, and enforcing compliance with federal and state insider trading laws and regulations; and assisting in the preparation and filing of all reports required by the SEC relating to trading in Company securities, including without limitation Forms 3, 4, 5 and 144 and Schedules 13D and 13G.</w:t>
      </w:r>
    </w:p>
    <w:p>
      <w:pPr>
        <w:spacing w:after="0" w:line="161" w:lineRule="exact"/>
        <w:rPr>
          <w:rFonts w:ascii="Times New Roman" w:cs="Times New Roman" w:eastAsia="Times New Roman" w:hAnsi="Times New Roman"/>
          <w:sz w:val="21"/>
          <w:szCs w:val="21"/>
          <w:color w:val="auto"/>
        </w:rPr>
      </w:pPr>
    </w:p>
    <w:p>
      <w:pPr>
        <w:ind w:left="1820" w:right="219" w:hanging="315"/>
        <w:spacing w:after="0" w:line="258" w:lineRule="auto"/>
        <w:tabs>
          <w:tab w:leader="none" w:pos="18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Selecting designated brokers through which Insiders are authorized to trade Company securities.</w:t>
      </w:r>
    </w:p>
    <w:p>
      <w:pPr>
        <w:spacing w:after="0" w:line="158" w:lineRule="exact"/>
        <w:rPr>
          <w:rFonts w:ascii="Times New Roman" w:cs="Times New Roman" w:eastAsia="Times New Roman" w:hAnsi="Times New Roman"/>
          <w:sz w:val="22"/>
          <w:szCs w:val="22"/>
          <w:color w:val="auto"/>
        </w:rPr>
      </w:pPr>
    </w:p>
    <w:p>
      <w:pPr>
        <w:ind w:left="1820" w:right="219" w:hanging="315"/>
        <w:spacing w:after="0" w:line="258" w:lineRule="auto"/>
        <w:tabs>
          <w:tab w:leader="none" w:pos="18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Revising the Policy as necessary to reflect changes in federal or state insider trading laws and regulations.</w:t>
      </w:r>
    </w:p>
    <w:p>
      <w:pPr>
        <w:spacing w:after="0" w:line="158" w:lineRule="exact"/>
        <w:rPr>
          <w:rFonts w:ascii="Times New Roman" w:cs="Times New Roman" w:eastAsia="Times New Roman" w:hAnsi="Times New Roman"/>
          <w:sz w:val="22"/>
          <w:szCs w:val="22"/>
          <w:color w:val="auto"/>
        </w:rPr>
      </w:pPr>
    </w:p>
    <w:p>
      <w:pPr>
        <w:ind w:left="1820" w:right="219" w:hanging="315"/>
        <w:spacing w:after="0" w:line="282" w:lineRule="auto"/>
        <w:tabs>
          <w:tab w:leader="none" w:pos="182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Maintaining as Company records originals or copies of all documents required by the provisions of this Policy or the procedures set forth herein, and copies of</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23" w:name="page124"/>
    <w:bookmarkEnd w:id="123"/>
    <w:p>
      <w:pPr>
        <w:ind w:left="1820" w:right="219"/>
        <w:spacing w:after="0" w:line="258" w:lineRule="auto"/>
        <w:rPr>
          <w:sz w:val="20"/>
          <w:szCs w:val="20"/>
          <w:color w:val="auto"/>
        </w:rPr>
      </w:pPr>
      <w:r>
        <w:rPr>
          <w:rFonts w:ascii="Times New Roman" w:cs="Times New Roman" w:eastAsia="Times New Roman" w:hAnsi="Times New Roman"/>
          <w:sz w:val="22"/>
          <w:szCs w:val="22"/>
          <w:color w:val="auto"/>
        </w:rPr>
        <w:t>all required SEC reports relating to insider trading, including without limitation Forms 3, 4, 5 and 144 and Schedules 13D and 13G.</w:t>
      </w:r>
    </w:p>
    <w:p>
      <w:pPr>
        <w:spacing w:after="0" w:line="158" w:lineRule="exact"/>
        <w:rPr>
          <w:sz w:val="20"/>
          <w:szCs w:val="20"/>
          <w:color w:val="auto"/>
        </w:rPr>
      </w:pPr>
    </w:p>
    <w:p>
      <w:pPr>
        <w:jc w:val="both"/>
        <w:ind w:left="1820" w:right="219" w:hanging="315"/>
        <w:spacing w:after="0" w:line="244" w:lineRule="auto"/>
        <w:tabs>
          <w:tab w:leader="none" w:pos="18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the accuracy of the list of Section 16 Insiders and the list of Insider Employees and updating such lists periodically as necessary to reflect additions or deletions.</w:t>
      </w:r>
    </w:p>
    <w:p>
      <w:pPr>
        <w:spacing w:after="0" w:line="173" w:lineRule="exact"/>
        <w:rPr>
          <w:rFonts w:ascii="Times New Roman" w:cs="Times New Roman" w:eastAsia="Times New Roman" w:hAnsi="Times New Roman"/>
          <w:sz w:val="22"/>
          <w:szCs w:val="22"/>
          <w:color w:val="auto"/>
        </w:rPr>
      </w:pPr>
    </w:p>
    <w:p>
      <w:pPr>
        <w:ind w:left="1820" w:right="219" w:hanging="315"/>
        <w:spacing w:after="0" w:line="258" w:lineRule="auto"/>
        <w:tabs>
          <w:tab w:leader="none" w:pos="18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Designing and requiring training about the obligations of this Policy as the Compliance Officer considers appropriate.</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The Compliance Officer may designate one or more individuals who may perform the Compliance Officer’s duties in the event that the Compliance Officer is unable or unavailable to perform such duties. In fulfilling his or her duties under this Policy, the Compliance Officer shall be authorized to consult with the Company’s outside counsel.</w:t>
      </w:r>
    </w:p>
    <w:p>
      <w:pPr>
        <w:spacing w:after="0" w:line="174"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i w:val="1"/>
          <w:iCs w:val="1"/>
          <w:color w:val="auto"/>
        </w:rPr>
        <w:t>Applicability of This Policy to Transactions in Company Securities</w:t>
      </w:r>
    </w:p>
    <w:p>
      <w:pPr>
        <w:spacing w:after="0" w:line="206" w:lineRule="exact"/>
        <w:rPr>
          <w:sz w:val="20"/>
          <w:szCs w:val="20"/>
          <w:color w:val="auto"/>
        </w:rPr>
      </w:pPr>
    </w:p>
    <w:p>
      <w:pPr>
        <w:jc w:val="both"/>
        <w:ind w:left="200" w:right="219" w:firstLine="648"/>
        <w:spacing w:after="0" w:line="237"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i w:val="1"/>
          <w:iCs w:val="1"/>
          <w:color w:val="auto"/>
        </w:rPr>
        <w:t>General Rule.</w:t>
      </w:r>
      <w:r>
        <w:rPr>
          <w:rFonts w:ascii="Times New Roman" w:cs="Times New Roman" w:eastAsia="Times New Roman" w:hAnsi="Times New Roman"/>
          <w:sz w:val="22"/>
          <w:szCs w:val="22"/>
          <w:color w:val="auto"/>
        </w:rPr>
        <w:t xml:space="preserve"> This Policy applies to all transactions in the Company’s securities, including common stock and any other securities the Company may issue from time to time, such as preferred stock, warrants and convertible debentures, as well as to derivative securities relating to the Company’s stock, whether or not issued by the Company, such as exchange-traded options. For purposes of this Policy, the term “trade” includes any transaction in the Company’s securities, including gifts and pledges.</w:t>
      </w:r>
    </w:p>
    <w:p>
      <w:pPr>
        <w:spacing w:after="0" w:line="175" w:lineRule="exact"/>
        <w:rPr>
          <w:sz w:val="20"/>
          <w:szCs w:val="20"/>
          <w:color w:val="auto"/>
        </w:rPr>
      </w:pPr>
    </w:p>
    <w:p>
      <w:pPr>
        <w:ind w:left="1180" w:hanging="323"/>
        <w:spacing w:after="0"/>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Employee Benefit Plans</w:t>
      </w:r>
    </w:p>
    <w:p>
      <w:pPr>
        <w:spacing w:after="0" w:line="208"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182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Stock Option Plans. </w:t>
      </w:r>
      <w:r>
        <w:rPr>
          <w:rFonts w:ascii="Times New Roman" w:cs="Times New Roman" w:eastAsia="Times New Roman" w:hAnsi="Times New Roman"/>
          <w:sz w:val="22"/>
          <w:szCs w:val="22"/>
          <w:color w:val="auto"/>
        </w:rPr>
        <w:t>The trading prohibitions and restrictions set forth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Policy do not apply to the exercise of stock options for cash but do apply to all sales of securities acquired through the exercise of stock options. Thus, this Policy does apply to the “same-day sale” or cashless exercise of Company stock options.</w:t>
      </w:r>
    </w:p>
    <w:p>
      <w:pPr>
        <w:spacing w:after="0" w:line="171"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182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Employee Stock Purchase Plans. </w:t>
      </w:r>
      <w:r>
        <w:rPr>
          <w:rFonts w:ascii="Times New Roman" w:cs="Times New Roman" w:eastAsia="Times New Roman" w:hAnsi="Times New Roman"/>
          <w:sz w:val="22"/>
          <w:szCs w:val="22"/>
          <w:color w:val="auto"/>
        </w:rPr>
        <w:t>The trading prohibitions and restrictions set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forth in this Policy do not apply to periodic contributions by the Company or employees to employee stock purchase plans or employee benefit plans (e.g., a pension or 401(k) plan), which are used to purchase Company securities pursuant to the employee’s advance instructions. However, no officers or employees may alter their instructions regarding the level of withholding or the purchase of Company securities in such plans while in the possession of material nonpublic information. Any sale of securities acquired under such plans is subject to the prohibitions and restrictions of this Policy.</w:t>
      </w:r>
    </w:p>
    <w:p>
      <w:pPr>
        <w:spacing w:after="0" w:line="17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i w:val="1"/>
          <w:iCs w:val="1"/>
          <w:color w:val="auto"/>
        </w:rPr>
        <w:t>Definition of “Material Nonpublic Information”</w:t>
      </w:r>
    </w:p>
    <w:p>
      <w:pPr>
        <w:spacing w:after="0" w:line="206" w:lineRule="exact"/>
        <w:rPr>
          <w:sz w:val="20"/>
          <w:szCs w:val="20"/>
          <w:color w:val="auto"/>
        </w:rPr>
      </w:pPr>
    </w:p>
    <w:p>
      <w:pPr>
        <w:jc w:val="both"/>
        <w:ind w:left="200" w:right="219" w:firstLine="657"/>
        <w:spacing w:after="0" w:line="250" w:lineRule="auto"/>
        <w:tabs>
          <w:tab w:leader="none" w:pos="117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“Material.” </w:t>
      </w:r>
      <w:r>
        <w:rPr>
          <w:rFonts w:ascii="Times New Roman" w:cs="Times New Roman" w:eastAsia="Times New Roman" w:hAnsi="Times New Roman"/>
          <w:sz w:val="21"/>
          <w:szCs w:val="21"/>
          <w:color w:val="auto"/>
        </w:rPr>
        <w:t>Information about the Company is “material” if it would be expected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affect the investment or voting decisions of a reasonable shareholder or investor, or if the disclosure of the information would be expected to significantly alter the total mix of the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24" w:name="page125"/>
    <w:bookmarkEnd w:id="12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identify all information that would be deemed material, the following types of information ordinarily would be considered material:</w:t>
      </w:r>
    </w:p>
    <w:p>
      <w:pPr>
        <w:spacing w:after="0" w:line="158" w:lineRule="exact"/>
        <w:rPr>
          <w:sz w:val="20"/>
          <w:szCs w:val="20"/>
          <w:color w:val="auto"/>
        </w:rPr>
      </w:pPr>
    </w:p>
    <w:p>
      <w:pPr>
        <w:ind w:left="1500" w:right="239" w:hanging="319"/>
        <w:spacing w:after="0" w:line="258"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operating results, and significant changes in financial performance or liquidity of the Company.</w:t>
      </w:r>
    </w:p>
    <w:p>
      <w:pPr>
        <w:spacing w:after="0" w:line="158" w:lineRule="exact"/>
        <w:rPr>
          <w:rFonts w:ascii="Times New Roman" w:cs="Times New Roman" w:eastAsia="Times New Roman" w:hAnsi="Times New Roman"/>
          <w:sz w:val="22"/>
          <w:szCs w:val="22"/>
          <w:color w:val="auto"/>
        </w:rPr>
      </w:pPr>
    </w:p>
    <w:p>
      <w:pPr>
        <w:jc w:val="both"/>
        <w:ind w:left="1500" w:right="239" w:hanging="319"/>
        <w:spacing w:after="0" w:line="244"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operating results, and significant changes in financial performance or liquidity of the Company’s significant university partners.</w:t>
      </w:r>
    </w:p>
    <w:p>
      <w:pPr>
        <w:spacing w:after="0" w:line="173" w:lineRule="exact"/>
        <w:rPr>
          <w:rFonts w:ascii="Times New Roman" w:cs="Times New Roman" w:eastAsia="Times New Roman" w:hAnsi="Times New Roman"/>
          <w:sz w:val="22"/>
          <w:szCs w:val="22"/>
          <w:color w:val="auto"/>
        </w:rPr>
      </w:pPr>
    </w:p>
    <w:p>
      <w:pPr>
        <w:ind w:left="1500" w:right="219" w:hanging="319"/>
        <w:spacing w:after="0" w:line="258"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strategic plans and projections of future earnings or losses, or other earnings guidance, and any changes to previously announced earnings guidance.</w:t>
      </w:r>
    </w:p>
    <w:p>
      <w:pPr>
        <w:spacing w:after="0" w:line="158" w:lineRule="exact"/>
        <w:rPr>
          <w:rFonts w:ascii="Times New Roman" w:cs="Times New Roman" w:eastAsia="Times New Roman" w:hAnsi="Times New Roman"/>
          <w:sz w:val="22"/>
          <w:szCs w:val="22"/>
          <w:color w:val="auto"/>
        </w:rPr>
      </w:pPr>
    </w:p>
    <w:p>
      <w:pPr>
        <w:ind w:left="1500" w:right="239" w:hanging="319"/>
        <w:spacing w:after="0" w:line="258"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mergers or acquisitions, the sale of Company assets or subsidiaries or major partnering agreements.</w:t>
      </w:r>
    </w:p>
    <w:p>
      <w:pPr>
        <w:spacing w:after="0" w:line="158" w:lineRule="exact"/>
        <w:rPr>
          <w:rFonts w:ascii="Times New Roman" w:cs="Times New Roman" w:eastAsia="Times New Roman" w:hAnsi="Times New Roman"/>
          <w:sz w:val="22"/>
          <w:szCs w:val="22"/>
          <w:color w:val="auto"/>
        </w:rPr>
      </w:pPr>
    </w:p>
    <w:p>
      <w:pPr>
        <w:ind w:left="1500" w:right="239" w:hanging="319"/>
        <w:spacing w:after="0" w:line="258"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public or private securities/debt offerings, or changes in Company dividend policies or amounts.</w:t>
      </w:r>
    </w:p>
    <w:p>
      <w:pPr>
        <w:spacing w:after="0" w:line="158" w:lineRule="exact"/>
        <w:rPr>
          <w:rFonts w:ascii="Times New Roman" w:cs="Times New Roman" w:eastAsia="Times New Roman" w:hAnsi="Times New Roman"/>
          <w:sz w:val="22"/>
          <w:szCs w:val="22"/>
          <w:color w:val="auto"/>
        </w:rPr>
      </w:pPr>
    </w:p>
    <w:p>
      <w:pPr>
        <w:ind w:left="1500" w:right="219" w:hanging="319"/>
        <w:spacing w:after="0" w:line="258"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 or membership of the Board of Directors.</w:t>
      </w:r>
    </w:p>
    <w:p>
      <w:pPr>
        <w:spacing w:after="0" w:line="158"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labor disputes or negotiations.</w:t>
      </w:r>
    </w:p>
    <w:p>
      <w:pPr>
        <w:spacing w:after="0" w:line="206" w:lineRule="exact"/>
        <w:rPr>
          <w:rFonts w:ascii="Times New Roman" w:cs="Times New Roman" w:eastAsia="Times New Roman" w:hAnsi="Times New Roman"/>
          <w:sz w:val="22"/>
          <w:szCs w:val="22"/>
          <w:color w:val="auto"/>
        </w:rPr>
      </w:pPr>
    </w:p>
    <w:p>
      <w:pPr>
        <w:ind w:left="1500" w:right="219" w:hanging="319"/>
        <w:spacing w:after="0" w:line="258"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such as a data breach or a significant disruption or unauthorized access to information technology infrastructure.</w:t>
      </w:r>
    </w:p>
    <w:p>
      <w:pPr>
        <w:spacing w:after="0" w:line="158"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or denial of regulatory approvals.</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regulatory requirements.</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This list is illustrative and is not intended to be exhaustive. If you have any doubt about the materiality of information, please contact the Company’s Compliance Officer prior to taking any action with respect to your securities.</w:t>
      </w:r>
    </w:p>
    <w:p>
      <w:pPr>
        <w:spacing w:after="0" w:line="16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xml:space="preserve"> Material information is “nonpublic” if it has not been widely disseminated to the general public through a report filed with the SEC or through major newswire services, national news services or financial news services. For the purpose of this Policy, information will be considered public after the close of trading on the second full trading day following the Company’s widespread public release of the information.</w:t>
      </w:r>
    </w:p>
    <w:p>
      <w:pPr>
        <w:spacing w:after="0" w:line="171" w:lineRule="exact"/>
        <w:rPr>
          <w:sz w:val="20"/>
          <w:szCs w:val="20"/>
          <w:color w:val="auto"/>
        </w:rPr>
      </w:pPr>
    </w:p>
    <w:p>
      <w:pPr>
        <w:jc w:val="both"/>
        <w:ind w:left="200" w:right="219" w:firstLine="657"/>
        <w:spacing w:after="0" w:line="247" w:lineRule="auto"/>
        <w:tabs>
          <w:tab w:leader="none" w:pos="117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Consult the Compliance Officer When in Doubt. </w:t>
      </w:r>
      <w:r>
        <w:rPr>
          <w:rFonts w:ascii="Times New Roman" w:cs="Times New Roman" w:eastAsia="Times New Roman" w:hAnsi="Times New Roman"/>
          <w:sz w:val="22"/>
          <w:szCs w:val="22"/>
          <w:color w:val="auto"/>
        </w:rPr>
        <w:t>Any person subject to this Policy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who is unsure whether the information that they possess is material or nonpublic must consult the Compliance Officer for guidance before trading in any Company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25" w:name="page126"/>
    <w:bookmarkEnd w:id="125"/>
    <w:p>
      <w:pPr>
        <w:jc w:val="both"/>
        <w:ind w:left="200" w:right="239"/>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VIII. </w:t>
      </w:r>
      <w:r>
        <w:rPr>
          <w:rFonts w:ascii="Times New Roman" w:cs="Times New Roman" w:eastAsia="Times New Roman" w:hAnsi="Times New Roman"/>
          <w:sz w:val="22"/>
          <w:szCs w:val="22"/>
          <w:b w:val="1"/>
          <w:bCs w:val="1"/>
          <w:i w:val="1"/>
          <w:iCs w:val="1"/>
          <w:color w:val="auto"/>
        </w:rPr>
        <w:t>Person Subject to this Policy May Not Disclose Material Nonpublic Information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Others or Make Recommendations Regarding Trading in Company Securities</w:t>
      </w:r>
    </w:p>
    <w:p>
      <w:pPr>
        <w:spacing w:after="0" w:line="151"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No person subject to this Policy may disclose material nonpublic information concerning the Company or any other publicly traded companies to any other person (including family members, other persons, entities or otherwise) where such information may be used by such person to his or her advantage in the trading of the securities of companies to which such information relates, a practice commonly known as “tipping”, until such information has been disseminated to the public. Tipping includes passing information under circumstances that could suggest that the person tipping was trying to help another profit or avoid a loss. Each person subject to this Policy must exercise care when speaking with others who do not “</w:t>
      </w:r>
      <w:r>
        <w:rPr>
          <w:rFonts w:ascii="Times New Roman" w:cs="Times New Roman" w:eastAsia="Times New Roman" w:hAnsi="Times New Roman"/>
          <w:sz w:val="21"/>
          <w:szCs w:val="21"/>
          <w:b w:val="1"/>
          <w:bCs w:val="1"/>
          <w:i w:val="1"/>
          <w:iCs w:val="1"/>
          <w:color w:val="auto"/>
        </w:rPr>
        <w:t>need to know</w:t>
      </w:r>
      <w:r>
        <w:rPr>
          <w:rFonts w:ascii="Times New Roman" w:cs="Times New Roman" w:eastAsia="Times New Roman" w:hAnsi="Times New Roman"/>
          <w:sz w:val="21"/>
          <w:szCs w:val="21"/>
          <w:color w:val="auto"/>
        </w:rPr>
        <w:t>”, even if they are subject to this Policy, as well as when communicating with family, friends and others not associated with the Company. To avoid the appearance of impropriety, each person subject to this Policy must refrain from discussing our business or prospects or making recommendations about buying or selling Company securities or the securities of other companies with which the Company has a relationship. Each person subject to this Policy must treat material nonpublic information about other companies with which the Company has a relationship with the same care required with respect to such information related directly to the Company. No employee or related person may make recommendations or express opinions as to trading in the Company’s securities while in possession of material nonpublic information, except such person may advise others not to trade in the Company’s securities if doing so might violate the law or this policy.</w:t>
      </w:r>
    </w:p>
    <w:p>
      <w:pPr>
        <w:spacing w:after="0" w:line="183"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i w:val="1"/>
          <w:iCs w:val="1"/>
          <w:color w:val="auto"/>
        </w:rPr>
        <w:t>Employees May Not Participate in Investment-Oriented Chat Rooms</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Each person subject to this Policy is prohibited from participating in investment-oriented chat room or other Internet forum discussions regarding the Company’s securities or investments in the Company’s business.</w:t>
      </w:r>
    </w:p>
    <w:p>
      <w:pPr>
        <w:spacing w:after="0" w:line="167" w:lineRule="exact"/>
        <w:rPr>
          <w:sz w:val="20"/>
          <w:szCs w:val="20"/>
          <w:color w:val="auto"/>
        </w:rPr>
      </w:pPr>
    </w:p>
    <w:p>
      <w:pPr>
        <w:ind w:left="200" w:right="219" w:firstLine="9"/>
        <w:spacing w:after="0" w:line="264" w:lineRule="auto"/>
        <w:tabs>
          <w:tab w:leader="none" w:pos="848"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Only Designated Company Spokespersons Are Authorized to Disclose Material Nonpublic Information</w:t>
      </w:r>
    </w:p>
    <w:p>
      <w:pPr>
        <w:spacing w:after="0" w:line="151"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 xml:space="preserve">The Company is required under the federal securities laws to avoid the selective disclosure of material nonpublic information. The Company has established procedures for releasing material information in a manner that is designed to achieve broad dissemination of the information immediately upon its release. Any person subject to this Policy may not, therefore, disclose material information to anyone outside the Company, including family members and friends, other than in accordance with those established procedures. Any inquiries from outsiders regarding material nonpublic information about the Company should be forwarded to the </w:t>
      </w:r>
      <w:r>
        <w:rPr>
          <w:rFonts w:ascii="Times New Roman" w:cs="Times New Roman" w:eastAsia="Times New Roman" w:hAnsi="Times New Roman"/>
          <w:sz w:val="21"/>
          <w:szCs w:val="21"/>
          <w:b w:val="1"/>
          <w:bCs w:val="1"/>
          <w:i w:val="1"/>
          <w:iCs w:val="1"/>
          <w:color w:val="auto"/>
        </w:rPr>
        <w:t>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b w:val="1"/>
          <w:bCs w:val="1"/>
          <w:i w:val="1"/>
          <w:iCs w:val="1"/>
          <w:color w:val="auto"/>
        </w:rPr>
        <w:t xml:space="preserve"> Executive Chairman, Chief Executive Officer</w:t>
      </w:r>
      <w:r>
        <w:rPr>
          <w:rFonts w:ascii="Times New Roman" w:cs="Times New Roman" w:eastAsia="Times New Roman" w:hAnsi="Times New Roman"/>
          <w:sz w:val="21"/>
          <w:szCs w:val="21"/>
          <w:color w:val="auto"/>
        </w:rPr>
        <w:t>, or</w:t>
      </w:r>
      <w:r>
        <w:rPr>
          <w:rFonts w:ascii="Times New Roman" w:cs="Times New Roman" w:eastAsia="Times New Roman" w:hAnsi="Times New Roman"/>
          <w:sz w:val="21"/>
          <w:szCs w:val="21"/>
          <w:b w:val="1"/>
          <w:bCs w:val="1"/>
          <w:i w:val="1"/>
          <w:iCs w:val="1"/>
          <w:color w:val="auto"/>
        </w:rPr>
        <w:t xml:space="preserve"> Chief Financial Officer</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i w:val="1"/>
          <w:iCs w:val="1"/>
          <w:color w:val="auto"/>
        </w:rPr>
        <w:t>Certain Types of Transactions Are Prohibited</w:t>
      </w:r>
    </w:p>
    <w:p>
      <w:pPr>
        <w:spacing w:after="0" w:line="206" w:lineRule="exact"/>
        <w:rPr>
          <w:sz w:val="20"/>
          <w:szCs w:val="20"/>
          <w:color w:val="auto"/>
        </w:rPr>
      </w:pPr>
    </w:p>
    <w:p>
      <w:pPr>
        <w:jc w:val="both"/>
        <w:ind w:left="200" w:right="219" w:firstLine="657"/>
        <w:spacing w:after="0" w:line="257" w:lineRule="auto"/>
        <w:tabs>
          <w:tab w:leader="none" w:pos="117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Short Sales. </w:t>
      </w:r>
      <w:r>
        <w:rPr>
          <w:rFonts w:ascii="Times New Roman" w:cs="Times New Roman" w:eastAsia="Times New Roman" w:hAnsi="Times New Roman"/>
          <w:sz w:val="21"/>
          <w:szCs w:val="21"/>
          <w:color w:val="auto"/>
        </w:rPr>
        <w:t>Short sales of the Company’s securities evidence an expectation on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26" w:name="page127"/>
    <w:bookmarkEnd w:id="126"/>
    <w:p>
      <w:pPr>
        <w:ind w:left="200" w:right="219"/>
        <w:spacing w:after="0" w:line="258" w:lineRule="auto"/>
        <w:rPr>
          <w:sz w:val="20"/>
          <w:szCs w:val="20"/>
          <w:color w:val="auto"/>
        </w:rPr>
      </w:pPr>
      <w:r>
        <w:rPr>
          <w:rFonts w:ascii="Times New Roman" w:cs="Times New Roman" w:eastAsia="Times New Roman" w:hAnsi="Times New Roman"/>
          <w:sz w:val="22"/>
          <w:szCs w:val="22"/>
          <w:color w:val="auto"/>
        </w:rPr>
        <w:t>sales of the Company’s securities are prohibited by this Policy. In addition, Section 16(c) of the Exchange Act expressly prohibits executive officers and directors from engaging in short sales.</w:t>
      </w:r>
    </w:p>
    <w:p>
      <w:pPr>
        <w:spacing w:after="0" w:line="152" w:lineRule="exact"/>
        <w:rPr>
          <w:sz w:val="20"/>
          <w:szCs w:val="20"/>
          <w:color w:val="auto"/>
        </w:rPr>
      </w:pPr>
    </w:p>
    <w:p>
      <w:pPr>
        <w:jc w:val="both"/>
        <w:ind w:left="200" w:right="219" w:firstLine="657"/>
        <w:spacing w:after="0" w:line="235" w:lineRule="auto"/>
        <w:tabs>
          <w:tab w:leader="none" w:pos="11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Publicly Traded Options. </w:t>
      </w:r>
      <w:r>
        <w:rPr>
          <w:rFonts w:ascii="Times New Roman" w:cs="Times New Roman" w:eastAsia="Times New Roman" w:hAnsi="Times New Roman"/>
          <w:sz w:val="22"/>
          <w:szCs w:val="22"/>
          <w:color w:val="auto"/>
        </w:rPr>
        <w:t>A transaction in options is, in effect, a bet on the short-term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movement of the Company’s stock and therefore creates the appearance that the director or employee is trading based on inside information. Transactions in options also may focus the director’s or employee’s attention on short-term performance at the expense of the Company’s long-term objectives. Accordingly, transactions in puts, calls or other derivative securities involving the Company’s stock, on an exchange or in any other organized market, are prohibited by this Policy. (Option positions arising from certain types of hedging transactions are governed by the section below captioned “Hedging Transactions.”)</w:t>
      </w:r>
    </w:p>
    <w:p>
      <w:pPr>
        <w:spacing w:after="0" w:line="178" w:lineRule="exact"/>
        <w:rPr>
          <w:rFonts w:ascii="Times New Roman" w:cs="Times New Roman" w:eastAsia="Times New Roman" w:hAnsi="Times New Roman"/>
          <w:sz w:val="22"/>
          <w:szCs w:val="22"/>
          <w:color w:val="auto"/>
        </w:rPr>
      </w:pPr>
    </w:p>
    <w:p>
      <w:pPr>
        <w:jc w:val="both"/>
        <w:ind w:left="200" w:right="219" w:firstLine="657"/>
        <w:spacing w:after="0" w:line="235" w:lineRule="auto"/>
        <w:tabs>
          <w:tab w:leader="none" w:pos="11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Hedging Transactions. </w:t>
      </w:r>
      <w:r>
        <w:rPr>
          <w:rFonts w:ascii="Times New Roman" w:cs="Times New Roman" w:eastAsia="Times New Roman" w:hAnsi="Times New Roman"/>
          <w:sz w:val="22"/>
          <w:szCs w:val="22"/>
          <w:color w:val="auto"/>
        </w:rPr>
        <w:t>Certain forms of hedging or monetization transactions, such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zero-cost collars and forward sale contracts, allow a person subject to this Policy to lock in much of the value of his or her stock holdings, often in exchange for all or part of the potential for upside appreciation in the stock. These transactions allow the person subject to this Policy to continue to own the covered securities, but without the full risks and rewards of ownership. When that occurs, the person subject to this Policy may no longer have the same objectives as the Company’s other shareholders. Therefore, such transactions involving the Company’s securities are prohibited by this Policy.</w:t>
      </w:r>
    </w:p>
    <w:p>
      <w:pPr>
        <w:spacing w:after="0" w:line="178" w:lineRule="exact"/>
        <w:rPr>
          <w:rFonts w:ascii="Times New Roman" w:cs="Times New Roman" w:eastAsia="Times New Roman" w:hAnsi="Times New Roman"/>
          <w:sz w:val="22"/>
          <w:szCs w:val="22"/>
          <w:color w:val="auto"/>
        </w:rPr>
      </w:pPr>
    </w:p>
    <w:p>
      <w:pPr>
        <w:jc w:val="both"/>
        <w:ind w:left="200" w:right="219" w:firstLine="657"/>
        <w:spacing w:after="0" w:line="245" w:lineRule="auto"/>
        <w:tabs>
          <w:tab w:leader="none" w:pos="117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Margin Accounts and Pledges. </w:t>
      </w:r>
      <w:r>
        <w:rPr>
          <w:rFonts w:ascii="Times New Roman" w:cs="Times New Roman" w:eastAsia="Times New Roman" w:hAnsi="Times New Roman"/>
          <w:sz w:val="21"/>
          <w:szCs w:val="21"/>
          <w:color w:val="auto"/>
        </w:rPr>
        <w:t>Securities held in a margin account may be sold by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persons subject to this Policy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subject to this Policy wishing to enter into such an arrangement must first receive pre-approval for the proposed transaction from the Compliance Officer in accordance with the pre-approval procedures set forth in </w:t>
      </w:r>
      <w:r>
        <w:rPr>
          <w:rFonts w:ascii="Times New Roman" w:cs="Times New Roman" w:eastAsia="Times New Roman" w:hAnsi="Times New Roman"/>
          <w:sz w:val="21"/>
          <w:szCs w:val="21"/>
          <w:u w:val="single" w:color="auto"/>
          <w:color w:val="auto"/>
        </w:rPr>
        <w:t>Appendix I</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jc w:val="both"/>
        <w:ind w:left="200" w:right="219" w:firstLine="657"/>
        <w:spacing w:after="0" w:line="237" w:lineRule="auto"/>
        <w:tabs>
          <w:tab w:leader="none" w:pos="11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Short-Term Trading. </w:t>
      </w:r>
      <w:r>
        <w:rPr>
          <w:rFonts w:ascii="Times New Roman" w:cs="Times New Roman" w:eastAsia="Times New Roman" w:hAnsi="Times New Roman"/>
          <w:sz w:val="22"/>
          <w:szCs w:val="22"/>
          <w:color w:val="auto"/>
        </w:rPr>
        <w:t>Executive officers and directors who purchase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in the open market may not sell any Company securities of the same class during the six months following the purchase (or vice versa), as short-term trading of the Company’s securities may be distracting and may unduly focus the person on short-term stock market performance, instead of the Company’s long-term business objectives, and may result in the disgorgement of any short swing profits.</w:t>
      </w:r>
    </w:p>
    <w:p>
      <w:pPr>
        <w:spacing w:after="0" w:line="173"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XII.</w:t>
      </w:r>
      <w:r>
        <w:rPr>
          <w:sz w:val="20"/>
          <w:szCs w:val="20"/>
          <w:color w:val="auto"/>
        </w:rPr>
        <w:tab/>
      </w:r>
      <w:r>
        <w:rPr>
          <w:rFonts w:ascii="Times New Roman" w:cs="Times New Roman" w:eastAsia="Times New Roman" w:hAnsi="Times New Roman"/>
          <w:sz w:val="22"/>
          <w:szCs w:val="22"/>
          <w:b w:val="1"/>
          <w:bCs w:val="1"/>
          <w:i w:val="1"/>
          <w:iCs w:val="1"/>
          <w:color w:val="auto"/>
        </w:rPr>
        <w:t>The Company May Suspend All Trading Activities by Employees</w:t>
      </w:r>
    </w:p>
    <w:p>
      <w:pPr>
        <w:spacing w:after="0" w:line="212"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In order to avoid any questions and to protect both employees and the Company from any potential liability, from time to time the Company may impose a “blackout” period during which some or all of the persons subject to this Policy may not buy or sell the Company’s securities. The Compliance Officer will impose such a blackout period if, in his judgment, there exists nonpublic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27" w:name="page128"/>
    <w:bookmarkEnd w:id="127"/>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information that would make trades by the Company’s employees (or certain of the Company’s employees) inappropriate in light of the risk that such trades could be viewed as violating applicable securities laws.</w:t>
      </w:r>
    </w:p>
    <w:p>
      <w:pPr>
        <w:spacing w:after="0" w:line="16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XIII.</w:t>
      </w:r>
      <w:r>
        <w:rPr>
          <w:sz w:val="20"/>
          <w:szCs w:val="20"/>
          <w:color w:val="auto"/>
        </w:rPr>
        <w:tab/>
      </w:r>
      <w:r>
        <w:rPr>
          <w:rFonts w:ascii="Times New Roman" w:cs="Times New Roman" w:eastAsia="Times New Roman" w:hAnsi="Times New Roman"/>
          <w:sz w:val="21"/>
          <w:szCs w:val="21"/>
          <w:b w:val="1"/>
          <w:bCs w:val="1"/>
          <w:i w:val="1"/>
          <w:iCs w:val="1"/>
          <w:color w:val="auto"/>
        </w:rPr>
        <w:t>Violations of Insider Trading Laws or This Policy Can Result in Severe Consequences</w:t>
      </w:r>
    </w:p>
    <w:p>
      <w:pPr>
        <w:spacing w:after="0" w:line="206"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i w:val="1"/>
          <w:iCs w:val="1"/>
          <w:color w:val="auto"/>
        </w:rPr>
        <w:t>Civil and Criminal Penalties.</w:t>
      </w:r>
      <w:r>
        <w:rPr>
          <w:rFonts w:ascii="Times New Roman" w:cs="Times New Roman" w:eastAsia="Times New Roman" w:hAnsi="Times New Roman"/>
          <w:sz w:val="22"/>
          <w:szCs w:val="22"/>
          <w:color w:val="auto"/>
        </w:rPr>
        <w:t xml:space="preserve"> The consequences of prohibited insider trading or tipping can be severe. Persons violating insider trading or tipping rules may be required to disgorge the profit made or the loss avoided by the trading, pay civil penalties up to three times the profit made, or loss avoided, face private action for damages, as well as being subject to criminal penalties, including up to 20 years in prison and fines of up to $5 million. The Company and/or the supervisors of the person violating the rules may also be required to pay major civil or criminal penalties.</w:t>
      </w:r>
    </w:p>
    <w:p>
      <w:pPr>
        <w:spacing w:after="0" w:line="176" w:lineRule="exact"/>
        <w:rPr>
          <w:sz w:val="20"/>
          <w:szCs w:val="20"/>
          <w:color w:val="auto"/>
        </w:rPr>
      </w:pPr>
    </w:p>
    <w:p>
      <w:pPr>
        <w:jc w:val="both"/>
        <w:ind w:left="200" w:right="219" w:firstLine="657"/>
        <w:spacing w:after="0" w:line="247" w:lineRule="auto"/>
        <w:tabs>
          <w:tab w:leader="none" w:pos="117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Company Discipline. </w:t>
      </w:r>
      <w:r>
        <w:rPr>
          <w:rFonts w:ascii="Times New Roman" w:cs="Times New Roman" w:eastAsia="Times New Roman" w:hAnsi="Times New Roman"/>
          <w:sz w:val="22"/>
          <w:szCs w:val="22"/>
          <w:color w:val="auto"/>
        </w:rPr>
        <w:t>Violation of this Policy or federal or state insider trading laws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person subject to this Policy may subject the person subject to this Policy to removal proceedings and / or disciplinary action by the Company, including termination for cause.</w:t>
      </w:r>
    </w:p>
    <w:p>
      <w:pPr>
        <w:spacing w:after="0" w:line="163" w:lineRule="exact"/>
        <w:rPr>
          <w:rFonts w:ascii="Times New Roman" w:cs="Times New Roman" w:eastAsia="Times New Roman" w:hAnsi="Times New Roman"/>
          <w:sz w:val="22"/>
          <w:szCs w:val="22"/>
          <w:color w:val="auto"/>
        </w:rPr>
      </w:pPr>
    </w:p>
    <w:p>
      <w:pPr>
        <w:jc w:val="both"/>
        <w:ind w:left="200" w:right="219" w:firstLine="657"/>
        <w:spacing w:after="0" w:line="236" w:lineRule="auto"/>
        <w:tabs>
          <w:tab w:leader="none" w:pos="1172"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Reporting Violations. </w:t>
      </w:r>
      <w:r>
        <w:rPr>
          <w:rFonts w:ascii="Times New Roman" w:cs="Times New Roman" w:eastAsia="Times New Roman" w:hAnsi="Times New Roman"/>
          <w:sz w:val="22"/>
          <w:szCs w:val="22"/>
          <w:color w:val="auto"/>
        </w:rPr>
        <w:t>Any person subject to this Policy who violates this Policy or any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federal or state laws governing insider trading or knows of any such violation by any other person, must report the violation immediately to the Compliance Officer or the Audit Committee of the Company’s Board of Directors. Upon learning of any such violation, the Compliance Officer, or Audit Committee, in consultation with the Company’s legal counsel, will determine whether the Company should release any material nonpublic information or whether the Company should report the violation to the SEC or other appropriate governmental authority.</w:t>
      </w:r>
    </w:p>
    <w:p>
      <w:pPr>
        <w:spacing w:after="0" w:line="17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XIV.</w:t>
      </w:r>
      <w:r>
        <w:rPr>
          <w:sz w:val="20"/>
          <w:szCs w:val="20"/>
          <w:color w:val="auto"/>
        </w:rPr>
        <w:tab/>
      </w:r>
      <w:r>
        <w:rPr>
          <w:rFonts w:ascii="Times New Roman" w:cs="Times New Roman" w:eastAsia="Times New Roman" w:hAnsi="Times New Roman"/>
          <w:sz w:val="21"/>
          <w:szCs w:val="21"/>
          <w:b w:val="1"/>
          <w:bCs w:val="1"/>
          <w:i w:val="1"/>
          <w:iCs w:val="1"/>
          <w:color w:val="auto"/>
        </w:rPr>
        <w:t>Every Individual Is Responsible</w:t>
      </w:r>
    </w:p>
    <w:p>
      <w:pPr>
        <w:spacing w:after="0" w:line="212"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Every person subject to this Policy has the individual responsibility to comply with this Policy against illegal insider trading. A person subject to this Policy may, from time to time, have to forego a proposed transaction in the Company’s securities even if he or she planned to make the transaction before learning of the material nonpublic information and even though the employee believes that he or she may suffer an economic loss or forego anticipated profit by waiting.</w:t>
      </w:r>
    </w:p>
    <w:p>
      <w:pPr>
        <w:spacing w:after="0" w:line="16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XV.</w:t>
      </w:r>
      <w:r>
        <w:rPr>
          <w:sz w:val="20"/>
          <w:szCs w:val="20"/>
          <w:color w:val="auto"/>
        </w:rPr>
        <w:tab/>
      </w:r>
      <w:r>
        <w:rPr>
          <w:rFonts w:ascii="Times New Roman" w:cs="Times New Roman" w:eastAsia="Times New Roman" w:hAnsi="Times New Roman"/>
          <w:sz w:val="22"/>
          <w:szCs w:val="22"/>
          <w:b w:val="1"/>
          <w:bCs w:val="1"/>
          <w:i w:val="1"/>
          <w:iCs w:val="1"/>
          <w:color w:val="auto"/>
        </w:rPr>
        <w:t>This Policy Continues to Apply Following Termination of Employment</w:t>
      </w:r>
    </w:p>
    <w:p>
      <w:pPr>
        <w:spacing w:after="0" w:line="21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The Policy continues to apply to transactions in the Company’s securities even after termination of engagement or employment. If an officer, director and/or employee is in possession of material nonpublic information when his or her engagement or employment terminates, he or she may not trade in the Company’s securities until that information has become public or is no longer material.</w:t>
      </w:r>
    </w:p>
    <w:p>
      <w:pPr>
        <w:spacing w:after="0" w:line="171"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XVI.</w:t>
      </w:r>
      <w:r>
        <w:rPr>
          <w:sz w:val="20"/>
          <w:szCs w:val="20"/>
          <w:color w:val="auto"/>
        </w:rPr>
        <w:tab/>
      </w:r>
      <w:r>
        <w:rPr>
          <w:rFonts w:ascii="Times New Roman" w:cs="Times New Roman" w:eastAsia="Times New Roman" w:hAnsi="Times New Roman"/>
          <w:sz w:val="21"/>
          <w:szCs w:val="21"/>
          <w:b w:val="1"/>
          <w:bCs w:val="1"/>
          <w:i w:val="1"/>
          <w:iCs w:val="1"/>
          <w:color w:val="auto"/>
        </w:rPr>
        <w:t>The Compliance Officer Is Available to Answer Questions about this Policy</w:t>
      </w:r>
    </w:p>
    <w:p>
      <w:pPr>
        <w:spacing w:after="0" w:line="21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Please direct all inquiries regarding any of the provisions or procedures of this Policy to the Compliance Officer.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28" w:name="page129"/>
    <w:bookmarkEnd w:id="128"/>
    <w:p>
      <w:pPr>
        <w:ind w:left="200"/>
        <w:spacing w:after="0"/>
        <w:rPr>
          <w:sz w:val="20"/>
          <w:szCs w:val="20"/>
          <w:color w:val="auto"/>
        </w:rPr>
      </w:pPr>
      <w:r>
        <w:rPr>
          <w:rFonts w:ascii="Times New Roman" w:cs="Times New Roman" w:eastAsia="Times New Roman" w:hAnsi="Times New Roman"/>
          <w:sz w:val="22"/>
          <w:szCs w:val="22"/>
          <w:b w:val="1"/>
          <w:bCs w:val="1"/>
          <w:color w:val="auto"/>
        </w:rPr>
        <w:t xml:space="preserve">XVII. </w:t>
      </w:r>
      <w:r>
        <w:rPr>
          <w:rFonts w:ascii="Times New Roman" w:cs="Times New Roman" w:eastAsia="Times New Roman" w:hAnsi="Times New Roman"/>
          <w:sz w:val="22"/>
          <w:szCs w:val="22"/>
          <w:b w:val="1"/>
          <w:bCs w:val="1"/>
          <w:i w:val="1"/>
          <w:iCs w:val="1"/>
          <w:color w:val="auto"/>
        </w:rPr>
        <w:t>This Policy Is Subject to Revision</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Company may change the terms of this Policy from time to time to respond to developments in law and practice. The Company will take steps to inform all affected persons of any material change to this Policy.</w:t>
      </w:r>
    </w:p>
    <w:p>
      <w:pPr>
        <w:spacing w:after="0" w:line="167" w:lineRule="exact"/>
        <w:rPr>
          <w:sz w:val="20"/>
          <w:szCs w:val="20"/>
          <w:color w:val="auto"/>
        </w:rPr>
      </w:pPr>
    </w:p>
    <w:p>
      <w:pPr>
        <w:jc w:val="both"/>
        <w:ind w:left="200" w:right="239"/>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XVIII. </w:t>
      </w:r>
      <w:r>
        <w:rPr>
          <w:rFonts w:ascii="Times New Roman" w:cs="Times New Roman" w:eastAsia="Times New Roman" w:hAnsi="Times New Roman"/>
          <w:sz w:val="22"/>
          <w:szCs w:val="22"/>
          <w:b w:val="1"/>
          <w:bCs w:val="1"/>
          <w:i w:val="1"/>
          <w:iCs w:val="1"/>
          <w:color w:val="auto"/>
        </w:rPr>
        <w:t>All Persons Subject to This Policy Must Acknowledge Their Agreement to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This Policy</w:t>
      </w:r>
    </w:p>
    <w:p>
      <w:pPr>
        <w:spacing w:after="0" w:line="151"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The Policy will be delivered to all persons subject to this Policy upon its adoption by the Company, and to all persons subject to this Policy at the start of their employment or relationship with the Company. Upon first receiving a copy of the Policy or any revised versions, each person subject to this Policy must sign an acknowledgment that he or she has received a copy and agrees to comply with the Policy’s terms. Additionally, the Compliance Officer may periodically require written certifications by those subject to this Policy, including as to their compliance with this Policy or to refresh their acknowledgement of, and agreement to comply with, this Policy. This acknowledgment and agreement will constitute consent for the Company to impose sanctions for violation of this Policy and to issue any necessary stop-transfer orders to the Company’s transfer agent to enforce compliance with this Policy.</w:t>
      </w:r>
    </w:p>
    <w:p>
      <w:pPr>
        <w:spacing w:after="0" w:line="173"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XIX.</w:t>
      </w:r>
      <w:r>
        <w:rPr>
          <w:sz w:val="20"/>
          <w:szCs w:val="20"/>
          <w:color w:val="auto"/>
        </w:rPr>
        <w:tab/>
      </w:r>
      <w:r>
        <w:rPr>
          <w:rFonts w:ascii="Times New Roman" w:cs="Times New Roman" w:eastAsia="Times New Roman" w:hAnsi="Times New Roman"/>
          <w:sz w:val="21"/>
          <w:szCs w:val="21"/>
          <w:b w:val="1"/>
          <w:bCs w:val="1"/>
          <w:i w:val="1"/>
          <w:iCs w:val="1"/>
          <w:color w:val="auto"/>
        </w:rPr>
        <w:t>Related Policies</w:t>
      </w:r>
    </w:p>
    <w:p>
      <w:pPr>
        <w:spacing w:after="0" w:line="219" w:lineRule="exact"/>
        <w:rPr>
          <w:sz w:val="20"/>
          <w:szCs w:val="20"/>
          <w:color w:val="auto"/>
        </w:rPr>
      </w:pPr>
    </w:p>
    <w:tbl>
      <w:tblPr>
        <w:tblLayout w:type="fixed"/>
        <w:tblInd w:w="90" w:type="dxa"/>
        <w:tblCellMar>
          <w:top w:w="0" w:type="dxa"/>
          <w:left w:w="0" w:type="dxa"/>
          <w:bottom w:w="0" w:type="dxa"/>
          <w:right w:w="0" w:type="dxa"/>
        </w:tblCellMar>
      </w:tblPr>
      <w:tr>
        <w:trPr>
          <w:trHeight w:val="324"/>
        </w:trPr>
        <w:tc>
          <w:tcPr>
            <w:tcW w:w="140" w:type="dxa"/>
            <w:vAlign w:val="bottom"/>
            <w:tcBorders>
              <w:top w:val="single" w:sz="8" w:color="auto"/>
              <w:left w:val="single" w:sz="8" w:color="auto"/>
            </w:tcBorders>
            <w:shd w:val="clear" w:color="auto" w:fill="D0CECE"/>
          </w:tcPr>
          <w:p>
            <w:pPr>
              <w:spacing w:after="0"/>
              <w:rPr>
                <w:sz w:val="24"/>
                <w:szCs w:val="24"/>
                <w:color w:val="auto"/>
              </w:rPr>
            </w:pPr>
          </w:p>
        </w:tc>
        <w:tc>
          <w:tcPr>
            <w:tcW w:w="2340" w:type="dxa"/>
            <w:vAlign w:val="bottom"/>
            <w:tcBorders>
              <w:top w:val="single" w:sz="8" w:color="auto"/>
            </w:tcBorders>
            <w:shd w:val="clear" w:color="auto" w:fill="D0CECE"/>
          </w:tcPr>
          <w:p>
            <w:pPr>
              <w:spacing w:after="0"/>
              <w:rPr>
                <w:sz w:val="24"/>
                <w:szCs w:val="24"/>
                <w:color w:val="auto"/>
              </w:rPr>
            </w:pPr>
          </w:p>
        </w:tc>
        <w:tc>
          <w:tcPr>
            <w:tcW w:w="3640" w:type="dxa"/>
            <w:vAlign w:val="bottom"/>
            <w:tcBorders>
              <w:top w:val="single" w:sz="8" w:color="auto"/>
              <w:right w:val="single" w:sz="8" w:color="auto"/>
            </w:tcBorders>
            <w:gridSpan w:val="2"/>
            <w:shd w:val="clear" w:color="auto" w:fill="D0CECE"/>
          </w:tcPr>
          <w:p>
            <w:pPr>
              <w:jc w:val="center"/>
              <w:ind w:right="2480"/>
              <w:spacing w:after="0"/>
              <w:rPr>
                <w:sz w:val="20"/>
                <w:szCs w:val="20"/>
                <w:color w:val="auto"/>
              </w:rPr>
            </w:pPr>
            <w:r>
              <w:rPr>
                <w:rFonts w:ascii="Times New Roman" w:cs="Times New Roman" w:eastAsia="Times New Roman" w:hAnsi="Times New Roman"/>
                <w:sz w:val="22"/>
                <w:szCs w:val="22"/>
                <w:b w:val="1"/>
                <w:bCs w:val="1"/>
                <w:color w:val="auto"/>
                <w:w w:val="98"/>
              </w:rPr>
              <w:t>Policy Name</w:t>
            </w:r>
          </w:p>
        </w:tc>
        <w:tc>
          <w:tcPr>
            <w:tcW w:w="940" w:type="dxa"/>
            <w:vAlign w:val="bottom"/>
            <w:tcBorders>
              <w:top w:val="single" w:sz="8" w:color="auto"/>
            </w:tcBorders>
            <w:shd w:val="clear" w:color="auto" w:fill="D0CECE"/>
          </w:tcPr>
          <w:p>
            <w:pPr>
              <w:spacing w:after="0"/>
              <w:rPr>
                <w:sz w:val="24"/>
                <w:szCs w:val="24"/>
                <w:color w:val="auto"/>
              </w:rPr>
            </w:pPr>
          </w:p>
        </w:tc>
        <w:tc>
          <w:tcPr>
            <w:tcW w:w="1660" w:type="dxa"/>
            <w:vAlign w:val="bottom"/>
            <w:tcBorders>
              <w:top w:val="single" w:sz="8" w:color="auto"/>
            </w:tcBorders>
            <w:gridSpan w:val="2"/>
            <w:shd w:val="clear" w:color="auto" w:fill="D0CECE"/>
          </w:tcPr>
          <w:p>
            <w:pPr>
              <w:jc w:val="center"/>
              <w:ind w:right="840"/>
              <w:spacing w:after="0"/>
              <w:rPr>
                <w:sz w:val="20"/>
                <w:szCs w:val="20"/>
                <w:color w:val="auto"/>
              </w:rPr>
            </w:pPr>
            <w:r>
              <w:rPr>
                <w:rFonts w:ascii="Times New Roman" w:cs="Times New Roman" w:eastAsia="Times New Roman" w:hAnsi="Times New Roman"/>
                <w:sz w:val="22"/>
                <w:szCs w:val="22"/>
                <w:b w:val="1"/>
                <w:bCs w:val="1"/>
                <w:color w:val="auto"/>
                <w:w w:val="98"/>
              </w:rPr>
              <w:t>Location</w:t>
            </w:r>
          </w:p>
        </w:tc>
        <w:tc>
          <w:tcPr>
            <w:tcW w:w="120" w:type="dxa"/>
            <w:vAlign w:val="bottom"/>
            <w:tcBorders>
              <w:top w:val="single" w:sz="8" w:color="auto"/>
              <w:right w:val="single" w:sz="8" w:color="auto"/>
            </w:tcBorders>
            <w:shd w:val="clear" w:color="auto" w:fill="D0CECE"/>
          </w:tcPr>
          <w:p>
            <w:pPr>
              <w:spacing w:after="0"/>
              <w:rPr>
                <w:sz w:val="24"/>
                <w:szCs w:val="24"/>
                <w:color w:val="auto"/>
              </w:rPr>
            </w:pPr>
          </w:p>
        </w:tc>
      </w:tr>
      <w:tr>
        <w:trPr>
          <w:trHeight w:val="128"/>
        </w:trPr>
        <w:tc>
          <w:tcPr>
            <w:tcW w:w="140" w:type="dxa"/>
            <w:vAlign w:val="bottom"/>
            <w:tcBorders>
              <w:top w:val="single" w:sz="8" w:color="D0CECE"/>
              <w:left w:val="single" w:sz="8" w:color="auto"/>
              <w:bottom w:val="single" w:sz="8" w:color="auto"/>
            </w:tcBorders>
            <w:shd w:val="clear" w:color="auto" w:fill="D0CECE"/>
          </w:tcPr>
          <w:p>
            <w:pPr>
              <w:spacing w:after="0"/>
              <w:rPr>
                <w:sz w:val="11"/>
                <w:szCs w:val="11"/>
                <w:color w:val="auto"/>
              </w:rPr>
            </w:pPr>
          </w:p>
        </w:tc>
        <w:tc>
          <w:tcPr>
            <w:tcW w:w="2340" w:type="dxa"/>
            <w:vAlign w:val="bottom"/>
            <w:tcBorders>
              <w:top w:val="single" w:sz="8" w:color="D0CECE"/>
              <w:bottom w:val="single" w:sz="8" w:color="auto"/>
            </w:tcBorders>
            <w:shd w:val="clear" w:color="auto" w:fill="D0CECE"/>
          </w:tcPr>
          <w:p>
            <w:pPr>
              <w:spacing w:after="0"/>
              <w:rPr>
                <w:sz w:val="11"/>
                <w:szCs w:val="11"/>
                <w:color w:val="auto"/>
              </w:rPr>
            </w:pPr>
          </w:p>
        </w:tc>
        <w:tc>
          <w:tcPr>
            <w:tcW w:w="1160" w:type="dxa"/>
            <w:vAlign w:val="bottom"/>
            <w:tcBorders>
              <w:top w:val="single" w:sz="8" w:color="auto"/>
              <w:bottom w:val="single" w:sz="8" w:color="auto"/>
            </w:tcBorders>
            <w:shd w:val="clear" w:color="auto" w:fill="D0CECE"/>
          </w:tcPr>
          <w:p>
            <w:pPr>
              <w:spacing w:after="0"/>
              <w:rPr>
                <w:sz w:val="11"/>
                <w:szCs w:val="11"/>
                <w:color w:val="auto"/>
              </w:rPr>
            </w:pPr>
          </w:p>
        </w:tc>
        <w:tc>
          <w:tcPr>
            <w:tcW w:w="2480" w:type="dxa"/>
            <w:vAlign w:val="bottom"/>
            <w:tcBorders>
              <w:top w:val="single" w:sz="8" w:color="D0CECE"/>
              <w:bottom w:val="single" w:sz="8" w:color="auto"/>
              <w:right w:val="single" w:sz="8" w:color="auto"/>
            </w:tcBorders>
            <w:shd w:val="clear" w:color="auto" w:fill="D0CECE"/>
          </w:tcPr>
          <w:p>
            <w:pPr>
              <w:spacing w:after="0"/>
              <w:rPr>
                <w:sz w:val="11"/>
                <w:szCs w:val="11"/>
                <w:color w:val="auto"/>
              </w:rPr>
            </w:pPr>
          </w:p>
        </w:tc>
        <w:tc>
          <w:tcPr>
            <w:tcW w:w="940" w:type="dxa"/>
            <w:vAlign w:val="bottom"/>
            <w:tcBorders>
              <w:top w:val="single" w:sz="8" w:color="D0CECE"/>
              <w:bottom w:val="single" w:sz="8" w:color="auto"/>
            </w:tcBorders>
            <w:shd w:val="clear" w:color="auto" w:fill="D0CECE"/>
          </w:tcPr>
          <w:p>
            <w:pPr>
              <w:spacing w:after="0"/>
              <w:rPr>
                <w:sz w:val="11"/>
                <w:szCs w:val="11"/>
                <w:color w:val="auto"/>
              </w:rPr>
            </w:pPr>
          </w:p>
        </w:tc>
        <w:tc>
          <w:tcPr>
            <w:tcW w:w="820" w:type="dxa"/>
            <w:vAlign w:val="bottom"/>
            <w:tcBorders>
              <w:top w:val="single" w:sz="8" w:color="auto"/>
              <w:bottom w:val="single" w:sz="8" w:color="auto"/>
            </w:tcBorders>
            <w:shd w:val="clear" w:color="auto" w:fill="D0CECE"/>
          </w:tcPr>
          <w:p>
            <w:pPr>
              <w:spacing w:after="0"/>
              <w:rPr>
                <w:sz w:val="11"/>
                <w:szCs w:val="11"/>
                <w:color w:val="auto"/>
              </w:rPr>
            </w:pPr>
          </w:p>
        </w:tc>
        <w:tc>
          <w:tcPr>
            <w:tcW w:w="840" w:type="dxa"/>
            <w:vAlign w:val="bottom"/>
            <w:tcBorders>
              <w:top w:val="single" w:sz="8" w:color="D0CECE"/>
              <w:bottom w:val="single" w:sz="8" w:color="auto"/>
            </w:tcBorders>
            <w:shd w:val="clear" w:color="auto" w:fill="D0CECE"/>
          </w:tcPr>
          <w:p>
            <w:pPr>
              <w:spacing w:after="0"/>
              <w:rPr>
                <w:sz w:val="11"/>
                <w:szCs w:val="11"/>
                <w:color w:val="auto"/>
              </w:rPr>
            </w:pPr>
          </w:p>
        </w:tc>
        <w:tc>
          <w:tcPr>
            <w:tcW w:w="120" w:type="dxa"/>
            <w:vAlign w:val="bottom"/>
            <w:tcBorders>
              <w:top w:val="single" w:sz="8" w:color="D0CECE"/>
              <w:bottom w:val="single" w:sz="8" w:color="auto"/>
              <w:right w:val="single" w:sz="8" w:color="auto"/>
            </w:tcBorders>
            <w:shd w:val="clear" w:color="auto" w:fill="D0CECE"/>
          </w:tcPr>
          <w:p>
            <w:pPr>
              <w:spacing w:after="0"/>
              <w:rPr>
                <w:sz w:val="11"/>
                <w:szCs w:val="11"/>
                <w:color w:val="auto"/>
              </w:rPr>
            </w:pPr>
          </w:p>
        </w:tc>
      </w:tr>
      <w:tr>
        <w:trPr>
          <w:trHeight w:val="356"/>
        </w:trPr>
        <w:tc>
          <w:tcPr>
            <w:tcW w:w="14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22"/>
                <w:szCs w:val="22"/>
                <w:color w:val="auto"/>
                <w:w w:val="98"/>
              </w:rPr>
              <w:t>Code of Conduct, Conflict of Interest and Whistleblower Policy</w:t>
            </w:r>
          </w:p>
        </w:tc>
        <w:tc>
          <w:tcPr>
            <w:tcW w:w="260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Employee Handbook</w:t>
            </w:r>
          </w:p>
        </w:tc>
        <w:tc>
          <w:tcPr>
            <w:tcW w:w="120" w:type="dxa"/>
            <w:vAlign w:val="bottom"/>
            <w:tcBorders>
              <w:right w:val="single" w:sz="8" w:color="auto"/>
            </w:tcBorders>
          </w:tcPr>
          <w:p>
            <w:pPr>
              <w:spacing w:after="0"/>
              <w:rPr>
                <w:sz w:val="24"/>
                <w:szCs w:val="24"/>
                <w:color w:val="auto"/>
              </w:rPr>
            </w:pPr>
          </w:p>
        </w:tc>
      </w:tr>
      <w:tr>
        <w:trPr>
          <w:trHeight w:val="96"/>
        </w:trPr>
        <w:tc>
          <w:tcPr>
            <w:tcW w:w="140" w:type="dxa"/>
            <w:vAlign w:val="bottom"/>
            <w:tcBorders>
              <w:left w:val="single" w:sz="8" w:color="auto"/>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r>
      <w:tr>
        <w:trPr>
          <w:trHeight w:val="721"/>
        </w:trPr>
        <w:tc>
          <w:tcPr>
            <w:tcW w:w="140" w:type="dxa"/>
            <w:vAlign w:val="bottom"/>
          </w:tcPr>
          <w:p>
            <w:pPr>
              <w:spacing w:after="0"/>
              <w:rPr>
                <w:sz w:val="24"/>
                <w:szCs w:val="24"/>
                <w:color w:val="auto"/>
              </w:rPr>
            </w:pPr>
          </w:p>
        </w:tc>
        <w:tc>
          <w:tcPr>
            <w:tcW w:w="5980" w:type="dxa"/>
            <w:vAlign w:val="bottom"/>
            <w:gridSpan w:val="3"/>
          </w:tcPr>
          <w:p>
            <w:pPr>
              <w:jc w:val="right"/>
              <w:ind w:right="1640"/>
              <w:spacing w:after="0"/>
              <w:rPr>
                <w:sz w:val="20"/>
                <w:szCs w:val="20"/>
                <w:color w:val="auto"/>
              </w:rPr>
            </w:pPr>
            <w:r>
              <w:rPr>
                <w:rFonts w:ascii="Times New Roman" w:cs="Times New Roman" w:eastAsia="Times New Roman" w:hAnsi="Times New Roman"/>
                <w:sz w:val="22"/>
                <w:szCs w:val="22"/>
                <w:color w:val="auto"/>
              </w:rPr>
              <w:t>9</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4"/>
        </w:trPr>
        <w:tc>
          <w:tcPr>
            <w:tcW w:w="14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9019"/>
          </w:cols>
          <w:pgMar w:left="1440" w:top="1132" w:right="144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 Restrictions on Transactions in Company Securities by Insiders</w:t>
      </w:r>
    </w:p>
    <w:p>
      <w:pPr>
        <w:spacing w:after="0" w:line="231" w:lineRule="exact"/>
        <w:rPr>
          <w:sz w:val="20"/>
          <w:szCs w:val="20"/>
          <w:color w:val="auto"/>
        </w:rPr>
      </w:pPr>
    </w:p>
    <w:p>
      <w:pPr>
        <w:ind w:left="860" w:hanging="651"/>
        <w:spacing w:after="0"/>
        <w:tabs>
          <w:tab w:leader="none" w:pos="8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Overview</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To minimize the risk of apparent or actual violations of the rules governing insider trading, we have adopted these special restrictions relating to transactions in Company securities by Insiders. As with the other provisions of this Policy, Insiders are responsible for ensuring compliance with this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including restrictions on all trading during certain periods, by family members and members of their households and by entities over which they exercise voting or investment control. Insiders should provide each of these persons or entities with a copy of this Policy.</w:t>
      </w:r>
    </w:p>
    <w:p>
      <w:pPr>
        <w:spacing w:after="0" w:line="177" w:lineRule="exact"/>
        <w:rPr>
          <w:sz w:val="20"/>
          <w:szCs w:val="20"/>
          <w:color w:val="auto"/>
        </w:rPr>
      </w:pPr>
    </w:p>
    <w:p>
      <w:pPr>
        <w:ind w:left="860" w:hanging="651"/>
        <w:spacing w:after="0"/>
        <w:tabs>
          <w:tab w:leader="none" w:pos="8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Trading Window</w:t>
      </w:r>
    </w:p>
    <w:p>
      <w:pPr>
        <w:spacing w:after="0" w:line="21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In addition to the restrictions that are applicable to all other persons subject to this Policy, any trade by an Insider that is subject to this Policy will be permitted only during an open “trading window.” The trading window generally opens following the close of trading on the second full trading day following the public issuance of the Company’s earnings release for the most recent fiscal quarter and closes at the close of trading on the 15th day of the last month of a fiscal quarter. In addition to the times when the trading window is scheduled to be closed, the Company may impose a special blackout period at its discretion due to the existence of material nonpublic information, such as a pending acquisition, that is likely to be widely known among Insiders. Following termination of employment or other service, Insiders will be subject to the trading window, as well as any special blackout period in effect at the time of termination, for one full fiscal quarter thereafter. Even when the window is open, Insiders and other Company personnel are prohibited from trading in the Company’s securities while in possession of material nonpublic information. The Company’s Compliance Officer will advise Insiders when the trading window opens and closes.</w:t>
      </w:r>
    </w:p>
    <w:p>
      <w:pPr>
        <w:spacing w:after="0" w:line="174" w:lineRule="exact"/>
        <w:rPr>
          <w:sz w:val="20"/>
          <w:szCs w:val="20"/>
          <w:color w:val="auto"/>
        </w:rPr>
      </w:pPr>
    </w:p>
    <w:p>
      <w:pPr>
        <w:ind w:left="860" w:hanging="651"/>
        <w:spacing w:after="0"/>
        <w:tabs>
          <w:tab w:leader="none" w:pos="8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Hardship Exemptions</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The Compliance Officer may, on a case-by-case basis, authorize a transaction in the Company’s securities outside of the trading window (but in no event during a special blackout period) due to financial or other hardship. Any request for a hardship exemption must be in writing and must describe the amount and nature of the proposed transaction and the circumstances of the hardship. (The request may be made as part of a pre-clearance request, so long as it is in writing.) The Insider requesting the hardship exemption must also certify to the Compliance Officer within two business days prior to the date of the proposed trade that he or she is not in possession of material nonpublic information concerning the Company.</w:t>
      </w:r>
    </w:p>
    <w:p>
      <w:pPr>
        <w:spacing w:after="0" w:line="17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The existence of the foregoing procedure does not in any way obligate the Compliance Officer to approve any hardship exemption requested by an Insider.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sectPr>
      </w:pPr>
    </w:p>
    <w:bookmarkStart w:id="130" w:name="page131"/>
    <w:bookmarkEnd w:id="130"/>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2"/>
          <w:szCs w:val="22"/>
          <w:b w:val="1"/>
          <w:bCs w:val="1"/>
          <w:i w:val="1"/>
          <w:iCs w:val="1"/>
          <w:color w:val="auto"/>
        </w:rPr>
        <w:t>Individual Account Plan Blackout Periods</w:t>
      </w:r>
    </w:p>
    <w:p>
      <w:pPr>
        <w:spacing w:after="0" w:line="212"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Certain trading restrictions apply during a blackout period applicable to any Company individual account plan in which participants may hold Company stock (such as the Company’s 401(k) Plan). For the purpose of such restrictions, a “blackout period” is a period in which the plan participants are temporarily restricted from making trades in Company stock. During any blackout period, directors and executive officers are prohibited from trading in shares of the Company’s stock that were acquired in connection with such director's or officer's service or employment with the Company. Such trading restriction is required by law, and no hardship exemptions are available. The Company will notify directors and executive officers in the event of any blackout period.</w:t>
      </w:r>
    </w:p>
    <w:p>
      <w:pPr>
        <w:spacing w:after="0" w:line="177" w:lineRule="exact"/>
        <w:rPr>
          <w:sz w:val="20"/>
          <w:szCs w:val="20"/>
          <w:color w:val="auto"/>
        </w:rPr>
      </w:pPr>
    </w:p>
    <w:p>
      <w:pPr>
        <w:ind w:left="860" w:hanging="651"/>
        <w:spacing w:after="0"/>
        <w:tabs>
          <w:tab w:leader="none" w:pos="8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Pre-Clearance of Trades</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As part of this Policy, </w:t>
      </w:r>
      <w:r>
        <w:rPr>
          <w:rFonts w:ascii="Times New Roman" w:cs="Times New Roman" w:eastAsia="Times New Roman" w:hAnsi="Times New Roman"/>
          <w:sz w:val="22"/>
          <w:szCs w:val="22"/>
          <w:b w:val="1"/>
          <w:bCs w:val="1"/>
          <w:i w:val="1"/>
          <w:iCs w:val="1"/>
          <w:color w:val="auto"/>
        </w:rPr>
        <w:t>all purchases and sales of equity securities of the Company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Section 16 Insiders, other than transactions that are not subject to the Policy or transactions pursuant to a Rule 10b5-1 trading plan approved by the 10b5-1 Committee (as defined below) (or, if such a committee has not been designated, by Board of Directors or its Audit Committee), must be pre-cleared by the Compliance Officer</w:t>
      </w:r>
      <w:r>
        <w:rPr>
          <w:rFonts w:ascii="Times New Roman" w:cs="Times New Roman" w:eastAsia="Times New Roman" w:hAnsi="Times New Roman"/>
          <w:sz w:val="22"/>
          <w:szCs w:val="22"/>
          <w:color w:val="auto"/>
        </w:rPr>
        <w:t>. The intent of this requirement is to prevent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inadvertent violations of the Policy, avoid trades involving the appearance of improper insider trading, facilitate timely Form 4 reporting and avoid transactions that are subject to disgorgement under Section 16(b) of the Exchange Act.</w:t>
      </w:r>
    </w:p>
    <w:p>
      <w:pPr>
        <w:spacing w:after="0" w:line="184"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To request pre-clearance of any trade, a Section 16 Insider must submit his or her request a sufficient time prior to the trade to enable compliance with all reporting obligations. The request must be submitted either in writing or in an email addressed to Sarah Collins, our Compliance Officer, at sarah.collins@gce.com, with copies to Dan Bachus, our Chief Financial Officer, at dan.bachus@gce.com, and Lyn Bickle, our AVP-SEC, at lyn.bickle@gce.com. If a Section 16 Insider submits the request by email and does not receive a response within 24 hours, he or she will be responsible for following up to ensure that the message was received.</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 request for pre-clearance should provide the following information:</w:t>
      </w:r>
    </w:p>
    <w:p>
      <w:pPr>
        <w:spacing w:after="0" w:line="206" w:lineRule="exact"/>
        <w:rPr>
          <w:sz w:val="20"/>
          <w:szCs w:val="20"/>
          <w:color w:val="auto"/>
        </w:rPr>
      </w:pPr>
    </w:p>
    <w:p>
      <w:pPr>
        <w:ind w:left="1500" w:hanging="319"/>
        <w:spacing w:after="0"/>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nature of proposed transaction and the expected date of the transaction.</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involved.</w:t>
      </w:r>
    </w:p>
    <w:p>
      <w:pPr>
        <w:spacing w:after="0" w:line="206" w:lineRule="exact"/>
        <w:rPr>
          <w:rFonts w:ascii="Times New Roman" w:cs="Times New Roman" w:eastAsia="Times New Roman" w:hAnsi="Times New Roman"/>
          <w:sz w:val="22"/>
          <w:szCs w:val="22"/>
          <w:color w:val="auto"/>
        </w:rPr>
      </w:pPr>
    </w:p>
    <w:p>
      <w:pPr>
        <w:ind w:left="1500" w:right="239" w:hanging="319"/>
        <w:spacing w:after="0" w:line="258" w:lineRule="auto"/>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involves a stock option exercise, the specific option to be exercised and the manner of exercise (e.g., “same-day sale” or cashless exercise).</w:t>
      </w:r>
    </w:p>
    <w:p>
      <w:pPr>
        <w:spacing w:after="0" w:line="158"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will execute the transaction.</w:t>
      </w:r>
    </w:p>
    <w:p>
      <w:pPr>
        <w:spacing w:after="0" w:line="206" w:lineRule="exact"/>
        <w:rPr>
          <w:rFonts w:ascii="Times New Roman" w:cs="Times New Roman" w:eastAsia="Times New Roman" w:hAnsi="Times New Roman"/>
          <w:sz w:val="22"/>
          <w:szCs w:val="22"/>
          <w:color w:val="auto"/>
        </w:rPr>
      </w:pPr>
    </w:p>
    <w:p>
      <w:pPr>
        <w:jc w:val="both"/>
        <w:ind w:left="1500" w:right="219" w:hanging="319"/>
        <w:spacing w:after="0" w:line="238" w:lineRule="auto"/>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confirmation that the Section 16 Insider has carefully considered whether he or she may be aware of any material nonpublic information relating to the Company (describing any borderline matters or items of potential concern) and has concluded that he or she is not aware of being in possession of any material nonpublic information relating to the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131" w:name="page132"/>
    <w:bookmarkEnd w:id="131"/>
    <w:p>
      <w:pPr>
        <w:jc w:val="both"/>
        <w:ind w:left="1500" w:right="219" w:hanging="319"/>
        <w:spacing w:after="0" w:line="244" w:lineRule="auto"/>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transaction complies with all rules and regulations, including Rule 144, Rule 701, Form S-8, and Section 16 of the Exchange Act, applicable to securities transactions by the Section 16 Insider.</w:t>
      </w:r>
    </w:p>
    <w:p>
      <w:pPr>
        <w:spacing w:after="0" w:line="173" w:lineRule="exact"/>
        <w:rPr>
          <w:rFonts w:ascii="Times New Roman" w:cs="Times New Roman" w:eastAsia="Times New Roman" w:hAnsi="Times New Roman"/>
          <w:sz w:val="22"/>
          <w:szCs w:val="22"/>
          <w:color w:val="auto"/>
        </w:rPr>
      </w:pPr>
    </w:p>
    <w:p>
      <w:pPr>
        <w:ind w:left="1500" w:right="239" w:hanging="319"/>
        <w:spacing w:after="0" w:line="258" w:lineRule="auto"/>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that is material to the Compliance Officer’s consideration of the proposed transaction.</w:t>
      </w:r>
    </w:p>
    <w:p>
      <w:pPr>
        <w:spacing w:after="0" w:line="15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Once the proposed transaction is pre-cleared, the Section 16 Insider may proceed with it on the approved terms, provided that he or she complies with all other securities law requirements, such as Rule 144 and prohibitions regarding trading on the basis of inside information, and with any special trading blackout imposed by the Company prior to the completion of the trade. The Section 16 Insider and his or her broker will be responsible for immediately reporting the results of the transaction as further described below.</w:t>
      </w:r>
    </w:p>
    <w:p>
      <w:pPr>
        <w:spacing w:after="0" w:line="181"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foregoing, any transactions by the Compliance Officer shall be subject to pre-clearance by Chief Financial Officer or, in the event of his or her unavailability, the Chief Executive Officer.</w:t>
      </w:r>
    </w:p>
    <w:p>
      <w:pPr>
        <w:spacing w:after="0" w:line="16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i w:val="1"/>
          <w:iCs w:val="1"/>
          <w:color w:val="auto"/>
        </w:rPr>
        <w:t>Designated Brokers</w:t>
      </w:r>
    </w:p>
    <w:p>
      <w:pPr>
        <w:spacing w:after="0" w:line="21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Each market transaction in the Company’s stock by a Section 16 Insider, or any person whose trades must be reported by that Section 16 Insider on Form 4 (such as a member of the Insider’s immediate family who lives in the Insider’s household), must be executed by a qualified broker.</w:t>
      </w:r>
    </w:p>
    <w:p>
      <w:pPr>
        <w:spacing w:after="0" w:line="1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A Section 16 Insider and any broker that handles the Section 16 Insider’s transactions in the Company’s stock will be required to enter into an agreement whereby:</w:t>
      </w:r>
    </w:p>
    <w:p>
      <w:pPr>
        <w:spacing w:after="0" w:line="158" w:lineRule="exact"/>
        <w:rPr>
          <w:sz w:val="20"/>
          <w:szCs w:val="20"/>
          <w:color w:val="auto"/>
        </w:rPr>
      </w:pPr>
    </w:p>
    <w:p>
      <w:pPr>
        <w:jc w:val="both"/>
        <w:ind w:left="1500" w:right="219" w:hanging="319"/>
        <w:spacing w:after="0" w:line="239" w:lineRule="auto"/>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Section 16 Insider authorizes the broker to immediately report directly to the Company the details of all transactions in Company equity securities executed by the broker in the Insider’s account and the accounts of all others designated by the Insider whose transactions may be attributed to the Section 16 Insider.</w:t>
      </w:r>
    </w:p>
    <w:p>
      <w:pPr>
        <w:spacing w:after="0" w:line="180" w:lineRule="exact"/>
        <w:rPr>
          <w:rFonts w:ascii="Times New Roman" w:cs="Times New Roman" w:eastAsia="Times New Roman" w:hAnsi="Times New Roman"/>
          <w:sz w:val="22"/>
          <w:szCs w:val="22"/>
          <w:color w:val="auto"/>
        </w:rPr>
      </w:pPr>
    </w:p>
    <w:p>
      <w:pPr>
        <w:jc w:val="both"/>
        <w:ind w:left="1500" w:right="219" w:hanging="319"/>
        <w:spacing w:after="0" w:line="239" w:lineRule="auto"/>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broker agrees not to execute any transaction for the Section 16 Insider or any of the foregoing designated persons (other than under a pre-approved Rule 10b5-1 trading plan) until the broker has verified with the Company that the transaction has been pre-cleared.</w:t>
      </w:r>
    </w:p>
    <w:p>
      <w:pPr>
        <w:spacing w:after="0" w:line="180" w:lineRule="exact"/>
        <w:rPr>
          <w:rFonts w:ascii="Times New Roman" w:cs="Times New Roman" w:eastAsia="Times New Roman" w:hAnsi="Times New Roman"/>
          <w:sz w:val="22"/>
          <w:szCs w:val="22"/>
          <w:color w:val="auto"/>
        </w:rPr>
      </w:pPr>
    </w:p>
    <w:p>
      <w:pPr>
        <w:jc w:val="both"/>
        <w:ind w:left="1500" w:right="219" w:hanging="319"/>
        <w:spacing w:after="0" w:line="244" w:lineRule="auto"/>
        <w:tabs>
          <w:tab w:leader="none" w:pos="15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broker agrees to immediately report the transaction details (including transactions under Rule 10b5-1 trading plans) directly to the Company and to the Insider by telephone and in writing (by fax or email).</w:t>
      </w:r>
    </w:p>
    <w:p>
      <w:pPr>
        <w:spacing w:after="0" w:line="16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2"/>
          <w:szCs w:val="22"/>
          <w:b w:val="1"/>
          <w:bCs w:val="1"/>
          <w:i w:val="1"/>
          <w:iCs w:val="1"/>
          <w:color w:val="auto"/>
        </w:rPr>
        <w:t>Reporting of Transactions</w:t>
      </w:r>
    </w:p>
    <w:p>
      <w:pPr>
        <w:spacing w:after="0" w:line="21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To facilitate timely reporting under Section 16 of the Exchange Act of Section 16 Insider transactions in Company stock, Section 16 Insiders are required to (a) report the details of each transaction to the AVP-SEC immediately after it is executed and (b) arrange with persons whose trades must be reported by the Section 16 Insider under Section 16 (such as immediate family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32" w:name="page133"/>
    <w:bookmarkEnd w:id="132"/>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members living in the Section 16 Insider’s household) to immediately report directly to the Company and to the Section 16 Insider the details of any transactions they have in the Company’s stock.</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Transaction details to be reported include:</w:t>
      </w:r>
    </w:p>
    <w:p>
      <w:pPr>
        <w:spacing w:after="0" w:line="206" w:lineRule="exact"/>
        <w:rPr>
          <w:sz w:val="20"/>
          <w:szCs w:val="20"/>
          <w:color w:val="auto"/>
        </w:rPr>
      </w:pPr>
    </w:p>
    <w:p>
      <w:pPr>
        <w:ind w:left="1500" w:hanging="319"/>
        <w:spacing w:after="0"/>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date (trade date).</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involved.</w:t>
      </w:r>
    </w:p>
    <w:p>
      <w:pPr>
        <w:spacing w:after="0" w:line="206" w:lineRule="exact"/>
        <w:rPr>
          <w:rFonts w:ascii="Times New Roman" w:cs="Times New Roman" w:eastAsia="Times New Roman" w:hAnsi="Times New Roman"/>
          <w:sz w:val="22"/>
          <w:szCs w:val="22"/>
          <w:color w:val="auto"/>
        </w:rPr>
      </w:pPr>
    </w:p>
    <w:p>
      <w:pPr>
        <w:ind w:left="1500" w:right="239" w:hanging="319"/>
        <w:spacing w:after="0" w:line="258" w:lineRule="auto"/>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per share at which the transaction was executed (before addition or deduction of brokerage commission and other transaction fees).</w:t>
      </w:r>
    </w:p>
    <w:p>
      <w:pPr>
        <w:spacing w:after="0" w:line="158"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transaction was a stock option exercise, the specific option exercised.</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information for the broker who executed the transaction.</w:t>
      </w:r>
    </w:p>
    <w:p>
      <w:pPr>
        <w:spacing w:after="0" w:line="206" w:lineRule="exact"/>
        <w:rPr>
          <w:rFonts w:ascii="Times New Roman" w:cs="Times New Roman" w:eastAsia="Times New Roman" w:hAnsi="Times New Roman"/>
          <w:sz w:val="22"/>
          <w:szCs w:val="22"/>
          <w:color w:val="auto"/>
        </w:rPr>
      </w:pPr>
    </w:p>
    <w:p>
      <w:pPr>
        <w:ind w:left="1500" w:right="219" w:hanging="319"/>
        <w:spacing w:after="0" w:line="258" w:lineRule="auto"/>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specific representation that the Insider is not in possession of material non-public information.</w:t>
      </w:r>
    </w:p>
    <w:p>
      <w:pPr>
        <w:spacing w:after="0" w:line="158" w:lineRule="exact"/>
        <w:rPr>
          <w:rFonts w:ascii="Times New Roman" w:cs="Times New Roman" w:eastAsia="Times New Roman" w:hAnsi="Times New Roman"/>
          <w:sz w:val="22"/>
          <w:szCs w:val="22"/>
          <w:color w:val="auto"/>
        </w:rPr>
      </w:pPr>
    </w:p>
    <w:p>
      <w:pPr>
        <w:ind w:left="1500" w:right="219" w:hanging="319"/>
        <w:spacing w:after="0" w:line="258" w:lineRule="auto"/>
        <w:tabs>
          <w:tab w:leader="none" w:pos="15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Section 16 Insider, a specific representation whether the transaction was intended to satisfy the affirmative defense conditions of Rule 10b5-1(c).</w:t>
      </w:r>
    </w:p>
    <w:p>
      <w:pPr>
        <w:spacing w:after="0" w:line="158"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The transaction details must be reported to the AVP-SEC, who will assist the Section 16 Insider in preparing his or her Form 4.</w:t>
      </w:r>
    </w:p>
    <w:p>
      <w:pPr>
        <w:spacing w:after="0" w:line="15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1"/>
          <w:szCs w:val="21"/>
          <w:b w:val="1"/>
          <w:bCs w:val="1"/>
          <w:i w:val="1"/>
          <w:iCs w:val="1"/>
          <w:color w:val="auto"/>
        </w:rPr>
        <w:t>Nominating and Corporate Governance Committee</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The Nominating and Corporate Governance Committee (the “Committee”) will be responsible for monitoring and recommending any modification to this Policy, if necessary or advisable, to the Board of Directors.</w:t>
      </w:r>
    </w:p>
    <w:p>
      <w:pPr>
        <w:spacing w:after="0" w:line="167"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IX.</w:t>
      </w:r>
      <w:r>
        <w:rPr>
          <w:sz w:val="20"/>
          <w:szCs w:val="20"/>
          <w:color w:val="auto"/>
        </w:rPr>
        <w:tab/>
      </w:r>
      <w:r>
        <w:rPr>
          <w:rFonts w:ascii="Times New Roman" w:cs="Times New Roman" w:eastAsia="Times New Roman" w:hAnsi="Times New Roman"/>
          <w:sz w:val="22"/>
          <w:szCs w:val="22"/>
          <w:b w:val="1"/>
          <w:bCs w:val="1"/>
          <w:i w:val="1"/>
          <w:iCs w:val="1"/>
          <w:color w:val="auto"/>
        </w:rPr>
        <w:t>Persons Subject to Section 16</w:t>
      </w:r>
    </w:p>
    <w:p>
      <w:pPr>
        <w:spacing w:after="0" w:line="21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Most purchases and sales of Company securities by its directors, executive officers, and greater-than-10% stockholders are subject to Section 16 of the Exchange Act. The Committee will review, at least annually, those individuals who are deemed to be executive officers for purposes of Section 16 and will recommend any changes regarding such status to the Board of Directors. An executive officer is generally defined as the president, principal financial officer, principal accounting officer or controller, any vice president in charge of a principal business unit, division or function or any other officer or person who performs a policy making function.</w:t>
      </w:r>
    </w:p>
    <w:p>
      <w:pPr>
        <w:spacing w:after="0" w:line="177" w:lineRule="exact"/>
        <w:rPr>
          <w:sz w:val="20"/>
          <w:szCs w:val="20"/>
          <w:color w:val="auto"/>
        </w:rPr>
      </w:pPr>
    </w:p>
    <w:p>
      <w:pPr>
        <w:ind w:left="860" w:hanging="651"/>
        <w:spacing w:after="0"/>
        <w:tabs>
          <w:tab w:leader="none" w:pos="8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Form 4 Reporting</w:t>
      </w:r>
    </w:p>
    <w:p>
      <w:pPr>
        <w:spacing w:after="0" w:line="212"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Under Section 16, most trades by Section 16 Insiders are subject to reporting on Form 4 within two business days following the trade date (which in the case of an open market trade is the date when the broker places the buy or sell order, not the date when the trade is settled), subject to an extension of not more than two additional business days where a Section 16 Insider is not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33" w:name="page134"/>
    <w:bookmarkEnd w:id="13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 xml:space="preserve">immediately aware of the execution of the trade. To facilitate timely reporting, all transactions that are subject to Section 16 must be reported to the Company </w:t>
      </w:r>
      <w:r>
        <w:rPr>
          <w:rFonts w:ascii="Times New Roman" w:cs="Times New Roman" w:eastAsia="Times New Roman" w:hAnsi="Times New Roman"/>
          <w:sz w:val="22"/>
          <w:szCs w:val="22"/>
          <w:b w:val="1"/>
          <w:bCs w:val="1"/>
          <w:i w:val="1"/>
          <w:iCs w:val="1"/>
          <w:color w:val="auto"/>
        </w:rPr>
        <w:t>on the same day as the trade date</w:t>
      </w:r>
      <w:r>
        <w:rPr>
          <w:rFonts w:ascii="Times New Roman" w:cs="Times New Roman" w:eastAsia="Times New Roman" w:hAnsi="Times New Roman"/>
          <w:sz w:val="22"/>
          <w:szCs w:val="22"/>
          <w:color w:val="auto"/>
        </w:rPr>
        <w:t>, or, with respect to transactions effected pursuant to a Rule 10b5-1 plan, on the day the Section 16 Insider is advised of the terms of the transaction.</w:t>
      </w:r>
    </w:p>
    <w:p>
      <w:pPr>
        <w:spacing w:after="0" w:line="174"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XI.</w:t>
      </w:r>
      <w:r>
        <w:rPr>
          <w:sz w:val="20"/>
          <w:szCs w:val="20"/>
          <w:color w:val="auto"/>
        </w:rPr>
        <w:tab/>
      </w:r>
      <w:r>
        <w:rPr>
          <w:rFonts w:ascii="Times New Roman" w:cs="Times New Roman" w:eastAsia="Times New Roman" w:hAnsi="Times New Roman"/>
          <w:sz w:val="22"/>
          <w:szCs w:val="22"/>
          <w:b w:val="1"/>
          <w:bCs w:val="1"/>
          <w:i w:val="1"/>
          <w:iCs w:val="1"/>
          <w:color w:val="auto"/>
        </w:rPr>
        <w:t>Named Employees Considered Insiders</w:t>
      </w:r>
    </w:p>
    <w:p>
      <w:pPr>
        <w:spacing w:after="0" w:line="212"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Committee will review, at least annually, those individuals deemed to be “Insiders” for purposes of this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xml:space="preserve">. Insiders shall include persons subject to Section 16 and such other persons as the Committee deems to be Insiders. Generally, Insiders shall be any person who by function of their employment is </w:t>
      </w:r>
      <w:r>
        <w:rPr>
          <w:rFonts w:ascii="Times New Roman" w:cs="Times New Roman" w:eastAsia="Times New Roman" w:hAnsi="Times New Roman"/>
          <w:sz w:val="22"/>
          <w:szCs w:val="22"/>
          <w:i w:val="1"/>
          <w:iCs w:val="1"/>
          <w:color w:val="auto"/>
        </w:rPr>
        <w:t>consistently</w:t>
      </w:r>
      <w:r>
        <w:rPr>
          <w:rFonts w:ascii="Times New Roman" w:cs="Times New Roman" w:eastAsia="Times New Roman" w:hAnsi="Times New Roman"/>
          <w:sz w:val="22"/>
          <w:szCs w:val="22"/>
          <w:color w:val="auto"/>
        </w:rPr>
        <w:t xml:space="preserve"> in possession of material nonpublic information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performs an operational role, such as head of a division or business unit, that is material to the Company as a whole.</w:t>
      </w:r>
    </w:p>
    <w:p>
      <w:pPr>
        <w:spacing w:after="0" w:line="175"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XII.</w:t>
      </w:r>
      <w:r>
        <w:rPr>
          <w:sz w:val="20"/>
          <w:szCs w:val="20"/>
          <w:color w:val="auto"/>
        </w:rPr>
        <w:tab/>
      </w:r>
      <w:r>
        <w:rPr>
          <w:rFonts w:ascii="Times New Roman" w:cs="Times New Roman" w:eastAsia="Times New Roman" w:hAnsi="Times New Roman"/>
          <w:sz w:val="22"/>
          <w:szCs w:val="22"/>
          <w:b w:val="1"/>
          <w:bCs w:val="1"/>
          <w:i w:val="1"/>
          <w:iCs w:val="1"/>
          <w:color w:val="auto"/>
        </w:rPr>
        <w:t>Special Guidelines for 10b5-1 Trading Plans</w:t>
      </w:r>
    </w:p>
    <w:p>
      <w:pPr>
        <w:spacing w:after="0" w:line="212" w:lineRule="exact"/>
        <w:rPr>
          <w:sz w:val="20"/>
          <w:szCs w:val="20"/>
          <w:color w:val="auto"/>
        </w:rPr>
      </w:pPr>
    </w:p>
    <w:p>
      <w:pPr>
        <w:jc w:val="both"/>
        <w:ind w:left="200" w:right="219" w:firstLine="657"/>
        <w:spacing w:after="0" w:line="239" w:lineRule="auto"/>
        <w:tabs>
          <w:tab w:leader="none" w:pos="117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by the Company’s Rule 10b5-1 Plan Review Committee, which shall be composed of persons selected by and serving at the discretion of the Company’s Chief Executive Officer (the “10b5-1 Committee”) is required for an Insider to enter into or modify a Rule 10b5-1 trading plan (a “10b5-1 Plan”). Each proposed 10b5-1 Plan (each, a “</w:t>
      </w:r>
      <w:r>
        <w:rPr>
          <w:rFonts w:ascii="Times New Roman" w:cs="Times New Roman" w:eastAsia="Times New Roman" w:hAnsi="Times New Roman"/>
          <w:sz w:val="22"/>
          <w:szCs w:val="22"/>
          <w:b w:val="1"/>
          <w:bCs w:val="1"/>
          <w:i w:val="1"/>
          <w:iCs w:val="1"/>
          <w:color w:val="auto"/>
        </w:rPr>
        <w:t>Proposed Plan</w:t>
      </w:r>
      <w:r>
        <w:rPr>
          <w:rFonts w:ascii="Times New Roman" w:cs="Times New Roman" w:eastAsia="Times New Roman" w:hAnsi="Times New Roman"/>
          <w:sz w:val="22"/>
          <w:szCs w:val="22"/>
          <w:color w:val="auto"/>
        </w:rPr>
        <w:t>”) must:</w:t>
      </w:r>
    </w:p>
    <w:p>
      <w:pPr>
        <w:spacing w:after="0" w:line="180" w:lineRule="exact"/>
        <w:rPr>
          <w:rFonts w:ascii="Times New Roman" w:cs="Times New Roman" w:eastAsia="Times New Roman" w:hAnsi="Times New Roman"/>
          <w:sz w:val="22"/>
          <w:szCs w:val="22"/>
          <w:color w:val="auto"/>
        </w:rPr>
      </w:pPr>
    </w:p>
    <w:p>
      <w:pPr>
        <w:ind w:left="1500" w:right="239" w:hanging="319"/>
        <w:spacing w:after="0" w:line="258"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amount of securities to be purchased or sold and the price at which and the date on which the securities are to be purchased or sold,</w:t>
      </w:r>
    </w:p>
    <w:p>
      <w:pPr>
        <w:spacing w:after="0" w:line="158" w:lineRule="exact"/>
        <w:rPr>
          <w:rFonts w:ascii="Times New Roman" w:cs="Times New Roman" w:eastAsia="Times New Roman" w:hAnsi="Times New Roman"/>
          <w:sz w:val="22"/>
          <w:szCs w:val="22"/>
          <w:color w:val="auto"/>
        </w:rPr>
      </w:pPr>
    </w:p>
    <w:p>
      <w:pPr>
        <w:jc w:val="both"/>
        <w:ind w:left="1500" w:right="219" w:hanging="319"/>
        <w:spacing w:after="0" w:line="244"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written formula or algorithm, or computer program, for determining the amount of securities to be purchased or sold and the price at which and the date on which the securities were to be purchased or sold, and</w:t>
      </w:r>
    </w:p>
    <w:p>
      <w:pPr>
        <w:spacing w:after="0" w:line="173" w:lineRule="exact"/>
        <w:rPr>
          <w:rFonts w:ascii="Times New Roman" w:cs="Times New Roman" w:eastAsia="Times New Roman" w:hAnsi="Times New Roman"/>
          <w:sz w:val="22"/>
          <w:szCs w:val="22"/>
          <w:color w:val="auto"/>
        </w:rPr>
      </w:pPr>
    </w:p>
    <w:p>
      <w:pPr>
        <w:jc w:val="both"/>
        <w:ind w:left="1500" w:right="219" w:hanging="319"/>
        <w:spacing w:after="0" w:line="244"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Section 16 Insider and any other person who possesses material nonpublic information from exercising any subsequent influence over how, when, or whether to effect purchases or sales.</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17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reserves the right to withhold approval of any Proposed Plan for any reason that the 10b5-1 Committee, in its sole discretion, determines, including a determination by the 10b5-1 Committee that the Proposed Plan:</w:t>
      </w:r>
    </w:p>
    <w:p>
      <w:pPr>
        <w:spacing w:after="0" w:line="173" w:lineRule="exact"/>
        <w:rPr>
          <w:rFonts w:ascii="Times New Roman" w:cs="Times New Roman" w:eastAsia="Times New Roman" w:hAnsi="Times New Roman"/>
          <w:sz w:val="22"/>
          <w:szCs w:val="22"/>
          <w:color w:val="auto"/>
        </w:rPr>
      </w:pPr>
    </w:p>
    <w:p>
      <w:pPr>
        <w:ind w:left="1500" w:right="239" w:hanging="319"/>
        <w:spacing w:after="0" w:line="258"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comply with the requirements of Rule 10b5-1, as amended from time to time,</w:t>
      </w:r>
    </w:p>
    <w:p>
      <w:pPr>
        <w:spacing w:after="0" w:line="158" w:lineRule="exact"/>
        <w:rPr>
          <w:rFonts w:ascii="Times New Roman" w:cs="Times New Roman" w:eastAsia="Times New Roman" w:hAnsi="Times New Roman"/>
          <w:sz w:val="22"/>
          <w:szCs w:val="22"/>
          <w:color w:val="auto"/>
        </w:rPr>
      </w:pPr>
    </w:p>
    <w:p>
      <w:pPr>
        <w:jc w:val="both"/>
        <w:ind w:left="1500" w:right="219" w:hanging="319"/>
        <w:spacing w:after="0" w:line="238"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permit a transaction to occur before the later of (i) 90 days after adoption (including deemed adoption) of the Proposed Plan or (ii) two business days after disclosure of the issuer’s financial results in a Form 10-Q or Form 10-K for the quarter in which the Proposed Plan was adopted (subject to a maximum of 120 days after adoption of the Proposed Plan),</w:t>
      </w:r>
    </w:p>
    <w:p>
      <w:pPr>
        <w:spacing w:after="0" w:line="176" w:lineRule="exact"/>
        <w:rPr>
          <w:rFonts w:ascii="Times New Roman" w:cs="Times New Roman" w:eastAsia="Times New Roman" w:hAnsi="Times New Roman"/>
          <w:sz w:val="22"/>
          <w:szCs w:val="22"/>
          <w:color w:val="auto"/>
        </w:rPr>
      </w:pPr>
    </w:p>
    <w:p>
      <w:pPr>
        <w:ind w:left="1500" w:right="219" w:hanging="319"/>
        <w:spacing w:after="0" w:line="258" w:lineRule="auto"/>
        <w:tabs>
          <w:tab w:leader="none" w:pos="150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be established during a “closed” window period or a special “blackout” period, or the Insider is unable to represent to the satisfaction of the Compliance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34" w:name="page135"/>
    <w:bookmarkEnd w:id="134"/>
    <w:p>
      <w:pPr>
        <w:ind w:left="1500" w:right="239"/>
        <w:spacing w:after="0" w:line="258" w:lineRule="auto"/>
        <w:rPr>
          <w:sz w:val="20"/>
          <w:szCs w:val="20"/>
          <w:color w:val="auto"/>
        </w:rPr>
      </w:pPr>
      <w:r>
        <w:rPr>
          <w:rFonts w:ascii="Times New Roman" w:cs="Times New Roman" w:eastAsia="Times New Roman" w:hAnsi="Times New Roman"/>
          <w:sz w:val="22"/>
          <w:szCs w:val="22"/>
          <w:color w:val="auto"/>
        </w:rPr>
        <w:t>Officer that the Insider is not in possession of material nonpublic information regarding the Company,</w:t>
      </w:r>
    </w:p>
    <w:p>
      <w:pPr>
        <w:spacing w:after="0" w:line="158" w:lineRule="exact"/>
        <w:rPr>
          <w:sz w:val="20"/>
          <w:szCs w:val="20"/>
          <w:color w:val="auto"/>
        </w:rPr>
      </w:pPr>
    </w:p>
    <w:p>
      <w:pPr>
        <w:jc w:val="both"/>
        <w:ind w:left="1500" w:right="219" w:hanging="319"/>
        <w:spacing w:after="0" w:line="244" w:lineRule="auto"/>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lacks appropriate mechanisms to ensure that the Insider complies with all rules and regulations, including Rule 144, Rule 701, Form S-8, and Section 16 of the Exchange Act, applicable to securities transactions by the Insider,</w:t>
      </w:r>
    </w:p>
    <w:p>
      <w:pPr>
        <w:spacing w:after="0" w:line="173" w:lineRule="exact"/>
        <w:rPr>
          <w:rFonts w:ascii="Times New Roman" w:cs="Times New Roman" w:eastAsia="Times New Roman" w:hAnsi="Times New Roman"/>
          <w:sz w:val="22"/>
          <w:szCs w:val="22"/>
          <w:color w:val="auto"/>
        </w:rPr>
      </w:pPr>
    </w:p>
    <w:p>
      <w:pPr>
        <w:jc w:val="both"/>
        <w:ind w:left="1500" w:right="239" w:hanging="319"/>
        <w:spacing w:after="0" w:line="238" w:lineRule="auto"/>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provide the Company the right to suspend all transactions under the Proposed Plan if the 10b5-1 Committee, in their sole discretion, deems such suspension necessary or advisable, including suspensions to comply with any “lock-up” agreement the Company agrees to in connection with a financing or other similar events,</w:t>
      </w:r>
    </w:p>
    <w:p>
      <w:pPr>
        <w:spacing w:after="0" w:line="176" w:lineRule="exact"/>
        <w:rPr>
          <w:rFonts w:ascii="Times New Roman" w:cs="Times New Roman" w:eastAsia="Times New Roman" w:hAnsi="Times New Roman"/>
          <w:sz w:val="22"/>
          <w:szCs w:val="22"/>
          <w:color w:val="auto"/>
        </w:rPr>
      </w:pPr>
    </w:p>
    <w:p>
      <w:pPr>
        <w:ind w:left="1500" w:right="219" w:hanging="319"/>
        <w:spacing w:after="0" w:line="258" w:lineRule="auto"/>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exposes the Company to liability under any other applicable state or federal rule, regulation, or law.</w:t>
      </w:r>
    </w:p>
    <w:p>
      <w:pPr>
        <w:spacing w:after="0" w:line="158"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creates any appearance of impropriety,</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meet guidelines established by the Company, or</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fails to satisfy the 10b5-1 Committee for any reason.</w:t>
      </w:r>
    </w:p>
    <w:p>
      <w:pPr>
        <w:spacing w:after="0" w:line="206"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17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Pre-clearance of a Proposed Plan must be requested at least five full trading days prior to entry into or modification of the Proposed Plan and be accompanied by a copy of the Proposed Plan.</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55" w:lineRule="auto"/>
        <w:tabs>
          <w:tab w:leader="none" w:pos="1172"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10b5-1 Plan must be approved prior to the effective time of any transactions under such 10b5-1 Plan. An Insider will not be deemed to have violated this Policy for transactions pursuant to a 10b5-1 Plan that has been pre-cleared by the 10b5-1 Committee. Pre-clearance will not be required for individual transactions effected pursuant to a pre-cleared 10b5-1 Plan.</w:t>
      </w:r>
    </w:p>
    <w:p>
      <w:pPr>
        <w:spacing w:after="0" w:line="161" w:lineRule="exact"/>
        <w:rPr>
          <w:rFonts w:ascii="Times New Roman" w:cs="Times New Roman" w:eastAsia="Times New Roman" w:hAnsi="Times New Roman"/>
          <w:sz w:val="21"/>
          <w:szCs w:val="21"/>
          <w:color w:val="auto"/>
        </w:rPr>
      </w:pPr>
    </w:p>
    <w:p>
      <w:pPr>
        <w:jc w:val="both"/>
        <w:ind w:left="200" w:right="219" w:firstLine="657"/>
        <w:spacing w:after="0" w:line="244" w:lineRule="auto"/>
        <w:tabs>
          <w:tab w:leader="none" w:pos="117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modifications to or deviations from a 10b5-1 Plan are deemed to be the Insider entering into a new 10b5-1 Plan and, accordingly, require pre-clearance by the 10b5-1 Committee of such modification or deviation pursuant to this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17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a 10b5-1 Plan must be immediately reported to the 10b5-1 Committee. If an Insider has pre-cleared a new 10b5-1 Plan (the “</w:t>
      </w:r>
      <w:r>
        <w:rPr>
          <w:rFonts w:ascii="Times New Roman" w:cs="Times New Roman" w:eastAsia="Times New Roman" w:hAnsi="Times New Roman"/>
          <w:sz w:val="22"/>
          <w:szCs w:val="22"/>
          <w:u w:val="single" w:color="auto"/>
          <w:color w:val="auto"/>
        </w:rPr>
        <w:t>Second Plan</w:t>
      </w:r>
      <w:r>
        <w:rPr>
          <w:rFonts w:ascii="Times New Roman" w:cs="Times New Roman" w:eastAsia="Times New Roman" w:hAnsi="Times New Roman"/>
          <w:sz w:val="22"/>
          <w:szCs w:val="22"/>
          <w:color w:val="auto"/>
        </w:rPr>
        <w:t>”) intended to succeed an earlier pre-cleared 10b5-1 Plan (the “</w:t>
      </w:r>
      <w:r>
        <w:rPr>
          <w:rFonts w:ascii="Times New Roman" w:cs="Times New Roman" w:eastAsia="Times New Roman" w:hAnsi="Times New Roman"/>
          <w:sz w:val="22"/>
          <w:szCs w:val="22"/>
          <w:u w:val="single" w:color="auto"/>
          <w:color w:val="auto"/>
        </w:rPr>
        <w:t>First Plan</w:t>
      </w:r>
      <w:r>
        <w:rPr>
          <w:rFonts w:ascii="Times New Roman" w:cs="Times New Roman" w:eastAsia="Times New Roman" w:hAnsi="Times New Roman"/>
          <w:sz w:val="22"/>
          <w:szCs w:val="22"/>
          <w:color w:val="auto"/>
        </w:rPr>
        <w:t xml:space="preserve">”), the Insider may not affirmatively terminate the First Plan without pre-clearance pursuant to this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 because such termination is deemed to be entering into the Second Plan.</w:t>
      </w:r>
    </w:p>
    <w:p>
      <w:pPr>
        <w:spacing w:after="0" w:line="176"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17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the 10b5-1 Committee, the Compliance Officer, nor any of the Company’s officers, employees or other representatives shall be deemed, solely by their pre-clearance of a Proposed Plan, to have represented that it complies with Rule 10b5-1 or to have assumed any liability or responsibility to the Insider or any other party if the 10b5-1 Plan fails to comply with Rule 10b5-1.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35" w:name="page136"/>
    <w:bookmarkEnd w:id="135"/>
    <w:p>
      <w:pPr>
        <w:jc w:val="both"/>
        <w:ind w:left="200" w:right="219" w:firstLine="657"/>
        <w:spacing w:after="0" w:line="238" w:lineRule="auto"/>
        <w:tabs>
          <w:tab w:leader="none" w:pos="117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entering into or amending a 10b5-1 Plan, the Insider must promptly provide a copy of the plan to the Company and, upon request, confirm the Company’s planned disclosure regarding the entry into or termination of a plan (including the date of adoption or termination of the plan, duration of the plan, and aggregate number of securities to be sold or purchased under the plan.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465455</wp:posOffset>
            </wp:positionV>
            <wp:extent cx="545211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136" w:name="page137"/>
    <w:bookmarkEnd w:id="136"/>
    <w:tbl>
      <w:tblPr>
        <w:tblLayout w:type="fixed"/>
        <w:tblInd w:w="4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tcPr>
          <w:p>
            <w:pPr>
              <w:ind w:left="1660"/>
              <w:spacing w:after="0"/>
              <w:rPr>
                <w:sz w:val="20"/>
                <w:szCs w:val="20"/>
                <w:color w:val="auto"/>
              </w:rPr>
            </w:pPr>
            <w:r>
              <w:rPr>
                <w:rFonts w:ascii="Times New Roman" w:cs="Times New Roman" w:eastAsia="Times New Roman" w:hAnsi="Times New Roman"/>
                <w:sz w:val="20"/>
                <w:szCs w:val="20"/>
                <w:b w:val="1"/>
                <w:bCs w:val="1"/>
                <w:color w:val="auto"/>
                <w:w w:val="96"/>
              </w:rPr>
              <w:t>Exhibit 21.0</w:t>
            </w:r>
          </w:p>
        </w:tc>
      </w:tr>
      <w:tr>
        <w:trPr>
          <w:trHeight w:val="439"/>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Subsidiaries of Registrant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Jurisdiction of Incorporation</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16"/>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Orbis Education Services,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29"/>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GC Education, Inc.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30"/>
        </w:trPr>
        <w:tc>
          <w:tcPr>
            <w:tcW w:w="62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Tierra Vista Inversiones,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DE</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Nueva Ventura,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Casa de Amistad,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Amigos de Torrejon,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Piedras Bonitas Inversiones,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La Sonrisa de Siena,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Nuevo Comienzo,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El Vecino de Amigos,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30"/>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Rentwise Properties,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29"/>
        </w:trPr>
        <w:tc>
          <w:tcPr>
            <w:tcW w:w="20" w:type="dxa"/>
            <w:vAlign w:val="bottom"/>
          </w:tcPr>
          <w:p>
            <w:pPr>
              <w:spacing w:after="0"/>
              <w:rPr>
                <w:sz w:val="19"/>
                <w:szCs w:val="19"/>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Mid-State Rental Properties,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258"/>
        </w:trPr>
        <w:tc>
          <w:tcPr>
            <w:tcW w:w="20" w:type="dxa"/>
            <w:vAlign w:val="bottom"/>
          </w:tcPr>
          <w:p>
            <w:pPr>
              <w:spacing w:after="0"/>
              <w:rPr>
                <w:sz w:val="22"/>
                <w:szCs w:val="22"/>
                <w:color w:val="auto"/>
              </w:rPr>
            </w:pPr>
          </w:p>
        </w:tc>
        <w:tc>
          <w:tcPr>
            <w:tcW w:w="622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auto"/>
              </w:rPr>
              <w:t>REG 5160, LLC</w:t>
            </w: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AZ</w:t>
            </w:r>
          </w:p>
        </w:tc>
      </w:tr>
      <w:tr>
        <w:trPr>
          <w:trHeight w:val="770"/>
        </w:trPr>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166" w:lineRule="exact"/>
        <w:rPr>
          <w:sz w:val="20"/>
          <w:szCs w:val="20"/>
          <w:color w:val="auto"/>
        </w:rPr>
      </w:pPr>
    </w:p>
    <w:p>
      <w:pPr>
        <w:ind w:left="80"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333-155973, 333-165019, 333-179611, and 333-218740) on Form S-8 of our reports dated February 19, 2025, with respect to the consolidated financial statements of Grand Canyon Education, Inc. and subsidiaries and the effectiveness of internal control over financial reporting.</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348615</wp:posOffset>
            </wp:positionV>
            <wp:extent cx="575183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ectPr>
          <w:pgSz w:w="11900" w:h="16838" w:orient="portrait"/>
          <w:cols w:equalWidth="0" w:num="1">
            <w:col w:w="9120"/>
          </w:cols>
          <w:pgMar w:left="1440" w:top="121" w:right="1339" w:bottom="1440" w:gutter="0" w:footer="0" w:header="0"/>
        </w:sectPr>
      </w:pPr>
    </w:p>
    <w:bookmarkStart w:id="138" w:name="page139"/>
    <w:bookmarkEnd w:id="1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E. Mueller, certify that:</w:t>
      </w:r>
    </w:p>
    <w:p>
      <w:pPr>
        <w:spacing w:after="0" w:line="225" w:lineRule="exact"/>
        <w:rPr>
          <w:sz w:val="20"/>
          <w:szCs w:val="20"/>
          <w:color w:val="auto"/>
        </w:rPr>
      </w:pPr>
    </w:p>
    <w:p>
      <w:pPr>
        <w:ind w:left="60" w:right="599" w:firstLine="431"/>
        <w:spacing w:after="0" w:line="282" w:lineRule="auto"/>
        <w:tabs>
          <w:tab w:leader="none" w:pos="6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Grand Canyon Education, Inc.;</w:t>
      </w:r>
    </w:p>
    <w:p>
      <w:pPr>
        <w:spacing w:after="0" w:line="161"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6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119" w:firstLine="431"/>
        <w:spacing w:after="0" w:line="266" w:lineRule="auto"/>
        <w:tabs>
          <w:tab w:leader="none" w:pos="6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359" w:firstLine="431"/>
        <w:spacing w:after="0" w:line="266" w:lineRule="auto"/>
        <w:tabs>
          <w:tab w:leader="none" w:pos="6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 w:right="79" w:firstLine="872"/>
        <w:spacing w:after="0" w:line="261" w:lineRule="auto"/>
        <w:tabs>
          <w:tab w:leader="none" w:pos="112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60" w:right="599" w:firstLine="872"/>
        <w:spacing w:after="0" w:line="261" w:lineRule="auto"/>
        <w:tabs>
          <w:tab w:leader="none" w:pos="11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99" w:firstLine="872"/>
        <w:spacing w:after="0" w:line="266" w:lineRule="auto"/>
        <w:tabs>
          <w:tab w:leader="none" w:pos="112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0" w:right="139" w:firstLine="872"/>
        <w:spacing w:after="0" w:line="261" w:lineRule="auto"/>
        <w:tabs>
          <w:tab w:leader="none" w:pos="11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firstLine="431"/>
        <w:spacing w:after="0" w:line="266" w:lineRule="auto"/>
        <w:tabs>
          <w:tab w:leader="none" w:pos="6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0" w:right="119" w:firstLine="872"/>
        <w:spacing w:after="0" w:line="266" w:lineRule="auto"/>
        <w:tabs>
          <w:tab w:leader="none" w:pos="112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0" w:right="319" w:firstLine="872"/>
        <w:spacing w:after="0" w:line="282" w:lineRule="auto"/>
        <w:tabs>
          <w:tab w:leader="none" w:pos="1136"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19, 2025</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E. Mueller</w:t>
            </w:r>
          </w:p>
        </w:tc>
      </w:tr>
      <w:tr>
        <w:trPr>
          <w:trHeight w:val="191"/>
        </w:trPr>
        <w:tc>
          <w:tcPr>
            <w:tcW w:w="406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E. Mueller</w:t>
            </w:r>
          </w:p>
        </w:tc>
      </w:tr>
      <w:tr>
        <w:trPr>
          <w:trHeight w:val="216"/>
        </w:trPr>
        <w:tc>
          <w:tcPr>
            <w:tcW w:w="4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4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9" w:name="page140"/>
    <w:bookmarkEnd w:id="1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Daniel E. Bachus, certify that:</w:t>
      </w:r>
    </w:p>
    <w:p>
      <w:pPr>
        <w:spacing w:after="0" w:line="225" w:lineRule="exact"/>
        <w:rPr>
          <w:sz w:val="20"/>
          <w:szCs w:val="20"/>
          <w:color w:val="auto"/>
        </w:rPr>
      </w:pPr>
    </w:p>
    <w:p>
      <w:pPr>
        <w:ind w:left="60" w:right="599" w:firstLine="431"/>
        <w:spacing w:after="0" w:line="282" w:lineRule="auto"/>
        <w:tabs>
          <w:tab w:leader="none" w:pos="6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2024 of Grand Canyon Education, Inc.;</w:t>
      </w:r>
    </w:p>
    <w:p>
      <w:pPr>
        <w:spacing w:after="0" w:line="161" w:lineRule="exact"/>
        <w:rPr>
          <w:rFonts w:ascii="Times New Roman" w:cs="Times New Roman" w:eastAsia="Times New Roman" w:hAnsi="Times New Roman"/>
          <w:sz w:val="18"/>
          <w:szCs w:val="18"/>
          <w:color w:val="auto"/>
        </w:rPr>
      </w:pPr>
    </w:p>
    <w:p>
      <w:pPr>
        <w:ind w:left="60" w:right="79" w:firstLine="431"/>
        <w:spacing w:after="0" w:line="266" w:lineRule="auto"/>
        <w:tabs>
          <w:tab w:leader="none" w:pos="6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119" w:firstLine="431"/>
        <w:spacing w:after="0" w:line="266" w:lineRule="auto"/>
        <w:tabs>
          <w:tab w:leader="none" w:pos="6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0" w:right="359" w:firstLine="431"/>
        <w:spacing w:after="0" w:line="266" w:lineRule="auto"/>
        <w:tabs>
          <w:tab w:leader="none" w:pos="6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0" w:right="79" w:firstLine="872"/>
        <w:spacing w:after="0" w:line="261" w:lineRule="auto"/>
        <w:tabs>
          <w:tab w:leader="none" w:pos="112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60" w:right="599" w:firstLine="872"/>
        <w:spacing w:after="0" w:line="261" w:lineRule="auto"/>
        <w:tabs>
          <w:tab w:leader="none" w:pos="11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60" w:right="99" w:firstLine="872"/>
        <w:spacing w:after="0" w:line="266" w:lineRule="auto"/>
        <w:tabs>
          <w:tab w:leader="none" w:pos="112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0" w:right="139" w:firstLine="872"/>
        <w:spacing w:after="0" w:line="261" w:lineRule="auto"/>
        <w:tabs>
          <w:tab w:leader="none" w:pos="11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99" w:firstLine="431"/>
        <w:spacing w:after="0" w:line="266" w:lineRule="auto"/>
        <w:tabs>
          <w:tab w:leader="none" w:pos="6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0" w:right="119" w:firstLine="872"/>
        <w:spacing w:after="0" w:line="266" w:lineRule="auto"/>
        <w:tabs>
          <w:tab w:leader="none" w:pos="112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0" w:right="319" w:firstLine="872"/>
        <w:spacing w:after="0" w:line="282" w:lineRule="auto"/>
        <w:tabs>
          <w:tab w:leader="none" w:pos="11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19,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E. Bachus</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E. Bachus</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40" w:name="page141"/>
    <w:bookmarkEnd w:id="1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right="139"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Grand Canyon Education, Inc. (the “Company”) for the year ending December 31, 2024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83" w:lineRule="exact"/>
        <w:rPr>
          <w:sz w:val="20"/>
          <w:szCs w:val="20"/>
          <w:color w:val="auto"/>
        </w:rPr>
      </w:pPr>
    </w:p>
    <w:p>
      <w:pPr>
        <w:ind w:left="480" w:right="319" w:hanging="430"/>
        <w:spacing w:after="0" w:line="282" w:lineRule="auto"/>
        <w:tabs>
          <w:tab w:leader="none" w:pos="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 and</w:t>
      </w:r>
    </w:p>
    <w:p>
      <w:pPr>
        <w:spacing w:after="0" w:line="161" w:lineRule="exact"/>
        <w:rPr>
          <w:rFonts w:ascii="Times New Roman" w:cs="Times New Roman" w:eastAsia="Times New Roman" w:hAnsi="Times New Roman"/>
          <w:sz w:val="18"/>
          <w:szCs w:val="18"/>
          <w:color w:val="auto"/>
        </w:rPr>
      </w:pPr>
    </w:p>
    <w:p>
      <w:pPr>
        <w:ind w:left="480" w:right="119" w:hanging="430"/>
        <w:spacing w:after="0" w:line="282" w:lineRule="auto"/>
        <w:tabs>
          <w:tab w:leader="none" w:pos="4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Brian E. Mueller</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28289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1" w:name="page142"/>
    <w:bookmarkEnd w:id="1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60" w:right="139"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Grand Canyon Education, Inc. (the “Company”) for the year ending December 31, 2024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83" w:lineRule="exact"/>
        <w:rPr>
          <w:sz w:val="20"/>
          <w:szCs w:val="20"/>
          <w:color w:val="auto"/>
        </w:rPr>
      </w:pPr>
    </w:p>
    <w:p>
      <w:pPr>
        <w:ind w:left="480" w:right="319" w:hanging="430"/>
        <w:spacing w:after="0" w:line="282" w:lineRule="auto"/>
        <w:tabs>
          <w:tab w:leader="none" w:pos="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 or 78o); and</w:t>
      </w:r>
    </w:p>
    <w:p>
      <w:pPr>
        <w:spacing w:after="0" w:line="161" w:lineRule="exact"/>
        <w:rPr>
          <w:rFonts w:ascii="Times New Roman" w:cs="Times New Roman" w:eastAsia="Times New Roman" w:hAnsi="Times New Roman"/>
          <w:sz w:val="18"/>
          <w:szCs w:val="18"/>
          <w:color w:val="auto"/>
        </w:rPr>
      </w:pPr>
    </w:p>
    <w:p>
      <w:pPr>
        <w:ind w:left="480" w:right="119" w:hanging="430"/>
        <w:spacing w:after="0" w:line="282" w:lineRule="auto"/>
        <w:tabs>
          <w:tab w:leader="none" w:pos="4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Daniel E. Bachus</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28289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o"/>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lowerLetter"/>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1)"/>
      <w:numFmt w:val="decimal"/>
      <w:start w:val="3"/>
    </w:lvl>
  </w:abstractNum>
  <w:abstractNum w:abstractNumId="37">
    <w:nsid w:val="68EB2F63"/>
    <w:multiLevelType w:val="hybridMultilevel"/>
    <w:lvl w:ilvl="0">
      <w:lvlJc w:val="left"/>
      <w:lvlText w:val="(%1)"/>
      <w:numFmt w:val="lowerRoman"/>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3"/>
    </w:lvl>
  </w:abstractNum>
  <w:abstractNum w:abstractNumId="40">
    <w:nsid w:val="6A5EE64"/>
    <w:multiLevelType w:val="hybridMultilevel"/>
    <w:lvl w:ilvl="0">
      <w:lvlJc w:val="left"/>
      <w:lvlText w:val="%1"/>
      <w:numFmt w:val="decimal"/>
      <w:start w:val="10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bullet"/>
      <w:start w:val="1"/>
    </w:lvl>
  </w:abstractNum>
  <w:abstractNum w:abstractNumId="46">
    <w:nsid w:val="7FB7E0AA"/>
    <w:multiLevelType w:val="hybridMultilevel"/>
    <w:lvl w:ilvl="0">
      <w:lvlJc w:val="left"/>
      <w:lvlText w:val="%1."/>
      <w:numFmt w:val="decimal"/>
      <w:start w:val="3"/>
    </w:lvl>
  </w:abstractNum>
  <w:abstractNum w:abstractNumId="47">
    <w:nsid w:val="6EB5BD4"/>
    <w:multiLevelType w:val="hybridMultilevel"/>
    <w:lvl w:ilvl="0">
      <w:lvlJc w:val="left"/>
      <w:lvlText w:val="2"/>
      <w:numFmt w:val="bullet"/>
      <w:start w:val="1"/>
    </w:lvl>
  </w:abstractNum>
  <w:abstractNum w:abstractNumId="48">
    <w:nsid w:val="6F6DD9AC"/>
    <w:multiLevelType w:val="hybridMultilevel"/>
    <w:lvl w:ilvl="0">
      <w:lvlJc w:val="left"/>
      <w:lvlText w:val="%1."/>
      <w:numFmt w:val="decimal"/>
      <w:start w:val="5"/>
    </w:lvl>
  </w:abstractNum>
  <w:abstractNum w:abstractNumId="49">
    <w:nsid w:val="94211F2"/>
    <w:multiLevelType w:val="hybridMultilevel"/>
    <w:lvl w:ilvl="0">
      <w:lvlJc w:val="left"/>
      <w:lvlText w:val="%1."/>
      <w:numFmt w:val="decimal"/>
      <w:start w:val="7"/>
    </w:lvl>
  </w:abstractNum>
  <w:abstractNum w:abstractNumId="50">
    <w:nsid w:val="885E1B"/>
    <w:multiLevelType w:val="hybridMultilevel"/>
    <w:lvl w:ilvl="0">
      <w:lvlJc w:val="left"/>
      <w:lvlText w:val="%1."/>
      <w:numFmt w:val="decimal"/>
      <w:start w:val="10"/>
    </w:lvl>
  </w:abstractNum>
  <w:abstractNum w:abstractNumId="51">
    <w:nsid w:val="76272110"/>
    <w:multiLevelType w:val="hybridMultilevel"/>
    <w:lvl w:ilvl="0">
      <w:lvlJc w:val="left"/>
      <w:lvlText w:val="%1."/>
      <w:numFmt w:val="decimal"/>
      <w:start w:val="12"/>
    </w:lvl>
    <w:lvl w:ilvl="1">
      <w:lvlJc w:val="left"/>
      <w:lvlText w:val="(%2)"/>
      <w:numFmt w:val="lowerLetter"/>
      <w:start w:val="1"/>
    </w:lvl>
  </w:abstractNum>
  <w:abstractNum w:abstractNumId="52">
    <w:nsid w:val="4C04A8AF"/>
    <w:multiLevelType w:val="hybridMultilevel"/>
    <w:lvl w:ilvl="0">
      <w:lvlJc w:val="left"/>
      <w:lvlText w:val="(%1)"/>
      <w:numFmt w:val="lowerLetter"/>
      <w:start w:val="2"/>
    </w:lvl>
  </w:abstractNum>
  <w:abstractNum w:abstractNumId="53">
    <w:nsid w:val="1716703B"/>
    <w:multiLevelType w:val="hybridMultilevel"/>
    <w:lvl w:ilvl="0">
      <w:lvlJc w:val="left"/>
      <w:lvlText w:val="%1."/>
      <w:numFmt w:val="decimal"/>
      <w:start w:val="15"/>
    </w:lvl>
  </w:abstractNum>
  <w:abstractNum w:abstractNumId="54">
    <w:nsid w:val="14E17E33"/>
    <w:multiLevelType w:val="hybridMultilevel"/>
    <w:lvl w:ilvl="0">
      <w:lvlJc w:val="left"/>
      <w:lvlText w:val="(%1)"/>
      <w:numFmt w:val="lowerLetter"/>
      <w:start w:val="8"/>
    </w:lvl>
  </w:abstractNum>
  <w:abstractNum w:abstractNumId="55">
    <w:nsid w:val="3222E7CD"/>
    <w:multiLevelType w:val="hybridMultilevel"/>
    <w:lvl w:ilvl="0">
      <w:lvlJc w:val="left"/>
      <w:lvlText w:val="%1."/>
      <w:numFmt w:val="decimal"/>
      <w:start w:val="17"/>
    </w:lvl>
  </w:abstractNum>
  <w:abstractNum w:abstractNumId="56">
    <w:nsid w:val="74DE0EE3"/>
    <w:multiLevelType w:val="hybridMultilevel"/>
    <w:lvl w:ilvl="0">
      <w:lvlJc w:val="left"/>
      <w:lvlText w:val="%1."/>
      <w:numFmt w:val="decimal"/>
      <w:start w:val="20"/>
    </w:lvl>
  </w:abstractNum>
  <w:abstractNum w:abstractNumId="57">
    <w:nsid w:val="68EBC550"/>
    <w:multiLevelType w:val="hybridMultilevel"/>
    <w:lvl w:ilvl="0">
      <w:lvlJc w:val="left"/>
      <w:lvlText w:val="(%1)"/>
      <w:numFmt w:val="lowerRoman"/>
      <w:start w:val="5"/>
    </w:lvl>
  </w:abstractNum>
  <w:abstractNum w:abstractNumId="58">
    <w:nsid w:val="2DF6D648"/>
    <w:multiLevelType w:val="hybridMultilevel"/>
    <w:lvl w:ilvl="0">
      <w:lvlJc w:val="left"/>
      <w:lvlText w:val="%1."/>
      <w:numFmt w:val="decimal"/>
      <w:start w:val="26"/>
    </w:lvl>
  </w:abstractNum>
  <w:abstractNum w:abstractNumId="59">
    <w:nsid w:val="46B7D447"/>
    <w:multiLevelType w:val="hybridMultilevel"/>
    <w:lvl w:ilvl="0">
      <w:lvlJc w:val="left"/>
      <w:lvlText w:val="%1."/>
      <w:numFmt w:val="decimal"/>
      <w:start w:val="27"/>
    </w:lvl>
  </w:abstractNum>
  <w:abstractNum w:abstractNumId="60">
    <w:nsid w:val="4A2AC315"/>
    <w:multiLevelType w:val="hybridMultilevel"/>
    <w:lvl w:ilvl="0">
      <w:lvlJc w:val="left"/>
      <w:lvlText w:val="(%1)"/>
      <w:numFmt w:val="lowerLetter"/>
      <w:start w:val="1"/>
    </w:lvl>
  </w:abstractNum>
  <w:abstractNum w:abstractNumId="61">
    <w:nsid w:val="39EE015C"/>
    <w:multiLevelType w:val="hybridMultilevel"/>
    <w:lvl w:ilvl="0">
      <w:lvlJc w:val="left"/>
      <w:lvlText w:val="(%1)"/>
      <w:numFmt w:val="lowerLetter"/>
      <w:start w:val="1"/>
    </w:lvl>
  </w:abstractNum>
  <w:abstractNum w:abstractNumId="62">
    <w:nsid w:val="57FC4FBB"/>
    <w:multiLevelType w:val="hybridMultilevel"/>
    <w:lvl w:ilvl="0">
      <w:lvlJc w:val="left"/>
      <w:lvlText w:val="(%1)"/>
      <w:numFmt w:val="lowerLetter"/>
      <w:start w:val="5"/>
    </w:lvl>
  </w:abstractNum>
  <w:abstractNum w:abstractNumId="63">
    <w:nsid w:val="CC1016F"/>
    <w:multiLevelType w:val="hybridMultilevel"/>
    <w:lvl w:ilvl="0">
      <w:lvlJc w:val="left"/>
      <w:lvlText w:val="%1"/>
      <w:numFmt w:val="lowerLetter"/>
      <w:start w:val="1"/>
    </w:lvl>
    <w:lvl w:ilvl="1">
      <w:lvlJc w:val="left"/>
      <w:lvlText w:val="(%2)"/>
      <w:numFmt w:val="lowerLetter"/>
      <w:start w:val="1"/>
    </w:lvl>
  </w:abstractNum>
  <w:abstractNum w:abstractNumId="64">
    <w:nsid w:val="43F18422"/>
    <w:multiLevelType w:val="hybridMultilevel"/>
    <w:lvl w:ilvl="0">
      <w:lvlJc w:val="left"/>
      <w:lvlText w:val="(%1)"/>
      <w:numFmt w:val="lowerLetter"/>
      <w:start w:val="35"/>
    </w:lvl>
    <w:lvl w:ilvl="1">
      <w:lvlJc w:val="left"/>
      <w:lvlText w:val="(%2)"/>
      <w:numFmt w:val="lowerLetter"/>
      <w:start w:val="2"/>
    </w:lvl>
  </w:abstractNum>
  <w:abstractNum w:abstractNumId="65">
    <w:nsid w:val="60EF0119"/>
    <w:multiLevelType w:val="hybridMultilevel"/>
    <w:lvl w:ilvl="0">
      <w:lvlJc w:val="left"/>
      <w:lvlText w:val="(%1)"/>
      <w:numFmt w:val="lowerLetter"/>
      <w:start w:val="5"/>
    </w:lvl>
  </w:abstractNum>
  <w:abstractNum w:abstractNumId="66">
    <w:nsid w:val="26F324BA"/>
    <w:multiLevelType w:val="hybridMultilevel"/>
    <w:lvl w:ilvl="0">
      <w:lvlJc w:val="left"/>
      <w:lvlText w:val="(%1)"/>
      <w:numFmt w:val="lowerLetter"/>
      <w:start w:val="6"/>
    </w:lvl>
  </w:abstractNum>
  <w:abstractNum w:abstractNumId="67">
    <w:nsid w:val="7F01579B"/>
    <w:multiLevelType w:val="hybridMultilevel"/>
    <w:lvl w:ilvl="0">
      <w:lvlJc w:val="left"/>
      <w:lvlText w:val="(%1)"/>
      <w:numFmt w:val="lowerLetter"/>
      <w:start w:val="1"/>
    </w:lvl>
  </w:abstractNum>
  <w:abstractNum w:abstractNumId="68">
    <w:nsid w:val="49DA307D"/>
    <w:multiLevelType w:val="hybridMultilevel"/>
    <w:lvl w:ilvl="0">
      <w:lvlJc w:val="left"/>
      <w:lvlText w:val="3"/>
      <w:numFmt w:val="bullet"/>
      <w:start w:val="1"/>
    </w:lvl>
  </w:abstractNum>
  <w:abstractNum w:abstractNumId="69">
    <w:nsid w:val="7055A5F5"/>
    <w:multiLevelType w:val="hybridMultilevel"/>
    <w:lvl w:ilvl="0">
      <w:lvlJc w:val="left"/>
      <w:lvlText w:val="(%1)"/>
      <w:numFmt w:val="lowerLetter"/>
      <w:start w:val="1"/>
    </w:lvl>
  </w:abstractNum>
  <w:abstractNum w:abstractNumId="70">
    <w:nsid w:val="5FB8370B"/>
    <w:multiLevelType w:val="hybridMultilevel"/>
    <w:lvl w:ilvl="0">
      <w:lvlJc w:val="left"/>
      <w:lvlText w:val="%1."/>
      <w:numFmt w:val="upperLetter"/>
      <w:start w:val="1"/>
    </w:lvl>
  </w:abstractNum>
  <w:abstractNum w:abstractNumId="71">
    <w:nsid w:val="50801EE1"/>
    <w:multiLevelType w:val="hybridMultilevel"/>
    <w:lvl w:ilvl="0">
      <w:lvlJc w:val="left"/>
      <w:lvlText w:val="%1."/>
      <w:numFmt w:val="decimal"/>
      <w:start w:val="1"/>
    </w:lvl>
    <w:lvl w:ilvl="1">
      <w:lvlJc w:val="left"/>
      <w:lvlText w:val="(%2)"/>
      <w:numFmt w:val="lowerLetter"/>
      <w:start w:val="1"/>
    </w:lvl>
  </w:abstractNum>
  <w:abstractNum w:abstractNumId="72">
    <w:nsid w:val="488AC1A"/>
    <w:multiLevelType w:val="hybridMultilevel"/>
    <w:lvl w:ilvl="0">
      <w:lvlJc w:val="left"/>
      <w:lvlText w:val="(%1)"/>
      <w:numFmt w:val="lowerLetter"/>
      <w:start w:val="2"/>
    </w:lvl>
  </w:abstractNum>
  <w:abstractNum w:abstractNumId="73">
    <w:nsid w:val="5FB8011C"/>
    <w:multiLevelType w:val="hybridMultilevel"/>
    <w:lvl w:ilvl="0">
      <w:lvlJc w:val="left"/>
      <w:lvlText w:val="(%1)"/>
      <w:numFmt w:val="lowerLetter"/>
      <w:start w:val="3"/>
    </w:lvl>
  </w:abstractNum>
  <w:abstractNum w:abstractNumId="74">
    <w:nsid w:val="6AA78F7F"/>
    <w:multiLevelType w:val="hybridMultilevel"/>
    <w:lvl w:ilvl="0">
      <w:lvlJc w:val="left"/>
      <w:lvlText w:val="%1."/>
      <w:numFmt w:val="decimal"/>
      <w:start w:val="2"/>
    </w:lvl>
    <w:lvl w:ilvl="1">
      <w:lvlJc w:val="left"/>
      <w:lvlText w:val="(%2)"/>
      <w:numFmt w:val="lowerLetter"/>
      <w:start w:val="1"/>
    </w:lvl>
  </w:abstractNum>
  <w:abstractNum w:abstractNumId="75">
    <w:nsid w:val="7672BD23"/>
    <w:multiLevelType w:val="hybridMultilevel"/>
    <w:lvl w:ilvl="0">
      <w:lvlJc w:val="left"/>
      <w:lvlText w:val="%1"/>
      <w:numFmt w:val="decimal"/>
      <w:start w:val="1"/>
    </w:lvl>
    <w:lvl w:ilvl="1">
      <w:lvlJc w:val="left"/>
      <w:lvlText w:val="(%2)"/>
      <w:numFmt w:val="lowerLetter"/>
      <w:start w:val="3"/>
    </w:lvl>
  </w:abstractNum>
  <w:abstractNum w:abstractNumId="76">
    <w:nsid w:val="6FC75AF8"/>
    <w:multiLevelType w:val="hybridMultilevel"/>
    <w:lvl w:ilvl="0">
      <w:lvlJc w:val="left"/>
      <w:lvlText w:val="%1."/>
      <w:numFmt w:val="decimal"/>
      <w:start w:val="3"/>
    </w:lvl>
    <w:lvl w:ilvl="1">
      <w:lvlJc w:val="left"/>
      <w:lvlText w:val="(%2)"/>
      <w:numFmt w:val="lowerLetter"/>
      <w:start w:val="1"/>
    </w:lvl>
  </w:abstractNum>
  <w:abstractNum w:abstractNumId="77">
    <w:nsid w:val="6A5F7029"/>
    <w:multiLevelType w:val="hybridMultilevel"/>
    <w:lvl w:ilvl="0">
      <w:lvlJc w:val="left"/>
      <w:lvlText w:val="%1."/>
      <w:numFmt w:val="decimal"/>
      <w:start w:val="5"/>
    </w:lvl>
    <w:lvl w:ilvl="1">
      <w:lvlJc w:val="left"/>
      <w:lvlText w:val="(%2)"/>
      <w:numFmt w:val="lowerLetter"/>
      <w:start w:val="1"/>
    </w:lvl>
  </w:abstractNum>
  <w:abstractNum w:abstractNumId="78">
    <w:nsid w:val="7D5E18F8"/>
    <w:multiLevelType w:val="hybridMultilevel"/>
    <w:lvl w:ilvl="0">
      <w:lvlJc w:val="left"/>
      <w:lvlText w:val="%1."/>
      <w:numFmt w:val="decimal"/>
      <w:start w:val="6"/>
    </w:lvl>
    <w:lvl w:ilvl="1">
      <w:lvlJc w:val="left"/>
      <w:lvlText w:val="(%2)"/>
      <w:numFmt w:val="lowerLetter"/>
      <w:start w:val="1"/>
    </w:lvl>
  </w:abstractNum>
  <w:abstractNum w:abstractNumId="79">
    <w:nsid w:val="5F3534A4"/>
    <w:multiLevelType w:val="hybridMultilevel"/>
    <w:lvl w:ilvl="0">
      <w:lvlJc w:val="left"/>
      <w:lvlText w:val="%1."/>
      <w:numFmt w:val="decimal"/>
      <w:start w:val="7"/>
    </w:lvl>
  </w:abstractNum>
  <w:abstractNum w:abstractNumId="80">
    <w:nsid w:val="73A1821B"/>
    <w:multiLevelType w:val="hybridMultilevel"/>
    <w:lvl w:ilvl="0">
      <w:lvlJc w:val="left"/>
      <w:lvlText w:val="%1."/>
      <w:numFmt w:val="decimal"/>
      <w:start w:val="10"/>
    </w:lvl>
  </w:abstractNum>
  <w:abstractNum w:abstractNumId="81">
    <w:nsid w:val="7DE6771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2">
    <w:nsid w:val="555C55B5"/>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3">
    <w:nsid w:val="3FA62ACA"/>
    <w:multiLevelType w:val="hybridMultilevel"/>
    <w:lvl w:ilvl="0">
      <w:lvlJc w:val="left"/>
      <w:lvlText w:val="%1"/>
      <w:numFmt w:val="lowerLetter"/>
      <w:start w:val="1"/>
    </w:lvl>
    <w:lvl w:ilvl="1">
      <w:lvlJc w:val="left"/>
      <w:lvlText w:val="(%2)"/>
      <w:numFmt w:val="lowerRoman"/>
      <w:start w:val="4"/>
    </w:lvl>
  </w:abstractNum>
  <w:abstractNum w:abstractNumId="84">
    <w:nsid w:val="14FCE74E"/>
    <w:multiLevelType w:val="hybridMultilevel"/>
    <w:lvl w:ilvl="0">
      <w:lvlJc w:val="left"/>
      <w:lvlText w:val="(%1)"/>
      <w:numFmt w:val="lowerLetter"/>
      <w:start w:val="2"/>
    </w:lvl>
    <w:lvl w:ilvl="1">
      <w:lvlJc w:val="left"/>
      <w:lvlText w:val="(%2)"/>
      <w:numFmt w:val="lowerRoman"/>
      <w:start w:val="1"/>
    </w:lvl>
  </w:abstractNum>
  <w:abstractNum w:abstractNumId="85">
    <w:nsid w:val="6A3DD3E8"/>
    <w:multiLevelType w:val="hybridMultilevel"/>
    <w:lvl w:ilvl="0">
      <w:lvlJc w:val="left"/>
      <w:lvlText w:val="(%1)"/>
      <w:numFmt w:val="lowerLetter"/>
      <w:start w:val="3"/>
    </w:lvl>
    <w:lvl w:ilvl="1">
      <w:lvlJc w:val="left"/>
      <w:lvlText w:val="(%2)"/>
      <w:numFmt w:val="lowerRoman"/>
      <w:start w:val="1"/>
    </w:lvl>
  </w:abstractNum>
  <w:abstractNum w:abstractNumId="86">
    <w:nsid w:val="71C91298"/>
    <w:multiLevelType w:val="hybridMultilevel"/>
    <w:lvl w:ilvl="0">
      <w:lvlJc w:val="left"/>
      <w:lvlText w:val="(%1)"/>
      <w:numFmt w:val="lowerLetter"/>
      <w:start w:val="6"/>
    </w:lvl>
    <w:lvl w:ilvl="1">
      <w:lvlJc w:val="left"/>
      <w:lvlText w:val="(%2)"/>
      <w:numFmt w:val="lowerRoman"/>
      <w:start w:val="1"/>
    </w:lvl>
  </w:abstractNum>
  <w:abstractNum w:abstractNumId="87">
    <w:nsid w:val="9DAF632"/>
    <w:multiLevelType w:val="hybridMultilevel"/>
    <w:lvl w:ilvl="0">
      <w:lvlJc w:val="left"/>
      <w:lvlText w:val="(%1)"/>
      <w:numFmt w:val="lowerLetter"/>
      <w:start w:val="9"/>
    </w:lvl>
  </w:abstractNum>
  <w:abstractNum w:abstractNumId="88">
    <w:nsid w:val="53299938"/>
    <w:multiLevelType w:val="hybridMultilevel"/>
    <w:lvl w:ilvl="0">
      <w:lvlJc w:val="left"/>
      <w:lvlText w:val="%1."/>
      <w:numFmt w:val="upperLetter"/>
      <w:start w:val="9"/>
    </w:lvl>
  </w:abstractNum>
  <w:abstractNum w:abstractNumId="89">
    <w:nsid w:val="1FBFE8E0"/>
    <w:multiLevelType w:val="hybridMultilevel"/>
    <w:lvl w:ilvl="0">
      <w:lvlJc w:val="left"/>
      <w:lvlText w:val="●"/>
      <w:numFmt w:val="bullet"/>
      <w:start w:val="1"/>
    </w:lvl>
  </w:abstractNum>
  <w:abstractNum w:abstractNumId="90">
    <w:nsid w:val="5092CA79"/>
    <w:multiLevelType w:val="hybridMultilevel"/>
    <w:lvl w:ilvl="0">
      <w:lvlJc w:val="left"/>
      <w:lvlText w:val="●"/>
      <w:numFmt w:val="bullet"/>
      <w:start w:val="1"/>
    </w:lvl>
  </w:abstractNum>
  <w:abstractNum w:abstractNumId="91">
    <w:nsid w:val="1D545C4D"/>
    <w:multiLevelType w:val="hybridMultilevel"/>
    <w:lvl w:ilvl="0">
      <w:lvlJc w:val="left"/>
      <w:lvlText w:val="%1."/>
      <w:numFmt w:val="upperLetter"/>
      <w:start w:val="35"/>
    </w:lvl>
  </w:abstractNum>
  <w:abstractNum w:abstractNumId="92">
    <w:nsid w:val="59ADEA3D"/>
    <w:multiLevelType w:val="hybridMultilevel"/>
    <w:lvl w:ilvl="0">
      <w:lvlJc w:val="left"/>
      <w:lvlText w:val="%1."/>
      <w:numFmt w:val="upperLetter"/>
      <w:start w:val="61"/>
    </w:lvl>
  </w:abstractNum>
  <w:abstractNum w:abstractNumId="93">
    <w:nsid w:val="288F1A34"/>
    <w:multiLevelType w:val="hybridMultilevel"/>
    <w:lvl w:ilvl="0">
      <w:lvlJc w:val="left"/>
      <w:lvlText w:val="%1."/>
      <w:numFmt w:val="upperLetter"/>
      <w:start w:val="1"/>
    </w:lvl>
  </w:abstractNum>
  <w:abstractNum w:abstractNumId="94">
    <w:nsid w:val="2A155DBC"/>
    <w:multiLevelType w:val="hybridMultilevel"/>
    <w:lvl w:ilvl="0">
      <w:lvlJc w:val="left"/>
      <w:lvlText w:val="%1"/>
      <w:numFmt w:val="upperLetter"/>
      <w:start w:val="1"/>
    </w:lvl>
    <w:lvl w:ilvl="1">
      <w:lvlJc w:val="left"/>
      <w:lvlText w:val="%2."/>
      <w:numFmt w:val="upperLetter"/>
      <w:start w:val="3"/>
    </w:lvl>
  </w:abstractNum>
  <w:abstractNum w:abstractNumId="95">
    <w:nsid w:val="1D9F6E5F"/>
    <w:multiLevelType w:val="hybridMultilevel"/>
    <w:lvl w:ilvl="0">
      <w:lvlJc w:val="left"/>
      <w:lvlText w:val="%1."/>
      <w:numFmt w:val="upperLetter"/>
      <w:start w:val="22"/>
    </w:lvl>
    <w:lvl w:ilvl="1">
      <w:lvlJc w:val="left"/>
      <w:lvlText w:val="%2"/>
      <w:numFmt w:val="upperLetter"/>
      <w:start w:val="1"/>
    </w:lvl>
  </w:abstractNum>
  <w:abstractNum w:abstractNumId="96">
    <w:nsid w:val="97E1B4E"/>
    <w:multiLevelType w:val="hybridMultilevel"/>
    <w:lvl w:ilvl="0">
      <w:lvlJc w:val="left"/>
      <w:lvlText w:val="%1."/>
      <w:numFmt w:val="decimal"/>
      <w:start w:val="1"/>
    </w:lvl>
  </w:abstractNum>
  <w:abstractNum w:abstractNumId="97">
    <w:nsid w:val="51088277"/>
    <w:multiLevelType w:val="hybridMultilevel"/>
    <w:lvl w:ilvl="0">
      <w:lvlJc w:val="left"/>
      <w:lvlText w:val="%1."/>
      <w:numFmt w:val="decimal"/>
      <w:start w:val="9"/>
    </w:lvl>
  </w:abstractNum>
  <w:abstractNum w:abstractNumId="98">
    <w:nsid w:val="1CA0C5FA"/>
    <w:multiLevelType w:val="hybridMultilevel"/>
    <w:lvl w:ilvl="0">
      <w:lvlJc w:val="left"/>
      <w:lvlText w:val="%1."/>
      <w:numFmt w:val="upperLetter"/>
      <w:start w:val="2"/>
    </w:lvl>
    <w:lvl w:ilvl="1">
      <w:lvlJc w:val="left"/>
      <w:lvlText w:val="%2."/>
      <w:numFmt w:val="decimal"/>
      <w:start w:val="1"/>
    </w:lvl>
  </w:abstractNum>
  <w:abstractNum w:abstractNumId="99">
    <w:nsid w:val="53584BCB"/>
    <w:multiLevelType w:val="hybridMultilevel"/>
    <w:lvl w:ilvl="0">
      <w:lvlJc w:val="left"/>
      <w:lvlText w:val="%1."/>
      <w:numFmt w:val="upperLetter"/>
      <w:start w:val="1"/>
    </w:lvl>
  </w:abstractNum>
  <w:abstractNum w:abstractNumId="100">
    <w:nsid w:val="415E286C"/>
    <w:multiLevelType w:val="hybridMultilevel"/>
    <w:lvl w:ilvl="0">
      <w:lvlJc w:val="left"/>
      <w:lvlText w:val="●"/>
      <w:numFmt w:val="bullet"/>
      <w:start w:val="1"/>
    </w:lvl>
  </w:abstractNum>
  <w:abstractNum w:abstractNumId="101">
    <w:nsid w:val="7C58FD05"/>
    <w:multiLevelType w:val="hybridMultilevel"/>
    <w:lvl w:ilvl="0">
      <w:lvlJc w:val="left"/>
      <w:lvlText w:val="%1."/>
      <w:numFmt w:val="upperLetter"/>
      <w:start w:val="3"/>
    </w:lvl>
  </w:abstractNum>
  <w:abstractNum w:abstractNumId="102">
    <w:nsid w:val="23D86AAC"/>
    <w:multiLevelType w:val="hybridMultilevel"/>
    <w:lvl w:ilvl="0">
      <w:lvlJc w:val="left"/>
      <w:lvlText w:val="%1."/>
      <w:numFmt w:val="upperLetter"/>
      <w:start w:val="24"/>
    </w:lvl>
  </w:abstractNum>
  <w:abstractNum w:abstractNumId="103">
    <w:nsid w:val="45E6D486"/>
    <w:multiLevelType w:val="hybridMultilevel"/>
    <w:lvl w:ilvl="0">
      <w:lvlJc w:val="left"/>
      <w:lvlText w:val="%1."/>
      <w:numFmt w:val="upperLetter"/>
      <w:start w:val="1"/>
    </w:lvl>
  </w:abstractNum>
  <w:abstractNum w:abstractNumId="104">
    <w:nsid w:val="5C10FE21"/>
    <w:multiLevelType w:val="hybridMultilevel"/>
    <w:lvl w:ilvl="0">
      <w:lvlJc w:val="left"/>
      <w:lvlText w:val="%1."/>
      <w:numFmt w:val="upperLetter"/>
      <w:start w:val="2"/>
    </w:lvl>
  </w:abstractNum>
  <w:abstractNum w:abstractNumId="105">
    <w:nsid w:val="E7FFA2B"/>
    <w:multiLevelType w:val="hybridMultilevel"/>
    <w:lvl w:ilvl="0">
      <w:lvlJc w:val="left"/>
      <w:lvlText w:val="%1."/>
      <w:numFmt w:val="upperLetter"/>
      <w:start w:val="2"/>
    </w:lvl>
  </w:abstractNum>
  <w:abstractNum w:abstractNumId="106">
    <w:nsid w:val="3C5991AA"/>
    <w:multiLevelType w:val="hybridMultilevel"/>
    <w:lvl w:ilvl="0">
      <w:lvlJc w:val="left"/>
      <w:lvlText w:val="%1."/>
      <w:numFmt w:val="upperLetter"/>
      <w:start w:val="9"/>
    </w:lvl>
  </w:abstractNum>
  <w:abstractNum w:abstractNumId="107">
    <w:nsid w:val="4BD8591A"/>
    <w:multiLevelType w:val="hybridMultilevel"/>
    <w:lvl w:ilvl="0">
      <w:lvlJc w:val="left"/>
      <w:lvlText w:val="%1."/>
      <w:numFmt w:val="upperLetter"/>
      <w:start w:val="35"/>
    </w:lvl>
  </w:abstractNum>
  <w:abstractNum w:abstractNumId="108">
    <w:nsid w:val="78DF6A55"/>
    <w:multiLevelType w:val="hybridMultilevel"/>
    <w:lvl w:ilvl="0">
      <w:lvlJc w:val="left"/>
      <w:lvlText w:val="%1."/>
      <w:numFmt w:val="upperLetter"/>
      <w:start w:val="61"/>
    </w:lvl>
  </w:abstractNum>
  <w:abstractNum w:abstractNumId="109">
    <w:nsid w:val="39B7AAA2"/>
    <w:multiLevelType w:val="hybridMultilevel"/>
    <w:lvl w:ilvl="0">
      <w:lvlJc w:val="left"/>
      <w:lvlText w:val="%1."/>
      <w:numFmt w:val="upperLetter"/>
      <w:start w:val="22"/>
    </w:lvl>
  </w:abstractNum>
  <w:abstractNum w:abstractNumId="110">
    <w:nsid w:val="2B0D8DBE"/>
    <w:multiLevelType w:val="hybridMultilevel"/>
    <w:lvl w:ilvl="0">
      <w:lvlJc w:val="left"/>
      <w:lvlText w:val="●"/>
      <w:numFmt w:val="bullet"/>
      <w:start w:val="1"/>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1."/>
      <w:numFmt w:val="upperLetter"/>
      <w:start w:val="24"/>
    </w:lvl>
  </w:abstractNum>
  <w:abstractNum w:abstractNumId="115">
    <w:nsid w:val="4C9B0904"/>
    <w:multiLevelType w:val="hybridMultilevel"/>
    <w:lvl w:ilvl="0">
      <w:lvlJc w:val="left"/>
      <w:lvlText w:val="%1."/>
      <w:numFmt w:val="upperLetter"/>
      <w:start w:val="1"/>
    </w:lvl>
    <w:lvl w:ilvl="1">
      <w:lvlJc w:val="left"/>
      <w:lvlText w:val="●"/>
      <w:numFmt w:val="bullet"/>
      <w:start w:val="1"/>
    </w:lvl>
  </w:abstractNum>
  <w:abstractNum w:abstractNumId="116">
    <w:nsid w:val="6AA7B75C"/>
    <w:multiLevelType w:val="hybridMultilevel"/>
    <w:lvl w:ilvl="0">
      <w:lvlJc w:val="left"/>
      <w:lvlText w:val="%1."/>
      <w:numFmt w:val="upperLetter"/>
      <w:start w:val="2"/>
    </w:lvl>
    <w:lvl w:ilvl="1">
      <w:lvlJc w:val="left"/>
      <w:lvlText w:val="●"/>
      <w:numFmt w:val="bullet"/>
      <w:start w:val="1"/>
    </w:lvl>
  </w:abstractNum>
  <w:abstractNum w:abstractNumId="117">
    <w:nsid w:val="1DF029D3"/>
    <w:multiLevelType w:val="hybridMultilevel"/>
    <w:lvl w:ilvl="0">
      <w:lvlJc w:val="left"/>
      <w:lvlText w:val="%1."/>
      <w:numFmt w:val="upperLetter"/>
      <w:start w:val="8"/>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6" Type="http://schemas.openxmlformats.org/officeDocument/2006/relationships/image" Target="media/image93.png"/><Relationship Id="rId116"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4" Type="http://schemas.openxmlformats.org/officeDocument/2006/relationships/image" Target="media/image97.png"/><Relationship Id="rId128"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65" Type="http://schemas.openxmlformats.org/officeDocument/2006/relationships/hyperlink" Target="https://www.sec.gov/ix?doc=/Archives/edgar/data/1434588/000155837024001060/lope-20231231x10k.htm" TargetMode="External"/><Relationship Id="rId101" Type="http://schemas.openxmlformats.org/officeDocument/2006/relationships/hyperlink" Target="http://www.sec.gov/Archives/edgar/data/1434588/000119312518322557/d617676dex21.htm" TargetMode="External"/><Relationship Id="rId102" Type="http://schemas.openxmlformats.org/officeDocument/2006/relationships/hyperlink" Target="http://www.sec.gov/Archives/edgar/data/1434588/000155837019000782/lope-20181231ex22ef9e938.htm" TargetMode="External"/><Relationship Id="rId103" Type="http://schemas.openxmlformats.org/officeDocument/2006/relationships/hyperlink" Target="http://www.sec.gov/Archives/edgar/data/1434588/000155837019000782/lope-20181231ex31395dfc9.htm" TargetMode="External"/><Relationship Id="rId104" Type="http://schemas.openxmlformats.org/officeDocument/2006/relationships/hyperlink" Target="http://www.sec.gov/Archives/edgar/data/1434588/000119312514387149/d812440dex31.htm" TargetMode="External"/><Relationship Id="rId105" Type="http://schemas.openxmlformats.org/officeDocument/2006/relationships/hyperlink" Target="http://www.sec.gov/Archives/edgar/data/1434588/000095015308001671/p75463a2exv4w1.htm" TargetMode="External"/><Relationship Id="rId107" Type="http://schemas.openxmlformats.org/officeDocument/2006/relationships/hyperlink" Target="https://www.sec.gov/Archives/edgar/data/1434588/000155837020001013/ex-4d2.htm" TargetMode="External"/><Relationship Id="rId108" Type="http://schemas.openxmlformats.org/officeDocument/2006/relationships/hyperlink" Target="http://www.sec.gov/Archives/edgar/data/1434588/000095012311098382/c21597exv10w1.htm" TargetMode="External"/><Relationship Id="rId109" Type="http://schemas.openxmlformats.org/officeDocument/2006/relationships/hyperlink" Target="http://www.sec.gov/Archives/edgar/data/1434588/000119312517203503/d405521dex101.htm" TargetMode="External"/><Relationship Id="rId110" Type="http://schemas.openxmlformats.org/officeDocument/2006/relationships/hyperlink" Target="http://www.sec.gov/Archives/edgar/data/1434588/000119312518051923/d508256dex103.htm" TargetMode="External"/><Relationship Id="rId111" Type="http://schemas.openxmlformats.org/officeDocument/2006/relationships/hyperlink" Target="https://www.sec.gov/Archives/edgar/data/1434588/000155837023007660/lope-20230331xex10d1.htm" TargetMode="External"/><Relationship Id="rId112" Type="http://schemas.openxmlformats.org/officeDocument/2006/relationships/hyperlink" Target="https://www.sec.gov/Archives/edgar/data/1434588/000155837023007660/lope-20230331xex10d2.htm" TargetMode="External"/><Relationship Id="rId113" Type="http://schemas.openxmlformats.org/officeDocument/2006/relationships/hyperlink" Target="https://www.sec.gov/Archives/edgar/data/1434588/000155837023007660/lope-20230331xex10d3.htm" TargetMode="External"/><Relationship Id="rId114" Type="http://schemas.openxmlformats.org/officeDocument/2006/relationships/hyperlink" Target="https://www.sec.gov/Archives/edgar/data/1434588/000155837023007660/lope-20230331xex10d4.htm" TargetMode="External"/><Relationship Id="rId115" Type="http://schemas.openxmlformats.org/officeDocument/2006/relationships/hyperlink" Target="https://www.sec.gov/Archives/edgar/data/1434588/000095015308001671/p75463a2exv10w21.htm" TargetMode="External"/><Relationship Id="rId117" Type="http://schemas.openxmlformats.org/officeDocument/2006/relationships/hyperlink" Target="http://www.sec.gov/Archives/edgar/data/1434588/000119312518322557/d617676dex107.htm" TargetMode="External"/><Relationship Id="rId118" Type="http://schemas.openxmlformats.org/officeDocument/2006/relationships/hyperlink" Target="http://www.sec.gov/Archives/edgar/data/1434588/000110465919023090/a19-8606_1ex10d8.htm" TargetMode="External"/><Relationship Id="rId121" Type="http://schemas.openxmlformats.org/officeDocument/2006/relationships/hyperlink" Target="http://www.sec.gov/Archives/edgar/data/1434588/000155837019000782/lope-20181231ex10149afd4.htm" TargetMode="External"/><Relationship Id="rId122" Type="http://schemas.openxmlformats.org/officeDocument/2006/relationships/hyperlink" Target="http://www.sec.gov/Archives/edgar/data/1434588/000155837019000782/lope-20181231ex1015066a4.htm" TargetMode="External"/><Relationship Id="rId123" Type="http://schemas.openxmlformats.org/officeDocument/2006/relationships/hyperlink" Target="http://www.sec.gov/Archives/edgar/data/1434588/000155837019000782/lope-20181231ex1016fa2d5.htm" TargetMode="External"/><Relationship Id="rId125" Type="http://schemas.openxmlformats.org/officeDocument/2006/relationships/hyperlink" Target="http://www.sec.gov/Archives/edgar/data/1434588/000155837019000782/lope-20181231ex101704b54.htm" TargetMode="External"/><Relationship Id="rId126" Type="http://schemas.openxmlformats.org/officeDocument/2006/relationships/hyperlink" Target="http://www.sec.gov/Archives/edgar/data/1434588/000155837019010167/ex-10d18.htm" TargetMode="External"/><Relationship Id="rId127" Type="http://schemas.openxmlformats.org/officeDocument/2006/relationships/hyperlink" Target="https://www.sec.gov/Archives/edgar/data/1434588/000155837021014215/lope-20210930xex10d1.htm" TargetMode="External"/><Relationship Id="rId129" Type="http://schemas.openxmlformats.org/officeDocument/2006/relationships/hyperlink" Target="https://www.sec.gov/Archives/edgar/data/1434588/000155837024001060/lope-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2025-02-19T15:28:34Z</dcterms:created>
  <dcterms:modified xsi:type="dcterms:W3CDTF">2025-02-19T15:28:34Z</dcterms:modified>
</cp:coreProperties>
</file>