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60730x8k.htm"/>
      <w:bookmarkStart w:id="1" w:name="kslope20260730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11101bd7_a14c_4169_9736_fbf9066c7575"/>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July 30,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BJKVRT3O5EuvCxa8I0pBDA_3_0"/>
      <w:bookmarkStart w:id="4" w:name="Tc_R2WjAp2f40uRmzEIHNxdRw_2_4"/>
      <w:bookmarkStart w:id="5" w:name="Tc_syVus5JaCUW_EM9ERTv6Vg_2_2"/>
      <w:bookmarkStart w:id="6" w:name="Tc_NQNonr1Vf0ubQQUR4iPTtQ_2_0"/>
      <w:bookmarkStart w:id="7" w:name="_7fa0ebfc_0c79_4dbe_87e0_6617c5cbb49e"/>
      <w:bookmarkStart w:id="8" w:name="Tc_BJKVRT3O5EuvCxa8I0pBDA_3_0"/>
      <w:bookmarkStart w:id="9" w:name="Tc_R2WjAp2f40uRmzEIHNxdRw_2_4"/>
      <w:bookmarkStart w:id="10" w:name="Tc_syVus5JaCUW_EM9ERTv6Vg_2_2"/>
      <w:bookmarkStart w:id="11" w:name="Tc_NQNonr1Vf0ubQQUR4iPTtQ_2_0"/>
      <w:bookmarkStart w:id="12" w:name="_7fa0ebfc_0c79_4dbe_87e0_6617c5cbb49e"/>
      <w:bookmarkEnd w:id="8"/>
      <w:bookmarkEnd w:id="9"/>
      <w:bookmarkEnd w:id="10"/>
      <w:bookmarkEnd w:id="11"/>
      <w:bookmarkEnd w:id="12"/>
    </w:p>
    <w:tbl>
      <w:tblPr>
        <w:tblW w:w="8360" w:type="dxa"/>
        <w:jc w:val="left"/>
        <w:tblInd w:w="0" w:type="dxa"/>
        <w:tblLayout w:type="fixed"/>
        <w:tblCellMar>
          <w:top w:w="0" w:type="dxa"/>
          <w:left w:w="0" w:type="dxa"/>
          <w:bottom w:w="0" w:type="dxa"/>
          <w:right w:w="0" w:type="dxa"/>
        </w:tblCellMar>
      </w:tblPr>
      <w:tblGrid>
        <w:gridCol w:w="2476"/>
        <w:gridCol w:w="346"/>
        <w:gridCol w:w="2296"/>
        <w:gridCol w:w="34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46" w:type="dxa"/>
            <w:tcBorders/>
            <w:vAlign w:val="center"/>
          </w:tcPr>
          <w:p>
            <w:pPr>
              <w:pStyle w:val="TableContents"/>
              <w:bidi w:val="0"/>
              <w:spacing w:before="0" w:after="0"/>
              <w:ind w:left="0" w:right="0" w:hanging="0"/>
              <w:jc w:val="center"/>
              <w:rPr/>
            </w:pPr>
            <w:r>
              <w:rPr/>
              <w:t>  ​ ​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4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mPE8vfF0hEyyCIOH2S8vAg_3_1"/>
      <w:bookmarkStart w:id="14" w:name="Tc_FoK4XjAWu0WukaG6zIR_yQ_3_0"/>
      <w:bookmarkStart w:id="15" w:name="Tc_J5jynJTtqESv2AJ_O7N3pw_2_0"/>
      <w:bookmarkStart w:id="16" w:name="_9a323b27_c53c_42df_98ef_985e5341818d"/>
      <w:bookmarkStart w:id="17" w:name="Tc_mPE8vfF0hEyyCIOH2S8vAg_3_1"/>
      <w:bookmarkStart w:id="18" w:name="Tc_FoK4XjAWu0WukaG6zIR_yQ_3_0"/>
      <w:bookmarkStart w:id="19" w:name="Tc_J5jynJTtqESv2AJ_O7N3pw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7CpxdeFvSEe9Pl39UBwIhw_0_2"/>
      <w:bookmarkStart w:id="22" w:name="Tc_9jU7r3SopkCerRFbs-M6rA_0_1"/>
      <w:bookmarkStart w:id="23" w:name="Tc_n3BPGxft4Umwqe2InnbSPg_0_0"/>
      <w:bookmarkStart w:id="24" w:name="_2f4b5bca_6f5b_4b11_908f_f1dd216d9493"/>
      <w:bookmarkStart w:id="25" w:name="Tc_7CpxdeFvSEe9Pl39UBwIhw_0_2"/>
      <w:bookmarkStart w:id="26" w:name="Tc_9jU7r3SopkCerRFbs-M6rA_0_1"/>
      <w:bookmarkStart w:id="27" w:name="Tc_n3BPGxft4Umwqe2InnbSPg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30, 2026, Grand Canyon Education, Inc. reported its results for the quarter ended June 30, 2026.  The press release dated July 30, 2026 is furnished as Exhibit 99.1 to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both"/>
        <w:rPr/>
      </w:pPr>
      <w:r>
        <w:rPr>
          <w:rFonts w:ascii="Times New Roman;Times;serif" w:hAnsi="Times New Roman;Times;serif"/>
          <w:sz w:val="20"/>
        </w:rPr>
        <w:t>99.1       </w:t>
      </w:r>
      <w:hyperlink w:anchor="lope-20260730xex99d1.htm">
        <w:r>
          <w:rPr>
            <w:rStyle w:val="InternetLink"/>
            <w:rFonts w:ascii="Times New Roman;Times;serif" w:hAnsi="Times New Roman;Times;serif"/>
            <w:b w:val="false"/>
            <w:i w:val="false"/>
            <w:caps w:val="false"/>
            <w:smallCaps w:val="false"/>
            <w:sz w:val="20"/>
          </w:rPr>
          <w:t>Press Release dated July 30, 2026</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Data File (embedded within the Inline XBRL document)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EXHIBIT INDEX</w:t>
      </w:r>
    </w:p>
    <w:tbl>
      <w:tblPr>
        <w:tblW w:w="7893" w:type="dxa"/>
        <w:jc w:val="left"/>
        <w:tblInd w:w="0" w:type="dxa"/>
        <w:tblLayout w:type="fixed"/>
        <w:tblCellMar>
          <w:top w:w="0" w:type="dxa"/>
          <w:left w:w="0" w:type="dxa"/>
          <w:bottom w:w="0" w:type="dxa"/>
          <w:right w:w="0" w:type="dxa"/>
        </w:tblCellMar>
      </w:tblPr>
      <w:tblGrid>
        <w:gridCol w:w="946"/>
        <w:gridCol w:w="346"/>
        <w:gridCol w:w="660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bottom w:val="single" w:sz="2" w:space="0" w:color="000000"/>
            </w:tcBorders>
            <w:tcMar>
              <w:bottom w:w="28" w:type="dxa"/>
            </w:tcMar>
            <w:vAlign w:val="center"/>
          </w:tcPr>
          <w:p>
            <w:pPr>
              <w:pStyle w:val="TableContents"/>
              <w:pBdr/>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Exhibit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240"/>
              <w:ind w:left="0" w:right="0" w:hanging="0"/>
              <w:jc w:val="left"/>
              <w:rPr/>
            </w:pPr>
            <w:r>
              <w:rPr/>
              <w:t>​</w:t>
            </w:r>
          </w:p>
        </w:tc>
        <w:tc>
          <w:tcPr>
            <w:tcW w:w="6601" w:type="dxa"/>
            <w:tcBorders/>
            <w:vAlign w:val="center"/>
          </w:tcPr>
          <w:p>
            <w:pPr>
              <w:pStyle w:val="TableContents"/>
              <w:bidi w:val="0"/>
              <w:spacing w:before="0" w:after="0"/>
              <w:ind w:left="0" w:right="0" w:hanging="0"/>
              <w:jc w:val="both"/>
              <w:rPr/>
            </w:pPr>
            <w:hyperlink w:anchor="lope-20260730xex99d1.htm">
              <w:r>
                <w:rPr>
                  <w:rStyle w:val="InternetLink"/>
                  <w:rFonts w:ascii="Times New Roman;Times;serif" w:hAnsi="Times New Roman;Times;serif"/>
                  <w:b w:val="false"/>
                  <w:i w:val="false"/>
                  <w:caps w:val="false"/>
                  <w:smallCaps w:val="false"/>
                  <w:sz w:val="20"/>
                </w:rPr>
                <w:t>Press Release dated July 30, 2026</w:t>
              </w:r>
            </w:hyperlink>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240"/>
              <w:ind w:left="0" w:right="0" w:hanging="0"/>
              <w:jc w:val="left"/>
              <w:rPr/>
            </w:pPr>
            <w:r>
              <w:rPr/>
              <w:t>​</w:t>
            </w:r>
          </w:p>
        </w:tc>
        <w:tc>
          <w:tcPr>
            <w:tcW w:w="66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012" w:type="dxa"/>
        <w:jc w:val="left"/>
        <w:tblInd w:w="0" w:type="dxa"/>
        <w:tblLayout w:type="fixed"/>
        <w:tblCellMar>
          <w:top w:w="0" w:type="dxa"/>
          <w:left w:w="0" w:type="dxa"/>
          <w:bottom w:w="0" w:type="dxa"/>
          <w:right w:w="0" w:type="dxa"/>
        </w:tblCellMar>
      </w:tblPr>
      <w:tblGrid>
        <w:gridCol w:w="1711"/>
        <w:gridCol w:w="422"/>
        <w:gridCol w:w="2879"/>
      </w:tblGrid>
      <w:tr>
        <w:trPr/>
        <w:tc>
          <w:tcPr>
            <w:tcW w:w="171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1711"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171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17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4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71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71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29" w:name="lope-20260730xex99d1.htm"/>
      <w:bookmarkStart w:id="30" w:name="kslope20260730xex99d1"/>
      <w:bookmarkEnd w:id="29"/>
      <w:bookmarkEnd w:id="30"/>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NEWS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Daniel E. Bachus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Grand Canyon Education,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602-639-6648</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Dan.bachus@gce.com</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 REPORTS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QUARTER 2026 RESULTS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PHOENIX, AZ, July 30, 2026</w:t>
      </w:r>
      <w:r>
        <w:rPr>
          <w:rFonts w:ascii="Times New Roman;Times;serif" w:hAnsi="Times New Roman;Times;serif"/>
          <w:sz w:val="20"/>
        </w:rPr>
        <w:t>—</w:t>
      </w:r>
      <w:r>
        <w:rPr>
          <w:rFonts w:ascii="Times New Roman;Times;serif" w:hAnsi="Times New Roman;Times;serif"/>
          <w:b/>
          <w:sz w:val="20"/>
        </w:rPr>
        <w:t>Grand Canyon Education, Inc.</w:t>
      </w:r>
      <w:r>
        <w:rPr>
          <w:rFonts w:ascii="Times New Roman;Times;serif" w:hAnsi="Times New Roman;Times;serif"/>
          <w:sz w:val="20"/>
        </w:rPr>
        <w:t xml:space="preserve"> (NASDAQ: LOPE), (“GCE” or the “Company”), is a publicly traded education services company that currently provides services to 20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June 30, 2026.</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2026 Results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the three months ended June 30, 2026:</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for the three months ended June 30, 2026 was $264.0 million, an increase of $16.5 million, or 6.7%, as compared to service revenue of $247.5 million for the three months ended June 30, 2025. The increase year over year in service revenue was primarily due to an increase in university partner enrollments of 7.6% to 126,231 at June 30, 2026 as compared to 117,283 at June 30, 2025. Revenue per student decreased slightly between years primarily due to contract modifications with one of our university partners in which our revenue share percentage was reduced in exchange for us no longer reimbursing this partner for certain faculty costs which had the effect of reducing revenue per student and a slight decline year over year in revenue per student for online students due to the continued mix shift to students that have a slightly lower net tuition rate and a slight decline year over year in Spring semester ground traditional students which generate a higher revenue per student than online students. In addition there was one less day of revenue for the ground campus due to the start date shifting one day of revenue from the second quarter to the first quarter in 2026 which had a $1.0 million impact. These decreases were partially offset by the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GCU enrollments increased to 121,921 at June 30, 2026, an increase of 7.5% over enrollments at June 30, 2025.</w:t>
            </w:r>
            <w:r>
              <w:rPr>
                <w:caps w:val="false"/>
                <w:smallCaps w:val="false"/>
              </w:rPr>
              <w:t xml:space="preserve"> </w:t>
            </w:r>
            <w:r>
              <w:rPr>
                <w:rFonts w:ascii="Times New Roman;Times;serif" w:hAnsi="Times New Roman;Times;serif"/>
                <w:b w:val="false"/>
                <w:i w:val="false"/>
                <w:caps w:val="false"/>
                <w:smallCaps w:val="false"/>
                <w:sz w:val="20"/>
              </w:rPr>
              <w:t>University partner enrollments at our off-campus classroom and laboratory sites were 5,829, an increase of 16.8% over enrollments at June 30, 2025, which includes 1,519 and 1,142 GCU students at June 30, 2026 and 2025, respectively. Excluding sites that have been closed or are in teach out, total enrollments at our off-campus classroom and laboratory sites increased 18.5% between years. We opened one new GCU site in the six months ended June 30, 2026 and closed one site in which we stopped recruiting new students in 2025, thus the total number of sites remains at 47 at June 30, 2026. We plan to open one additional site in the Fall of 2026. Enrollments for GCU ground students were 8,910 at June 30, 2026, up 3.9% from 8,579 at June 30, 2025. GCU ground enrollment declines between March 31 and June 30 of each year as ground traditional enrollment at GCU at June 30 of each year only includes traditional-aged students taking summer school classes, which is a small percentage of GCU’s traditional-aged student body. The Spring semester for GCU’s traditional-aged student body ends near the end of April each year. GCU online enrollments were 113,011 at June 30, 2026, up from 104,856 at June 30, 2025, an increase of 7.8% between years.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income for the three months ended June 30, 2026 was $58.2 million, an increase of $6.4 million, or 12.3%, as compared to $51.8 million for the same period in 2025. The operating margin for the three months ended June 30, 2026 and 2025 was 22.0% and 20.9%, respectively.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for the three months ended June 30, 2026 was $15.0 million, an increase of $1.5 million, or 11.4%, as compared to income tax expense of $13.5 million for the three months ended June 30, 2025. Our effective tax rate was 24.7% during the three months ended June 30, 2026 compared to 24.5% during the three months ended June 30, 2025. The effective tax rate increased year over year due to higher state income taxes.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three months ended June 30, 2026 was $45.9 million, an increase of $4.4 million, or 10.4% as compared to $41.5 million for the same period in 2025. As adjusted net income was $47.5 million and $43.2 million for the second quarters of 2026 and 2025,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$1.75 and $1.48 for the second quarters of 2026 and 2025, respectively. As adjusted diluted net income per share was $1.81 and $1.53 for the second quarters of 2026 and 2025,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8.9% to $73.4 million for the second quarter of 2026, compared to $67.4 million for the same period in 2025.</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the six months ended June 30, 2026:</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 revenue for the six months ended June 30, 2026 was $572.8 million, an increase of $36.0 million, or 6.7%, as compared to service revenue of $536.8 million for the six months ended June 30, 2025. The increase year over year in service revenue was primarily due to an increase in university partner enrollments of 7.6% to 126,231 at June 30, 2026 as compared to 117,283 at June 30, 2025. Revenue per student decreased slightly between years primarily due to contract modifications with one of our university partners in which our revenue share percentage was reduced in exchange for us no longer reimbursing this partner for certain faculty costs which had the effect of reducing revenue per student and a slight decline year over year in revenue per student for online students due to the continued mix shift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students that have a slightly lower net tuition rate and a slight decline year over year in Spring semester ground traditional students which generate a higher revenue per student than online students. These decreases were partially offset by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income for the six months ended June 30, 2026 was $153.6 million, an increase of $13.8 million, or 9.9%, as compared to $139.8 million for the same period in 2025. The operating margin for the six months ended June 30, 2026 and 2025 was 26.8% and 26.0%, respectively.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for the six months ended June 30, 2026 was $38.1 million, an increase of $4.8 million, or 14.7%, as compared to income tax expense of $33.3 million for the six months ended June 30, 2025. Our effective tax rate was 23.9% during the six months ended June 30, 2026 compared to 22.7% during the six months ended June 30, 2025. The effective tax rate increased year over year due to higher state income taxes and a decrease in excess tax benefits to $1.4 million for the six months ended June 30, 2026 due to the decline in our stock price as compared to $2.7 million in the six months ended June 30, 2025.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stock awards vest. Our restricted stock awards vest in March each year so any benefit or expense will primarily impact the first quarter each year.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six months ended June 30, 2026 was $121.2 million, an increase of $8.0 million, or 7.1% as compared to $113.2 million for the same period in 2025. As adjusted net income was $124.4 million and $116.5 million for the six months ended June 30, 2026 and 2025,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$4.57 and $4.00 for the six months ended June 30, 2026 and 2025, respectively. As adjusted diluted net income per share was $4.69 and $4.12 for the six months ended June 30, 2026 and 2025, respectively.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8.7% to $184.1 million for the six months ended June 30, 2026, compared to $169.4 million for the same period in 2025.</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decreased by $25.6 million between December 31, 2025 and June 30, 2026, which was largely attributable to cash expended for share repurchases and capital expenditures exceeding our cash provided by operations during the six months ended June 30, 2026. Our unrestricted cash and cash equivalents and investments were $274.5 million and $300.1 million at June 30, 2026 and December 31,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 Reports Second Quarter 2026 Results and Full Year Outlook 2026</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2026 Outlook</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Q3 2026:</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$268.5 million and $270.5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19.5% and 20.0%;</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20.8%;</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$1.68 and $1.72;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$1.7 million, which equates to a $0.06 impact on diluted EPS. Thus, as adjusted, non-GAAP diluted income per share of between $1.74 and $1.78.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Q4 2026:</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$324.0 million and $329.0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36.9% and 37.4%;</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23.2%;</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$3.69 and $3.79;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$1.6 million, which equates to a $0.06 impact on diluted EPS. Thus, as adjusted, non-GAAP diluted income per share of between $3.75 and $3.85. </w:t>
      </w:r>
    </w:p>
    <w:p>
      <w:pPr>
        <w:pStyle w:val="TextBody"/>
        <w:pBdr/>
        <w:bidi w:val="0"/>
        <w:spacing w:before="0" w:after="0"/>
        <w:ind w:left="0" w:right="0" w:hanging="2160"/>
        <w:jc w:val="left"/>
        <w:rPr>
          <w:rFonts w:ascii="Times New Roman;Times;serif" w:hAnsi="Times New Roman;Times;serif"/>
          <w:b/>
          <w:sz w:val="20"/>
        </w:rPr>
      </w:pPr>
      <w:r>
        <w:rPr>
          <w:rFonts w:ascii="Times New Roman;Times;serif" w:hAnsi="Times New Roman;Times;serif"/>
          <w:b/>
          <w:sz w:val="20"/>
        </w:rPr>
        <w:t>Full Year 2026:</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$1,165.3 million and $1,172.3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28.0% and 28.2%;</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23.2%;</w:t>
            </w:r>
          </w:p>
        </w:tc>
      </w:tr>
    </w:tbl>
    <w:tbl>
      <w:tblPr>
        <w:tblW w:w="3798" w:type="dxa"/>
        <w:jc w:val="left"/>
        <w:tblInd w:w="0" w:type="dxa"/>
        <w:tblLayout w:type="fixed"/>
        <w:tblCellMar>
          <w:top w:w="0" w:type="dxa"/>
          <w:left w:w="0" w:type="dxa"/>
          <w:bottom w:w="0" w:type="dxa"/>
          <w:right w:w="0" w:type="dxa"/>
        </w:tblCellMar>
      </w:tblPr>
      <w:tblGrid>
        <w:gridCol w:w="23"/>
        <w:gridCol w:w="170"/>
        <w:gridCol w:w="3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between $9.93 and $10.07;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 million diluted shares.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$6.5 million, which equates to a $0.25 impact on diluted EPS. Thus, as adjusted, non-GAAP diluted income per share of between $10.18 and $10.32.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both"/>
        <w:rPr/>
      </w:pPr>
      <w:r>
        <w:rPr/>
        <w:t>​</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This news release contains “forward-looking statements” within the meaning of federal securities laws including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(i) legal and regulatory actions taken against us related to our services business, or against our university partners that impact their businesses and that directly or indirectly reduce the service revenue we can earn under our master services agreements; (ii) the occurrence of any event, change or other circumstance that could give rise to the termination of any of the key university partner agreements; (iii)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(iv) our ability to comply with the extensive regulatory framework applicable to us either directly as a third-party service provider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tLeast" w:line="220" w:before="0" w:after="120"/>
        <w:ind w:left="0" w:right="0" w:hanging="0"/>
        <w:jc w:val="left"/>
        <w:rPr>
          <w:rFonts w:ascii="Times New Roman;Times;serif" w:hAnsi="Times New Roman;Times;serif"/>
          <w:sz w:val="20"/>
        </w:rPr>
      </w:pPr>
      <w:r>
        <w:rPr>
          <w:rFonts w:ascii="Times New Roman;Times;serif" w:hAnsi="Times New Roman;Times;serif"/>
          <w:sz w:val="20"/>
        </w:rPr>
        <w:t>indirectly through our university partners; (v) our ability to manage risks associated with epidemics, pandemics, or public health crises; (vi) our ability to manage risks resulting from system disruptions, interruptions, or outages associated with our technology platforms or those of third-party service providers; (vii) the ability of our university partners’ students to obtain federal Title IV funds, state financial aid, and private financing; (viii) potential damage to our reputation or other adverse effects as a result of negative publicity in the media, in the industry or in connection with governmental reports or investigations or otherwise; (ix) risks associated with changes in applicable federal and state laws and regulations and accrediting commission standards; (x) competition from other education service companies in our geographic region and market sector; (xi) our ability to hire and train new, and develop and train existing employees; (xii) the pace of growth of our university partners’ enrollment and its effect on the pace of our own growth; (xiii) fluctuations in our revenues due to seasonality; (xiv) our ability to, on behalf of our university partners, convert prospective students to enrolled students and to retain active students to graduation; and (xv) other risks and uncertainties identified from time to time in documents filed with the Securities and Exchange Commission (the “SEC”) by us, including our Annual Report on Form 10-K for the fiscal year ended December 31, 2025, filed on February 18, 2026.</w:t>
      </w:r>
    </w:p>
    <w:p>
      <w:pPr>
        <w:pStyle w:val="TextBody"/>
        <w:bidi w:val="0"/>
        <w:spacing w:lineRule="atLeast" w:line="220" w:before="0" w:after="120"/>
        <w:ind w:left="0" w:right="0" w:firstLine="720"/>
        <w:jc w:val="both"/>
        <w:rPr>
          <w:rFonts w:ascii="Times New Roman;Times;serif" w:hAnsi="Times New Roman;Times;serif"/>
          <w:sz w:val="20"/>
        </w:rPr>
      </w:pPr>
      <w:r>
        <w:rPr>
          <w:rFonts w:ascii="Times New Roman;Times;serif" w:hAnsi="Times New Roman;Times;serif"/>
          <w:sz w:val="20"/>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  This press release should be read in conjunction with the information included in our other press releases, reports and other filings with the SEC.  Understanding the information contained in these filings is important in order to fully understand GCE’s reported financial results and our business outlook for future periods.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2026 Results</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Conference Call</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Grand Canyon Education, Inc. will discuss its second quarter 2026 results and full year 2026 outlook during a conference call scheduled for today, July 30, 2026 at 4:30 p.m. Eastern time (ET).</w:t>
      </w:r>
    </w:p>
    <w:p>
      <w:pPr>
        <w:pStyle w:val="TextBody"/>
        <w:pBdr/>
        <w:shd w:fill="FFFFFF" w:val="clear"/>
        <w:bidi w:val="0"/>
        <w:spacing w:before="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Live Conference Dial-In: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 xml:space="preserve">Those interested in participating in the question-and-answer session should follow the conference dial-in instructions below. Participants may register for the call </w:t>
      </w:r>
      <w:r>
        <w:rPr>
          <w:rFonts w:ascii="Times New Roman;Times;serif" w:hAnsi="Times New Roman;Times;serif"/>
          <w:color w:val="0000FF"/>
          <w:sz w:val="20"/>
        </w:rPr>
        <w:t>here</w:t>
      </w:r>
      <w:r>
        <w:rPr>
          <w:rFonts w:ascii="Times New Roman;Times;serif" w:hAnsi="Times New Roman;Times;serif"/>
          <w:color w:val="333333"/>
          <w:sz w:val="20"/>
        </w:rPr>
        <w:t xml:space="preserve"> to receive the dial-in numbers and unique PIN to access the call seamlessly. Please dial in at least ten minutes prior to the start of the call.  Journalists are invited to listen only.</w:t>
      </w:r>
    </w:p>
    <w:p>
      <w:pPr>
        <w:pStyle w:val="TextBody"/>
        <w:pBdr/>
        <w:shd w:fill="FFFFFF" w:val="clear"/>
        <w:bidi w:val="0"/>
        <w:spacing w:before="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Webcast and Replay:</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Investors, journalists and the general public may access a live webcast of this event at: </w:t>
      </w:r>
      <w:r>
        <w:rPr>
          <w:rFonts w:ascii="Times New Roman;Times;serif" w:hAnsi="Times New Roman;Times;serif"/>
          <w:i/>
          <w:color w:val="337AB7"/>
          <w:sz w:val="20"/>
        </w:rPr>
        <w:t>Q2 2026 Grand Canyon Education Inc. Earnings Conference Call</w:t>
      </w:r>
      <w:r>
        <w:rPr>
          <w:rFonts w:ascii="Times New Roman;Times;serif" w:hAnsi="Times New Roman;Times;serif"/>
          <w:i/>
          <w:color w:val="333333"/>
          <w:sz w:val="20"/>
        </w:rPr>
        <w:t>. </w:t>
      </w:r>
      <w:r>
        <w:rPr>
          <w:rFonts w:ascii="Times New Roman;Times;serif" w:hAnsi="Times New Roman;Times;serif"/>
          <w:color w:val="333333"/>
          <w:sz w:val="20"/>
        </w:rPr>
        <w:t>A webcast replay will be available approximately two hours following the conclusion of the call at the same link.</w:t>
      </w:r>
    </w:p>
    <w:p>
      <w:pPr>
        <w:pStyle w:val="TextBody"/>
        <w:shd w:fill="FFFFFF" w:val="clear"/>
        <w:bidi w:val="0"/>
        <w:spacing w:before="0" w:after="120"/>
        <w:ind w:left="0" w:right="0" w:firstLine="720"/>
        <w:jc w:val="left"/>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About Grand Canyon Education, Inc.</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(“GCE”), incorporated in 2008, is a publicly traded education services company that currently provides services to 20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Grand Canyon Education, Inc., 2600 W. Camelback Road, Phoenix, AZ 85017, </w:t>
      </w:r>
      <w:r>
        <w:rPr>
          <w:rFonts w:ascii="Times New Roman;Times;serif" w:hAnsi="Times New Roman;Times;serif"/>
          <w:b/>
          <w:sz w:val="20"/>
        </w:rPr>
        <w:t>www.gce.com</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2026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283" w:type="dxa"/>
        <w:jc w:val="left"/>
        <w:tblInd w:w="0" w:type="dxa"/>
        <w:tblLayout w:type="fixed"/>
        <w:tblCellMar>
          <w:top w:w="0" w:type="dxa"/>
          <w:left w:w="0" w:type="dxa"/>
          <w:bottom w:w="0" w:type="dxa"/>
          <w:right w:w="0" w:type="dxa"/>
        </w:tblCellMar>
      </w:tblPr>
      <w:tblGrid>
        <w:gridCol w:w="3886"/>
        <w:gridCol w:w="346"/>
        <w:gridCol w:w="211"/>
        <w:gridCol w:w="781"/>
        <w:gridCol w:w="346"/>
        <w:gridCol w:w="211"/>
        <w:gridCol w:w="781"/>
        <w:gridCol w:w="346"/>
        <w:gridCol w:w="211"/>
        <w:gridCol w:w="781"/>
        <w:gridCol w:w="346"/>
        <w:gridCol w:w="211"/>
        <w:gridCol w:w="826"/>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467610" cy="175260"/>
                      <wp:effectExtent l="0" t="0" r="0" b="0"/>
                      <wp:wrapNone/>
                      <wp:docPr id="3" name="Frame3"/>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24510" cy="175260"/>
                      <wp:effectExtent l="0" t="0" r="0" b="0"/>
                      <wp:wrapNone/>
                      <wp:docPr id="15" name="Frame1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thousands, except per share data)</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536,809</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84,798</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169,845</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116,367</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21,777</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419,192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396,997</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139,812</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6,607</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146,419</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33,255</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113,164</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28,136</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28,301</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2026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925"/>
        <w:gridCol w:w="346"/>
        <w:gridCol w:w="211"/>
        <w:gridCol w:w="1013"/>
        <w:gridCol w:w="346"/>
        <w:gridCol w:w="226"/>
        <w:gridCol w:w="1138"/>
      </w:tblGrid>
      <w:tr>
        <w:trPr/>
        <w:tc>
          <w:tcPr>
            <w:tcW w:w="6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397375" cy="175260"/>
                      <wp:effectExtent l="0" t="0" r="0" b="0"/>
                      <wp:wrapNone/>
                      <wp:docPr id="16" name="Frame16"/>
                      <a:graphic xmlns:a="http://schemas.openxmlformats.org/drawingml/2006/main">
                        <a:graphicData uri="http://schemas.microsoft.com/office/word/2010/wordprocessingShape">
                          <wps:wsp>
                            <wps:cNvSpPr txBox="1"/>
                            <wps:spPr>
                              <a:xfrm>
                                <a:off x="0" y="0"/>
                                <a:ext cx="4397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3255" cy="175260"/>
                      <wp:effectExtent l="0" t="0" r="0" b="0"/>
                      <wp:wrapNone/>
                      <wp:docPr id="19" name="Frame19"/>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3510" cy="175260"/>
                      <wp:effectExtent l="0" t="0" r="0" b="0"/>
                      <wp:wrapNone/>
                      <wp:docPr id="21"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22630" cy="175260"/>
                      <wp:effectExtent l="0" t="0" r="0" b="0"/>
                      <wp:wrapNone/>
                      <wp:docPr id="22" name="Frame22"/>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9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346" w:type="dxa"/>
            <w:tcBorders/>
            <w:vAlign w:val="center"/>
          </w:tcPr>
          <w:p>
            <w:pPr>
              <w:pStyle w:val="TableContents"/>
              <w:bidi w:val="0"/>
              <w:spacing w:before="0" w:after="0"/>
              <w:ind w:left="0" w:right="0" w:hanging="0"/>
              <w:jc w:val="left"/>
              <w:rPr/>
            </w:pPr>
            <w:r>
              <w:rPr/>
              <w:t>  ​ ​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25"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pPr>
            <w:r>
              <w:rPr/>
              <w:t>​</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pPr>
            <w:r>
              <w:rPr/>
              <w:t>  ​</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171,060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111,762</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103,466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188,317</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84,278</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13,430</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331,456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400,179</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181,051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178,957</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93,767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96,571</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147,333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151,543</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4,289</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919,179</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992,305</w:t>
            </w:r>
          </w:p>
        </w:tc>
      </w:tr>
      <w:tr>
        <w:trPr/>
        <w:tc>
          <w:tcPr>
            <w:tcW w:w="6925"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pPr>
            <w:r>
              <w:rPr/>
              <w:t>  ​</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pPr>
            <w:r>
              <w:rPr/>
              <w:t>  ​</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24,347</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35,199</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32,283</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pPr>
            <w:r>
              <w:rPr/>
              <w:t>—</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14,568</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117,636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109,752</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41,426</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88,866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92,755</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249,670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245,372</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pPr>
            <w:r>
              <w:rPr/>
              <w:t>  ​</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pPr>
            <w:r>
              <w:rPr/>
              <w:t>  ​</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June 30, 2026 and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pPr>
            <w:r>
              <w:rPr/>
              <w:t>—</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54,265 and 54,178 shares issued and 26,234 and 27,393 shares outstanding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28,031 and 26,785 shares of common stock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(2,496,632)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(2,291,610)</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357,427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350,374</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gain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2,808,316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2,687,116</w:t>
            </w:r>
          </w:p>
        </w:tc>
      </w:tr>
      <w:tr>
        <w:trPr/>
        <w:tc>
          <w:tcPr>
            <w:tcW w:w="69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669,509</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746,933</w:t>
            </w:r>
          </w:p>
        </w:tc>
      </w:tr>
      <w:tr>
        <w:trPr/>
        <w:tc>
          <w:tcPr>
            <w:tcW w:w="69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919,179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992,305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2026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682" w:type="dxa"/>
        <w:jc w:val="left"/>
        <w:tblInd w:w="0" w:type="dxa"/>
        <w:tblLayout w:type="fixed"/>
        <w:tblCellMar>
          <w:top w:w="0" w:type="dxa"/>
          <w:left w:w="0" w:type="dxa"/>
          <w:bottom w:w="0" w:type="dxa"/>
          <w:right w:w="0" w:type="dxa"/>
        </w:tblCellMar>
      </w:tblPr>
      <w:tblGrid>
        <w:gridCol w:w="6721"/>
        <w:gridCol w:w="346"/>
        <w:gridCol w:w="211"/>
        <w:gridCol w:w="901"/>
        <w:gridCol w:w="346"/>
        <w:gridCol w:w="211"/>
        <w:gridCol w:w="946"/>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67835" cy="175260"/>
                      <wp:effectExtent l="0" t="0" r="0" b="0"/>
                      <wp:wrapNone/>
                      <wp:docPr id="23" name="Frame23"/>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72135" cy="175260"/>
                      <wp:effectExtent l="0" t="0" r="0" b="0"/>
                      <wp:wrapNone/>
                      <wp:docPr id="26" name="Frame2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00710" cy="175260"/>
                      <wp:effectExtent l="0" t="0" r="0" b="0"/>
                      <wp:wrapNone/>
                      <wp:docPr id="29" name="Frame2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2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121,200</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113,164</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including fixed asset disposals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55,249</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Right-of-use assets and lease liabilities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(14,622)</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14,150</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191,639</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of amortizable content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equity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equity investment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(191,666)</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or maturity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11,007</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(198,748)</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shares and shares withheld in lieu of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(125,236)</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(125,236)</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increase (decrease) in cash and cash equivalents and restricted cash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(132,345)</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324,623</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192,278</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44,476</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included in 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treasury stock repurchases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1,087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2026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Adjusted EBITDA  (Non-GAAP Financial Measure)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costs, impairment charges and asset write-offs, severance costs,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expenditures for capital expenditures or contractual commitments;</w:t>
            </w:r>
          </w:p>
        </w:tc>
      </w:tr>
    </w:tbl>
    <w:tbl>
      <w:tblPr>
        <w:tblW w:w="5943" w:type="dxa"/>
        <w:jc w:val="left"/>
        <w:tblInd w:w="0" w:type="dxa"/>
        <w:tblLayout w:type="fixed"/>
        <w:tblCellMar>
          <w:top w:w="0" w:type="dxa"/>
          <w:left w:w="0" w:type="dxa"/>
          <w:bottom w:w="0" w:type="dxa"/>
          <w:right w:w="0" w:type="dxa"/>
        </w:tblCellMar>
      </w:tblPr>
      <w:tblGrid>
        <w:gridCol w:w="23"/>
        <w:gridCol w:w="170"/>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cash requirements for, our working capital requirements;</w:t>
            </w:r>
          </w:p>
        </w:tc>
      </w:tr>
    </w:tbl>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or the cash required to replace assets that are being depreciated or amortized;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reported results of earnings or charges resulting from the items for which we make adjustments to our EBITDA, as described above and set forth in the table below.</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provides a reconciliation of net income to Adjusted EBITDA, which is a non-GAAP measure for the periods indicated:</w:t>
      </w:r>
    </w:p>
    <w:tbl>
      <w:tblPr>
        <w:tblW w:w="8488" w:type="dxa"/>
        <w:jc w:val="center"/>
        <w:tblInd w:w="0" w:type="dxa"/>
        <w:tblLayout w:type="fixed"/>
        <w:tblCellMar>
          <w:top w:w="0" w:type="dxa"/>
          <w:left w:w="0" w:type="dxa"/>
          <w:bottom w:w="0" w:type="dxa"/>
          <w:right w:w="0" w:type="dxa"/>
        </w:tblCellMar>
      </w:tblPr>
      <w:tblGrid>
        <w:gridCol w:w="3211"/>
        <w:gridCol w:w="346"/>
        <w:gridCol w:w="211"/>
        <w:gridCol w:w="691"/>
        <w:gridCol w:w="346"/>
        <w:gridCol w:w="211"/>
        <w:gridCol w:w="691"/>
        <w:gridCol w:w="346"/>
        <w:gridCol w:w="211"/>
        <w:gridCol w:w="781"/>
        <w:gridCol w:w="346"/>
        <w:gridCol w:w="211"/>
        <w:gridCol w:w="88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38985" cy="175260"/>
                      <wp:effectExtent l="0" t="0" r="0" b="0"/>
                      <wp:wrapNone/>
                      <wp:docPr id="30" name="Frame30"/>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8785" cy="175260"/>
                      <wp:effectExtent l="0" t="0" r="0" b="0"/>
                      <wp:wrapNone/>
                      <wp:docPr id="33"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38785" cy="175260"/>
                      <wp:effectExtent l="0" t="0" r="0" b="0"/>
                      <wp:wrapNone/>
                      <wp:docPr id="36" name="Frame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5935" cy="175260"/>
                      <wp:effectExtent l="0" t="0" r="0" b="0"/>
                      <wp:wrapNone/>
                      <wp:docPr id="39"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63245" cy="175260"/>
                      <wp:effectExtent l="0" t="0" r="0" b="0"/>
                      <wp:wrapNone/>
                      <wp:docPr id="42" name="Frame4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48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2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investment interest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(6,607)</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15,260</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159,282</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litigation and regulatory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loss on fixed asset disposal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169,379</w:t>
            </w:r>
          </w:p>
        </w:tc>
      </w:tr>
    </w:tbl>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Non-GAAP Net Income and Non-GAAP Diluted Income Per Share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presentation of non-GAAP net income and non-GAAP diluted income per share information that excludes amortization of intangible assets and loss on disposal of fixed assets allows investors to develop a more meaningful understanding of the Company’s performance over time. Accordingly, for the three and six months ended June 30, 2026 and 2025, the table below provides reconciliations of these non-GAAP items to GAAP net income and GAAP diluted income per share, respectively:</w:t>
      </w:r>
    </w:p>
    <w:tbl>
      <w:tblPr>
        <w:tblW w:w="9891" w:type="dxa"/>
        <w:jc w:val="center"/>
        <w:tblInd w:w="0" w:type="dxa"/>
        <w:tblLayout w:type="fixed"/>
        <w:tblCellMar>
          <w:top w:w="0" w:type="dxa"/>
          <w:left w:w="0" w:type="dxa"/>
          <w:bottom w:w="0" w:type="dxa"/>
          <w:right w:w="0" w:type="dxa"/>
        </w:tblCellMar>
      </w:tblPr>
      <w:tblGrid>
        <w:gridCol w:w="4186"/>
        <w:gridCol w:w="479"/>
        <w:gridCol w:w="292"/>
        <w:gridCol w:w="937"/>
        <w:gridCol w:w="151"/>
        <w:gridCol w:w="292"/>
        <w:gridCol w:w="937"/>
        <w:gridCol w:w="479"/>
        <w:gridCol w:w="211"/>
        <w:gridCol w:w="781"/>
        <w:gridCol w:w="109"/>
        <w:gridCol w:w="211"/>
        <w:gridCol w:w="82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658110" cy="175260"/>
                      <wp:effectExtent l="0" t="0" r="0" b="0"/>
                      <wp:wrapNone/>
                      <wp:docPr id="43" name="Frame43"/>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04165" cy="175260"/>
                      <wp:effectExtent l="0" t="0" r="0" b="0"/>
                      <wp:wrapNone/>
                      <wp:docPr id="44" name="Frame44"/>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5420" cy="175260"/>
                      <wp:effectExtent l="0" t="0" r="0" b="0"/>
                      <wp:wrapNone/>
                      <wp:docPr id="45" name="Frame4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94995" cy="175260"/>
                      <wp:effectExtent l="0" t="0" r="0" b="0"/>
                      <wp:wrapNone/>
                      <wp:docPr id="46" name="Frame46"/>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5885" cy="175260"/>
                      <wp:effectExtent l="0" t="0" r="0" b="0"/>
                      <wp:wrapNone/>
                      <wp:docPr id="47" name="Frame47"/>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85420" cy="175260"/>
                      <wp:effectExtent l="0" t="0" r="0" b="0"/>
                      <wp:wrapNone/>
                      <wp:docPr id="48" name="Frame48"/>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94995" cy="175260"/>
                      <wp:effectExtent l="0" t="0" r="0" b="0"/>
                      <wp:wrapNone/>
                      <wp:docPr id="49" name="Frame49"/>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04165" cy="175260"/>
                      <wp:effectExtent l="0" t="0" r="0" b="0"/>
                      <wp:wrapNone/>
                      <wp:docPr id="50" name="Frame50"/>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95935" cy="175260"/>
                      <wp:effectExtent l="0" t="0" r="0" b="0"/>
                      <wp:wrapNone/>
                      <wp:docPr id="52" name="Frame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24510" cy="175260"/>
                      <wp:effectExtent l="0" t="0" r="0" b="0"/>
                      <wp:wrapNone/>
                      <wp:docPr id="55" name="Frame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260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47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92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18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26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7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2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18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  ​ ​ ​</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1" w:type="dxa"/>
            <w:tcBorders/>
            <w:vAlign w:val="center"/>
          </w:tcPr>
          <w:p>
            <w:pPr>
              <w:pStyle w:val="TableContents"/>
              <w:bidi w:val="0"/>
              <w:spacing w:before="0" w:after="0"/>
              <w:ind w:left="0" w:right="0" w:hanging="0"/>
              <w:jc w:val="left"/>
              <w:rPr/>
            </w:pPr>
            <w:r>
              <w:rPr/>
              <w:t>​</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9"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89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56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 except per share data)</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Net income</w:t>
            </w:r>
          </w:p>
        </w:tc>
        <w:tc>
          <w:tcPr>
            <w:tcW w:w="47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45,852</w:t>
            </w:r>
          </w:p>
        </w:tc>
        <w:tc>
          <w:tcPr>
            <w:tcW w:w="1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41,546</w:t>
            </w:r>
          </w:p>
        </w:tc>
        <w:tc>
          <w:tcPr>
            <w:tcW w:w="47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113,164</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Amortization of intangible assets</w:t>
            </w:r>
          </w:p>
        </w:tc>
        <w:tc>
          <w:tcPr>
            <w:tcW w:w="47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1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47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Loss on disposal of fixed assets</w:t>
            </w:r>
          </w:p>
        </w:tc>
        <w:tc>
          <w:tcPr>
            <w:tcW w:w="47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7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Income tax effects of adjustments (1)</w:t>
            </w:r>
          </w:p>
        </w:tc>
        <w:tc>
          <w:tcPr>
            <w:tcW w:w="479"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151"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47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Net income</w:t>
            </w:r>
          </w:p>
        </w:tc>
        <w:tc>
          <w:tcPr>
            <w:tcW w:w="479"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47,455</w:t>
            </w:r>
          </w:p>
        </w:tc>
        <w:tc>
          <w:tcPr>
            <w:tcW w:w="151"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43,182</w:t>
            </w:r>
          </w:p>
        </w:tc>
        <w:tc>
          <w:tcPr>
            <w:tcW w:w="47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116,478</w:t>
            </w:r>
          </w:p>
        </w:tc>
      </w:tr>
      <w:tr>
        <w:trPr/>
        <w:tc>
          <w:tcPr>
            <w:tcW w:w="418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47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Diluted income per share</w:t>
            </w:r>
          </w:p>
        </w:tc>
        <w:tc>
          <w:tcPr>
            <w:tcW w:w="47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51"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47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Amortization of intangible assets (2)</w:t>
            </w:r>
          </w:p>
        </w:tc>
        <w:tc>
          <w:tcPr>
            <w:tcW w:w="47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47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Loss on disposal of fixed assets (3)</w:t>
            </w:r>
          </w:p>
        </w:tc>
        <w:tc>
          <w:tcPr>
            <w:tcW w:w="479"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51"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47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Diluted income per share</w:t>
            </w:r>
          </w:p>
        </w:tc>
        <w:tc>
          <w:tcPr>
            <w:tcW w:w="479"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151"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47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4.12</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income tax effects of adjustments are based on the effective income tax rate applicable to adjusted (non-GAAP) results. </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of acquired intangible assets per diluted share is net of an income tax benefit of $0.02 for both of the three months ended June 30, 2026 and 2025, and net of an income tax benefit of $0.04 and $0.03 for the six months ended June 30, 2026 and 2025, respectively.</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disposal of fixed assets per diluted share is net of an income tax benefit of nil for both of the three months ended June 30, 2026 and 2025 and nil for both of the six months ended June 30, 2026 and 2025.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5096</Words>
  <Characters>27674</Characters>
  <CharactersWithSpaces>33079</CharactersWithSpaces>
  <Paragraphs>1464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