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Richardson Brent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05/03/2012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3"/>
        <w:spacing w:after="0"/>
        <w:rPr>
          <w:sz w:val="20"/>
          <w:szCs w:val="20"/>
          <w:color w:val="auto"/>
        </w:rPr>
      </w:pPr>
      <w:r>
        <w:rPr>
          <w:rFonts w:ascii="Arial" w:cs="Arial" w:eastAsia="Arial" w:hAnsi="Arial"/>
          <w:sz w:val="18"/>
          <w:szCs w:val="18"/>
          <w:color w:val="0000FF"/>
        </w:rPr>
        <w:t>Executive Chairman</w:t>
      </w:r>
    </w:p>
    <w:p>
      <w:pPr>
        <w:spacing w:after="0" w:line="26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40" w:type="dxa"/>
            <w:vAlign w:val="bottom"/>
            <w:gridSpan w:val="6"/>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40" w:type="dxa"/>
            <w:vAlign w:val="bottom"/>
            <w:gridSpan w:val="6"/>
            <w:vMerge w:val="continue"/>
          </w:tcPr>
          <w:p>
            <w:pPr>
              <w:spacing w:after="0"/>
              <w:rPr>
                <w:sz w:val="11"/>
                <w:szCs w:val="11"/>
                <w:color w:val="auto"/>
              </w:rPr>
            </w:pPr>
          </w:p>
        </w:tc>
        <w:tc>
          <w:tcPr>
            <w:tcW w:w="36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PHOENIX</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AZ</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85017</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05/03/2012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20,000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16.44</w:t>
            </w:r>
            <w:r>
              <w:rPr>
                <w:rFonts w:ascii="Arial" w:cs="Arial" w:eastAsia="Arial" w:hAnsi="Arial"/>
                <w:sz w:val="22"/>
                <w:szCs w:val="22"/>
                <w:color w:val="008000"/>
                <w:w w:val="93"/>
                <w:vertAlign w:val="superscript"/>
              </w:rPr>
              <w:t>(2)</w:t>
            </w: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1,156,504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05/04/2012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20,000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16.27</w:t>
            </w:r>
            <w:r>
              <w:rPr>
                <w:rFonts w:ascii="Arial" w:cs="Arial" w:eastAsia="Arial" w:hAnsi="Arial"/>
                <w:sz w:val="22"/>
                <w:szCs w:val="22"/>
                <w:color w:val="008000"/>
                <w:w w:val="93"/>
                <w:vertAlign w:val="superscript"/>
              </w:rPr>
              <w:t>(3)</w:t>
            </w: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1,136,504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9"/>
          </w:tcPr>
          <w:p>
            <w:pPr>
              <w:jc w:val="center"/>
              <w:ind w:left="23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sales were effected pursuant to a 10b5-1 plan adopted by the reporting person dated December 14, 2010 and modified by the reporting person on September 13, 2011.</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$16.34 to $16.77,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footnotes (2) and (3)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$16.15 to $16.39, inclusive.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Lyn Bickle, Attorney-in-</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05/07/2012</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7565"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2019-12-18T02:51:53Z</dcterms:created>
  <dcterms:modified xsi:type="dcterms:W3CDTF">2019-12-18T02:51:53Z</dcterms:modified>
</cp:coreProperties>
</file>