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51105x8k.htm"/>
      <w:bookmarkStart w:id="1" w:name="kslope20251105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74b61b38_3f1b_4a13_9495_43ae19f950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November 5, 2025</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kJRm_wxO40C3pN1k5B1tTQ_3_0"/>
      <w:bookmarkStart w:id="4" w:name="Tc_0qw3lcS_hUWyzW9NwDoUgg_2_4"/>
      <w:bookmarkStart w:id="5" w:name="Tc_XrwJKWotZU28cLKw85fZkA_2_2"/>
      <w:bookmarkStart w:id="6" w:name="Tc_WhQKqip7b0uz3FHkNqCnkg_2_0"/>
      <w:bookmarkStart w:id="7" w:name="_7fa0ebfc_0c79_4dbe_87e0_6617c5cbb49e"/>
      <w:bookmarkStart w:id="8" w:name="Tc_kJRm_wxO40C3pN1k5B1tTQ_3_0"/>
      <w:bookmarkStart w:id="9" w:name="Tc_0qw3lcS_hUWyzW9NwDoUgg_2_4"/>
      <w:bookmarkStart w:id="10" w:name="Tc_XrwJKWotZU28cLKw85fZkA_2_2"/>
      <w:bookmarkStart w:id="11" w:name="Tc_WhQKqip7b0uz3FHkNqCnkg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xTu-GFpKfEqBPvaHMoqlZg_3_1"/>
      <w:bookmarkStart w:id="14" w:name="Tc_rdozHrDV9U-ozvfKdfmviw_3_0"/>
      <w:bookmarkStart w:id="15" w:name="Tc_gGp53MJjr0S9vUj-KYdgRA_2_0"/>
      <w:bookmarkStart w:id="16" w:name="_9a323b27_c53c_42df_98ef_985e5341818d"/>
      <w:bookmarkStart w:id="17" w:name="Tc_xTu-GFpKfEqBPvaHMoqlZg_3_1"/>
      <w:bookmarkStart w:id="18" w:name="Tc_rdozHrDV9U-ozvfKdfmviw_3_0"/>
      <w:bookmarkStart w:id="19" w:name="Tc_gGp53MJjr0S9vUj-KYdgRA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GRMD2FJcdUai_fMNxc4cAA_0_2"/>
      <w:bookmarkStart w:id="22" w:name="Tc_fBks0VB8jE-y9Hid99tbnQ_0_1"/>
      <w:bookmarkStart w:id="23" w:name="Tc_pT7S2kxXy0ShJTjowC2MfQ_0_0"/>
      <w:bookmarkStart w:id="24" w:name="_2f4b5bca_6f5b_4b11_908f_f1dd216d9493"/>
      <w:bookmarkStart w:id="25" w:name="Tc_GRMD2FJcdUai_fMNxc4cAA_0_2"/>
      <w:bookmarkStart w:id="26" w:name="Tc_fBks0VB8jE-y9Hid99tbnQ_0_1"/>
      <w:bookmarkStart w:id="27" w:name="Tc_pT7S2kxXy0ShJTjowC2MfQ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5, 2025, Grand Canyon Education, Inc. reported its results for the quarter ended September 30, 2025.  The press release dated November 5, 2025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Consolidated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51105xex99d1.htm">
        <w:r>
          <w:rPr>
            <w:rStyle w:val="InternetLink"/>
            <w:rFonts w:ascii="Times New Roman;Times;serif" w:hAnsi="Times New Roman;Times;serif"/>
            <w:b w:val="false"/>
            <w:i w:val="false"/>
            <w:caps w:val="false"/>
            <w:smallCaps w:val="false"/>
            <w:sz w:val="20"/>
          </w:rPr>
          <w:t>Press Release dated November 5, 2025</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Date File (imbedded within the Inline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18" w:type="dxa"/>
        <w:jc w:val="left"/>
        <w:tblInd w:w="0" w:type="dxa"/>
        <w:tblLayout w:type="fixed"/>
        <w:tblCellMar>
          <w:top w:w="0" w:type="dxa"/>
          <w:left w:w="0" w:type="dxa"/>
          <w:bottom w:w="0" w:type="dxa"/>
          <w:right w:w="0" w:type="dxa"/>
        </w:tblCellMar>
      </w:tblPr>
      <w:tblGrid>
        <w:gridCol w:w="946"/>
        <w:gridCol w:w="326"/>
        <w:gridCol w:w="604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60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pPr>
            <w:hyperlink w:anchor="lope-20251105xex99d1.htm">
              <w:r>
                <w:rPr>
                  <w:rStyle w:val="InternetLink"/>
                  <w:rFonts w:ascii="Times New Roman;Times;serif" w:hAnsi="Times New Roman;Times;serif"/>
                  <w:b w:val="false"/>
                  <w:i w:val="false"/>
                  <w:caps w:val="false"/>
                  <w:smallCaps w:val="false"/>
                  <w:sz w:val="20"/>
                </w:rPr>
                <w:t>Press Release dated November 5, 2025</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(imbedded within the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02" w:type="dxa"/>
        <w:jc w:val="left"/>
        <w:tblInd w:w="0" w:type="dxa"/>
        <w:tblLayout w:type="fixed"/>
        <w:tblCellMar>
          <w:top w:w="0" w:type="dxa"/>
          <w:left w:w="0" w:type="dxa"/>
          <w:bottom w:w="0" w:type="dxa"/>
          <w:right w:w="0" w:type="dxa"/>
        </w:tblCellMar>
      </w:tblPr>
      <w:tblGrid>
        <w:gridCol w:w="2101"/>
        <w:gridCol w:w="422"/>
        <w:gridCol w:w="2879"/>
      </w:tblGrid>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0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51105xex99d1.htm"/>
      <w:bookmarkStart w:id="30" w:name="kslope20251105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THIRD QUARTER 2025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November 5, 2025</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September 30, 2025.</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2025:</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for the three months ended September 30, 2025 was $261.1 million, an increase of $22.8 million, or 9.6%, as compared to service revenue of $238.3 million for the three months ended September 30, 2024. The increase year over year in service revenue was primarily due to an increase in partner enrollments of 7.9% to 138,073 at September 30, 2025 as compared to 127,977 at September 30, 2024. Revenue per student decreased slightly between years primarily due to contract modifications for some of our university partners in which the revenue share percentage was reduced in exchange for us no longer reimbursing these partners for certain faculty costs which had the effect of reducing revenue per student and a slight decline year over year in revenue per student for online students due to the continued mix shift to students that have a slightly lower net tuition rate. These decreases were partially offset by an additional day of revenue for the ground campus at Grand Canyon University (“GCU”), our most significant partner, due to the start date shifting one day of revenue from the fourth quarter to the third quarter in 2025 which had a $0.9 million impact as well as the service revenue per student for accelerated Bachelor of Science in Nursing (“ABSN”) students at our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GCU enrollments increased to 132,486 at September 30, 2025, an increase of 7.7% over enrollments at September 30, 2024.</w:t>
            </w:r>
            <w:r>
              <w:rPr>
                <w:caps w:val="false"/>
                <w:smallCaps w:val="false"/>
              </w:rPr>
              <w:t xml:space="preserve"> </w:t>
            </w:r>
            <w:r>
              <w:rPr>
                <w:rFonts w:ascii="Times New Roman;Times;serif" w:hAnsi="Times New Roman;Times;serif"/>
                <w:b w:val="false"/>
                <w:i w:val="false"/>
                <w:caps w:val="false"/>
                <w:smallCaps w:val="false"/>
                <w:sz w:val="20"/>
              </w:rPr>
              <w:t>University partner enrollments at our off-campus classroom and laboratory sites were 6,912, an increase of 17.4% over enrollments at September 30, 2024, which includes 1,325 and 913 GCU students at September 30, 2025 and 2024, respectively. Excluding sites closing in 2024 to new enrollments, total enrollments at our off-campus classroom and laboratory sites increased 19.3% between years. We opened six sites in the year ended December 31, 2024 and opened five new sites in the nine months ended September 30, 2025 while closing two sites at which we stopped recruiting new students in 2024 and merged two sites that were located in the same market bringing the total number of these off-campus sites to 47 at September 30, 2025, which has also positively impacted the enrollment growth. Enrollments for GCU ground students were 24,671 at September 30, 2025 up from 24,657 at September 30, 2024. GCU online enrollments were 107,815 at September 30, 2025, up from 98,345 at September 30, 2024, an increase of 9.6% between years.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three months ended September 30, 2025 was $18.0 million, a decrease of $30.2 million, or 62.6%, as compared to $48.2 million for the same period in 2024. The operating margin for the three months ended September 30, 2025 and 2024 was 6.9% and 20.2%, respectively. Operating income and operating margin were materially impacted in the third quarter of 2025 by a reserve for litigation settlement of $35.0 million related to the settlement of the qui tam lawsuit; lease termination, impairment and other in the amount of $2.4 million due to the Company executing its lease termination provision on an office lease and the impairment of two off-campus classroom and laboratory site leases as the teach out at those locations has completed; loss on disposal of assets of $0.4 million for assets; and $0.3 million of severance costs. Excluding these costs and the amortization of intangible assets of $2.1 million in both the three months ended September 30, 2025 and 2024, adjusted operating income and adjusted operating margin were $58.2 million and 22.3%, respectively, for the three months ended September 30, 2025 compared to adjusted operating income and adjusted operating margin of $50.3 million and 21.1%, respectively for the three months ended September 30, 2024. The third quarter operating income and operating margin were positively impacted on a year over year basis by an additional day of ground traditional student revenue at GCU shifting from the fourth quarter to the third quarter, a $0.9 million impact, and contract modifications for some of our university partners in which the revenue share percentage was reduced in exchange for us no longer reimbursing the partner for certain faculty costs which had the effect of reducing operating expenses and revenue per student.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three months ended September 30, 2025 was $5.4 million, a decrease of $5.5 million, or 50.4%, as compared to income tax expense of $10.9 million for the three months ended September 30, 2024. The decrease in income tax expense is due to the decrease in income before taxes partially offset by a higher effective tax rate. Our effective tax rate was 24.9% during the three months ended September 30, 2025 compared to 20.8% during the three months ended September 30, 2024. The effective tax rate increased year over year due to the tax treatment of the litigation settlement recorded in the third quarter and changes in state income taxes partially offset by an increase in the contributions made in lieu of state income taxes from $4.5 million in the third quarter of 2024 to $5.0 million in the third quarter of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September 30, 2025 was $16.3 million, a decrease of $25.2 million, or 60.8% as compared to $41.5 million for the same period in 2024. As adjusted net income was $49.7 million and $43.2 million for the third quarters of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$0.58 and $1.42 for the third quarters of 2025 and 2024, respectively. As adjusted diluted net income per share was $1.78 and $1.48 for the third quarters of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14.4% to $75.9 million for the third quarter of 2025, compared to $66.3 million for the same period in 2024.</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2025:</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for the nine months ended September 30, 2025 was $798.0 million, an increase of $57.6 million, or 7.8%, as compared to service revenue of $740.4 million for the nine months ended September 30, 2024. The increase year over year in service revenue was primarily due to an increase in partner enrollments of 7.9% to 138,073 at September 30, 2025 as compared to 127,977 at September 30, 2024. Revenue per student decreased slightly between years primarily due to the additional day for leap year in 2024 which added additional service revenue of $1.5 million as compared to the current year and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continued mix shift to students that have a slightly lower net tuition rate. These decreases were partially offset by an additional day of revenue for the ground campus at GCU due to the start date shifting one day of revenue from the fourth quarter to the third quarter in 2025 which had a $0.9 million impact and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nine months ended September 30, 2025 was $157.8 million, a decrease of $17.6 million, or 10.0%, as compared to $175.4 million for the same period in 2024. The operating margin for the nine months ended September 30, 2025 and 2024 was 19.8% and 23.7%, respectively. Operating income and operating margin were materially impacted in the nine months ended September 30, 2025 by a reserve for litigation settlement of $35.0 million related to the settlement of the qui tam lawsuit; lease termination, impairment and other in the amount of $2.4 million due to the Company executing its lease termination provision on an office lease and the impairment of two off-campus classroom and laboratory site leases as the teach out at those locations has completed; loss on disposal of assets of $0.5 million; and $0.3 million of severance costs. Excluding these costs and the amortization of intangible assets of $6.3 million in both the nine months ended September 30, 2025 and 2024, adjusted operating income and adjusted operating margin were $202.3 million and 25.4%, respectively, for the nine months ended September 30, 2025 compared to adjusted operating income and adjusted operating margin of $181.7 million and 24.5%, respectively for the nine months ended September 30, 2024. The operating income and operating margin for the nine months ended September 30, 2025 were positively impacted by an additional day of ground traditional student revenue at GCU shifting from the fourth quarter to the third quarter, a $0.9 million impact, and contract modifications for some of our university partners in which the revenue share percentage was reduced in exchange for us no longer reimbursing the partner for certain faculty costs which had the effect of reducing operating expenses and revenue per student and $1.1 million recorded in the second quarter related to an executive officer that resigned effective June 30, 2024, partially offset by the additional day for leap year in 2024 which added additional service revenue of $1.5 million as compared to the current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nine months ended September 30, 2025 was $38.6 million, a decrease of $4.4 million, or 10.2%, as compared to income tax expense of $43.0 million for the nine months ended September 30, 2024. This decrease is primarily due to the decrease in our income before taxes between years. Our effective tax rate was 23.0% during the nine months ended September 30, 2025 compared to 23.0% during the nine months ended September 30, 2024. The effective tax rate was favorably impacted year over year primarily due to an increase in excess tax benefits of $2.7 million as compared to $1.5 million in the nine months ended September 30, 2025 and 2024, respectively. The effective tax rate was also favorably impacted by an increase in contributions made in lieu of state income taxes to $5.0 million as compared to $4.5 million in the prior year. These increases were offset by a higher effective tax rate due to the tax treatment of the litigation settlement recorded in the third quarter and changes in state income taxes.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nine months ended September 30, 2025 was $129.4 million, a decrease of $15.0 million, or 10.3% as compared to $144.4 million for the same period in 2024. As adjusted net income was $166.1 million and $150.1 million for the nine months ended September 30,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$4.60 and $4.91 for the nine months ended September 30, 2025 and 2024, respectively. As adjusted diluted net income per share was $5.90 and $5.11 for the nine months ended September 30,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9.8% to $245.3 million for the nine months ended September 30, 2025, compared to $223.4 million for the same period in 2024.</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$47.6 million between December 31, 2024 and September 30, 2025, which was largely attributable to cash expended for investing activities, capital expenditures and share repurchases exceeding our cash provided by operations during the nine months ended September 30, 2025. Our unrestricted cash and cash equivalents and investments were $277.0 million and $324.6 million at September 30, 2025 and December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Third Quarter 2025 Results and Full Year Outlook 2025</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2025 Outlook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2025:</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$305.0 million and $310.0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35.1% and 35.8%;</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22.8%;</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$3.07 and $3.18;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$3.13 and $3.24.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2025:</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$1,103.0 million and $1,108.0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24.0% and 24.3%;</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22.9%;</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$7.66 and $7.77;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$6.6 million, $29.2 million reserve for litigation, $1.9 million for lease termination and impairment costs, $0.2 million for severance costs and $0.4 million for loss on disposal of assets, which equates to a $1.36 impact on diluted EPS. Thus, as adjusted, non-GAAP diluted income per share of between $9.02 and $9.13.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within the meaning of federal securities laws which includes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tLeast" w:line="220" w:before="0" w:after="120"/>
        <w:ind w:left="0" w:right="0" w:hanging="0"/>
        <w:jc w:val="left"/>
        <w:rPr>
          <w:rFonts w:ascii="Times New Roman;Times;serif" w:hAnsi="Times New Roman;Times;serif"/>
          <w:sz w:val="20"/>
        </w:rPr>
      </w:pPr>
      <w:r>
        <w:rPr>
          <w:rFonts w:ascii="Times New Roman;Times;serif" w:hAnsi="Times New Roman;Times;serif"/>
          <w:sz w:val="20"/>
        </w:rPr>
        <w:t>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including our Annual Report on Form 10-K for the fiscal year ended December 31, 2024, filed on February 19, 2025.</w:t>
      </w:r>
    </w:p>
    <w:p>
      <w:pPr>
        <w:pStyle w:val="TextBody"/>
        <w:bidi w:val="0"/>
        <w:spacing w:lineRule="atLeast" w:line="220" w:before="0" w:after="12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Grand Canyon Education, Inc. will discuss its third quarter 2025 results and full year 2025 outlook during a conference call scheduled for today, November 5, 2025 at 4:30 p.m. Eastern time (ET).</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Q3 2025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shd w:fill="FFFFFF" w:val="clear"/>
        <w:bidi w:val="0"/>
        <w:spacing w:before="0" w:after="120"/>
        <w:ind w:left="0" w:right="0" w:firstLine="72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203" w:type="dxa"/>
        <w:jc w:val="left"/>
        <w:tblInd w:w="0" w:type="dxa"/>
        <w:tblLayout w:type="fixed"/>
        <w:tblCellMar>
          <w:top w:w="0" w:type="dxa"/>
          <w:left w:w="0" w:type="dxa"/>
          <w:bottom w:w="0" w:type="dxa"/>
          <w:right w:w="0" w:type="dxa"/>
        </w:tblCellMar>
      </w:tblPr>
      <w:tblGrid>
        <w:gridCol w:w="3886"/>
        <w:gridCol w:w="32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4510" cy="175260"/>
                      <wp:effectExtent l="0" t="0" r="0" b="0"/>
                      <wp:wrapNone/>
                      <wp:docPr id="15" name="Frame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740,429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122,081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238,157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162,774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35,730</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litigation settlement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termination, impairment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565,057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175,372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187,363</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43,008</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29,248</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29,405</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843"/>
        <w:gridCol w:w="326"/>
        <w:gridCol w:w="231"/>
        <w:gridCol w:w="1113"/>
        <w:gridCol w:w="326"/>
        <w:gridCol w:w="225"/>
        <w:gridCol w:w="1141"/>
      </w:tblGrid>
      <w:tr>
        <w:trPr/>
        <w:tc>
          <w:tcPr>
            <w:tcW w:w="6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45305" cy="175260"/>
                      <wp:effectExtent l="0" t="0" r="0" b="0"/>
                      <wp:wrapNone/>
                      <wp:docPr id="16" name="Frame16"/>
                      <a:graphic xmlns:a="http://schemas.openxmlformats.org/drawingml/2006/main">
                        <a:graphicData uri="http://schemas.microsoft.com/office/word/2010/wordprocessingShape">
                          <wps:wsp>
                            <wps:cNvSpPr txBox="1"/>
                            <wps:spPr>
                              <a:xfrm>
                                <a:off x="0" y="0"/>
                                <a:ext cx="434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6685" cy="175260"/>
                      <wp:effectExtent l="0" t="0" r="0" b="0"/>
                      <wp:wrapNone/>
                      <wp:docPr id="18" name="Frame1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06755" cy="175260"/>
                      <wp:effectExtent l="0" t="0" r="0" b="0"/>
                      <wp:wrapNone/>
                      <wp:docPr id="19" name="Frame19"/>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2875" cy="175260"/>
                      <wp:effectExtent l="0" t="0" r="0" b="0"/>
                      <wp:wrapNone/>
                      <wp:docPr id="21" name="Frame2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4535" cy="175260"/>
                      <wp:effectExtent l="0" t="0" r="0" b="0"/>
                      <wp:wrapNone/>
                      <wp:docPr id="22"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8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26" w:type="dxa"/>
            <w:tcBorders/>
            <w:vAlign w:val="center"/>
          </w:tcPr>
          <w:p>
            <w:pPr>
              <w:pStyle w:val="TableContents"/>
              <w:bidi w:val="0"/>
              <w:spacing w:before="0" w:after="0"/>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97,284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179,691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122,041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82,948</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22,679</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433,994</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419,976</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180,013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176,823</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99,871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99,541</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159,962</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1,032,792</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1,018,425</w:t>
            </w:r>
          </w:p>
        </w:tc>
      </w:tr>
      <w:tr>
        <w:trPr/>
        <w:tc>
          <w:tcPr>
            <w:tcW w:w="68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28,766</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33,183</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29,620</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14,204</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136,738</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110,966</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40,195</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26,527</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96,324</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95,635</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274,751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234,572</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2025 and December 31, 2024</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54,178 and 54,090 shares issued and 28,004 and 28,858 shares outstanding at September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26,174 and 25,232 shares of common stock at September 30,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(2,190,582)</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(2,024,370)</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347,146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336,736</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gain</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2,600,384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2,470,946</w:t>
            </w:r>
          </w:p>
        </w:tc>
      </w:tr>
      <w:tr>
        <w:trPr/>
        <w:tc>
          <w:tcPr>
            <w:tcW w:w="68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758,041</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783,853</w:t>
            </w:r>
          </w:p>
        </w:tc>
      </w:tr>
      <w:tr>
        <w:trPr/>
        <w:tc>
          <w:tcPr>
            <w:tcW w:w="68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1,032,792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1,018,425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642" w:type="dxa"/>
        <w:jc w:val="left"/>
        <w:tblInd w:w="0" w:type="dxa"/>
        <w:tblLayout w:type="fixed"/>
        <w:tblCellMar>
          <w:top w:w="0" w:type="dxa"/>
          <w:left w:w="0" w:type="dxa"/>
          <w:bottom w:w="0" w:type="dxa"/>
          <w:right w:w="0" w:type="dxa"/>
        </w:tblCellMar>
      </w:tblPr>
      <w:tblGrid>
        <w:gridCol w:w="6721"/>
        <w:gridCol w:w="326"/>
        <w:gridCol w:w="211"/>
        <w:gridCol w:w="901"/>
        <w:gridCol w:w="32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67835" cy="175260"/>
                      <wp:effectExtent l="0" t="0" r="0" b="0"/>
                      <wp:wrapNone/>
                      <wp:docPr id="23" name="Frame2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2135" cy="175260"/>
                      <wp:effectExtent l="0" t="0" r="0" b="0"/>
                      <wp:wrapNone/>
                      <wp:docPr id="26" name="Frame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0710" cy="175260"/>
                      <wp:effectExtent l="0" t="0" r="0" b="0"/>
                      <wp:wrapNone/>
                      <wp:docPr id="29" name="Frame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litigation settlement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termination, impairment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including fixed asset disposals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from university partners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154,141</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equity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investment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147,619</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71,297</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(108,329)</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(108,329)</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(decrease) increase in cash and cash equivalents and restricted cash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117,109</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263,584</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 and Liability recognition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2025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tbl>
      <w:tblPr>
        <w:tblW w:w="9198" w:type="dxa"/>
        <w:jc w:val="center"/>
        <w:tblInd w:w="0" w:type="dxa"/>
        <w:tblLayout w:type="fixed"/>
        <w:tblCellMar>
          <w:top w:w="0" w:type="dxa"/>
          <w:left w:w="0" w:type="dxa"/>
          <w:bottom w:w="0" w:type="dxa"/>
          <w:right w:w="0" w:type="dxa"/>
        </w:tblCellMar>
      </w:tblPr>
      <w:tblGrid>
        <w:gridCol w:w="3976"/>
        <w:gridCol w:w="326"/>
        <w:gridCol w:w="211"/>
        <w:gridCol w:w="691"/>
        <w:gridCol w:w="326"/>
        <w:gridCol w:w="211"/>
        <w:gridCol w:w="691"/>
        <w:gridCol w:w="326"/>
        <w:gridCol w:w="211"/>
        <w:gridCol w:w="796"/>
        <w:gridCol w:w="326"/>
        <w:gridCol w:w="211"/>
        <w:gridCol w:w="89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24760" cy="175260"/>
                      <wp:effectExtent l="0" t="0" r="0" b="0"/>
                      <wp:wrapNone/>
                      <wp:docPr id="30" name="Frame3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9595" cy="175260"/>
                      <wp:effectExtent l="0" t="0" r="0" b="0"/>
                      <wp:wrapNone/>
                      <wp:docPr id="42" name="Frame4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1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2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202,394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contributions in lieu of state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lease termination, impairment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severance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223,441</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reserve for litigation settlement, lease termination costs, impairments and other costs, severance costs and loss on disposal of fixed assets allows investors to develop a more meaningful understanding of the Company’s performance over time. Accordingly, for the three and nine months ended September 30, 2025 and 2024, the table below provides reconciliations of these non-GAAP items to GAAP net income and GAAP diluted income per share, respectively:</w:t>
      </w:r>
    </w:p>
    <w:tbl>
      <w:tblPr>
        <w:tblW w:w="9891" w:type="dxa"/>
        <w:jc w:val="center"/>
        <w:tblInd w:w="0" w:type="dxa"/>
        <w:tblLayout w:type="fixed"/>
        <w:tblCellMar>
          <w:top w:w="0" w:type="dxa"/>
          <w:left w:w="0" w:type="dxa"/>
          <w:bottom w:w="0" w:type="dxa"/>
          <w:right w:w="0" w:type="dxa"/>
        </w:tblCellMar>
      </w:tblPr>
      <w:tblGrid>
        <w:gridCol w:w="4186"/>
        <w:gridCol w:w="456"/>
        <w:gridCol w:w="295"/>
        <w:gridCol w:w="967"/>
        <w:gridCol w:w="152"/>
        <w:gridCol w:w="295"/>
        <w:gridCol w:w="946"/>
        <w:gridCol w:w="456"/>
        <w:gridCol w:w="211"/>
        <w:gridCol w:w="781"/>
        <w:gridCol w:w="109"/>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58110" cy="175260"/>
                      <wp:effectExtent l="0" t="0" r="0" b="0"/>
                      <wp:wrapNone/>
                      <wp:docPr id="43" name="Frame4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9560" cy="175260"/>
                      <wp:effectExtent l="0" t="0" r="0" b="0"/>
                      <wp:wrapNone/>
                      <wp:docPr id="44" name="Frame44"/>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7325" cy="175260"/>
                      <wp:effectExtent l="0" t="0" r="0" b="0"/>
                      <wp:wrapNone/>
                      <wp:docPr id="45" name="Frame4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4045" cy="175260"/>
                      <wp:effectExtent l="0" t="0" r="0" b="0"/>
                      <wp:wrapNone/>
                      <wp:docPr id="46" name="Frame46"/>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6520" cy="175260"/>
                      <wp:effectExtent l="0" t="0" r="0" b="0"/>
                      <wp:wrapNone/>
                      <wp:docPr id="47" name="Frame47"/>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7325" cy="175260"/>
                      <wp:effectExtent l="0" t="0" r="0" b="0"/>
                      <wp:wrapNone/>
                      <wp:docPr id="48" name="Frame4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0710" cy="175260"/>
                      <wp:effectExtent l="0" t="0" r="0" b="0"/>
                      <wp:wrapNone/>
                      <wp:docPr id="49" name="Frame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9560" cy="175260"/>
                      <wp:effectExtent l="0" t="0" r="0" b="0"/>
                      <wp:wrapNone/>
                      <wp:docPr id="50" name="Frame50"/>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4510" cy="175260"/>
                      <wp:effectExtent l="0" t="0" r="0" b="0"/>
                      <wp:wrapNone/>
                      <wp:docPr id="55" name="Frame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92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45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2" w:type="dxa"/>
            <w:tcBorders/>
            <w:vAlign w:val="center"/>
          </w:tcPr>
          <w:p>
            <w:pPr>
              <w:pStyle w:val="TableContents"/>
              <w:bidi w:val="0"/>
              <w:spacing w:before="0" w:after="0"/>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8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56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16,274</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41,467</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litigation settlement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termination, impairment and other</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costs</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effects of adjustments (1)</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49,685</w:t>
            </w:r>
          </w:p>
        </w:tc>
        <w:tc>
          <w:tcPr>
            <w:tcW w:w="152"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43,156</w:t>
            </w:r>
          </w:p>
        </w:tc>
        <w:tc>
          <w:tcPr>
            <w:tcW w:w="45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150,148</w:t>
            </w:r>
          </w:p>
        </w:tc>
      </w:tr>
      <w:tr>
        <w:trPr/>
        <w:tc>
          <w:tcPr>
            <w:tcW w:w="418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(2)</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on litigation settlement (3)</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termination, impairment and other (4)</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costs (5)</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5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 (6)</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5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152"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45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5.11</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effects of adjustments are based on the effective income tax rate applicable to adjusted (non-GAAP) results. The tax effect for the reserve for litigation was 16.49% for both the three and nine months ended September 30, 2025, due to non-deductible components.</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$0.01 for both of the three months ended September 30, 2025 and 2024, and net of an income tax benefit of $0.05 for both of the nine months ended September 30, 2025 and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reserve for litigation settlement per diluted share is net of an income tax benefit of $0.21 and $0.20 for the three and nine months ended September 30, 2025, respectively.</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termination, impairment and other per diluted share is net of an income tax benefit of $0.02 for both the three and nine months ended September 30, 2025.</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costs per diluted share is net of an income tax benefit of nil for the three and nine months ended September 30, 2025 and net of an income tax benefit of $0.01 for the nine months ended September 30, 2024.</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both the three months ended September 30, 2025 and 2024 and nil for both the nine months ended September 30, 2025 and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5852</Words>
  <Characters>31992</Characters>
  <CharactersWithSpaces>38126</CharactersWithSpaces>
  <Paragraphs>1623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