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November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38526M106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2,006,660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2,006,660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2,006,660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4.3%</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Grand Canyon Education, Inc.</w:t>
      </w:r>
    </w:p>
    <w:p>
      <w:pPr>
        <w:spacing w:after="0" w:line="97" w:lineRule="exact"/>
        <w:rPr>
          <w:rFonts w:ascii="Times New Roman" w:cs="Times New Roman" w:eastAsia="Times New Roman" w:hAnsi="Times New Roman"/>
          <w:sz w:val="22"/>
          <w:szCs w:val="22"/>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2600 West Camelback Road, Phoenix, AZ 85017-3030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620" w:right="73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620" w:right="400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38526M106</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2,006,660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4.3%</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2,006,660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2,006,660</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right="440"/>
        <w:spacing w:after="0" w:line="255"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CWI's divisions of each of the investment management entities collectively provide investment</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management services under the name "Capital World Investors." CWI is deemed to be the beneficial owner of 2,006,660 shares or 4.3% of the 46,857,058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J. Triessl</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December 10, 2020</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Michael J. Triessl</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2020-12-09T12:34:09Z</dcterms:created>
  <dcterms:modified xsi:type="dcterms:W3CDTF">2020-12-09T12:34:09Z</dcterms:modified>
</cp:coreProperties>
</file>