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Collins Sarah 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40" w:type="dxa"/>
            <w:vAlign w:val="bottom"/>
            <w:tcBorders>
              <w:top w:val="single" w:sz="8" w:color="0000EE"/>
              <w:bottom w:val="single" w:sz="8" w:color="9A9A9A"/>
            </w:tcBorders>
          </w:tcPr>
          <w:p>
            <w:pPr>
              <w:spacing w:after="0"/>
              <w:rPr>
                <w:sz w:val="16"/>
                <w:szCs w:val="16"/>
                <w:color w:val="auto"/>
              </w:rPr>
            </w:pPr>
          </w:p>
        </w:tc>
        <w:tc>
          <w:tcPr>
            <w:tcW w:w="15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Grand Canyon Education,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LOPE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2600 W. CAMELBACK ROAD</w:t>
            </w:r>
          </w:p>
        </w:tc>
      </w:tr>
      <w:tr>
        <w:trPr>
          <w:trHeight w:val="237"/>
        </w:trPr>
        <w:tc>
          <w:tcPr>
            <w:tcW w:w="98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PHOENIX</w:t>
            </w:r>
          </w:p>
        </w:tc>
        <w:tc>
          <w:tcPr>
            <w:tcW w:w="8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AZ</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85017</w:t>
            </w:r>
          </w:p>
        </w:tc>
      </w:tr>
      <w:tr>
        <w:trPr>
          <w:trHeight w:val="177"/>
        </w:trPr>
        <w:tc>
          <w:tcPr>
            <w:tcW w:w="9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820" w:type="dxa"/>
            <w:vAlign w:val="bottom"/>
          </w:tcPr>
          <w:p>
            <w:pPr>
              <w:ind w:left="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03"/>
        <w:spacing w:after="0"/>
        <w:rPr>
          <w:sz w:val="20"/>
          <w:szCs w:val="20"/>
          <w:color w:val="auto"/>
        </w:rPr>
      </w:pPr>
      <w:r>
        <w:rPr>
          <w:rFonts w:ascii="Times New Roman" w:cs="Times New Roman" w:eastAsia="Times New Roman" w:hAnsi="Times New Roman"/>
          <w:sz w:val="20"/>
          <w:szCs w:val="20"/>
          <w:color w:val="0000FF"/>
        </w:rPr>
        <w:t>Chief Legal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3,861</w:t>
            </w:r>
          </w:p>
        </w:tc>
        <w:tc>
          <w:tcPr>
            <w:tcW w:w="500" w:type="dxa"/>
            <w:vAlign w:val="bottom"/>
          </w:tcPr>
          <w:p>
            <w:pPr>
              <w:spacing w:after="0"/>
              <w:rPr>
                <w:sz w:val="22"/>
                <w:szCs w:val="22"/>
                <w:color w:val="auto"/>
              </w:rPr>
            </w:pP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0000FF"/>
                <w:w w:val="96"/>
              </w:rPr>
              <w:t>D</w:t>
            </w: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940" w:type="dxa"/>
            <w:vAlign w:val="bottom"/>
            <w:tcBorders>
              <w:bottom w:val="single" w:sz="8" w:color="2C2C2C"/>
            </w:tcBorders>
            <w:gridSpan w:val="4"/>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0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6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0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60" w:type="dxa"/>
            <w:vAlign w:val="bottom"/>
            <w:gridSpan w:val="3"/>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96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0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6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6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/s/ Sarah S. Collins, by</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w w:val="97"/>
              </w:rPr>
              <w:t>Lyn Bickle, as Attorney-</w:t>
            </w:r>
          </w:p>
        </w:tc>
        <w:tc>
          <w:tcPr>
            <w:tcW w:w="2380" w:type="dxa"/>
            <w:vAlign w:val="bottom"/>
            <w:gridSpan w:val="4"/>
          </w:tcPr>
          <w:p>
            <w:pPr>
              <w:jc w:val="right"/>
              <w:ind w:right="1260"/>
              <w:spacing w:after="0" w:line="220" w:lineRule="exact"/>
              <w:rPr>
                <w:sz w:val="20"/>
                <w:szCs w:val="20"/>
                <w:color w:val="auto"/>
              </w:rPr>
            </w:pPr>
            <w:r>
              <w:rPr>
                <w:rFonts w:ascii="Times New Roman" w:cs="Times New Roman" w:eastAsia="Times New Roman" w:hAnsi="Times New Roman"/>
                <w:sz w:val="20"/>
                <w:szCs w:val="20"/>
                <w:color w:val="0000FF"/>
              </w:rPr>
              <w:t>02/10/2026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00" w:lineRule="exact"/>
        <w:rPr>
          <w:sz w:val="20"/>
          <w:szCs w:val="20"/>
          <w:color w:val="auto"/>
        </w:rPr>
      </w:pPr>
    </w:p>
    <w:p>
      <w:pPr>
        <w:spacing w:after="0" w:line="3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undersigned hereby makes, constitutes and appoints each of Lyn Bickle, Sarah S. Collins and Daniel E. Bachus,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Grand Canyon Education, Inc. (the “Company”), to:</w:t>
      </w:r>
    </w:p>
    <w:p>
      <w:pPr>
        <w:spacing w:after="0" w:line="203" w:lineRule="exact"/>
        <w:rPr>
          <w:sz w:val="20"/>
          <w:szCs w:val="20"/>
          <w:color w:val="auto"/>
        </w:rPr>
      </w:pPr>
    </w:p>
    <w:p>
      <w:pPr>
        <w:jc w:val="both"/>
        <w:ind w:left="720" w:hanging="360"/>
        <w:spacing w:after="0" w:line="248"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202" w:lineRule="exact"/>
        <w:rPr>
          <w:rFonts w:ascii="Times New Roman" w:cs="Times New Roman" w:eastAsia="Times New Roman" w:hAnsi="Times New Roman"/>
          <w:sz w:val="22"/>
          <w:szCs w:val="22"/>
          <w:color w:val="auto"/>
        </w:rPr>
      </w:pPr>
    </w:p>
    <w:p>
      <w:pPr>
        <w:jc w:val="both"/>
        <w:ind w:left="720" w:hanging="360"/>
        <w:spacing w:after="0" w:line="248"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02" w:lineRule="exact"/>
        <w:rPr>
          <w:rFonts w:ascii="Times New Roman" w:cs="Times New Roman" w:eastAsia="Times New Roman" w:hAnsi="Times New Roman"/>
          <w:sz w:val="22"/>
          <w:szCs w:val="22"/>
          <w:color w:val="auto"/>
        </w:rPr>
      </w:pPr>
    </w:p>
    <w:p>
      <w:pPr>
        <w:ind w:left="720" w:hanging="360"/>
        <w:spacing w:after="0" w:line="273"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below;</w:t>
      </w:r>
    </w:p>
    <w:p>
      <w:pPr>
        <w:spacing w:after="0" w:line="174" w:lineRule="exact"/>
        <w:rPr>
          <w:rFonts w:ascii="Times New Roman" w:cs="Times New Roman" w:eastAsia="Times New Roman" w:hAnsi="Times New Roman"/>
          <w:sz w:val="22"/>
          <w:szCs w:val="22"/>
          <w:color w:val="auto"/>
        </w:rPr>
      </w:pPr>
    </w:p>
    <w:p>
      <w:pPr>
        <w:ind w:left="720" w:hanging="360"/>
        <w:spacing w:after="0" w:line="273"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submit or otherwise deliver SEC Filings to any securities exchange on which the Company’s securities may be listed or traded;</w:t>
      </w:r>
    </w:p>
    <w:p>
      <w:pPr>
        <w:spacing w:after="0" w:line="174" w:lineRule="exact"/>
        <w:rPr>
          <w:rFonts w:ascii="Times New Roman" w:cs="Times New Roman" w:eastAsia="Times New Roman" w:hAnsi="Times New Roman"/>
          <w:sz w:val="22"/>
          <w:szCs w:val="22"/>
          <w:color w:val="auto"/>
        </w:rPr>
      </w:pPr>
    </w:p>
    <w:p>
      <w:pPr>
        <w:jc w:val="both"/>
        <w:ind w:left="720" w:hanging="360"/>
        <w:spacing w:after="0" w:line="248"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202" w:lineRule="exact"/>
        <w:rPr>
          <w:rFonts w:ascii="Times New Roman" w:cs="Times New Roman" w:eastAsia="Times New Roman" w:hAnsi="Times New Roman"/>
          <w:sz w:val="22"/>
          <w:szCs w:val="22"/>
          <w:color w:val="auto"/>
        </w:rPr>
      </w:pPr>
    </w:p>
    <w:p>
      <w:pPr>
        <w:jc w:val="both"/>
        <w:ind w:left="720" w:hanging="360"/>
        <w:spacing w:after="0" w:line="257"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92" w:lineRule="exact"/>
        <w:rPr>
          <w:rFonts w:ascii="Times New Roman" w:cs="Times New Roman" w:eastAsia="Times New Roman" w:hAnsi="Times New Roman"/>
          <w:sz w:val="22"/>
          <w:szCs w:val="22"/>
          <w:color w:val="auto"/>
        </w:rPr>
      </w:pPr>
    </w:p>
    <w:p>
      <w:pPr>
        <w:jc w:val="both"/>
        <w:ind w:left="720" w:hanging="360"/>
        <w:spacing w:after="0" w:line="252"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24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665480</wp:posOffset>
            </wp:positionV>
            <wp:extent cx="6946900"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ind w:left="1440" w:hanging="359"/>
        <w:spacing w:after="0" w:line="274" w:lineRule="auto"/>
        <w:rPr>
          <w:sz w:val="20"/>
          <w:szCs w:val="20"/>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174" w:lineRule="exact"/>
        <w:rPr>
          <w:sz w:val="20"/>
          <w:szCs w:val="20"/>
          <w:color w:val="auto"/>
        </w:rPr>
      </w:pPr>
    </w:p>
    <w:p>
      <w:pPr>
        <w:jc w:val="both"/>
        <w:ind w:left="1440" w:hanging="359"/>
        <w:spacing w:after="0" w:line="257" w:lineRule="auto"/>
        <w:tabs>
          <w:tab w:leader="none" w:pos="141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92" w:lineRule="exact"/>
        <w:rPr>
          <w:rFonts w:ascii="Times New Roman" w:cs="Times New Roman" w:eastAsia="Times New Roman" w:hAnsi="Times New Roman"/>
          <w:sz w:val="22"/>
          <w:szCs w:val="22"/>
          <w:color w:val="auto"/>
        </w:rPr>
      </w:pPr>
    </w:p>
    <w:p>
      <w:pPr>
        <w:jc w:val="both"/>
        <w:ind w:left="1440" w:hanging="359"/>
        <w:spacing w:after="0" w:line="252" w:lineRule="auto"/>
        <w:tabs>
          <w:tab w:leader="none" w:pos="141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8" w:lineRule="exact"/>
        <w:rPr>
          <w:rFonts w:ascii="Times New Roman" w:cs="Times New Roman" w:eastAsia="Times New Roman" w:hAnsi="Times New Roman"/>
          <w:sz w:val="22"/>
          <w:szCs w:val="22"/>
          <w:color w:val="auto"/>
        </w:rPr>
      </w:pPr>
    </w:p>
    <w:p>
      <w:pPr>
        <w:jc w:val="both"/>
        <w:ind w:left="1440" w:hanging="359"/>
        <w:spacing w:after="0" w:line="257" w:lineRule="auto"/>
        <w:tabs>
          <w:tab w:leader="none" w:pos="141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1316990</wp:posOffset>
            </wp:positionV>
            <wp:extent cx="6946900" cy="10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114"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IN WITNESS WHEREOF, the undersigned has executed this Power of Attorney as of February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Sarah S. Collins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Sarah S. Collins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of Arizona</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County of Maricopa</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Power of Attorney was acknowledged before me on February 10, 2026 by Sarah S. Collins.</w:t>
      </w:r>
    </w:p>
    <w:sectPr>
      <w:pgSz w:w="11900" w:h="16838" w:orient="portrait"/>
      <w:cols w:equalWidth="0" w:num="1">
        <w:col w:w="9979"/>
      </w:cols>
      <w:pgMar w:left="48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10182" TargetMode="External"/><Relationship Id="rId11"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2026-02-10T16:09:43Z</dcterms:created>
  <dcterms:modified xsi:type="dcterms:W3CDTF">2026-02-10T16:09:43Z</dcterms:modified>
</cp:coreProperties>
</file>