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Richardson Brent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02/01/2012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23"/>
        <w:spacing w:after="0"/>
        <w:rPr>
          <w:sz w:val="20"/>
          <w:szCs w:val="20"/>
          <w:color w:val="auto"/>
        </w:rPr>
      </w:pPr>
      <w:r>
        <w:rPr>
          <w:rFonts w:ascii="Arial" w:cs="Arial" w:eastAsia="Arial" w:hAnsi="Arial"/>
          <w:sz w:val="18"/>
          <w:szCs w:val="18"/>
          <w:color w:val="0000FF"/>
        </w:rPr>
        <w:t>Executive Chairman</w:t>
      </w:r>
    </w:p>
    <w:p>
      <w:pPr>
        <w:spacing w:after="0" w:line="267"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840" w:type="dxa"/>
            <w:vAlign w:val="bottom"/>
            <w:gridSpan w:val="6"/>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7"/>
            <w:vMerge w:val="restart"/>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40" w:type="dxa"/>
            <w:vAlign w:val="bottom"/>
            <w:gridSpan w:val="6"/>
            <w:vMerge w:val="continue"/>
          </w:tcPr>
          <w:p>
            <w:pPr>
              <w:spacing w:after="0"/>
              <w:rPr>
                <w:sz w:val="11"/>
                <w:szCs w:val="11"/>
                <w:color w:val="auto"/>
              </w:rPr>
            </w:pPr>
          </w:p>
        </w:tc>
        <w:tc>
          <w:tcPr>
            <w:tcW w:w="36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PHOENIX</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AZ</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85017</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2"/>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Exeter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color w:val="0000FF"/>
              </w:rPr>
              <w:t>02/01/2012</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jc w:val="right"/>
              <w:spacing w:after="0"/>
              <w:rPr>
                <w:sz w:val="20"/>
                <w:szCs w:val="20"/>
                <w:color w:val="auto"/>
              </w:rPr>
            </w:pPr>
            <w:r>
              <w:rPr>
                <w:rFonts w:ascii="Arial" w:cs="Arial" w:eastAsia="Arial" w:hAnsi="Arial"/>
                <w:sz w:val="18"/>
                <w:szCs w:val="18"/>
                <w:color w:val="0000FF"/>
              </w:rPr>
              <w:t>60,000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jc w:val="center"/>
              <w:ind w:right="94"/>
              <w:spacing w:after="0" w:line="217" w:lineRule="exact"/>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17</w:t>
            </w:r>
            <w:r>
              <w:rPr>
                <w:rFonts w:ascii="Arial" w:cs="Arial" w:eastAsia="Arial" w:hAnsi="Arial"/>
                <w:sz w:val="22"/>
                <w:szCs w:val="22"/>
                <w:color w:val="008000"/>
                <w:vertAlign w:val="superscript"/>
              </w:rPr>
              <w:t>(2)</w:t>
            </w:r>
          </w:p>
        </w:tc>
        <w:tc>
          <w:tcPr>
            <w:tcW w:w="1220" w:type="dxa"/>
            <w:vAlign w:val="bottom"/>
            <w:gridSpan w:val="2"/>
          </w:tcPr>
          <w:p>
            <w:pPr>
              <w:ind w:left="240"/>
              <w:spacing w:after="0"/>
              <w:rPr>
                <w:sz w:val="20"/>
                <w:szCs w:val="20"/>
                <w:color w:val="auto"/>
              </w:rPr>
            </w:pPr>
            <w:r>
              <w:rPr>
                <w:rFonts w:ascii="Arial" w:cs="Arial" w:eastAsia="Arial" w:hAnsi="Arial"/>
                <w:sz w:val="18"/>
                <w:szCs w:val="18"/>
                <w:color w:val="0000FF"/>
              </w:rPr>
              <w:t>1,606,504</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Exeter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ind w:left="780"/>
              <w:spacing w:after="0"/>
              <w:rPr>
                <w:sz w:val="20"/>
                <w:szCs w:val="20"/>
                <w:color w:val="auto"/>
              </w:rPr>
            </w:pPr>
            <w:r>
              <w:rPr>
                <w:rFonts w:ascii="Arial" w:cs="Arial" w:eastAsia="Arial" w:hAnsi="Arial"/>
                <w:sz w:val="18"/>
                <w:szCs w:val="18"/>
                <w:color w:val="0000FF"/>
              </w:rPr>
              <w:t>02/02/2012</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ind w:left="140"/>
              <w:spacing w:after="0" w:line="216"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Pr>
          <w:p>
            <w:pPr>
              <w:jc w:val="right"/>
              <w:spacing w:after="0"/>
              <w:rPr>
                <w:sz w:val="20"/>
                <w:szCs w:val="20"/>
                <w:color w:val="auto"/>
              </w:rPr>
            </w:pPr>
            <w:r>
              <w:rPr>
                <w:rFonts w:ascii="Arial" w:cs="Arial" w:eastAsia="Arial" w:hAnsi="Arial"/>
                <w:sz w:val="18"/>
                <w:szCs w:val="18"/>
                <w:color w:val="0000FF"/>
              </w:rPr>
              <w:t>35,000</w:t>
            </w:r>
          </w:p>
        </w:tc>
        <w:tc>
          <w:tcPr>
            <w:tcW w:w="680" w:type="dxa"/>
            <w:vAlign w:val="bottom"/>
          </w:tcPr>
          <w:p>
            <w:pPr>
              <w:ind w:left="300"/>
              <w:spacing w:after="0"/>
              <w:rPr>
                <w:sz w:val="20"/>
                <w:szCs w:val="20"/>
                <w:color w:val="auto"/>
              </w:rPr>
            </w:pPr>
            <w:r>
              <w:rPr>
                <w:rFonts w:ascii="Arial" w:cs="Arial" w:eastAsia="Arial" w:hAnsi="Arial"/>
                <w:sz w:val="18"/>
                <w:szCs w:val="18"/>
                <w:color w:val="0000FF"/>
              </w:rPr>
              <w:t>D</w:t>
            </w:r>
          </w:p>
        </w:tc>
        <w:tc>
          <w:tcPr>
            <w:tcW w:w="720" w:type="dxa"/>
            <w:vAlign w:val="bottom"/>
            <w:gridSpan w:val="2"/>
          </w:tcPr>
          <w:p>
            <w:pPr>
              <w:jc w:val="center"/>
              <w:spacing w:after="0" w:line="217" w:lineRule="exact"/>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16.85</w:t>
            </w:r>
            <w:r>
              <w:rPr>
                <w:rFonts w:ascii="Arial" w:cs="Arial" w:eastAsia="Arial" w:hAnsi="Arial"/>
                <w:sz w:val="22"/>
                <w:szCs w:val="22"/>
                <w:color w:val="008000"/>
                <w:w w:val="84"/>
                <w:vertAlign w:val="superscript"/>
              </w:rPr>
              <w:t>(3)</w:t>
            </w:r>
          </w:p>
        </w:tc>
        <w:tc>
          <w:tcPr>
            <w:tcW w:w="1220" w:type="dxa"/>
            <w:vAlign w:val="bottom"/>
            <w:gridSpan w:val="2"/>
          </w:tcPr>
          <w:p>
            <w:pPr>
              <w:ind w:left="240"/>
              <w:spacing w:after="0"/>
              <w:rPr>
                <w:sz w:val="20"/>
                <w:szCs w:val="20"/>
                <w:color w:val="auto"/>
              </w:rPr>
            </w:pPr>
            <w:r>
              <w:rPr>
                <w:rFonts w:ascii="Arial" w:cs="Arial" w:eastAsia="Arial" w:hAnsi="Arial"/>
                <w:sz w:val="18"/>
                <w:szCs w:val="18"/>
                <w:color w:val="0000FF"/>
              </w:rPr>
              <w:t>1,571,504</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LLC</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424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1"/>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9"/>
          </w:tcPr>
          <w:p>
            <w:pPr>
              <w:jc w:val="center"/>
              <w:ind w:left="23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sales were effected pursuant to a 10b5-1 plan adopted by the reporting person dated December 14, 2010 and modified by the reporting person on September 14, 2011.</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$16.83 to $17.15,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footnotes (2) and (3)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$16.67 to $16.94, inclusive.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Lyn Bickle, Attorney-in-</w:t>
            </w:r>
          </w:p>
        </w:tc>
        <w:tc>
          <w:tcPr>
            <w:tcW w:w="1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02/03/2012</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47565"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2019-12-18T02:43:20Z</dcterms:created>
  <dcterms:modified xsi:type="dcterms:W3CDTF">2019-12-18T02:43:20Z</dcterms:modified>
</cp:coreProperties>
</file>