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3, 2023</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Grand Canyon Education,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846" w:right="999" w:bottom="1440" w:gutter="0" w:footer="0" w:header="0"/>
        </w:sectPr>
      </w:pP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001-34211</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140" w:space="720"/>
            <w:col w:w="2480" w:space="720"/>
            <w:col w:w="2860"/>
          </w:cols>
          <w:pgMar w:left="980" w:top="846" w:right="99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ind w:left="1880"/>
        <w:spacing w:after="0"/>
        <w:tabs>
          <w:tab w:leader="none" w:pos="7240" w:val="left"/>
        </w:tabs>
        <w:rPr>
          <w:sz w:val="20"/>
          <w:szCs w:val="20"/>
          <w:color w:val="auto"/>
        </w:rPr>
      </w:pPr>
      <w:r>
        <w:rPr>
          <w:rFonts w:ascii="Arial" w:cs="Arial" w:eastAsia="Arial" w:hAnsi="Arial"/>
          <w:sz w:val="18"/>
          <w:szCs w:val="18"/>
          <w:b w:val="1"/>
          <w:bCs w:val="1"/>
          <w:color w:val="auto"/>
        </w:rPr>
        <w:t>Phoenix, Arizona</w:t>
      </w:r>
      <w:r>
        <w:rPr>
          <w:sz w:val="20"/>
          <w:szCs w:val="20"/>
          <w:color w:val="auto"/>
        </w:rPr>
        <w:tab/>
      </w:r>
      <w:r>
        <w:rPr>
          <w:rFonts w:ascii="Arial" w:cs="Arial" w:eastAsia="Arial" w:hAnsi="Arial"/>
          <w:sz w:val="16"/>
          <w:szCs w:val="16"/>
          <w:b w:val="1"/>
          <w:bCs w:val="1"/>
          <w:color w:val="auto"/>
        </w:rPr>
        <w:t>85017</w:t>
      </w:r>
    </w:p>
    <w:p>
      <w:pPr>
        <w:spacing w:after="0" w:line="9" w:lineRule="exact"/>
        <w:rPr>
          <w:sz w:val="24"/>
          <w:szCs w:val="24"/>
          <w:color w:val="auto"/>
        </w:rPr>
      </w:pPr>
    </w:p>
    <w:p>
      <w:pPr>
        <w:ind w:left="1060"/>
        <w:spacing w:after="0"/>
        <w:tabs>
          <w:tab w:leader="none" w:pos="7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920"/>
          </w:cols>
          <w:pgMar w:left="980" w:top="846" w:right="99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1420495</wp:posOffset>
            </wp:positionH>
            <wp:positionV relativeFrom="paragraph">
              <wp:posOffset>-130175</wp:posOffset>
            </wp:positionV>
            <wp:extent cx="3463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8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18"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20" w:firstLine="648"/>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6"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August 3, 2023, the Company reported its results for the second quarter of 2023. The press release dated August 3, 2023 is furnished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Consolidated 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August 3, 2023</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(imbedded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160" w:type="dxa"/>
            <w:vAlign w:val="bottom"/>
          </w:tcPr>
          <w:p>
            <w:pPr>
              <w:ind w:left="540"/>
              <w:spacing w:after="0"/>
              <w:rPr>
                <w:sz w:val="20"/>
                <w:szCs w:val="20"/>
                <w:color w:val="auto"/>
              </w:rPr>
            </w:pPr>
            <w:r>
              <w:rPr>
                <w:rFonts w:ascii="Arial" w:cs="Arial" w:eastAsia="Arial" w:hAnsi="Arial"/>
                <w:sz w:val="18"/>
                <w:szCs w:val="18"/>
                <w:color w:val="auto"/>
              </w:rPr>
              <w:t>EXHIBIT INDEX</w:t>
            </w:r>
          </w:p>
        </w:tc>
      </w:tr>
      <w:tr>
        <w:trPr>
          <w:trHeight w:val="37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0000EE"/>
              </w:rPr>
              <w:t>Press Release dated August 3, 2023</w:t>
            </w: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Cover Page Interactive Date File (imbedded within the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6700" w:type="dxa"/>
            <w:vAlign w:val="bottom"/>
            <w:gridSpan w:val="2"/>
          </w:tcPr>
          <w:p>
            <w:pPr>
              <w:ind w:left="1660"/>
              <w:spacing w:after="0"/>
              <w:rPr>
                <w:sz w:val="20"/>
                <w:szCs w:val="20"/>
                <w:color w:val="auto"/>
              </w:rPr>
            </w:pPr>
            <w:r>
              <w:rPr>
                <w:rFonts w:ascii="Arial" w:cs="Arial" w:eastAsia="Arial" w:hAnsi="Arial"/>
                <w:sz w:val="18"/>
                <w:szCs w:val="18"/>
                <w:color w:val="auto"/>
              </w:rPr>
              <w:t>GRAND CANYON EDUCATION, INC.</w:t>
            </w:r>
          </w:p>
        </w:tc>
      </w:tr>
      <w:tr>
        <w:trPr>
          <w:trHeight w:val="466"/>
        </w:trPr>
        <w:tc>
          <w:tcPr>
            <w:tcW w:w="3220" w:type="dxa"/>
            <w:vAlign w:val="bottom"/>
          </w:tcPr>
          <w:p>
            <w:pPr>
              <w:spacing w:after="0"/>
              <w:rPr>
                <w:sz w:val="20"/>
                <w:szCs w:val="20"/>
                <w:color w:val="auto"/>
              </w:rPr>
            </w:pPr>
            <w:r>
              <w:rPr>
                <w:rFonts w:ascii="Arial" w:cs="Arial" w:eastAsia="Arial" w:hAnsi="Arial"/>
                <w:sz w:val="18"/>
                <w:szCs w:val="18"/>
                <w:color w:val="auto"/>
              </w:rPr>
              <w:t>Date: August 3, 2023</w:t>
            </w:r>
          </w:p>
        </w:tc>
        <w:tc>
          <w:tcPr>
            <w:tcW w:w="6700" w:type="dxa"/>
            <w:vAlign w:val="bottom"/>
            <w:gridSpan w:val="2"/>
          </w:tcPr>
          <w:p>
            <w:pPr>
              <w:ind w:left="1660"/>
              <w:spacing w:after="0"/>
              <w:rPr>
                <w:sz w:val="20"/>
                <w:szCs w:val="20"/>
                <w:color w:val="auto"/>
              </w:rPr>
            </w:pPr>
            <w:r>
              <w:rPr>
                <w:rFonts w:ascii="Arial" w:cs="Arial" w:eastAsia="Arial" w:hAnsi="Arial"/>
                <w:sz w:val="18"/>
                <w:szCs w:val="18"/>
                <w:color w:val="auto"/>
              </w:rPr>
              <w:t>By: /s/ Daniel E. Bachus</w:t>
            </w:r>
          </w:p>
        </w:tc>
      </w:tr>
      <w:tr>
        <w:trPr>
          <w:trHeight w:val="215"/>
        </w:trPr>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E. Bachus</w:t>
            </w:r>
          </w:p>
        </w:tc>
      </w:tr>
      <w:tr>
        <w:trPr>
          <w:trHeight w:val="230"/>
        </w:trPr>
        <w:tc>
          <w:tcPr>
            <w:tcW w:w="3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1222"/>
        </w:trPr>
        <w:tc>
          <w:tcPr>
            <w:tcW w:w="3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Dan.bachus@gce.com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2023 RESULTS</w:t>
      </w:r>
    </w:p>
    <w:p>
      <w:pPr>
        <w:spacing w:after="0" w:line="20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PHOENIX, AZ., August 3, 2023</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(“GCE” or the “Company”), is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education services company that currently provides services to 25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June 30,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661" w:right="1259" w:bottom="1440" w:gutter="0" w:footer="0" w:header="0"/>
        </w:sectPr>
      </w:pPr>
    </w:p>
    <w:bookmarkStart w:id="5" w:name="page6"/>
    <w:bookmarkEnd w:id="5"/>
    <w:p>
      <w:pPr>
        <w:ind w:right="4060"/>
        <w:spacing w:after="0" w:line="454" w:lineRule="auto"/>
        <w:rPr>
          <w:sz w:val="20"/>
          <w:szCs w:val="20"/>
          <w:color w:val="auto"/>
        </w:rPr>
      </w:pPr>
      <w:r>
        <w:rPr>
          <w:rFonts w:ascii="Arial" w:cs="Arial" w:eastAsia="Arial" w:hAnsi="Arial"/>
          <w:sz w:val="18"/>
          <w:szCs w:val="18"/>
          <w:b w:val="1"/>
          <w:bCs w:val="1"/>
          <w:color w:val="auto"/>
        </w:rPr>
        <w:t xml:space="preserve">Grand Canyon Education, Inc. Reports Second Quarter 2023 Results </w:t>
      </w:r>
      <w:r>
        <w:rPr>
          <w:rFonts w:ascii="Arial" w:cs="Arial" w:eastAsia="Arial" w:hAnsi="Arial"/>
          <w:sz w:val="18"/>
          <w:szCs w:val="18"/>
          <w:color w:val="auto"/>
        </w:rPr>
        <w:t>For the three months ended June 30, 2023:</w:t>
      </w:r>
    </w:p>
    <w:p>
      <w:pPr>
        <w:spacing w:after="0" w:line="17" w:lineRule="exact"/>
        <w:rPr>
          <w:sz w:val="20"/>
          <w:szCs w:val="20"/>
          <w:color w:val="auto"/>
        </w:rPr>
      </w:pPr>
    </w:p>
    <w:p>
      <w:pPr>
        <w:ind w:left="640" w:right="40" w:hanging="323"/>
        <w:spacing w:after="0" w:line="286"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Service revenue for the three months ended June 30, 2023 was $210.6 million, an increase of $10.8 million, or 5.4%, as compared to service revenue of $199.8 million for the three months ended June 30, 2022. The increase year over year in service revenue was primarily due to an increase in GCU enrollments of 4.1% over enrollments at June 30, 2022 and an increase in revenue per student year over year. The increase in revenue per student between years is primarily due to the service revenue impact of the increased room, board and other ancillary revenues at GCU in the second quarter of 2023 as compared to the prior year period. In addition, service revenue per student for Accelerated Bachelor of Science in Nursing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June 30, 2023 was also positively impacted by the timing of the Spring semester for the ground traditional campus. The Spring semester started two days later in 2023 and extended four more days into April, which had the effect of shifting $4.5 million in service revenue from the first quarter of 2023 to the second quarter of 2023.</w:t>
      </w:r>
    </w:p>
    <w:p>
      <w:pPr>
        <w:spacing w:after="0" w:line="173" w:lineRule="exact"/>
        <w:rPr>
          <w:rFonts w:ascii="Arial" w:cs="Arial" w:eastAsia="Arial" w:hAnsi="Arial"/>
          <w:sz w:val="16"/>
          <w:szCs w:val="16"/>
          <w:color w:val="auto"/>
        </w:rPr>
      </w:pPr>
    </w:p>
    <w:p>
      <w:pPr>
        <w:ind w:left="640" w:hanging="323"/>
        <w:spacing w:after="0" w:line="284"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Partner enrollments totaled 99,526 at June 30, 2023 as compared to 96,029 at June 30, 2022. University partner enrollments at our off-campus classroom and laboratory sites were 3,904, a decrease of 5.2% over enrollments at June 30, 2022, which includes 350 and 324 GCU students at June 30, 2023 and 2022, respectively. We did open six new off-campus classroom and laboratory sites in the year ended December 31, 2022 and one site in the six months ended June 30, 2023 increasing the total number of these sites to 36 at June 30, 2023 and we anticipate opening three to four more in 2023. Enrollments at GCU increased to 95,972 at June 30, 2023, an increase of 4.1% over enrollments at June 30, 2022. Enrollments for GCU ground students were 7,327 at June 30, 2023 up from 7,101 at June 30, 2022 primarily due to a</w:t>
      </w:r>
    </w:p>
    <w:p>
      <w:pPr>
        <w:spacing w:after="0" w:line="2" w:lineRule="exact"/>
        <w:rPr>
          <w:rFonts w:ascii="Arial" w:cs="Arial" w:eastAsia="Arial" w:hAnsi="Arial"/>
          <w:sz w:val="16"/>
          <w:szCs w:val="16"/>
          <w:color w:val="auto"/>
        </w:rPr>
      </w:pPr>
    </w:p>
    <w:p>
      <w:pPr>
        <w:ind w:left="640" w:right="100"/>
        <w:spacing w:after="0" w:line="253" w:lineRule="auto"/>
        <w:rPr>
          <w:rFonts w:ascii="Arial" w:cs="Arial" w:eastAsia="Arial" w:hAnsi="Arial"/>
          <w:sz w:val="16"/>
          <w:szCs w:val="16"/>
          <w:color w:val="auto"/>
        </w:rPr>
      </w:pPr>
      <w:r>
        <w:rPr>
          <w:rFonts w:ascii="Arial" w:cs="Arial" w:eastAsia="Arial" w:hAnsi="Arial"/>
          <w:sz w:val="18"/>
          <w:szCs w:val="18"/>
          <w:color w:val="auto"/>
        </w:rPr>
        <w:t>3.7% increase in traditional ground students between years. GCU online enrollments were 88,645 at June 30, 2023, up from 85,132 at June 30, 2022. GCU enrollment declines between March 31 and June 30 of each year as ground enrollment at GCU at June 30 of each year only includes traditional-aged students taking summer school classes, which is a small percentage of GCU’s traditional-aged student body. The Spring semester for GCU’s traditional-aged student body ends near the end of April each year.</w:t>
      </w:r>
    </w:p>
    <w:p>
      <w:pPr>
        <w:spacing w:after="0" w:line="190" w:lineRule="exact"/>
        <w:rPr>
          <w:rFonts w:ascii="Arial" w:cs="Arial" w:eastAsia="Arial" w:hAnsi="Arial"/>
          <w:sz w:val="16"/>
          <w:szCs w:val="16"/>
          <w:color w:val="auto"/>
        </w:rPr>
      </w:pPr>
    </w:p>
    <w:p>
      <w:pPr>
        <w:ind w:left="640" w:right="10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for the three months ended June 30, 2023 was $35.4 million, an increase of $1.6 million as compared to $33.8 million for the same period in 2022. The operating margin for the three months ended June 30, 2023 was 16.8%, compared to 16.9% for the same period in 2022.</w:t>
      </w:r>
    </w:p>
    <w:p>
      <w:pPr>
        <w:spacing w:after="0" w:line="183" w:lineRule="exact"/>
        <w:rPr>
          <w:rFonts w:ascii="Arial" w:cs="Arial" w:eastAsia="Arial" w:hAnsi="Arial"/>
          <w:sz w:val="18"/>
          <w:szCs w:val="18"/>
          <w:color w:val="auto"/>
        </w:rPr>
      </w:pPr>
    </w:p>
    <w:p>
      <w:pPr>
        <w:ind w:left="640" w:hanging="323"/>
        <w:spacing w:after="0" w:line="293"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Income tax expense for the three months ended June 30, 2023 was $9.1 million, an increase of $0.5 million, as compared to income tax expense of $8.6 million for the three months ended June 30, 2022. This increase was the result of an increase in our taxable income, partially offset by a decrease in our effective tax rate between periods. Our effective tax rate was 23.8% during the second quarter of 2023 compared to 25.2% during the second quarter of 2022. In the second quarter of 2023 the effective tax rate was favorably impacted by income tax audits, while in the second quarter of 2022 the effective tax rate was unfavorably impacted by an increase in the state income tax rate.</w:t>
      </w:r>
    </w:p>
    <w:p>
      <w:pPr>
        <w:spacing w:after="0" w:line="164" w:lineRule="exact"/>
        <w:rPr>
          <w:rFonts w:ascii="Arial" w:cs="Arial" w:eastAsia="Arial" w:hAnsi="Arial"/>
          <w:sz w:val="16"/>
          <w:szCs w:val="16"/>
          <w:color w:val="auto"/>
        </w:rPr>
      </w:pPr>
    </w:p>
    <w:p>
      <w:pPr>
        <w:ind w:left="640" w:right="16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13.3% to $29.0 million for the second quarter of 2023, compared to $25.6 million for the same period in 2022. As adjusted net income was $30.4 million and $27.1 million for the second quarters of 2023 and 2022, respectively.</w:t>
      </w:r>
    </w:p>
    <w:p>
      <w:pPr>
        <w:spacing w:after="0" w:line="183" w:lineRule="exact"/>
        <w:rPr>
          <w:rFonts w:ascii="Arial" w:cs="Arial" w:eastAsia="Arial" w:hAnsi="Arial"/>
          <w:sz w:val="18"/>
          <w:szCs w:val="18"/>
          <w:color w:val="auto"/>
        </w:rPr>
      </w:pPr>
    </w:p>
    <w:p>
      <w:pPr>
        <w:ind w:left="640" w:right="200" w:hanging="323"/>
        <w:spacing w:after="0" w:line="342"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Diluted net income per share was $0.96 and $0.80 for the second quarters of 2023 and 2022, respectively. As adjusted diluted net income per share was $1.01 and $0.85 for the second quarters of 2023 and 2022, respectively.</w:t>
      </w:r>
    </w:p>
    <w:p>
      <w:pPr>
        <w:spacing w:after="0" w:line="123" w:lineRule="exact"/>
        <w:rPr>
          <w:rFonts w:ascii="Arial" w:cs="Arial" w:eastAsia="Arial" w:hAnsi="Arial"/>
          <w:sz w:val="16"/>
          <w:szCs w:val="16"/>
          <w:color w:val="auto"/>
        </w:rPr>
      </w:pPr>
    </w:p>
    <w:p>
      <w:pPr>
        <w:ind w:left="640" w:right="300" w:hanging="323"/>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4.7% to $47.7 million for the second quarter of 2023, compared to $45.6 million for the same period in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For the six months ended June 30, 2023:</w:t>
      </w:r>
    </w:p>
    <w:p>
      <w:pPr>
        <w:spacing w:after="0" w:line="225" w:lineRule="exact"/>
        <w:rPr>
          <w:sz w:val="20"/>
          <w:szCs w:val="20"/>
          <w:color w:val="auto"/>
        </w:rPr>
      </w:pPr>
    </w:p>
    <w:p>
      <w:pPr>
        <w:ind w:left="640" w:hanging="323"/>
        <w:spacing w:after="0" w:line="269"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Service revenue for the six months ended June 30, 2023 was $460.7 million, an increase of $16.8 million, or 3.8%, as compared to service revenue of $443.9 million for the six months ended June 30, 2022. The increase year over year in service revenue was primarily due to an increase in GCU enrollments of 4.1% over enrollments at June 30, 2022 and an increase in revenue per student year over year. The increase in revenue per student between years is primarily due to the service revenue impact of the increased room, board and other ancillary revenues at GCU’s ground traditional campus between years primarily due to increased enrollment. In addition, service revenue per student for Accelerated Bachelor of Science in Nursing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w:t>
      </w:r>
    </w:p>
    <w:p>
      <w:pPr>
        <w:spacing w:after="0" w:line="185" w:lineRule="exact"/>
        <w:rPr>
          <w:rFonts w:ascii="Arial" w:cs="Arial" w:eastAsia="Arial" w:hAnsi="Arial"/>
          <w:sz w:val="17"/>
          <w:szCs w:val="17"/>
          <w:color w:val="auto"/>
        </w:rPr>
      </w:pPr>
    </w:p>
    <w:p>
      <w:pPr>
        <w:ind w:left="640" w:right="40" w:hanging="323"/>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for the six months ended June 30, 2023 was $109.9 million, a decrease of $1.4 million as compared to $111.3 million for the same period in 2022. The operating margin for the six months ended June 30, 2023 was 23.9%, compared to 25.1% for the same period in 2022.</w:t>
      </w:r>
    </w:p>
    <w:p>
      <w:pPr>
        <w:spacing w:after="0" w:line="183" w:lineRule="exact"/>
        <w:rPr>
          <w:rFonts w:ascii="Arial" w:cs="Arial" w:eastAsia="Arial" w:hAnsi="Arial"/>
          <w:sz w:val="18"/>
          <w:szCs w:val="18"/>
          <w:color w:val="auto"/>
        </w:rPr>
      </w:pPr>
    </w:p>
    <w:p>
      <w:pPr>
        <w:ind w:left="640" w:right="20" w:hanging="323"/>
        <w:spacing w:after="0" w:line="290"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Income tax expense for the six months ended June 30, 2023 was $26.1 million, a decrease of $2.1 million, or 7.5%, as compared to income tax expense of $28.2 million for the six months ended June 30, 2022. This decrease was the result of a decrease in our effective tax rate between periods, partially offset by an increase in our taxable income. Our effective tax rate was 22.8% during the six months ended June 30, 2023 compared to 25.2% during the six months ended June 30, 2022. In the six months ended June 30, 2023, the effective tax rate was impacted by excess tax benefits of $0.9 million as compared to only $0.1 million in the six months ended June 30, 2022. In the six months ended June 30, 2023 the effective tax rate was favorably impacted by state income tax refunds and audits, while in the six months ended June 30, 2022 the effective tax rate was unfavorably impacted by an increase in the state income tax rate.</w:t>
      </w:r>
    </w:p>
    <w:p>
      <w:pPr>
        <w:spacing w:after="0" w:line="165" w:lineRule="exact"/>
        <w:rPr>
          <w:rFonts w:ascii="Arial" w:cs="Arial" w:eastAsia="Arial" w:hAnsi="Arial"/>
          <w:sz w:val="16"/>
          <w:szCs w:val="16"/>
          <w:color w:val="auto"/>
        </w:rPr>
      </w:pPr>
    </w:p>
    <w:p>
      <w:pPr>
        <w:ind w:left="640" w:right="140" w:hanging="323"/>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5.9% to $88.5 million for the six months ended June 30, 2023, compared to $83.6 million for the same period in 2022. As adjusted net income was $91.9 million and $87.3 million for the six months ended June 30, 2023 and 2022, respectively.</w:t>
      </w:r>
    </w:p>
    <w:p>
      <w:pPr>
        <w:spacing w:after="0" w:line="183" w:lineRule="exact"/>
        <w:rPr>
          <w:rFonts w:ascii="Arial" w:cs="Arial" w:eastAsia="Arial" w:hAnsi="Arial"/>
          <w:sz w:val="18"/>
          <w:szCs w:val="18"/>
          <w:color w:val="auto"/>
        </w:rPr>
      </w:pPr>
    </w:p>
    <w:p>
      <w:pPr>
        <w:ind w:left="640" w:right="260" w:hanging="323"/>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net income per share was $2.91 and $2.51 for the six months ended June 30, 2023 and 2022, respectively. As adjusted diluted net income per share was $3.02 and $2.61 for the six months ended June 30, 2023 and 2022, respectively.</w:t>
      </w:r>
    </w:p>
    <w:p>
      <w:pPr>
        <w:spacing w:after="0" w:line="183" w:lineRule="exact"/>
        <w:rPr>
          <w:rFonts w:ascii="Arial" w:cs="Arial" w:eastAsia="Arial" w:hAnsi="Arial"/>
          <w:sz w:val="18"/>
          <w:szCs w:val="18"/>
          <w:color w:val="auto"/>
        </w:rPr>
      </w:pPr>
    </w:p>
    <w:p>
      <w:pPr>
        <w:ind w:left="640" w:right="520" w:hanging="323"/>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decreased 1.2% to $134.4 million for the six months ended June 30, 2023, compared to $136.0 million for the same period in 2022.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liquidity position, as measured by cash and cash equivalents and investments increased by $51.7 million between December 31, 2022 and June 30, 2023, which was largely attributable to cash flows from operations exceeding share repurchases and capital expenditures during the six months ended June 30, 2023. Our unrestricted cash and cash equivalents and investments were $233.4 million and $181.7 million at June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989" w:right="1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Grand Canyon Education, Inc. Reports Second Quarter 2023 Results and Full Year Outlook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2023:</w:t>
      </w:r>
    </w:p>
    <w:p>
      <w:pPr>
        <w:spacing w:after="0" w:line="27" w:lineRule="exact"/>
        <w:rPr>
          <w:sz w:val="20"/>
          <w:szCs w:val="20"/>
          <w:color w:val="auto"/>
        </w:rPr>
      </w:pPr>
    </w:p>
    <w:p>
      <w:pPr>
        <w:ind w:left="640" w:hanging="32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Service revenue of between $218.5 million and $220.5 million;</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margin of between 16.0% and 16.7%;</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tax rate of 18.6%;</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EPS of between $0.99 and $1.04; and</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30.0 million diluted shares.</w:t>
      </w:r>
    </w:p>
    <w:p>
      <w:pPr>
        <w:spacing w:after="0" w:line="103"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diluted EPS guidance includes non-cash amortization of intangible assets net of taxes of $1.7 million, which equates to a $0.06 impact on diluted EPS. Thus, as adjusted, Non-GAAP diluted income per share of between $1.05 and $1.10.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2023:</w:t>
      </w:r>
    </w:p>
    <w:p>
      <w:pPr>
        <w:spacing w:after="0" w:line="27" w:lineRule="exact"/>
        <w:rPr>
          <w:sz w:val="20"/>
          <w:szCs w:val="20"/>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 revenue of between $269.5 million and $274.5 million;</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margin of between 34.1% and 35.3%;</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tax rate of 21.3%;</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EPS of between $2.48 and $2.61; and</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29.7 million diluted shares.</w:t>
      </w:r>
    </w:p>
    <w:p>
      <w:pPr>
        <w:spacing w:after="0" w:line="103"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diluted EPS guidance includes non-cash amortization of intangible assets net of taxes of $1.7 million, which equates to a $0.06 impact on diluted EPS. Thus, as adjusted, Non-GAAP diluted income per share of between $2.54 and $2.67.</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2023:</w:t>
      </w:r>
    </w:p>
    <w:p>
      <w:pPr>
        <w:spacing w:after="0" w:line="27" w:lineRule="exact"/>
        <w:rPr>
          <w:sz w:val="20"/>
          <w:szCs w:val="20"/>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 revenue of between $948.7 million and $955.7 million;</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margin of between 25.0% and 25.5%;</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tax rate of 21.6%;</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EPS between $6.37 and $6.55; and</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30.1 million diluted shares.</w:t>
      </w:r>
    </w:p>
    <w:p>
      <w:pPr>
        <w:spacing w:after="0" w:line="10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diluted EPS guidance includes non-cash amortization of intangible assets net of taxes of $6.6 million and losses on fixed asset disposals net of taxes of $0.1 million, which equates to a $0.22 impact on diluted EPS. Thus, as adjusted, Non-GAAP diluted income per share of between $6.59 and $6.77.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20" w:firstLine="648"/>
        <w:spacing w:after="0" w:line="247"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20"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actual performance or results to differ materially from those expressed in or suggested by the forward-looking statements include,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but are not limited to: the harm to our business, results of operations, and financial condition, and harm to our university partners</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resulting from epidemics, pandemics, or public health crises: the occurrence of any event, change or other circumstance that could give rise to the termination of any of our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 party education services provider or indirectly through our university partners, including Title IV of the Higher Education Act and the regulations thereunder, state laws and regulatory requirements, and accrediting commission requirements;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the impact of any natural disasters or public health emergencies; and other factors discussed in reports on file with the Securities and Exchange Commission, including as set forth in Part I, Item 1A of our Annual Report on Form 10-K for period ended December 31, 2022, as updated in our subsequent reports filed with the Securities and Exchange Commission on Form 10Q or Form 8-K.</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11" w:right="1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Grand Canyon Education, Inc. Reports Second Quarter 2023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Grand Canyon Education, Inc. will discuss its second quarter 2023 results and full year 2023 outlook during a conference call scheduled for today, August 3, 2023 at 4:30 p.m. Eastern time (ET).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33333"/>
        </w:rPr>
        <w:t>Live Conference Dial-In:</w:t>
      </w:r>
    </w:p>
    <w:p>
      <w:pPr>
        <w:spacing w:after="0" w:line="256"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333333"/>
        </w:rPr>
        <w:t xml:space="preserve">Those interested in participating in the question-and-answer session should follow the conference dial-in instructions below. Participants may register for the call </w:t>
      </w:r>
      <w:r>
        <w:rPr>
          <w:rFonts w:ascii="Arial" w:cs="Arial" w:eastAsia="Arial" w:hAnsi="Arial"/>
          <w:sz w:val="17"/>
          <w:szCs w:val="17"/>
          <w:color w:val="0000FF"/>
        </w:rPr>
        <w:t>here</w:t>
      </w:r>
      <w:r>
        <w:rPr>
          <w:rFonts w:ascii="Arial" w:cs="Arial" w:eastAsia="Arial" w:hAnsi="Arial"/>
          <w:sz w:val="17"/>
          <w:szCs w:val="17"/>
          <w:color w:val="333333"/>
        </w:rPr>
        <w:t xml:space="preserve"> to receive the dial-in numbers and unique PIN to access the call seamlessly. Please dial in at least ten minutes prior to the start of the call. Journalists are invited to listen only.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33333"/>
        </w:rPr>
        <w:t>Webcast and Replay:</w:t>
      </w:r>
    </w:p>
    <w:p>
      <w:pPr>
        <w:spacing w:after="0" w:line="2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333333"/>
        </w:rPr>
        <w:t xml:space="preserve">Investors, journalists and the general public may access a live webcast of this event at: </w:t>
      </w:r>
      <w:r>
        <w:rPr>
          <w:rFonts w:ascii="Arial" w:cs="Arial" w:eastAsia="Arial" w:hAnsi="Arial"/>
          <w:sz w:val="18"/>
          <w:szCs w:val="18"/>
          <w:i w:val="1"/>
          <w:iCs w:val="1"/>
          <w:color w:val="337AB7"/>
        </w:rPr>
        <w:t>Q2 2023 Grand Canyon</w:t>
      </w:r>
      <w:r>
        <w:rPr>
          <w:rFonts w:ascii="Arial" w:cs="Arial" w:eastAsia="Arial" w:hAnsi="Arial"/>
          <w:sz w:val="18"/>
          <w:szCs w:val="18"/>
          <w:color w:val="333333"/>
        </w:rPr>
        <w:t xml:space="preserve"> </w:t>
      </w:r>
      <w:r>
        <w:rPr>
          <w:rFonts w:ascii="Arial" w:cs="Arial" w:eastAsia="Arial" w:hAnsi="Arial"/>
          <w:sz w:val="18"/>
          <w:szCs w:val="18"/>
          <w:i w:val="1"/>
          <w:iCs w:val="1"/>
          <w:color w:val="337AB7"/>
        </w:rPr>
        <w:t>Education Inc. Earnings Conference Call</w:t>
      </w:r>
      <w:r>
        <w:rPr>
          <w:rFonts w:ascii="Arial" w:cs="Arial" w:eastAsia="Arial" w:hAnsi="Arial"/>
          <w:sz w:val="18"/>
          <w:szCs w:val="18"/>
          <w:i w:val="1"/>
          <w:iCs w:val="1"/>
          <w:color w:val="333333"/>
        </w:rPr>
        <w:t>.</w:t>
      </w:r>
      <w:r>
        <w:rPr>
          <w:rFonts w:ascii="Arial" w:cs="Arial" w:eastAsia="Arial" w:hAnsi="Arial"/>
          <w:sz w:val="18"/>
          <w:szCs w:val="18"/>
          <w:i w:val="1"/>
          <w:iCs w:val="1"/>
          <w:color w:val="337AB7"/>
        </w:rPr>
        <w:t xml:space="preserve"> </w:t>
      </w:r>
      <w:r>
        <w:rPr>
          <w:rFonts w:ascii="Arial" w:cs="Arial" w:eastAsia="Arial" w:hAnsi="Arial"/>
          <w:sz w:val="18"/>
          <w:szCs w:val="18"/>
          <w:color w:val="333333"/>
        </w:rPr>
        <w:t>A webcast replay will be available approximately two hours following the conclusion</w:t>
      </w:r>
      <w:r>
        <w:rPr>
          <w:rFonts w:ascii="Arial" w:cs="Arial" w:eastAsia="Arial" w:hAnsi="Arial"/>
          <w:sz w:val="18"/>
          <w:szCs w:val="18"/>
          <w:i w:val="1"/>
          <w:iCs w:val="1"/>
          <w:color w:val="337AB7"/>
        </w:rPr>
        <w:t xml:space="preserve"> </w:t>
      </w:r>
      <w:r>
        <w:rPr>
          <w:rFonts w:ascii="Arial" w:cs="Arial" w:eastAsia="Arial" w:hAnsi="Arial"/>
          <w:sz w:val="18"/>
          <w:szCs w:val="18"/>
          <w:color w:val="333333"/>
        </w:rPr>
        <w:t>of the call at the same link.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Grand Canyon Education, Inc.</w:t>
      </w:r>
    </w:p>
    <w:p>
      <w:pPr>
        <w:spacing w:after="0" w:line="3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Grand Canyon Education, Inc. (“GCE”), incorporated in 2008, is a publicly traded education services company that currently provides services to 25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Grand Canyon Education, Inc., 2600 W. Camelback Road, Phoenix, AZ 85017, </w:t>
      </w:r>
      <w:r>
        <w:rPr>
          <w:rFonts w:ascii="Arial" w:cs="Arial" w:eastAsia="Arial" w:hAnsi="Arial"/>
          <w:sz w:val="18"/>
          <w:szCs w:val="18"/>
          <w:b w:val="1"/>
          <w:bCs w:val="1"/>
          <w:color w:val="auto"/>
        </w:rPr>
        <w:t>www.gce.com</w:t>
      </w:r>
      <w:r>
        <w:rPr>
          <w:rFonts w:ascii="Arial" w:cs="Arial" w:eastAsia="Arial" w:hAnsi="Arial"/>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00"/>
          </w:cols>
          <w:pgMar w:left="1260" w:top="121" w:right="1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Grand Canyon Education, Inc. Reports Second Quarter 2023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980" w:type="dxa"/>
            <w:vAlign w:val="bottom"/>
            <w:gridSpan w:val="3"/>
          </w:tcPr>
          <w:p>
            <w:pPr>
              <w:jc w:val="right"/>
              <w:ind w:right="750"/>
              <w:spacing w:after="0"/>
              <w:rPr>
                <w:sz w:val="20"/>
                <w:szCs w:val="20"/>
                <w:color w:val="auto"/>
              </w:rPr>
            </w:pPr>
            <w:r>
              <w:rPr>
                <w:rFonts w:ascii="Arial" w:cs="Arial" w:eastAsia="Arial" w:hAnsi="Arial"/>
                <w:sz w:val="14"/>
                <w:szCs w:val="14"/>
                <w:b w:val="1"/>
                <w:bCs w:val="1"/>
                <w:color w:val="auto"/>
              </w:rPr>
              <w:t>(Unaudited)</w:t>
            </w:r>
          </w:p>
        </w:tc>
        <w:tc>
          <w:tcPr>
            <w:tcW w:w="1600" w:type="dxa"/>
            <w:vAlign w:val="bottom"/>
            <w:gridSpan w:val="5"/>
            <w:vMerge w:val="restart"/>
          </w:tcPr>
          <w:p>
            <w:pPr>
              <w:jc w:val="right"/>
              <w:ind w:right="11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53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1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210,577</w:t>
            </w:r>
          </w:p>
        </w:tc>
        <w:tc>
          <w:tcPr>
            <w:tcW w:w="260" w:type="dxa"/>
            <w:vAlign w:val="bottom"/>
            <w:tcBorders>
              <w:top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199,753</w:t>
            </w:r>
          </w:p>
        </w:tc>
        <w:tc>
          <w:tcPr>
            <w:tcW w:w="2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460,702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443,886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Costs and expenses:</w:t>
            </w:r>
          </w:p>
        </w:tc>
        <w:tc>
          <w:tcPr>
            <w:tcW w:w="1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Technology and academic services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Counseling services and support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145,741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133,538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Marketing and communication</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103,700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20,663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175,135</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165,908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350,783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332,576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109,919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interest and other</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114,636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111,854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26,099</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28,973</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88,537</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per share:</w:t>
            </w: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b w:val="1"/>
                <w:bCs w:val="1"/>
                <w:color w:val="auto"/>
              </w:rPr>
              <w:t>Basic income per share</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0.96</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Diluted income per share</w:t>
            </w:r>
          </w:p>
        </w:tc>
        <w:tc>
          <w:tcPr>
            <w:tcW w:w="186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30,183</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31,800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30,321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w w:val="97"/>
              </w:rPr>
              <w:t>Diluted weighted average shares outstanding</w:t>
            </w:r>
          </w:p>
        </w:tc>
        <w:tc>
          <w:tcPr>
            <w:tcW w:w="1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30,287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31,877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30,462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Grand Canyon Education, Inc. Reports Second Quarter 2023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4"/>
                <w:szCs w:val="14"/>
                <w:color w:val="auto"/>
              </w:rPr>
            </w:pPr>
          </w:p>
        </w:tc>
        <w:tc>
          <w:tcPr>
            <w:tcW w:w="2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7"/>
              </w:rPr>
              <w:t>As of June 30,   As of December 31,</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ind w:left="30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142,925</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90,444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279,549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172,590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846,217</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832,749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ind w:left="14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22,842</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Lease liability, less current portion</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200,792</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line="201" w:lineRule="exact"/>
              <w:rPr>
                <w:sz w:val="20"/>
                <w:szCs w:val="20"/>
                <w:color w:val="auto"/>
              </w:rPr>
            </w:pPr>
            <w:r>
              <w:rPr>
                <w:rFonts w:ascii="Arial" w:cs="Arial" w:eastAsia="Arial" w:hAnsi="Arial"/>
                <w:sz w:val="18"/>
                <w:szCs w:val="18"/>
                <w:color w:val="auto"/>
                <w:w w:val="89"/>
              </w:rPr>
              <w:t>Preferred stock, $0.01 par value, 10,000 shares authorized; 0 shares issued and outstanding at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June 30, 2022 and December 31, 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100,000 shares authorized; 53,970 and 53,830 shares issued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9"/>
              </w:rPr>
              <w:t>and 30,398 and 31,058 shares outstanding at June 30, 2023 and December 31, 2022,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line="201" w:lineRule="exact"/>
              <w:rPr>
                <w:sz w:val="20"/>
                <w:szCs w:val="20"/>
                <w:color w:val="auto"/>
              </w:rPr>
            </w:pPr>
            <w:r>
              <w:rPr>
                <w:rFonts w:ascii="Arial" w:cs="Arial" w:eastAsia="Arial" w:hAnsi="Arial"/>
                <w:sz w:val="18"/>
                <w:szCs w:val="18"/>
                <w:color w:val="auto"/>
                <w:w w:val="95"/>
              </w:rPr>
              <w:t>Treasury stock, at cost, 23,572 and 22,772 shares of common stock at June 30, 2023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December 31, 2022,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(1,798,619)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(1,711,423)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315,930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2,128,264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645,425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846,217</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Grand Canyon Education, Inc. Reports Second Quarter 2023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20" w:type="dxa"/>
            <w:vAlign w:val="bottom"/>
          </w:tcPr>
          <w:p>
            <w:pPr>
              <w:jc w:val="center"/>
              <w:ind w:left="2231"/>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88,537</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Other, including fixed asset impairments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Accounts receivable from university partners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Right-of-use assets and lease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receivable/payable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Additions of amortizable content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Proceeds from sale or maturity of investments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Repurchase of common shares and shares withheld in lieu of income taxes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(528,012)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(528,012)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(461,540)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142,925</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Cash paid for income taxes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42,460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ROU Asset and Liability recognition</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Excise tax on treasury stock repurchases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7040" w:type="dxa"/>
            <w:vAlign w:val="bottom"/>
            <w:gridSpan w:val="2"/>
          </w:tcPr>
          <w:p>
            <w:pPr>
              <w:jc w:val="right"/>
              <w:ind w:right="2231"/>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21" w:right="1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Grand Canyon Education, Inc. Reports Second Quarter 2023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7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7" w:lineRule="exact"/>
        <w:rPr>
          <w:sz w:val="20"/>
          <w:szCs w:val="20"/>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225" w:lineRule="exact"/>
        <w:rPr>
          <w:rFonts w:ascii="Arial" w:cs="Arial" w:eastAsia="Arial" w:hAnsi="Arial"/>
          <w:sz w:val="18"/>
          <w:szCs w:val="18"/>
          <w:color w:val="auto"/>
        </w:rPr>
      </w:pPr>
    </w:p>
    <w:p>
      <w:pPr>
        <w:ind w:left="640" w:right="60" w:hanging="323"/>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21" w:right="1299" w:bottom="1440" w:gutter="0" w:footer="0" w:header="0"/>
        </w:sectPr>
      </w:pPr>
    </w:p>
    <w:bookmarkStart w:id="14" w:name="page15"/>
    <w:bookmarkEnd w:id="14"/>
    <w:p>
      <w:pPr>
        <w:ind w:right="12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w w:val="79"/>
              </w:rPr>
              <w:t>in</w:t>
            </w: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(Unaudited,</w:t>
            </w:r>
          </w:p>
        </w:tc>
        <w:tc>
          <w:tcPr>
            <w:tcW w:w="180" w:type="dxa"/>
            <w:vAlign w:val="bottom"/>
            <w:gridSpan w:val="2"/>
            <w:vMerge w:val="continue"/>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(Unaudited,</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28,973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25,562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Plus: interest expense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investment interest and other</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(2,590)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Plus: income tax expense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of intangible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42,949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41,578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125,068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126,872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Plus: loss on fixed asset disposal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Plus: litigation and regulatory reserves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Plus: share-based compensation</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47,730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45,609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134,372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Net Income and Non-GAAP Diluted Income Per Share</w:t>
      </w:r>
    </w:p>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believes the presentation of non-GAAP net income and non-GAAP diluted income per share information that excludes amortization of intangible assets and loss on disposal of fixed assets allows investors to develop a more meaningful understanding of the Company’s performance over time. Accordingly, for the three-months ended March 31, 2023 and 2022, the table below provides reconciliations of these non-GAAP items to GAAP net income and GAAP diluted income per share,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gridSpan w:val="12"/>
          </w:tcPr>
          <w:p>
            <w:pPr>
              <w:ind w:left="120"/>
              <w:spacing w:after="0" w:line="142" w:lineRule="exact"/>
              <w:rPr>
                <w:sz w:val="20"/>
                <w:szCs w:val="20"/>
                <w:color w:val="auto"/>
              </w:rPr>
            </w:pPr>
            <w:r>
              <w:rPr>
                <w:rFonts w:ascii="Arial" w:cs="Arial" w:eastAsia="Arial" w:hAnsi="Arial"/>
                <w:sz w:val="14"/>
                <w:szCs w:val="14"/>
                <w:b w:val="1"/>
                <w:bCs w:val="1"/>
                <w:color w:val="auto"/>
                <w:w w:val="99"/>
              </w:rPr>
              <w:t>(Unaudited, 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28,793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88,537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Income tax effects of adjustments(1)</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Adjusted, Non-GAAP 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30,437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27,138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91,893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Diluted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Amortization of intangible assets (2)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fixed assets (3)</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gridSpan w:val="3"/>
          </w:tcPr>
          <w:p>
            <w:pPr>
              <w:spacing w:after="0"/>
              <w:rPr>
                <w:sz w:val="20"/>
                <w:szCs w:val="20"/>
                <w:color w:val="auto"/>
              </w:rPr>
            </w:pPr>
            <w:r>
              <w:rPr>
                <w:rFonts w:ascii="Arial" w:cs="Arial" w:eastAsia="Arial" w:hAnsi="Arial"/>
                <w:sz w:val="18"/>
                <w:szCs w:val="18"/>
                <w:color w:val="auto"/>
              </w:rPr>
              <w:t>As Adjusted, Non-GAAP Diluted income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right="360" w:hanging="323"/>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income tax effects of adjustments are based on the effective income tax rate applicable to adjusted (non-GAAP) results.</w:t>
      </w:r>
    </w:p>
    <w:p>
      <w:pPr>
        <w:spacing w:after="0" w:line="129" w:lineRule="exact"/>
        <w:rPr>
          <w:rFonts w:ascii="Arial" w:cs="Arial" w:eastAsia="Arial" w:hAnsi="Arial"/>
          <w:sz w:val="18"/>
          <w:szCs w:val="18"/>
          <w:color w:val="auto"/>
        </w:rPr>
      </w:pPr>
    </w:p>
    <w:p>
      <w:pPr>
        <w:ind w:left="640" w:right="120" w:hanging="323"/>
        <w:spacing w:after="0" w:line="26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amortization of acquired intangible assets per diluted share is net of an income tax benefit of $0.02 for each of the three months ended June 30, 2023 and 2022, and net of an income tax benefit of $0.03 for each of the six months ended June 30, 2023 and 2022.</w:t>
      </w:r>
    </w:p>
    <w:p>
      <w:pPr>
        <w:spacing w:after="0" w:line="156" w:lineRule="exact"/>
        <w:rPr>
          <w:rFonts w:ascii="Arial" w:cs="Arial" w:eastAsia="Arial" w:hAnsi="Arial"/>
          <w:sz w:val="18"/>
          <w:szCs w:val="18"/>
          <w:color w:val="auto"/>
        </w:rPr>
      </w:pPr>
    </w:p>
    <w:p>
      <w:pPr>
        <w:ind w:left="640" w:right="80" w:hanging="323"/>
        <w:spacing w:after="0" w:line="26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on disposal of fixed assets per diluted share is net of an income tax benefit of nil for both the three months ended June 30, 2023 and 2022, and net of an income tax benefit of nil and $0.01 for the six months ended June 30, 2023 and 2022,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sectPr>
      <w:pgSz w:w="11900" w:h="16838" w:orient="portrait"/>
      <w:cols w:equalWidth="0" w:num="1">
        <w:col w:w="9380"/>
      </w:cols>
      <w:pgMar w:left="1260" w:top="125"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2023-08-03T15:25:07Z</dcterms:created>
  <dcterms:modified xsi:type="dcterms:W3CDTF">2023-08-03T15:25:07Z</dcterms:modified>
</cp:coreProperties>
</file>