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20-3356009</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of principal executive offices)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August 1, 2012, was 45,023,923.</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1100" w:type="dxa"/>
            <w:vAlign w:val="bottom"/>
            <w:tcBorders>
              <w:top w:val="single" w:sz="8" w:color="0000EE"/>
            </w:tcBorders>
            <w:gridSpan w:val="5"/>
          </w:tcPr>
          <w:p>
            <w:pPr>
              <w:spacing w:after="0"/>
              <w:rPr>
                <w:sz w:val="17"/>
                <w:szCs w:val="17"/>
                <w:color w:val="auto"/>
              </w:rPr>
            </w:pPr>
          </w:p>
        </w:tc>
        <w:tc>
          <w:tcPr>
            <w:tcW w:w="79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 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Item 4 Controls and Procedures</w:t>
              </w:r>
            </w:hyperlink>
          </w:p>
        </w:tc>
        <w:tc>
          <w:tcPr>
            <w:tcW w:w="87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 – OTHER INFORMATION</w:t>
              </w:r>
            </w:hyperlink>
          </w:p>
        </w:tc>
        <w:tc>
          <w:tcPr>
            <w:tcW w:w="82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4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92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3</w:t>
              </w:r>
            </w:hyperlink>
          </w:p>
        </w:tc>
        <w:tc>
          <w:tcPr>
            <w:tcW w:w="230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6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4</w:t>
              </w:r>
            </w:hyperlink>
          </w:p>
        </w:tc>
        <w:tc>
          <w:tcPr>
            <w:tcW w:w="17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Mine Safety Disclosures</w:t>
              </w:r>
            </w:hyperlink>
          </w:p>
        </w:tc>
        <w:tc>
          <w:tcPr>
            <w:tcW w:w="88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5</w:t>
              </w:r>
            </w:hyperlink>
          </w:p>
        </w:tc>
        <w:tc>
          <w:tcPr>
            <w:tcW w:w="10560" w:type="dxa"/>
            <w:vAlign w:val="bottom"/>
            <w:gridSpan w:val="15"/>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92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720" w:type="dxa"/>
            <w:vAlign w:val="bottom"/>
            <w:gridSpan w:val="13"/>
          </w:tcPr>
          <w:p>
            <w:pPr>
              <w:jc w:val="right"/>
              <w:ind w:right="1040"/>
              <w:spacing w:after="0"/>
              <w:rPr>
                <w:sz w:val="20"/>
                <w:szCs w:val="20"/>
                <w:color w:val="auto"/>
              </w:rPr>
            </w:pPr>
            <w:r>
              <w:rPr>
                <w:rFonts w:ascii="Arial" w:cs="Arial" w:eastAsia="Arial" w:hAnsi="Arial"/>
                <w:sz w:val="18"/>
                <w:szCs w:val="18"/>
                <w:color w:val="auto"/>
              </w:rPr>
              <w:t>2</w:t>
            </w: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6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120" w:type="dxa"/>
            <w:vAlign w:val="bottom"/>
          </w:tcPr>
          <w:p>
            <w:pPr>
              <w:jc w:val="center"/>
              <w:ind w:left="1132"/>
              <w:spacing w:after="0"/>
              <w:rPr>
                <w:sz w:val="20"/>
                <w:szCs w:val="20"/>
                <w:color w:val="auto"/>
              </w:rPr>
            </w:pPr>
            <w:r>
              <w:rPr>
                <w:rFonts w:ascii="Arial" w:cs="Arial" w:eastAsia="Arial" w:hAnsi="Arial"/>
                <w:sz w:val="18"/>
                <w:szCs w:val="18"/>
                <w:b w:val="1"/>
                <w:bCs w:val="1"/>
                <w:color w:val="auto"/>
                <w:w w:val="98"/>
              </w:rPr>
              <w:t>GRAND CANYON EDUCATION, INC.</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120" w:type="dxa"/>
            <w:vAlign w:val="bottom"/>
          </w:tcPr>
          <w:p>
            <w:pPr>
              <w:jc w:val="center"/>
              <w:ind w:left="1132"/>
              <w:spacing w:after="0"/>
              <w:rPr>
                <w:sz w:val="20"/>
                <w:szCs w:val="20"/>
                <w:color w:val="auto"/>
              </w:rPr>
            </w:pPr>
            <w:r>
              <w:rPr>
                <w:rFonts w:ascii="Arial" w:cs="Arial" w:eastAsia="Arial" w:hAnsi="Arial"/>
                <w:sz w:val="18"/>
                <w:szCs w:val="18"/>
                <w:b w:val="1"/>
                <w:bCs w:val="1"/>
                <w:color w:val="auto"/>
                <w:w w:val="86"/>
              </w:rPr>
              <w:t>Consolidated Income Statements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120" w:type="dxa"/>
            <w:vAlign w:val="bottom"/>
          </w:tcPr>
          <w:p>
            <w:pPr>
              <w:jc w:val="center"/>
              <w:ind w:left="113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6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Net revenue</w:t>
            </w:r>
          </w:p>
        </w:tc>
        <w:tc>
          <w:tcPr>
            <w:tcW w:w="1520" w:type="dxa"/>
            <w:vAlign w:val="bottom"/>
            <w:tcBorders>
              <w:top w:val="single" w:sz="8" w:color="auto"/>
            </w:tcBorders>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119,260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103,118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236,391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53,406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104,230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w w:val="95"/>
              </w:rPr>
              <w:t>Selling and promotional, including $594 and $2 for the three months ended June 30, 2012 and 2011,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200"/>
              <w:spacing w:after="0"/>
              <w:rPr>
                <w:sz w:val="20"/>
                <w:szCs w:val="20"/>
                <w:color w:val="auto"/>
              </w:rPr>
            </w:pPr>
            <w:r>
              <w:rPr>
                <w:rFonts w:ascii="Arial" w:cs="Arial" w:eastAsia="Arial" w:hAnsi="Arial"/>
                <w:sz w:val="18"/>
                <w:szCs w:val="18"/>
                <w:color w:val="auto"/>
                <w:w w:val="91"/>
              </w:rPr>
              <w:t>respectively, and $1,041 and $403 for the six months ended June 30, 2012 and 2011, respectively, to</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3"/>
          </w:tcPr>
          <w:p>
            <w:pPr>
              <w:ind w:left="200"/>
              <w:spacing w:after="0"/>
              <w:rPr>
                <w:sz w:val="20"/>
                <w:szCs w:val="20"/>
                <w:color w:val="auto"/>
              </w:rPr>
            </w:pPr>
            <w:r>
              <w:rPr>
                <w:rFonts w:ascii="Arial" w:cs="Arial" w:eastAsia="Arial" w:hAnsi="Arial"/>
                <w:sz w:val="18"/>
                <w:szCs w:val="18"/>
                <w:color w:val="auto"/>
              </w:rPr>
              <w:t>related parties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32,755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27,709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67,314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57,541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93,862</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186,789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166,640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25,346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49,353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15,598</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12,873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30,067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8"/>
                <w:szCs w:val="18"/>
                <w:b w:val="1"/>
                <w:bCs w:val="1"/>
                <w:color w:val="auto"/>
              </w:rPr>
              <w:t>Basic</w:t>
            </w:r>
          </w:p>
        </w:tc>
        <w:tc>
          <w:tcPr>
            <w:tcW w:w="1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91"/>
              </w:rPr>
              <w:t>Diluted</w:t>
            </w:r>
          </w:p>
        </w:tc>
        <w:tc>
          <w:tcPr>
            <w:tcW w:w="15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Shares used in computing 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5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44,447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vMerge w:val="restart"/>
          </w:tcPr>
          <w:p>
            <w:pPr>
              <w:ind w:left="420"/>
              <w:spacing w:after="0"/>
              <w:rPr>
                <w:sz w:val="20"/>
                <w:szCs w:val="20"/>
                <w:color w:val="auto"/>
              </w:rPr>
            </w:pPr>
            <w:r>
              <w:rPr>
                <w:rFonts w:ascii="Arial" w:cs="Arial" w:eastAsia="Arial" w:hAnsi="Arial"/>
                <w:sz w:val="18"/>
                <w:szCs w:val="18"/>
                <w:b w:val="1"/>
                <w:bCs w:val="1"/>
                <w:color w:val="auto"/>
                <w:w w:val="91"/>
              </w:rPr>
              <w:t>Diluted</w:t>
            </w:r>
          </w:p>
        </w:tc>
        <w:tc>
          <w:tcPr>
            <w:tcW w:w="1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45,169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5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Net income</w:t>
            </w:r>
          </w:p>
        </w:tc>
        <w:tc>
          <w:tcPr>
            <w:tcW w:w="7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$15,598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$12,873</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Unrealized gains (losses) on hedging derivatives, net of taxes of $26 and $21 for the three months ended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June 30, 2012 and 2011, respectively, and $46 and $0 for the six months ended June 30, 2012 and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2011, respectively</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3"/>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15,633</w:t>
            </w:r>
          </w:p>
        </w:tc>
        <w:tc>
          <w:tcPr>
            <w:tcW w:w="3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12,819</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30,129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360" w:type="dxa"/>
            <w:vAlign w:val="bottom"/>
            <w:gridSpan w:val="3"/>
            <w:vMerge w:val="continue"/>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50,760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$8,026 and $11,706 at June 30, 2012 and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640"/>
              <w:spacing w:after="0"/>
              <w:rPr>
                <w:sz w:val="20"/>
                <w:szCs w:val="20"/>
                <w:color w:val="auto"/>
              </w:rPr>
            </w:pPr>
            <w:r>
              <w:rPr>
                <w:rFonts w:ascii="Arial" w:cs="Arial" w:eastAsia="Arial" w:hAnsi="Arial"/>
                <w:sz w:val="18"/>
                <w:szCs w:val="18"/>
                <w:color w:val="auto"/>
              </w:rPr>
              <w:t>2011, 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129,229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115,414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233,273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375,098</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15,174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deposits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31,106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related parties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145,794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7,716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19,124</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176,452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154,554</w:t>
            </w: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w w:val="90"/>
              </w:rPr>
              <w:t>Preferred stock, $0.01 par value, 10,000 shares authorized; 0 shares issued and outstanding at June 30, 2012 and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ind w:left="220"/>
              <w:spacing w:after="0"/>
              <w:rPr>
                <w:sz w:val="20"/>
                <w:szCs w:val="20"/>
                <w:color w:val="auto"/>
              </w:rPr>
            </w:pPr>
            <w:r>
              <w:rPr>
                <w:rFonts w:ascii="Arial" w:cs="Arial" w:eastAsia="Arial" w:hAnsi="Arial"/>
                <w:sz w:val="18"/>
                <w:szCs w:val="18"/>
                <w:color w:val="auto"/>
              </w:rPr>
              <w:t>2011</w:t>
            </w:r>
          </w:p>
        </w:tc>
        <w:tc>
          <w:tcPr>
            <w:tcW w:w="7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Common stock, $0.01 par value, 100,000 shares authorized; 46,797 and 45,955 shares issued and 45,017 and 44,298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June 30, 2012 and December 31, 2011, respectively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w w:val="96"/>
              </w:rPr>
              <w:t>Treasury stock, at cost, 1,780 and 1,657 shares of common stock at June 30, 2012 and December 31, 2011, respectively</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(25,872)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131,434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198,646</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163,293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375,098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40" w:type="dxa"/>
            <w:vAlign w:val="bottom"/>
          </w:tcPr>
          <w:p>
            <w:pPr>
              <w:spacing w:after="0"/>
              <w:rPr>
                <w:sz w:val="14"/>
                <w:szCs w:val="14"/>
                <w:color w:val="auto"/>
              </w:rPr>
            </w:pPr>
          </w:p>
        </w:tc>
        <w:tc>
          <w:tcPr>
            <w:tcW w:w="138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660" w:type="dxa"/>
            <w:vAlign w:val="bottom"/>
            <w:gridSpan w:val="5"/>
          </w:tcPr>
          <w:p>
            <w:pPr>
              <w:ind w:left="3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620" w:type="dxa"/>
            <w:vAlign w:val="bottom"/>
          </w:tcPr>
          <w:p>
            <w:pPr>
              <w:jc w:val="right"/>
              <w:ind w:right="2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Par Value</w:t>
            </w:r>
          </w:p>
        </w:tc>
        <w:tc>
          <w:tcPr>
            <w:tcW w:w="280" w:type="dxa"/>
            <w:vAlign w:val="bottom"/>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Stated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0"/>
              </w:rPr>
              <w:t>Earnings</w:t>
            </w:r>
          </w:p>
        </w:tc>
        <w:tc>
          <w:tcPr>
            <w:tcW w:w="28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45,955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460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(23,894)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$ 85,720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101,367</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30,067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30,067</w:t>
            </w: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gain on hedging derivative, net of taxes of</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w w:val="79"/>
              </w:rPr>
              <w:t>120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(1,978)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273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6"/>
              </w:rPr>
              <w:t>Excess tax benefits from share-based compensation</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569</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w w:val="71"/>
              </w:rPr>
              <w:t>6</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8"/>
                <w:szCs w:val="18"/>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46,797</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468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(25,872)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$ 92,914</w:t>
            </w: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131,434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198,646</w:t>
            </w:r>
          </w:p>
        </w:tc>
      </w:tr>
      <w:tr>
        <w:trPr>
          <w:trHeight w:val="20"/>
        </w:trPr>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30,067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Amortization of debt issuance costs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Exit costs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asset disposal</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cash and cash equivalents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Due to/from related parties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Accrued liabilities and employee related liabilities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litigation loss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Income taxes receivable/payable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rent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86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Student deposits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79,575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(50,454)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(38,276)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funds held for derivative collateral and legal matter</w:t>
            </w:r>
          </w:p>
        </w:tc>
        <w:tc>
          <w:tcPr>
            <w:tcW w:w="2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(50,274)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shares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Debt issuance costs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Net proceeds from exercise of stock options</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(23,728)</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gridSpan w:val="3"/>
            <w:vMerge w:val="continue"/>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29,571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(18,985)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50,760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Cash paid for interest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10,385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Tax benefit of Spirit warrant intangible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Shortfall tax expense from share-based compensation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at its approximately 115 acre traditional ground campus in Phoenix, Arizona and onsite at the facilities of employers. The University’s wholly-owned subsidiaries are primarily used to facilitate expansion of the University campus. The University is accredited by The Higher Learning Commission of the North Central Association of Colleges and Schools.</w:t>
      </w:r>
    </w:p>
    <w:p>
      <w:pPr>
        <w:spacing w:after="0" w:line="218" w:lineRule="exact"/>
        <w:rPr>
          <w:sz w:val="20"/>
          <w:szCs w:val="20"/>
          <w:color w:val="auto"/>
        </w:rPr>
      </w:pPr>
    </w:p>
    <w:p>
      <w:pPr>
        <w:ind w:right="79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2011.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2011 from which the December 31, 2011 balance sheet information was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During the second quarter of 2012, the University changed its presentation of changes in restricted cash and cash equivalents related to financial aid program funds to cash flows provided by operating activities on the consolidated statement of cash flows. The University previously presented such changes within cash flows used in investing activities. These restricted funds are a core activity of the University operations and, accordingly, the University believes presentation of changes in such funds as an operating activity more appropriately reflects the nature of the restricted cash. Additionally, the University believes that including both the restricted cash and student deposit changes within operating activities provides better transparency. The University has changed its presentation on the consolidated statements of cash flows for all periods presented. The changes have no other impact on the University’s financial position and results of operations.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the University’s consolidated cash flows as previously reported and as changed for the three months ended March 31, 2012 and 2011 and for the six months ended June 30,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8"/>
          </w:tcPr>
          <w:p>
            <w:pPr>
              <w:jc w:val="center"/>
              <w:ind w:right="532"/>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left="220"/>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center"/>
              <w:ind w:left="118"/>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900" w:type="dxa"/>
            <w:vAlign w:val="bottom"/>
            <w:gridSpan w:val="4"/>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4"/>
              </w:rPr>
              <w:t>As Reported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84"/>
              </w:rPr>
              <w:t>As Reported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8"/>
              </w:rPr>
              <w:t>As Changed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5"/>
              </w:rPr>
              <w:t>As Changed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3"/>
          </w:tcPr>
          <w:p>
            <w:pPr>
              <w:spacing w:after="0"/>
              <w:rPr>
                <w:sz w:val="20"/>
                <w:szCs w:val="20"/>
                <w:color w:val="auto"/>
              </w:rPr>
            </w:pPr>
            <w:r>
              <w:rPr>
                <w:rFonts w:ascii="Arial" w:cs="Arial" w:eastAsia="Arial" w:hAnsi="Arial"/>
                <w:sz w:val="18"/>
                <w:szCs w:val="18"/>
                <w:color w:val="auto"/>
              </w:rPr>
              <w:t>Restricted cash and cash equivalents</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3"/>
          </w:tcPr>
          <w:p>
            <w:pPr>
              <w:jc w:val="center"/>
              <w:ind w:right="352"/>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72"/>
              <w:spacing w:after="0"/>
              <w:rPr>
                <w:sz w:val="20"/>
                <w:szCs w:val="20"/>
                <w:color w:val="auto"/>
              </w:rPr>
            </w:pPr>
            <w:r>
              <w:rPr>
                <w:rFonts w:ascii="Arial" w:cs="Arial" w:eastAsia="Arial" w:hAnsi="Arial"/>
                <w:sz w:val="18"/>
                <w:szCs w:val="18"/>
                <w:color w:val="auto"/>
              </w:rPr>
              <w:t>5,661</w:t>
            </w:r>
          </w:p>
        </w:tc>
        <w:tc>
          <w:tcPr>
            <w:tcW w:w="12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45,179</w:t>
            </w:r>
          </w:p>
        </w:tc>
        <w:tc>
          <w:tcPr>
            <w:tcW w:w="9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87"/>
              </w:rPr>
              <w:t>$  23,413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94"/>
              </w:rPr>
              <w:t>50,840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760" w:type="dxa"/>
            <w:vAlign w:val="bottom"/>
            <w:gridSpan w:val="3"/>
          </w:tcPr>
          <w:p>
            <w:pPr>
              <w:spacing w:after="0"/>
              <w:rPr>
                <w:sz w:val="20"/>
                <w:szCs w:val="20"/>
                <w:color w:val="auto"/>
              </w:rPr>
            </w:pPr>
            <w:r>
              <w:rPr>
                <w:rFonts w:ascii="Arial" w:cs="Arial" w:eastAsia="Arial" w:hAnsi="Arial"/>
                <w:sz w:val="18"/>
                <w:szCs w:val="18"/>
                <w:color w:val="auto"/>
              </w:rPr>
              <w:t>Restricted funds held for derivative collateral and legal matters</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3"/>
          </w:tcPr>
          <w:p>
            <w:pPr>
              <w:jc w:val="center"/>
              <w:ind w:right="352"/>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(11,215)</w:t>
            </w:r>
          </w:p>
        </w:tc>
        <w:tc>
          <w:tcPr>
            <w:tcW w:w="10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 (11,915)</w:t>
            </w:r>
          </w:p>
        </w:tc>
        <w:tc>
          <w:tcPr>
            <w:tcW w:w="3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(16,876)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(14,353)</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9"/>
          </w:tcPr>
          <w:p>
            <w:pPr>
              <w:ind w:left="3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20"/>
              <w:spacing w:after="0" w:line="142" w:lineRule="exact"/>
              <w:rPr>
                <w:sz w:val="20"/>
                <w:szCs w:val="20"/>
                <w:color w:val="auto"/>
              </w:rPr>
            </w:pPr>
            <w:r>
              <w:rPr>
                <w:rFonts w:ascii="Arial" w:cs="Arial" w:eastAsia="Arial" w:hAnsi="Arial"/>
                <w:sz w:val="14"/>
                <w:szCs w:val="14"/>
                <w:color w:val="auto"/>
                <w:w w:val="84"/>
              </w:rPr>
              <w:t>As Reported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83"/>
              </w:rPr>
              <w:t>As Changed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740" w:type="dxa"/>
            <w:vAlign w:val="bottom"/>
            <w:gridSpan w:val="2"/>
          </w:tcPr>
          <w:p>
            <w:pPr>
              <w:ind w:left="900"/>
              <w:spacing w:after="0"/>
              <w:rPr>
                <w:sz w:val="20"/>
                <w:szCs w:val="20"/>
                <w:color w:val="auto"/>
              </w:rPr>
            </w:pPr>
            <w:r>
              <w:rPr>
                <w:rFonts w:ascii="Arial" w:cs="Arial" w:eastAsia="Arial" w:hAnsi="Arial"/>
                <w:sz w:val="18"/>
                <w:szCs w:val="18"/>
                <w:color w:val="auto"/>
              </w:rPr>
              <w:t>Restricted cash and cash equivalents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37,614</w:t>
            </w: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740" w:type="dxa"/>
            <w:vAlign w:val="bottom"/>
            <w:gridSpan w:val="2"/>
          </w:tcPr>
          <w:p>
            <w:pPr>
              <w:ind w:left="900"/>
              <w:spacing w:after="0"/>
              <w:rPr>
                <w:sz w:val="20"/>
                <w:szCs w:val="20"/>
                <w:color w:val="auto"/>
              </w:rPr>
            </w:pPr>
            <w:r>
              <w:rPr>
                <w:rFonts w:ascii="Arial" w:cs="Arial" w:eastAsia="Arial" w:hAnsi="Arial"/>
                <w:sz w:val="18"/>
                <w:szCs w:val="18"/>
                <w:color w:val="auto"/>
                <w:w w:val="96"/>
              </w:rPr>
              <w:t>Restricted funds held for derivative collateral and legal matters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70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ind w:left="380"/>
              <w:spacing w:after="0"/>
              <w:rPr>
                <w:sz w:val="20"/>
                <w:szCs w:val="20"/>
                <w:color w:val="auto"/>
              </w:rPr>
            </w:pPr>
            <w:r>
              <w:rPr>
                <w:rFonts w:ascii="Arial" w:cs="Arial" w:eastAsia="Arial" w:hAnsi="Arial"/>
                <w:sz w:val="18"/>
                <w:szCs w:val="18"/>
                <w:color w:val="auto"/>
              </w:rPr>
              <w:t>$ (31,283)</w:t>
            </w:r>
          </w:p>
        </w:tc>
        <w:tc>
          <w:tcPr>
            <w:tcW w:w="1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5"/>
              </w:rPr>
              <w:t>$ (32,871)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addition, the counterparty to the University’s interest rate swap made a collateral call in 2010 and the pledged collateral is classified as noncurrent restricted cash. The pledged collateral was $375 and $555 as of June 30, 2012 and December 31, 2011, respectively. The University had previously classified the $5,200 that it had agreed to pay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that it settled in 2010 as restricted cash; this amount was paid during the second quarter of 2011 in final payment of all amounts due under the settlement agreement. The University reports changes in restricted cash related to legal matters and derivative collateral as investing cash flows in its consolidated statement of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30, 2009, the University entered into an interest rate swap and an interest rate corridor instrument to manage its 30 Day LIBOR interest exposure related to its variable rate debt, which commenced in April 2009 and matures in March 2016. The fair value of the interest rate swap is a liability of $522 and $629 as of June 30, 2012 and December 31, 2011, respectively, which is included in other noncurrent liabilities. The fair value of the interest rate corridor instrument as of June 30, 2012 and December 31, 2011 was $1 and $1, respectively, which is included in other assets. The fair values of each derivative instrument were determined using a hypothetical derivative transaction and Level 2 of the hierarchy of valuation inputs. These derivative instruments were originally designated as cash flow hedges of variable rate debt obligations. In the fourth quarter of 2011, the University de-designated the corridor instrument. The adjustment of $62 and $1 in the first six months of 2012 and 2011, respectively, for the effective portion of the gain on the derivatives is included as a component of other comprehensive income, net of taxes.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interest rate swap commenced on May 1, 2010 and continues each month thereafter until April 30, 2014 and has a notional amount of $10,199 as of June 30, 2012. Under the terms of the agreement, the University receives 30 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June 30, 2012 and December 31, 2011 in the amount of $375 and $555,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interest rate corridor instrument, although de-designated, reduces variable interest rate risk starting July 1, 2009 through April 30, 2014 with a notional amount of $10,199 as of June 30, 2012. The corridor instrument’s terms permit the University to hedge its interest rate risk at several thresholds; the University pays variable interest monthly based on the 30 Day LIBOR rates until that index reaches 4%. If 30 Day LIBOR is equal to 4% through 6%, the University pays 4%. If 30 Day LIBOR exceeds 6%, the University pays actual 30 Day LIBOR less 2%. Subsequent to the de-designation of this instrument in the fourth quarter of 2011, changes in this instrument’s fair value are recorded in interest expense.</w:t>
      </w:r>
    </w:p>
    <w:p>
      <w:pPr>
        <w:spacing w:after="0" w:line="11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As of June 30, 2012 no derivative ineffectiveness was identified for the interest rate swap. Any ineffectiveness in the University’s derivative instrument designated as a hedge would be reported in interest expense in the income statement. For the six months ended June 30, 2012 $2 of credit risk was recorded in interest expense for the interest rate swap. At June 30, 2012, the University does not expected to reclassify gains or losses on derivative instruments from accumulated other comprehensive (loss) income into earnings during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of June 30, 2012,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traditional campus in Phoenix, Arizona, and onsite at the facilities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2012 and 2011, the University’s revenue was reduced by approximately $44,099 and $34,939,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our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 chose to receive living expense funds as part of his or her financial aid disbursement, the University is required to return the unearned portion of these funds as well and then collect these amounts from the student.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Historically, the University has written off accounts receivable balances at the earlier of the time the balances were deemed uncollectible, or one year after the revenue is generated. In the third quarter of 2011, the University accelerated the write off of inactive student accounts such that the accounts are written off 150 days after becoming past due, while maintaining its historical write off policy for active student accounts.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Instructional costs and services expenses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the royalty payable to a former owner,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University’s facilities in Arizona. Selling and promotional costs are expensed as incurred.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third quarter of 2011, the University entered into a revenue sharing arrangement (the Collaboration Agreement) with Mind Streams, L.L.C. (Mind Streams), a related party, under which the University, in accordance with applicable Department of Education guidance, pays a percentage of net revenue that it receives from applicants recruited by Mind Streams that matriculate at the University. In 2010, the University entered into an agreement with Lifetime Learning, a related party, under which the University purchases leads on prospective students. For the six months ended June 30, 2012 and 2011, the University expensed approximately $1,041 and $403, respectively, in total pursuant to the agreements with Mind Streams and Lifetime Learning. As of June 30, 2012 and December 31, 2011 $307 and $212, respectively, were due to these related parties.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2011, the Financial Accounting Standards Board (“FASB”) issued guidance on the presentation of comprehensive income. The guidance requires all non owner changes in shareholders’ equity to be presented either in a single continuous statement of comprehensive income or in two separate but consecutive statements. The University historically presented this information in two separate but consecutive statements and, therefore, the effectiveness of this guidance on January 1, 2012 did not materially impact the University’s financial condition, results of operations, or disclosures.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September 2011, the FASB issued guidance that simplifies how an entity tests goodwill for impairment. The amendments permit an entity to first assess qualitative factors to determine whether it is necessary to perform the two-step quantitative goodwill impairment test. Accordingly, an entity will no longer be required to calculate the fair value of a reporting unit in the step one test unless the entity determines, based on a qualitative assessment, that it is more likely than not that its fair value is less than its carrying amount. This guidance is effective for annual and interim goodwill impairment tests performed for fiscal years beginning after December 15, 2011, with early adoption permitted. The University believes this will have no material impact on our financial condition, results of operations or disclosures.</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University has determined that all other recently issued accounting standards will not have a material impact on its financial statements, or do not apply to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Basic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44,447</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44,658</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44,410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 and restricted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Diluted common shares outstanding</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45,169</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45,018</w:t>
            </w:r>
          </w:p>
        </w:tc>
        <w:tc>
          <w:tcPr>
            <w:tcW w:w="2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45,161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six months ended June 30, 2012 and 2011, approximately 2,265 and 2,735, respectively, of the University’s stock options outstanding were excluded from the calculation of diluted earnings per share as their inclusion would have been anti-dilutive. These options could be dilutive in the future.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Valuation and Qualifying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Balance at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of</w:t>
            </w:r>
          </w:p>
        </w:tc>
        <w:tc>
          <w:tcPr>
            <w:tcW w:w="122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3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22"/>
                <w:szCs w:val="22"/>
                <w:b w:val="1"/>
                <w:bCs w:val="1"/>
                <w:color w:val="auto"/>
                <w:vertAlign w:val="superscript"/>
              </w:rPr>
              <w:t>(1)</w:t>
            </w: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Period</w:t>
            </w:r>
          </w:p>
        </w:tc>
        <w:tc>
          <w:tcPr>
            <w:tcW w:w="1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7"/>
              </w:rPr>
              <w:t>Expense</w:t>
            </w:r>
          </w:p>
        </w:tc>
        <w:tc>
          <w:tcPr>
            <w:tcW w:w="13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Six months ended June 30, 2012</w:t>
            </w:r>
          </w:p>
        </w:tc>
        <w:tc>
          <w:tcPr>
            <w:tcW w:w="11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$ 11,706</w:t>
            </w: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7,871</w:t>
            </w:r>
          </w:p>
        </w:tc>
        <w:tc>
          <w:tcPr>
            <w:tcW w:w="340" w:type="dxa"/>
            <w:vAlign w:val="bottom"/>
          </w:tcPr>
          <w:p>
            <w:pPr>
              <w:spacing w:after="0"/>
              <w:rPr>
                <w:sz w:val="18"/>
                <w:szCs w:val="18"/>
                <w:color w:val="auto"/>
              </w:rPr>
            </w:pPr>
          </w:p>
        </w:tc>
        <w:tc>
          <w:tcPr>
            <w:tcW w:w="1040" w:type="dxa"/>
            <w:vAlign w:val="bottom"/>
            <w:gridSpan w:val="4"/>
          </w:tcPr>
          <w:p>
            <w:pPr>
              <w:ind w:left="260"/>
              <w:spacing w:after="0"/>
              <w:rPr>
                <w:sz w:val="20"/>
                <w:szCs w:val="20"/>
                <w:color w:val="auto"/>
              </w:rPr>
            </w:pPr>
            <w:r>
              <w:rPr>
                <w:rFonts w:ascii="Arial" w:cs="Arial" w:eastAsia="Arial" w:hAnsi="Arial"/>
                <w:sz w:val="18"/>
                <w:szCs w:val="18"/>
                <w:color w:val="auto"/>
              </w:rPr>
              <w:t>(11,551)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2011</w:t>
            </w:r>
          </w:p>
        </w:tc>
        <w:tc>
          <w:tcPr>
            <w:tcW w:w="11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$ 30,112</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18,277</w:t>
            </w: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(11,444)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650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0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June 30,</w:t>
            </w:r>
          </w:p>
        </w:tc>
        <w:tc>
          <w:tcPr>
            <w:tcW w:w="13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Land improvements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121,281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118,445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Computer equipment</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51,259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46,993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50,185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283,564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230,407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(50,291)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(40,460)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233,273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189,947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2023. Future minimum lease payments under operating leases due each year are as follows at June 30, 2012:</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2013</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2015</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2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22,128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52,775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2012 and 2011 were $3,870 and $3,249,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June 30, 2012 and December 31, 2011, the University had reserved approximately $55 and $49, respectively, for tax matters where its ultimate exposure is considered probable and the potential loss can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University’s uncertain tax positions are related to tax years that remain subject to examination by tax authorities. As of June 30, 2012, the earliest tax year still subject to examination for federal and state purposes is 2008 and 2005, respectively. As of June 30, 2012, the University is not under federal examination. The University recently concluded one state audit with insubstantial findings and is currently under audit by one other state.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increases by 2.5% of the number of shares of common stock issued and outstanding on the previous December 31, raising the total number of shares of common stock currently authorized for issuance under the Incentive Plan to 8,729 shares effective January 1, 2012. Although the ESPP has not yet been implemented, a total of 1,050 shares of the University’s common stock has been authorized for sale under the ESPP.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Summary of Stock Options Outstanding</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Weighted</w:t>
            </w:r>
          </w:p>
        </w:tc>
        <w:tc>
          <w:tcPr>
            <w:tcW w:w="13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Price per</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Share</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Term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4,964</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12.57</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17.62</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$ 14.53</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June 30, 2012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2,208</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$ 13.74</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2,721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30, 2012 ($20.94) in excess of the exercise price multiplied by the number of options outstanding or exercisable.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table below outlines share-based compensation expense for the three months ended June 30, 2012 and 2011 related to restricted stock and stock options granted: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Instructional costs and services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$ 1,829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44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3,716</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(1,486)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$ 2,230</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2011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Fair Value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6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28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gridSpan w:val="2"/>
            <w:vMerge w:val="continue"/>
          </w:tcPr>
          <w:p>
            <w:pPr>
              <w:spacing w:after="0"/>
              <w:rPr>
                <w:sz w:val="18"/>
                <w:szCs w:val="18"/>
                <w:color w:val="auto"/>
              </w:rPr>
            </w:pP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520" w:type="dxa"/>
            <w:vAlign w:val="bottom"/>
            <w:gridSpan w:val="2"/>
          </w:tcPr>
          <w:p>
            <w:pPr>
              <w:spacing w:after="0"/>
              <w:rPr>
                <w:sz w:val="20"/>
                <w:szCs w:val="20"/>
                <w:color w:val="auto"/>
              </w:rPr>
            </w:pPr>
            <w:r>
              <w:rPr>
                <w:rFonts w:ascii="Arial" w:cs="Arial" w:eastAsia="Arial" w:hAnsi="Arial"/>
                <w:sz w:val="18"/>
                <w:szCs w:val="18"/>
                <w:color w:val="auto"/>
              </w:rPr>
              <w:t>Forfeited, canceled or expired</w:t>
            </w:r>
          </w:p>
        </w:tc>
        <w:tc>
          <w:tcPr>
            <w:tcW w:w="2840" w:type="dxa"/>
            <w:vAlign w:val="bottom"/>
          </w:tcPr>
          <w:p>
            <w:pPr>
              <w:spacing w:after="0"/>
              <w:rPr>
                <w:sz w:val="24"/>
                <w:szCs w:val="2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2012</w:t>
            </w:r>
          </w:p>
        </w:tc>
        <w:tc>
          <w:tcPr>
            <w:tcW w:w="284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40" w:type="dxa"/>
            <w:vAlign w:val="bottom"/>
            <w:vMerge w:val="restart"/>
          </w:tcPr>
          <w:p>
            <w:pPr>
              <w:jc w:val="right"/>
              <w:ind w:right="1857"/>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Following the Department of Education’s review of the change in control application the University filed in January 2011 in connection the termination of certain voting agreements in January 2011that had been in place with certain stockholders, the Department of Education provisionally certified the University to participate in Title IV programs through 2013. As of June 30, 2012, management believes the University is in compliance with the applicable regulations in all material respects.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the University, as follows:</w:t>
      </w:r>
    </w:p>
    <w:p>
      <w:pPr>
        <w:spacing w:after="0" w:line="63" w:lineRule="exact"/>
        <w:rPr>
          <w:sz w:val="20"/>
          <w:szCs w:val="20"/>
          <w:color w:val="auto"/>
        </w:rPr>
      </w:pPr>
    </w:p>
    <w:p>
      <w:pPr>
        <w:ind w:left="1480" w:hanging="446"/>
        <w:spacing w:after="0" w:line="287"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 for its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1480" w:hanging="446"/>
        <w:spacing w:after="0" w:line="288"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the University’s</w:t>
      </w:r>
      <w:r>
        <w:rPr>
          <w:rFonts w:ascii="Arial" w:cs="Arial" w:eastAsia="Arial" w:hAnsi="Arial"/>
          <w:sz w:val="16"/>
          <w:szCs w:val="16"/>
          <w:i w:val="1"/>
          <w:iCs w:val="1"/>
          <w:color w:val="auto"/>
        </w:rPr>
        <w:t xml:space="preserve"> </w:t>
      </w:r>
      <w:r>
        <w:rPr>
          <w:rFonts w:ascii="Arial" w:cs="Arial" w:eastAsia="Arial" w:hAnsi="Arial"/>
          <w:sz w:val="16"/>
          <w:szCs w:val="16"/>
          <w:color w:val="auto"/>
        </w:rPr>
        <w:t>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The University believes that its Interdisciplinary Studies program, which it first offered in Fall 2007 in response to a request by one of its employer-partners, was an eligible program under the “gainful employment” standard in effect prior to July 1, 2010 and intends to continue to communicate with the Department of Education to resolve the matter.</w:t>
      </w:r>
    </w:p>
    <w:p>
      <w:pPr>
        <w:spacing w:after="0" w:line="38" w:lineRule="exact"/>
        <w:rPr>
          <w:rFonts w:ascii="Arial" w:cs="Arial" w:eastAsia="Arial" w:hAnsi="Arial"/>
          <w:sz w:val="16"/>
          <w:szCs w:val="16"/>
          <w:color w:val="auto"/>
        </w:rPr>
      </w:pPr>
    </w:p>
    <w:p>
      <w:pPr>
        <w:ind w:left="1480" w:right="20" w:hanging="446"/>
        <w:spacing w:after="0" w:line="288"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it is currently in discussions with the Department of Education regarding this finding.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University has provided responses on these issues as required by the Department of Education and, with respect to the issue regarding inadequate procedures related to non-passing grades, has begun the review of student files for the period from July 1, 2008 to June 30, 2010 in accordance with the Department of Education’s request. Although the University has not completed the file review, during the second quarter of 2012 the University determined that certain Pell grants received by the University for students that later unofficially withdrew should have been returned. The University estimates the total amount to be returned related to this issue to be approximately $3,000. Although the student is obligated to repay the University for these amounts, the University has decided that it will not seek reimbursement from the students once the returns are made. Thus, during the second quarter of 2012 the University reserved $3,000 related to these refunds. The University is unable, at this time, to determine whether additional refunds will be necessary as a result of the preliminary findings. 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refunds or penalties. The University’s policies and procedures are planned and implemented to comply with the applicable standards and regulations under Title IV and it is committed to resolving any issues of non-compliance identified in the final program review determination letter and ensuring that it operates in compliance with all Department of Education requirements. If the Department of Education were to make significant findings of non-compliance in the final program review determination letter, then, after exhausting any administrative appeals available to the University, it could be required to pay a fine, return Title IV monies previously received, or be subjected to other administrative sanctions. While it cannot currently predict the final outcome of the Department of Education review, any such final adverse finding could damage the University’s reputation in the industry and have a material adverse effect on its business, results of operations, cash flows and financial position.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96" w:lineRule="exact"/>
        <w:rPr>
          <w:sz w:val="20"/>
          <w:szCs w:val="20"/>
          <w:color w:val="auto"/>
        </w:rPr>
      </w:pPr>
    </w:p>
    <w:p>
      <w:pPr>
        <w:jc w:val="both"/>
        <w:ind w:right="140" w:firstLine="456"/>
        <w:spacing w:after="0" w:line="284" w:lineRule="auto"/>
        <w:rPr>
          <w:sz w:val="20"/>
          <w:szCs w:val="20"/>
          <w:color w:val="auto"/>
        </w:rPr>
      </w:pPr>
      <w:r>
        <w:rPr>
          <w:rFonts w:ascii="Arial" w:cs="Arial" w:eastAsia="Arial" w:hAnsi="Arial"/>
          <w:sz w:val="16"/>
          <w:szCs w:val="16"/>
          <w:color w:val="auto"/>
        </w:rPr>
        <w:t>On July 28, 2011, our Board of Directors authorized the University to repurchase up to an additional $25,000 ($50,000 total) of common stock, from time to time, depending on market conditions and other considerations. The original authorization of $25,000 occurred on August 16, 2010 and, on July 26, 2012 the Board of Directors extended the expiration date on the repurchase authorization to September 30, 2013. Repurchases occur at the University’s discretion.</w:t>
      </w:r>
    </w:p>
    <w:p>
      <w:pPr>
        <w:spacing w:after="0" w:line="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Repurchases may be made in the open market or in privately negotiated transactions, pursuant to the applicable Securities and Exchange Commission rules. The amount and timing of future share repurchases, if any, will be made as market and business conditions warrant. Between the approval of the share repurchase plan and June 30, 2012, the University has purchased 1,777 shares of common stock shares at an aggregate cost of $25,872, which includes 120 shares at an aggregate cost of $1,978 in the six months ended June 30, 2012. At June 30, 2012, there remained $24,128 available under its current share repurchase authorization.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of our financial condition and historical results of operations and our liquidity and capital resources should be read in conjunction with the consolidated financial statements and related notes that appear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regarding the material adverse effect that regulatory developments or other matters may have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62" w:lineRule="exact"/>
        <w:rPr>
          <w:sz w:val="20"/>
          <w:szCs w:val="20"/>
          <w:color w:val="auto"/>
        </w:rPr>
      </w:pPr>
    </w:p>
    <w:p>
      <w:pPr>
        <w:jc w:val="both"/>
        <w:ind w:left="1480" w:hanging="567"/>
        <w:spacing w:after="0" w:line="259"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 such as standards applicable to the Higher Learning Commission;</w:t>
      </w:r>
    </w:p>
    <w:p>
      <w:pPr>
        <w:spacing w:after="0" w:line="59" w:lineRule="exact"/>
        <w:rPr>
          <w:rFonts w:ascii="Arial" w:cs="Arial" w:eastAsia="Arial" w:hAnsi="Arial"/>
          <w:sz w:val="18"/>
          <w:szCs w:val="18"/>
          <w:b w:val="1"/>
          <w:bCs w:val="1"/>
          <w:color w:val="auto"/>
        </w:rPr>
      </w:pPr>
    </w:p>
    <w:p>
      <w:pPr>
        <w:ind w:left="1480" w:right="540" w:hanging="567"/>
        <w:spacing w:after="0" w:line="268"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90" w:lineRule="exact"/>
        <w:rPr>
          <w:rFonts w:ascii="Arial" w:cs="Arial" w:eastAsia="Arial" w:hAnsi="Arial"/>
          <w:sz w:val="18"/>
          <w:szCs w:val="18"/>
          <w:b w:val="1"/>
          <w:bCs w:val="1"/>
          <w:color w:val="auto"/>
        </w:rPr>
      </w:pPr>
    </w:p>
    <w:p>
      <w:pPr>
        <w:ind w:left="1480" w:hanging="567"/>
        <w:spacing w:after="0" w:line="256"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 including, for example, a recent report issued by Sen. Tom Harkin, Chairman of the HELP Committee, relating to us and various other proprietary schools;</w:t>
      </w:r>
    </w:p>
    <w:p>
      <w:pPr>
        <w:spacing w:after="0" w:line="62" w:lineRule="exact"/>
        <w:rPr>
          <w:rFonts w:ascii="Arial" w:cs="Arial" w:eastAsia="Arial" w:hAnsi="Arial"/>
          <w:sz w:val="18"/>
          <w:szCs w:val="18"/>
          <w:b w:val="1"/>
          <w:bCs w:val="1"/>
          <w:color w:val="auto"/>
        </w:rPr>
      </w:pPr>
    </w:p>
    <w:p>
      <w:pPr>
        <w:ind w:left="1480" w:right="180" w:hanging="567"/>
        <w:spacing w:after="0" w:line="268"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50" w:lineRule="exact"/>
        <w:rPr>
          <w:rFonts w:ascii="Arial" w:cs="Arial" w:eastAsia="Arial" w:hAnsi="Arial"/>
          <w:sz w:val="18"/>
          <w:szCs w:val="18"/>
          <w:b w:val="1"/>
          <w:bCs w:val="1"/>
          <w:color w:val="auto"/>
        </w:rPr>
      </w:pPr>
    </w:p>
    <w:p>
      <w:pPr>
        <w:ind w:left="1480" w:right="60" w:hanging="567"/>
        <w:spacing w:after="0" w:line="268"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employees and faculty;</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90" w:lineRule="exact"/>
        <w:rPr>
          <w:rFonts w:ascii="Arial" w:cs="Arial" w:eastAsia="Arial" w:hAnsi="Arial"/>
          <w:sz w:val="18"/>
          <w:szCs w:val="18"/>
          <w:b w:val="1"/>
          <w:bCs w:val="1"/>
          <w:color w:val="auto"/>
        </w:rPr>
      </w:pPr>
    </w:p>
    <w:p>
      <w:pPr>
        <w:ind w:left="1480" w:right="300" w:hanging="567"/>
        <w:spacing w:after="0" w:line="268" w:lineRule="auto"/>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competitive environment for marketing our programs;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90" w:lineRule="exact"/>
        <w:rPr>
          <w:rFonts w:ascii="Arial" w:cs="Arial" w:eastAsia="Arial" w:hAnsi="Arial"/>
          <w:sz w:val="18"/>
          <w:szCs w:val="18"/>
          <w:b w:val="1"/>
          <w:bCs w:val="1"/>
          <w:color w:val="auto"/>
        </w:rPr>
      </w:pPr>
    </w:p>
    <w:p>
      <w:pPr>
        <w:ind w:left="1480" w:right="140" w:hanging="567"/>
        <w:spacing w:after="0" w:line="330" w:lineRule="auto"/>
        <w:tabs>
          <w:tab w:leader="none" w:pos="14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7" w:lineRule="exact"/>
        <w:rPr>
          <w:rFonts w:ascii="Arial" w:cs="Arial" w:eastAsia="Arial" w:hAnsi="Arial"/>
          <w:sz w:val="16"/>
          <w:szCs w:val="16"/>
          <w:b w:val="1"/>
          <w:bCs w:val="1"/>
          <w:color w:val="auto"/>
        </w:rPr>
      </w:pPr>
    </w:p>
    <w:p>
      <w:pPr>
        <w:ind w:left="1480" w:hanging="567"/>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general adverse economic conditions or other developments that affect job prospects in our core disciplines.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2011,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online programs as well as ground programs at our approximately 115 acre traditional campus in Phoenix, Arizona and onsite at the facilities of employers.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2012, we had approximately 44,400 students, an increase of 12.4% over the approximately 39,500 students we had at June 30, 2011.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June 30, 2012, 94.8% of our students were enrolled in our online programs, and of our online and professional studies students, 42.0% were pursuing master’s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doctoral degrees. In addition, revenue per student increased between periods as we increased tuition prices for students in our online and professional studies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programs by 0.0% to 5.9%, depending on the program, with an estimated blended rate increase of 2.5% for our 2012-13 academic year, as compared to tuition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increases for students in our online and professional studies programs of 0.0% to 6.5% for our 2011-12 academic year, depending on the program, with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estimated blended rate increase of 3.2% for the prior academic year. Tuition for our traditional ground programs had no increase for our 2012-13 or 2011-12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academic years.</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is a summary of our student enrollment at June 30, 2012 and 2011 (which included less than 774 students pursuing non-degree certificates in each period) by degree type and by instructional delivery method: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62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6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1"/>
                <w:szCs w:val="11"/>
                <w:color w:val="auto"/>
              </w:rPr>
              <w:t>(2)</w:t>
            </w: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Undergraduate degree</w:t>
            </w:r>
          </w:p>
        </w:tc>
        <w:tc>
          <w:tcPr>
            <w:tcW w:w="740" w:type="dxa"/>
            <w:vAlign w:val="bottom"/>
          </w:tcPr>
          <w:p>
            <w:pPr>
              <w:jc w:val="right"/>
              <w:spacing w:after="0"/>
              <w:rPr>
                <w:sz w:val="20"/>
                <w:szCs w:val="20"/>
                <w:color w:val="auto"/>
              </w:rPr>
            </w:pPr>
            <w:r>
              <w:rPr>
                <w:rFonts w:ascii="Arial" w:cs="Arial" w:eastAsia="Arial" w:hAnsi="Arial"/>
                <w:sz w:val="18"/>
                <w:szCs w:val="18"/>
                <w:color w:val="auto"/>
              </w:rPr>
              <w:t>26,274</w:t>
            </w:r>
          </w:p>
        </w:tc>
        <w:tc>
          <w:tcPr>
            <w:tcW w:w="600" w:type="dxa"/>
            <w:vAlign w:val="bottom"/>
          </w:tcPr>
          <w:p>
            <w:pPr>
              <w:spacing w:after="0"/>
              <w:rPr>
                <w:sz w:val="18"/>
                <w:szCs w:val="18"/>
                <w:color w:val="auto"/>
              </w:rPr>
            </w:pPr>
          </w:p>
        </w:tc>
        <w:tc>
          <w:tcPr>
            <w:tcW w:w="1320" w:type="dxa"/>
            <w:vAlign w:val="bottom"/>
            <w:gridSpan w:val="2"/>
          </w:tcPr>
          <w:p>
            <w:pPr>
              <w:jc w:val="right"/>
              <w:ind w:right="472"/>
              <w:spacing w:after="0"/>
              <w:rPr>
                <w:sz w:val="20"/>
                <w:szCs w:val="20"/>
                <w:color w:val="auto"/>
              </w:rPr>
            </w:pPr>
            <w:r>
              <w:rPr>
                <w:rFonts w:ascii="Arial" w:cs="Arial" w:eastAsia="Arial" w:hAnsi="Arial"/>
                <w:sz w:val="18"/>
                <w:szCs w:val="18"/>
                <w:color w:val="auto"/>
              </w:rPr>
              <w:t>59.1%</w:t>
            </w:r>
          </w:p>
        </w:tc>
        <w:tc>
          <w:tcPr>
            <w:tcW w:w="760" w:type="dxa"/>
            <w:vAlign w:val="bottom"/>
          </w:tcPr>
          <w:p>
            <w:pPr>
              <w:jc w:val="right"/>
              <w:spacing w:after="0"/>
              <w:rPr>
                <w:sz w:val="20"/>
                <w:szCs w:val="20"/>
                <w:color w:val="auto"/>
              </w:rPr>
            </w:pPr>
            <w:r>
              <w:rPr>
                <w:rFonts w:ascii="Arial" w:cs="Arial" w:eastAsia="Arial" w:hAnsi="Arial"/>
                <w:sz w:val="18"/>
                <w:szCs w:val="18"/>
                <w:color w:val="auto"/>
              </w:rPr>
              <w:t>22,320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62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6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37,915</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1"/>
                <w:szCs w:val="11"/>
                <w:color w:val="auto"/>
              </w:rPr>
              <w:t>(4)</w:t>
            </w:r>
          </w:p>
        </w:tc>
        <w:tc>
          <w:tcPr>
            <w:tcW w:w="740" w:type="dxa"/>
            <w:vAlign w:val="bottom"/>
          </w:tcPr>
          <w:p>
            <w:pPr>
              <w:jc w:val="right"/>
              <w:spacing w:after="0"/>
              <w:rPr>
                <w:sz w:val="20"/>
                <w:szCs w:val="20"/>
                <w:color w:val="auto"/>
              </w:rPr>
            </w:pPr>
            <w:r>
              <w:rPr>
                <w:rFonts w:ascii="Arial" w:cs="Arial" w:eastAsia="Arial" w:hAnsi="Arial"/>
                <w:sz w:val="18"/>
                <w:szCs w:val="18"/>
                <w:color w:val="auto"/>
              </w:rPr>
              <w:t>2,314</w:t>
            </w:r>
          </w:p>
        </w:tc>
        <w:tc>
          <w:tcPr>
            <w:tcW w:w="600" w:type="dxa"/>
            <w:vAlign w:val="bottom"/>
          </w:tcPr>
          <w:p>
            <w:pPr>
              <w:spacing w:after="0"/>
              <w:rPr>
                <w:sz w:val="18"/>
                <w:szCs w:val="18"/>
                <w:color w:val="auto"/>
              </w:rPr>
            </w:pPr>
          </w:p>
        </w:tc>
        <w:tc>
          <w:tcPr>
            <w:tcW w:w="1320" w:type="dxa"/>
            <w:vAlign w:val="bottom"/>
            <w:gridSpan w:val="2"/>
          </w:tcPr>
          <w:p>
            <w:pPr>
              <w:jc w:val="right"/>
              <w:ind w:right="472"/>
              <w:spacing w:after="0"/>
              <w:rPr>
                <w:sz w:val="20"/>
                <w:szCs w:val="20"/>
                <w:color w:val="auto"/>
              </w:rPr>
            </w:pPr>
            <w:r>
              <w:rPr>
                <w:rFonts w:ascii="Arial" w:cs="Arial" w:eastAsia="Arial" w:hAnsi="Arial"/>
                <w:sz w:val="18"/>
                <w:szCs w:val="18"/>
                <w:color w:val="auto"/>
              </w:rPr>
              <w:t>5.2%</w:t>
            </w:r>
          </w:p>
        </w:tc>
        <w:tc>
          <w:tcPr>
            <w:tcW w:w="760" w:type="dxa"/>
            <w:vAlign w:val="bottom"/>
          </w:tcPr>
          <w:p>
            <w:pPr>
              <w:jc w:val="right"/>
              <w:spacing w:after="0"/>
              <w:rPr>
                <w:sz w:val="20"/>
                <w:szCs w:val="20"/>
                <w:color w:val="auto"/>
              </w:rPr>
            </w:pPr>
            <w:r>
              <w:rPr>
                <w:rFonts w:ascii="Arial" w:cs="Arial" w:eastAsia="Arial" w:hAnsi="Arial"/>
                <w:sz w:val="18"/>
                <w:szCs w:val="18"/>
                <w:color w:val="auto"/>
              </w:rPr>
              <w:t>1,610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Enrollment at June 30, 2012 and 2011 represents individual students who attended a course during the last two months of the calendar quarter.</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Includes 2,417 and 1,409 students pursuing doctoral degrees at June 30, 2012 and 2011, respectively.</w:t>
      </w:r>
    </w:p>
    <w:p>
      <w:pPr>
        <w:spacing w:after="0" w:line="8" w:lineRule="exact"/>
        <w:rPr>
          <w:rFonts w:ascii="Arial" w:cs="Arial" w:eastAsia="Arial" w:hAnsi="Arial"/>
          <w:sz w:val="22"/>
          <w:szCs w:val="22"/>
          <w:color w:val="auto"/>
          <w:vertAlign w:val="superscript"/>
        </w:rPr>
      </w:pPr>
    </w:p>
    <w:p>
      <w:pPr>
        <w:ind w:left="460" w:hanging="452"/>
        <w:spacing w:after="0" w:line="207" w:lineRule="auto"/>
        <w:tabs>
          <w:tab w:leader="none" w:pos="46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As of June 30, 2012 and 2011, 42.0% and 44.2%, respectively, of our online and professional studies students are pursuing graduate degrees.</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Includes both our traditional on-campus ground students, as well as our professional studies students.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2011. During the six months ended June 30, 2012, there have been no significant changes in our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key trends, developments and challenges facing the University are disclosed in its Annual Report on Form 10-K for the fiscal year ended December 31, 2011 and in its Quarterly Report on Form 10-Q for the fiscal quarter ended March 31, 2012. Except as noted below, during the six months ended June 30, 2012, there have been no significant changes in these trends. See Item 7, “Management’s Discussion and Analysis of Financial Condition and Results of Operations – Key Trends, Developments and Challenges” in our Annual Report on Form 10-K for our fiscal year ended December 31, 2011, which is incorporated herein by reference. Recent developments include: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00" w:hanging="547"/>
        <w:spacing w:after="0" w:line="256"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Gainful Employment Rules</w:t>
      </w:r>
      <w:r>
        <w:rPr>
          <w:rFonts w:ascii="Arial" w:cs="Arial" w:eastAsia="Arial" w:hAnsi="Arial"/>
          <w:sz w:val="18"/>
          <w:szCs w:val="18"/>
          <w:color w:val="auto"/>
        </w:rPr>
        <w:t>. Under the Higher Education Act, proprietary schools are eligible to participate in Title IV programs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educational programs that lead to “gainful employment in a recognized occupation,” with the limited exception of qualified programs leading to a bachelor’s degree in liberal arts. Historically, this concept has not been defined in detail. On June 13, 2011, the Department of Education issued its final gainful employment rule, which generally provides that a program leads to gainful employment in a recognized occupation if it meets one of the following metrics:</w:t>
      </w:r>
    </w:p>
    <w:p>
      <w:pPr>
        <w:spacing w:after="0" w:line="63" w:lineRule="exact"/>
        <w:rPr>
          <w:rFonts w:ascii="Arial" w:cs="Arial" w:eastAsia="Arial" w:hAnsi="Arial"/>
          <w:sz w:val="18"/>
          <w:szCs w:val="18"/>
          <w:color w:val="auto"/>
        </w:rPr>
      </w:pPr>
    </w:p>
    <w:p>
      <w:pPr>
        <w:ind w:left="2380" w:hanging="441"/>
        <w:spacing w:after="0"/>
        <w:tabs>
          <w:tab w:leader="none" w:pos="2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 Repayment Rate — at least 35% of former students are repaying their loans;</w:t>
      </w:r>
    </w:p>
    <w:p>
      <w:pPr>
        <w:spacing w:after="0" w:line="90" w:lineRule="exact"/>
        <w:rPr>
          <w:rFonts w:ascii="Arial" w:cs="Arial" w:eastAsia="Arial" w:hAnsi="Arial"/>
          <w:sz w:val="18"/>
          <w:szCs w:val="18"/>
          <w:color w:val="auto"/>
        </w:rPr>
      </w:pPr>
    </w:p>
    <w:p>
      <w:pPr>
        <w:ind w:left="2380" w:hanging="441"/>
        <w:spacing w:after="0" w:line="268" w:lineRule="auto"/>
        <w:tabs>
          <w:tab w:leader="none" w:pos="2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Debt-to-Discretionary Income Ratio — the estimated annual loan repayment of a typical graduate does not exceed 30% of his or her discretionary income or</w:t>
      </w:r>
    </w:p>
    <w:p>
      <w:pPr>
        <w:spacing w:after="0" w:line="50" w:lineRule="exact"/>
        <w:rPr>
          <w:rFonts w:ascii="Arial" w:cs="Arial" w:eastAsia="Arial" w:hAnsi="Arial"/>
          <w:sz w:val="18"/>
          <w:szCs w:val="18"/>
          <w:color w:val="auto"/>
        </w:rPr>
      </w:pPr>
    </w:p>
    <w:p>
      <w:pPr>
        <w:ind w:left="2380" w:right="420" w:hanging="441"/>
        <w:spacing w:after="0" w:line="268" w:lineRule="auto"/>
        <w:tabs>
          <w:tab w:leader="none" w:pos="2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Debt-to-Earnings Ratio — the estimated annual loan payment of a typical graduate does not exceed 12% of his or her total earnings.</w:t>
      </w:r>
    </w:p>
    <w:p>
      <w:pPr>
        <w:spacing w:after="0" w:line="51" w:lineRule="exact"/>
        <w:rPr>
          <w:sz w:val="20"/>
          <w:szCs w:val="20"/>
          <w:color w:val="auto"/>
        </w:rPr>
      </w:pPr>
    </w:p>
    <w:p>
      <w:pPr>
        <w:ind w:left="1500" w:right="40"/>
        <w:spacing w:after="0" w:line="286" w:lineRule="auto"/>
        <w:rPr>
          <w:sz w:val="20"/>
          <w:szCs w:val="20"/>
          <w:color w:val="auto"/>
        </w:rPr>
      </w:pPr>
      <w:r>
        <w:rPr>
          <w:rFonts w:ascii="Arial" w:cs="Arial" w:eastAsia="Arial" w:hAnsi="Arial"/>
          <w:sz w:val="16"/>
          <w:szCs w:val="16"/>
          <w:color w:val="auto"/>
        </w:rPr>
        <w:t>The final gainful employment rule was to become effective on July 1, 2012. On June 30, 2012, the U.S. District Court for the District of Columbia found that the Department of Education failed to adequately justify the 35% minimum student loan repayment rate measure. Because the Court determined that the debt-to-discretionary income ratio and the debt-to-total earnings ratio are inextricably intertwined with the minimum loan repayment rate measure, it struck down all three metrics. In addition, the Court invalidated two other provisions of the gainful employment regulations—one that requires institutions seeking to offer a new program to obtain prior approval from the Department of Education, and one that requires institutions to provide data to Department of Education to calculate the two debt measures— based on the Court’s finding that the provisions are tied to the now-invalid minimum loan repayment metric. With enforcement of much of the regulatory framework of the gainful employment rules now blocked, Department of Education has not yet announced whether it will appeal the Court’s decision, seek to revise the gainful employment regulations through another negotiated rulemaking session, or to take other steps. We will continue to monitor the Department of Education’s next steps with respect to gainful employment regulations for any impact on our business.</w:t>
      </w:r>
    </w:p>
    <w:p>
      <w:pPr>
        <w:spacing w:after="0" w:line="40" w:lineRule="exact"/>
        <w:rPr>
          <w:sz w:val="20"/>
          <w:szCs w:val="20"/>
          <w:color w:val="auto"/>
        </w:rPr>
      </w:pPr>
    </w:p>
    <w:p>
      <w:pPr>
        <w:ind w:left="1460" w:right="160" w:hanging="547"/>
        <w:spacing w:after="0" w:line="290" w:lineRule="auto"/>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Executive Order on Military and Veterans Benefits Programs</w:t>
      </w:r>
      <w:r>
        <w:rPr>
          <w:rFonts w:ascii="Arial" w:cs="Arial" w:eastAsia="Arial" w:hAnsi="Arial"/>
          <w:sz w:val="16"/>
          <w:szCs w:val="16"/>
          <w:color w:val="auto"/>
        </w:rPr>
        <w:t>. In April 2012, President Obama signed an executive order asking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“Principles of Excellence: (Principles)”, which would strengthen enforcement and compliance mechanisms required by educational institutions that serve service members, veterans and their family members. A Committee comprised of the Departments of Defense, Veterans Affairs and Education, and the Consumer Financial Protection Bureau, are required to present a plan to President Obama before July 27, 2012. On May 31, 2012, the Department of Veterans distributed a letter requesting that institutions confirm in writing their intent to comply or not comply with respect to the Principles. We confirmed in writing that we will comply with the Principles. These Principles could increase the cost of delivering educational services to our military and veteran students. We will continue to monitor the progress of this activity.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8"/>
              </w:rPr>
              <w:t>100.0%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100.0%</w:t>
            </w: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 and services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28.5</w:t>
            </w:r>
          </w:p>
        </w:tc>
        <w:tc>
          <w:tcPr>
            <w:tcW w:w="42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79.0</w:t>
            </w:r>
          </w:p>
        </w:tc>
        <w:tc>
          <w:tcPr>
            <w:tcW w:w="420" w:type="dxa"/>
            <w:vAlign w:val="bottom"/>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20.9</w:t>
            </w: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12.7</w:t>
            </w: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Compared to Three Months Ended June 30, 2011</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quarter ended June 30, 2012 was $119.3 million, an increase of $16.2 million, or 15.7%, as compared to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of $103.1 million for the quarter ended June 30, 2011. This increase was primarily due to an increase in ground and online enrollment and, to a lesser extent, increases in the average tuition per student as a result of improved retention and tuition price increases, partially offset by an increase in institutional scholarships. End-of-period enrollment increased 12.4% between June 30, 2012 and June 30, 2011, as ground enrollment increased 43.7%, and online enrollment increased 11.1%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that is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enrollments due primarily to the increasing challenges presented in the economy, the impact of new and proposed regulations, and increased competition.</w:t>
      </w:r>
    </w:p>
    <w:p>
      <w:pPr>
        <w:spacing w:after="0" w:line="12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June 30, 2012 were $53.4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$7.0 million, or 15.2%, as compared to instructional costs and services expenses of $46.4 million for the quarter ended June 30, 2011. This increase was primarily due to increases in employee compensation, program review reserve, faculty compensation, other instructional supplies, depreciation and amortization expenses, and other instructional costs and services expenses of $3.1 million, $3.0 million, $1.6 million, $1.4 million, $1.1 million, and $1.3 million, respectively. These increases were partially offset by a $4.5 million decrease in bad debt expense. The increase in employee compensation and faculty compensation is primarily due to an increase in headcount (both staff and ground and on-line fulltime faculty) needed to provide student instruction and support services to support the increase in enrollments. Additionally, in 2011 a reversal of $0.7 million was recorded in employee compensation for amounts accrued in previous periods that were to be paid to non-enrollment employees for students they previously recruited and for which bonuses were to be paid when those students completed 24 credit hours. As a result of new compensation rules that became effective July 1, 2011, these amounts could no longer be paid. The reserve for our program review primarily represents the estimated amounts that will be returned related to certain Pell grants. The increase in depreciation and amortization is the result of our continued growth and expansion of the ground traditional campus in order to accommodate the growth in our traditional ground enrollment. We also incurred an increase in instructional supplies due to increased licensing fees related to educational resources and increased food costs associated with a higher number of residential students. Our instructional costs and services expenses as a percentage of net revenues decreased by 0.2% to 44.8% for the quarter ended June 30, 2012, as compared to 45.0% for the quarter ended June 30, 2011 primarily due to improvements in bad debt expense, partially offset by increases as a percentage of net revenues in employee compensation and related expenses, other instructional supplies, program review reserve, and depreciation and amortization expenses. Bad debt expense decreased as a percentage of net revenues from 8.0% in the second quarter of 2011 to 3.1% in the second quarter of 2012 as a result of improved collections of receivables due from current students between periods due to operational improvements made during 2011 and a reduction in receivables due from former students.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quarter ended June 30, 2012 were $32.8 million, an increase of $5.1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18.2%, as compared to selling and promotional expenses of $27.7 million for the quarter ended June 30, 2011. This increase is primarily the result of increases in employee compensation and advertising of $4.2 million and $0.8 million, respectively. Our selling and promotional expenses as a percentage of net revenue increased by 0.6% to 27.5% for the quarter ended June 30, 2012, from 26.9% for the quarter ended June 30, 2011. The increase in employee compensation was due to changes made by the University to comply with the new employee compensation rules that went into effect July 1, 2011. During the second quarter of 2011, the University reversed $1.5 million of amounts accrued in previous periods that were to be paid to enrollment employees for students they previously recruited and for which bonuses were to be paid when those students completed 24 credit hours. Due to the compensation rule changes effective July 1, 2011, these amounts could no longer be paid. Additionally in 2012, employee compensation and related expenses as a percentage of revenue increased as a result of increasing the number of enrollment counselors between years. We plan to continue to add additional enrollment counselors in the future, although the number of additional hires as a percentage of the total headcount is expected to remain flat or decrease. The advertising expense increased due to us entering into a new revenue sharing agreement with MindStreams, L.L.C. in the third quarter of 2011.</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June 30, 2012 were $7.7 million, an increase of $0.7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9.4%, as compared to general and administrative expenses of $7.0 million for the quarter ended June 30, 2011. This increase was primarily due to increases in employee compensation and related expenses of $0.5 million. Our general and administrative expenses as a percentage of net revenue decreased by 0.3% to 6.5% for the quarter ended June 30, 2012, from 6.8% for the quarter ended June 30, 2011.</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quarter ended June 30, 2012 was $9.7 million, an increase of $0.6 million, or 6.6%, as compared to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of $9.1 million for the quarter ended June 30, 2011. Our effective tax rate was 38.5% during the second quarter of 2012 compared to 41.5% during the second quarter of 2011. The decrease in the effective tax rate was primarily due to certain non-recurring tax items, which had the effect of decreasing our effective tax rate in the second quarter of 2012 and increasing the effective tax rate in the second quarter of 2011.</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June 30, 2012 was $15.6 million, an increase of $2.7 million or 21.2%, as compared to $12.9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June 30, 2011, due to the factors discussed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to Six Months Ended June 30, 2011</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2012 was $236.4 million, an increase of $31.6 million, or 15.4%,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$204.8 million for the six months ended June 30, 2011. This increase was primarily due to an increase in ground and online enrollment and, to a lesser extent, increases in the average tuition per student as a result of improved retention and tuition price increases, partially offset by an increase in institutional scholarships. End-of-period enrollment increased 12.4% between June 30, 2012 and June 30, 2011, as ground enrollment increased 43.7%, and online enrollment increased 11.1%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that is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enrollments due primarily to the increasing challenges presented in the economy, the impact of new and proposed regulations, and increased competition.</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six months ended June 30, 2012 were $104.2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$9.0 million, or 9.5%, as compared to instructional costs and services expenses of $95.2 million for the six months ended June 30, 2011. This increase was primarily due to increases in employee compensation, faculty compensation, program review reserve, instructional supplies, depreciation and amortization, arena expense and other instructional compensation and related expenses, of $6.1 million, $2.7 million, $3.0 million, $2.9 million, $2.2 million, $1.1 million, and $1.4 million, respectively. These increases were partially offset by a $10.4 million decrease in bad debt expense. The increase in employee compensation and faculty compensation is primarily due to an increase in headcount (both staff and ground and on-line fulltime faculty) needed to provide student instruction and support services to support the increase in enrollments. Additionally, in 2011 a reversal of $0.7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million was recorded in employee compensation for amounts accrued in previous periods that were to be paid to non-enrollment employees for students they previously recruited and for which bonuses were to be paid when those students completed 24 credit hours. As a result of our compensation rules that became effective on July 1, 2011, these amounts could no longer be paid. The reserve for our program review primarily represents the estimated amounts that will be returned related to certain Pell grants. The increase in depreciation and amortization is the result of our continued growth and expansion of the ground traditional campus in order to accommodate the growth in our traditional ground enrollment. We also incurred an increase in instructional supplies due to increased licensing fees related to educational resources and increased food costs associated with a higher number of residential students. Our instructional costs and services expenses as a percentage of net revenues decreased by 2.4% to 44.1% for the six months ended June 30, 2012, as compared to 46.5% for the six months ended June 30, 2011 primarily due to improvements in bad debt expense, partially offset by increases as a percentage of net revenues in employee compensation and related expenses, program review reserve, other instructional supplies and food costs, depreciation and amortization expense and arena expenses. Bad debt expense decreased as a percentage of net revenues from 8.9% in the six months ended June 30, 2011 to 3.3% in the six months ended June 30, 2012 as a result of improved collections of receivables due from current students between periods due to operational improvements made during 2011 and a reduction in receivables due from former students.</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six months ended June 30, 2012 were $67.3 million, an increase of $9.8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17.0%, as compared to selling and promotional expenses of $57.5 million for the six months ended June 30, 2011. This increase is primarily the result of increases in employee compensation and advertising of $6.3 million and $3.9 million, respectively, which is partially offset by lower promotional expenses of $0.4 million for the quarter. Our selling and promotional expenses as a percentage of net revenue increased by 0.4% to 28.5% for the six months ended June 30, 2012, from 28.1% for the six months ended June 30, 2011. The increase in employee compensation was due to changes made by the University to comply with the new employee compensation rules that went into effect July 1, 2011. During the second quarter of 2011, the University reversed $1.5 million of amounts accrued in previous periods that were to be paid to enrollment employees for student they previously recruited and for which bonuses were to be paid when those students completed 24 credit hours. Due to the compensation rule changes effective July 1, 2011, these amounts could no longer be paid. Additionally, employee compensation and related expenses as a percentage of revenue increased as a result of increasing the number of enrollment counselors between years. We plan to continue to add additional enrollment counselors in the future, although the number of additional hires as a percentage of the total headcount is expected to remain flat or decrease. The advertising expense increased due to us entering into a new revenue sharing agreement with MindStreams, L.L.C. in the third quarter of 2011.</w:t>
      </w:r>
    </w:p>
    <w:p>
      <w:pPr>
        <w:spacing w:after="0" w:line="12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2012 were $15.2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$1.3 million, or 9.9%, as compared to general and administrative expenses of $13.9 million for the six months ended June 30, 2011. This increase was primarily due to increases in employee compensation and related expenses of $1.1 million. Our general and administrative expenses as a percentage of net revenue decreased by 0.4% to 6.4% for the six months ended June 30, 2012, from 6.8% for the six months ended June 30, 2011.</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six months ended June 30, 2012 was $19.3 million, an increase of $3.5 million, or 22.4%,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$15.8 million for the six months ended June 30, 2011. Our effective tax rate was 39.1% during the six months ended June 30, 2012 compared to 41.3% during the six month ended June 30, 2011. The decrease in the effective tax rate was primarily due to certain non-recurring tax items, which had the effect of decreasing our effective tax rate in the six months ended June 30, 2012 and increasing the effective tax rate in the six months ended June 30, 2011.</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2012 was $30.1 million, an increase of $7.7 million, or 34.5% as compared to $22.4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2011, due to the factors discussed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it is our intent to increase the number of ground traditional students significantly during the next few years. To accomplish this we doubled the number of ground traditional campus enrollment staff during 2011 and significantly increased the number of ground traditional support staff in the Spring and Summer of 2012. Thus, we expect this summer effect to become even more pronounced in 2012 and thereafter.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six months ended June 30, 2012 and 2011 primarily through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Our unrestricted cash and cash equivalents were $50.8 million and $21.2 million at June 30, 2012 and December 31, 2011, respectively. Our restricted cash and cash equivalents at June 30, 2012 and December 31, 2011 were $54.9 million and $56.7 million, respectively.</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$50.0 million revolving line of credit as of June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28, 2011, our Board of Directors authorized the University to repurchase up to an additional $25 million ($50 million total) of common stock, from time to time, depending on market conditions and other considerations. On July 26, 2012, the Board of Directors extended the expiration date on the repurchase authorization to September 30, 2013. Repurchases occur at the University’s discretion. The 2011 repurchase authorization is an expansion of, and does not replace, the 2010 repurchase authorization.</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6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Since the approval of the initial share repurchase plan, the University has purchased 1,777,325 shares of common shock shares at an aggregate cost of $25.9 million which includes 120,025 shares of common stock at an aggregate cost of $2.0 million during the three months ended June 30, 2012. At June 30, 2012, there remained $24.1 million available under our current share repurchase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six months ended June 30, 2012 was $79.6 million as compared to $37.6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2011. Cash provided by operating activities in the six months ended June 30, 2012 and 2011 resulted from our net income plus non-cash charges for bad debts, depreciation and amortization, share-based compensation and improvement in our working capital management.</w:t>
      </w:r>
    </w:p>
    <w:p>
      <w:pPr>
        <w:spacing w:after="0" w:line="10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Investing Activities</w:t>
      </w:r>
      <w:r>
        <w:rPr>
          <w:rFonts w:ascii="Arial" w:cs="Arial" w:eastAsia="Arial" w:hAnsi="Arial"/>
          <w:sz w:val="15"/>
          <w:szCs w:val="15"/>
          <w:color w:val="auto"/>
        </w:rPr>
        <w:t>. Net cash used in investing activities was $50.3 million and $32.9 million for the six months ended June 30, 2012 and 2011,</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Capital expenditures were $50.5 million and $38.3 million for the six months ended June 30, 2012 and 2011, respectively. In 2012, capital expenditures primarily consisted of the construction costs associated with two additional dormitories, an Arts and Science classroom building and a parking garage to support our increasing traditional student enrollment as well as purchases of computer equipment, other internal use software projects and furniture and equipment. In 2011, capital expenditures primarily consisted of ground campus building projects such as a new dormitory and an events arena to support our increasing traditional ground student enrollment as well as purchases of computer equipment, other internal use software projects and furniture and equipment.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$0.2 million for the six months ended June 30, 2012 as compared to cash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activities of $23.7 million in the six months ended June 30, 2011. During the first six months of 2012 $3.4 million of proceeds from the exercise of stock options was partially offset by $2.0 million used to purchase treasury stock in accordance with the University’s share repurchase program and principal payments on notes payable and capital lease obligations of $1.3 million. During the first six months of 2011, $22.4 million was used to purchase treasury stock in accordance with the University’s share repurchase program and principal payments on notes payable and capital leases totaled $1.9 million, partially offset by $0.6 million of proceeds from the exercise of stock options.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as of June 30, 2012, the aggregate amounts of our significant contractual obligations and commitments with definitive payment terms due in each of the periods presented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Less than</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Total</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8"/>
              </w:rPr>
              <w:t>1 Year (1)</w:t>
            </w:r>
          </w:p>
        </w:tc>
        <w:tc>
          <w:tcPr>
            <w:tcW w:w="4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2-3 Years</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term notes payable</w:t>
            </w:r>
          </w:p>
        </w:tc>
        <w:tc>
          <w:tcPr>
            <w:tcW w:w="2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103.1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July, 2012 through December 31,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June 30, 2012.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six months ended June 30, 2012 or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operating results and financial condition.</w:t>
      </w:r>
    </w:p>
    <w:p>
      <w:pPr>
        <w:spacing w:after="0" w:line="16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 from the variable rate debt we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connection with the repurchase of shares of our common stock and the land and buildings that comprise our ground campus, which debt matures in March 2016. The corridor instrument, which hedges variable interest rate risk starting July 1, 2009 through April 30, 2014 with a notional amount of $10.2 million as of June 30, 2012,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$10.2 million as of June 30, 2012. Under this arrangement, we will receive 30 Day LIBOR and pay 3.245% fixed rate on the amortizing notional amount plus the credit spread.</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 securities bearing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June 30, 2012, a 10% increase or decrease in interest rates would not have a material impact on our future earnings, fair values, or cash flows. For information regarding our variable rate debt, see “Market risk”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2012,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There have been no material changes in our risk factors from the disclosure included in our Annual Report on Form 10-K. The risks described in our Annual Report on Form 10-K are not the only risks facing the University. Additional risks and uncertainties not currently known to us or that we currently deem to be immaterial also may materially adversely affect our business, financial condition and/or operating results.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July 28, 2011, our Board of Directors authorized the University to repurchase up to an additional $25 million ($50 million) total) of common stock, from time to time, depending on market conditions and other considerations. On July 26, 2012, the Board of Directors extended the expiration date on the repurchase authorization to September 30, 2013.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June 30, 2012, we repurchased 120,025 shares of our common stock at an aggregate cost of $2.0 million. At June 30, 2012, there remains $24.1 million available under our current share repurchase authorization.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second quarter of fiscal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Total Number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1"/>
              </w:rPr>
              <w:t>Shares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Average</w:t>
            </w: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0" w:type="dxa"/>
            <w:vAlign w:val="bottom"/>
            <w:vMerge w:val="restart"/>
          </w:tcPr>
          <w:p>
            <w:pPr>
              <w:spacing w:after="0"/>
              <w:rPr>
                <w:sz w:val="12"/>
                <w:szCs w:val="12"/>
                <w:color w:val="auto"/>
              </w:rPr>
            </w:pPr>
          </w:p>
        </w:tc>
        <w:tc>
          <w:tcPr>
            <w:tcW w:w="4260" w:type="dxa"/>
            <w:vAlign w:val="bottom"/>
          </w:tcPr>
          <w:p>
            <w:pPr>
              <w:spacing w:after="0"/>
              <w:rPr>
                <w:sz w:val="12"/>
                <w:szCs w:val="12"/>
                <w:color w:val="auto"/>
              </w:rPr>
            </w:pPr>
          </w:p>
        </w:tc>
        <w:tc>
          <w:tcPr>
            <w:tcW w:w="1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13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8"/>
              </w:rPr>
              <w:t>Per Share</w:t>
            </w:r>
          </w:p>
        </w:tc>
        <w:tc>
          <w:tcPr>
            <w:tcW w:w="166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6"/>
              </w:rPr>
              <w:t>Program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Program</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7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April 1, 2012 – April 30, 2012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34,125</w:t>
            </w: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16.37</w:t>
            </w:r>
          </w:p>
        </w:tc>
        <w:tc>
          <w:tcPr>
            <w:tcW w:w="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34,125</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25,548,000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May 1, 2012 – May 31, 2012</w:t>
            </w:r>
          </w:p>
        </w:tc>
        <w:tc>
          <w:tcPr>
            <w:tcW w:w="1040" w:type="dxa"/>
            <w:vAlign w:val="bottom"/>
          </w:tcPr>
          <w:p>
            <w:pPr>
              <w:jc w:val="right"/>
              <w:spacing w:after="0"/>
              <w:rPr>
                <w:sz w:val="20"/>
                <w:szCs w:val="20"/>
                <w:color w:val="auto"/>
              </w:rPr>
            </w:pPr>
            <w:r>
              <w:rPr>
                <w:rFonts w:ascii="Arial" w:cs="Arial" w:eastAsia="Arial" w:hAnsi="Arial"/>
                <w:sz w:val="18"/>
                <w:szCs w:val="18"/>
                <w:color w:val="auto"/>
              </w:rPr>
              <w:t>74,700</w:t>
            </w:r>
          </w:p>
        </w:tc>
        <w:tc>
          <w:tcPr>
            <w:tcW w:w="6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16.31</w:t>
            </w:r>
          </w:p>
        </w:tc>
        <w:tc>
          <w:tcPr>
            <w:tcW w:w="960" w:type="dxa"/>
            <w:vAlign w:val="bottom"/>
          </w:tcPr>
          <w:p>
            <w:pPr>
              <w:jc w:val="right"/>
              <w:spacing w:after="0"/>
              <w:rPr>
                <w:sz w:val="20"/>
                <w:szCs w:val="20"/>
                <w:color w:val="auto"/>
              </w:rPr>
            </w:pPr>
            <w:r>
              <w:rPr>
                <w:rFonts w:ascii="Arial" w:cs="Arial" w:eastAsia="Arial" w:hAnsi="Arial"/>
                <w:sz w:val="18"/>
                <w:szCs w:val="18"/>
                <w:color w:val="auto"/>
              </w:rPr>
              <w:t>74,700</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24,329,000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2012 – June 30, 2012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17.95</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w w:val="97"/>
              </w:rPr>
              <w:t>Total</w:t>
            </w:r>
          </w:p>
        </w:tc>
        <w:tc>
          <w:tcPr>
            <w:tcW w:w="4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120,025</w:t>
            </w:r>
          </w:p>
        </w:tc>
        <w:tc>
          <w:tcPr>
            <w:tcW w:w="68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16.48</w:t>
            </w:r>
          </w:p>
        </w:tc>
        <w:tc>
          <w:tcPr>
            <w:tcW w:w="960" w:type="dxa"/>
            <w:vAlign w:val="bottom"/>
          </w:tcPr>
          <w:p>
            <w:pPr>
              <w:jc w:val="right"/>
              <w:spacing w:after="0"/>
              <w:rPr>
                <w:sz w:val="20"/>
                <w:szCs w:val="20"/>
                <w:color w:val="auto"/>
              </w:rPr>
            </w:pPr>
            <w:r>
              <w:rPr>
                <w:rFonts w:ascii="Arial" w:cs="Arial" w:eastAsia="Arial" w:hAnsi="Arial"/>
                <w:sz w:val="18"/>
                <w:szCs w:val="18"/>
                <w:color w:val="auto"/>
              </w:rPr>
              <w:t>120,025</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24,128,000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Defaults Upon Senior Securities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3"/>
          </w:tcPr>
          <w:p>
            <w:pPr>
              <w:ind w:left="460"/>
              <w:spacing w:after="0"/>
              <w:rPr>
                <w:sz w:val="20"/>
                <w:szCs w:val="20"/>
                <w:color w:val="auto"/>
              </w:rPr>
            </w:pPr>
            <w:r>
              <w:rPr>
                <w:rFonts w:ascii="Arial" w:cs="Arial" w:eastAsia="Arial" w:hAnsi="Arial"/>
                <w:sz w:val="18"/>
                <w:szCs w:val="18"/>
                <w:color w:val="auto"/>
                <w:w w:val="87"/>
              </w:rPr>
              <w:t>None.</w:t>
            </w:r>
          </w:p>
        </w:tc>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Mine Safety Disclosures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3"/>
          </w:tcPr>
          <w:p>
            <w:pPr>
              <w:ind w:left="460"/>
              <w:spacing w:after="0"/>
              <w:rPr>
                <w:sz w:val="20"/>
                <w:szCs w:val="20"/>
                <w:color w:val="auto"/>
              </w:rPr>
            </w:pPr>
            <w:r>
              <w:rPr>
                <w:rFonts w:ascii="Arial" w:cs="Arial" w:eastAsia="Arial" w:hAnsi="Arial"/>
                <w:sz w:val="18"/>
                <w:szCs w:val="18"/>
                <w:color w:val="auto"/>
                <w:w w:val="87"/>
              </w:rPr>
              <w:t>None.</w:t>
            </w:r>
          </w:p>
        </w:tc>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3"/>
          </w:tcPr>
          <w:p>
            <w:pPr>
              <w:ind w:left="460"/>
              <w:spacing w:after="0"/>
              <w:rPr>
                <w:sz w:val="20"/>
                <w:szCs w:val="20"/>
                <w:color w:val="auto"/>
              </w:rPr>
            </w:pPr>
            <w:r>
              <w:rPr>
                <w:rFonts w:ascii="Arial" w:cs="Arial" w:eastAsia="Arial" w:hAnsi="Arial"/>
                <w:sz w:val="18"/>
                <w:szCs w:val="18"/>
                <w:color w:val="auto"/>
                <w:w w:val="87"/>
              </w:rPr>
              <w:t>None.</w:t>
            </w:r>
          </w:p>
        </w:tc>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40" w:type="dxa"/>
            <w:vAlign w:val="bottom"/>
          </w:tcPr>
          <w:p>
            <w:pPr>
              <w:jc w:val="right"/>
              <w:ind w:right="318"/>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2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600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r>
      <w:tr>
        <w:trPr>
          <w:trHeight w:val="367"/>
        </w:trPr>
        <w:tc>
          <w:tcPr>
            <w:tcW w:w="7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4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50"/>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Amended and Restated Investor Rights Agreement, dated September</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17, 2008, by and among Grand Canyon Education, Inc. and the other</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parties named therein.</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by and between Grand Canyon Education, Inc. and Brian E. Mueller†.</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by and between Grand Canyon Education, Inc. and W. Stan Meyer†.</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9"/>
              </w:rPr>
              <w:t>by and between Grand Canyon Education, Inc. and Daniel E. Bachus†.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by and between Grand Canyon Education, Inc. and Joseph N.</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Mildenhall†.</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July 30, 2012,</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by and between Grand Canyon Education, Inc. and Dr. Kathy Player†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1"/>
              </w:rPr>
              <w:t>Preferability Letter of Independent Registered Public Accounting Firm</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13a-14(a)</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Rules 13a-14(a) and</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0"/>
              </w:rPr>
              <w:t>15d-14(a), as adopted pursuant to Section 302 of the Sarbanes-Oxley</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U.S.C. Section</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88"/>
              </w:rPr>
              <w:t>1350, as adopted pursuant to Section 906 of the Sarbanes-Oxley Act of</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2002.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224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643" w:lineRule="exact"/>
        <w:rPr>
          <w:sz w:val="20"/>
          <w:szCs w:val="20"/>
          <w:color w:val="auto"/>
        </w:rPr>
      </w:pPr>
    </w:p>
    <w:p>
      <w:pPr>
        <w:sectPr>
          <w:pgSz w:w="11900" w:h="16838" w:orient="portrait"/>
          <w:cols w:equalWidth="0" w:num="2">
            <w:col w:w="6000" w:space="340"/>
            <w:col w:w="5060"/>
          </w:cols>
          <w:pgMar w:left="240" w:top="459" w:right="259" w:bottom="1440" w:gutter="0" w:footer="0" w:header="0"/>
          <w:type w:val="continuous"/>
        </w:sect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0" w:lineRule="exact"/>
        <w:rPr>
          <w:sz w:val="20"/>
          <w:szCs w:val="20"/>
          <w:color w:val="auto"/>
        </w:rPr>
      </w:pPr>
    </w:p>
    <w:p>
      <w:pPr>
        <w:ind w:left="4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gridSpan w:val="2"/>
          </w:tcPr>
          <w:p>
            <w:pPr>
              <w:ind w:left="2360"/>
              <w:spacing w:after="0"/>
              <w:rPr>
                <w:sz w:val="20"/>
                <w:szCs w:val="20"/>
                <w:color w:val="auto"/>
              </w:rPr>
            </w:pPr>
            <w:r>
              <w:rPr>
                <w:rFonts w:ascii="Arial" w:cs="Arial" w:eastAsia="Arial" w:hAnsi="Arial"/>
                <w:sz w:val="18"/>
                <w:szCs w:val="18"/>
                <w:b w:val="1"/>
                <w:bCs w:val="1"/>
                <w:color w:val="auto"/>
              </w:rPr>
              <w:t>GRAND CANYON EDUCATION, INC.</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August 6, 2012</w:t>
            </w:r>
          </w:p>
        </w:tc>
        <w:tc>
          <w:tcPr>
            <w:tcW w:w="7860" w:type="dxa"/>
            <w:vAlign w:val="bottom"/>
            <w:gridSpan w:val="2"/>
          </w:tcPr>
          <w:p>
            <w:pPr>
              <w:ind w:left="2360"/>
              <w:spacing w:after="0"/>
              <w:rPr>
                <w:sz w:val="20"/>
                <w:szCs w:val="20"/>
                <w:color w:val="auto"/>
              </w:rPr>
            </w:pPr>
            <w:r>
              <w:rPr>
                <w:rFonts w:ascii="Arial" w:cs="Arial" w:eastAsia="Arial" w:hAnsi="Arial"/>
                <w:sz w:val="18"/>
                <w:szCs w:val="18"/>
                <w:color w:val="auto"/>
              </w:rPr>
              <w:t>By:  /s/ Daniel E. Bachus</w:t>
            </w:r>
          </w:p>
        </w:tc>
      </w:tr>
      <w:tr>
        <w:trPr>
          <w:trHeight w:val="202"/>
        </w:trPr>
        <w:tc>
          <w:tcPr>
            <w:tcW w:w="35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65"/>
        </w:trPr>
        <w:tc>
          <w:tcPr>
            <w:tcW w:w="3560" w:type="dxa"/>
            <w:vAlign w:val="bottom"/>
          </w:tcPr>
          <w:p>
            <w:pPr>
              <w:spacing w:after="0"/>
              <w:rPr>
                <w:sz w:val="24"/>
                <w:szCs w:val="24"/>
                <w:color w:val="auto"/>
              </w:rPr>
            </w:pPr>
          </w:p>
        </w:tc>
        <w:tc>
          <w:tcPr>
            <w:tcW w:w="262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This Amended and Restated Executive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on July 30, 2012 and is effective as of July 1, 2012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Grand Canyon Education,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Brian E. Mueller (“</w:t>
      </w:r>
      <w:r>
        <w:rPr>
          <w:rFonts w:ascii="Arial" w:cs="Arial" w:eastAsia="Arial" w:hAnsi="Arial"/>
          <w:sz w:val="16"/>
          <w:szCs w:val="16"/>
          <w:u w:val="single" w:color="auto"/>
          <w:color w:val="auto"/>
        </w:rPr>
        <w:t>Executive</w:t>
      </w:r>
      <w:r>
        <w:rPr>
          <w:rFonts w:ascii="Arial" w:cs="Arial" w:eastAsia="Arial" w:hAnsi="Arial"/>
          <w:sz w:val="16"/>
          <w:szCs w:val="16"/>
          <w:color w:val="auto"/>
        </w:rPr>
        <w:t>”).</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Company and Executive entered into an employment agreement dated June 25, 2008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32" w:lineRule="exact"/>
        <w:rPr>
          <w:sz w:val="20"/>
          <w:szCs w:val="20"/>
          <w:color w:val="auto"/>
        </w:rPr>
      </w:pPr>
    </w:p>
    <w:p>
      <w:pPr>
        <w:ind w:left="460" w:right="340"/>
        <w:spacing w:after="0" w:line="493" w:lineRule="auto"/>
        <w:rPr>
          <w:sz w:val="20"/>
          <w:szCs w:val="20"/>
          <w:color w:val="auto"/>
        </w:rPr>
      </w:pPr>
      <w:r>
        <w:rPr>
          <w:rFonts w:ascii="Arial" w:cs="Arial" w:eastAsia="Arial" w:hAnsi="Arial"/>
          <w:sz w:val="16"/>
          <w:szCs w:val="16"/>
          <w:color w:val="auto"/>
        </w:rPr>
        <w:t>WHEREAS, the Company and Executive desire to amend and restate the Original Agreement through the execution and delivery of this Agreement; NOW, THEREFORE, for good and valuable consideration, the receipt and sufficiency of which are hereby acknowledged, the parties agree as follows:</w:t>
      </w:r>
    </w:p>
    <w:p>
      <w:pPr>
        <w:ind w:right="160" w:firstLine="456"/>
        <w:spacing w:after="0" w:line="268" w:lineRule="auto"/>
        <w:rPr>
          <w:sz w:val="20"/>
          <w:szCs w:val="20"/>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71"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Executive Officer and shall have the duties and responsibilities reasonably assigned to him from time to time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43"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u w:val="single" w:color="auto"/>
          <w:color w:val="auto"/>
        </w:rPr>
        <w:t>Best Efforts/Full-time</w:t>
      </w:r>
      <w:r>
        <w:rPr>
          <w:rFonts w:ascii="Arial" w:cs="Arial" w:eastAsia="Arial" w:hAnsi="Arial"/>
          <w:sz w:val="16"/>
          <w:szCs w:val="16"/>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Board in advance of Executive’s intent to engage in other paid work and receives the Board’s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Work Location</w:t>
      </w:r>
      <w:r>
        <w:rPr>
          <w:rFonts w:ascii="Arial" w:cs="Arial" w:eastAsia="Arial" w:hAnsi="Arial"/>
          <w:sz w:val="16"/>
          <w:szCs w:val="16"/>
          <w:color w:val="auto"/>
        </w:rPr>
        <w:t>. Executive’s principal place of work shall be located in Phoenix, Arizona, or such other location as the Company may direct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ectPr>
          <w:pgSz w:w="11900" w:h="16838" w:orient="portrait"/>
          <w:cols w:equalWidth="0" w:num="1">
            <w:col w:w="11420"/>
          </w:cols>
          <w:pgMar w:left="240" w:top="125"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The employment relationship pursuant to this Agreement shall be for an initial term commencing on the Effective Date and continuing for a period of four (4) years following such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unless sooner terminated in accordance with Section 7.</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Renewal</w:t>
      </w:r>
      <w:r>
        <w:rPr>
          <w:rFonts w:ascii="Arial" w:cs="Arial" w:eastAsia="Arial" w:hAnsi="Arial"/>
          <w:sz w:val="16"/>
          <w:szCs w:val="16"/>
          <w:color w:val="auto"/>
        </w:rPr>
        <w:t>. Upon expiration of the Initial Term and each Renewal Term, this Agreement will automatically renew for subsequent one (1) year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Six-Hundred Twenty-One Thousand Dollars ($621,000.00)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w:t>
      </w:r>
    </w:p>
    <w:p>
      <w:pPr>
        <w:spacing w:after="0" w:line="12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earn incentive compensation in the form of an annual bonus for each fiscal year of the Company, to be awarded under the Company’s annual cash incentive plan as then in effect, with a target amount equal to one hundred percent (100%)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2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Executive’s Employment</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w:t>
      </w:r>
    </w:p>
    <w:p>
      <w:pPr>
        <w:spacing w:after="0" w:line="32" w:lineRule="exact"/>
        <w:rPr>
          <w:sz w:val="20"/>
          <w:szCs w:val="20"/>
          <w:color w:val="auto"/>
        </w:rPr>
      </w:pPr>
    </w:p>
    <w:p>
      <w:pPr>
        <w:ind w:right="40" w:firstLine="8"/>
        <w:spacing w:after="0" w:line="284"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3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u w:val="single" w:color="auto"/>
          <w:color w:val="auto"/>
        </w:rPr>
        <w:t>Termination Without Cause by Company</w:t>
      </w:r>
      <w:r>
        <w:rPr>
          <w:rFonts w:ascii="Arial" w:cs="Arial" w:eastAsia="Arial" w:hAnsi="Arial"/>
          <w:sz w:val="18"/>
          <w:szCs w:val="18"/>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8"/>
          <w:szCs w:val="18"/>
          <w:u w:val="single" w:color="auto"/>
          <w:color w:val="auto"/>
        </w:rPr>
        <w:t>Severance Package</w:t>
      </w:r>
      <w:r>
        <w:rPr>
          <w:rFonts w:ascii="Arial" w:cs="Arial" w:eastAsia="Arial" w:hAnsi="Arial"/>
          <w:sz w:val="18"/>
          <w:szCs w:val="18"/>
          <w:color w:val="auto"/>
        </w:rPr>
        <w:t>” that shall consist of:</w:t>
      </w:r>
    </w:p>
    <w:p>
      <w:pPr>
        <w:spacing w:after="0" w:line="143" w:lineRule="exact"/>
        <w:rPr>
          <w:sz w:val="20"/>
          <w:szCs w:val="20"/>
          <w:color w:val="auto"/>
        </w:rPr>
      </w:pPr>
    </w:p>
    <w:p>
      <w:pPr>
        <w:ind w:right="280" w:firstLine="1484"/>
        <w:spacing w:after="0" w:line="286" w:lineRule="auto"/>
        <w:rPr>
          <w:sz w:val="20"/>
          <w:szCs w:val="20"/>
          <w:color w:val="auto"/>
        </w:rPr>
      </w:pPr>
      <w:r>
        <w:rPr>
          <w:rFonts w:ascii="Arial" w:cs="Arial" w:eastAsia="Arial" w:hAnsi="Arial"/>
          <w:sz w:val="16"/>
          <w:szCs w:val="16"/>
          <w:color w:val="auto"/>
        </w:rPr>
        <w:t>severance in an amount equal to the sum of (i) twelve (12) months of Executive’s Base Salary then in effect on the Termination Date, and (ii) 100% of Executive’s Target Bonus for the fiscal year in which the Termination Date occurs, with the total of such amounts to be payable over twelve</w:t>
      </w:r>
    </w:p>
    <w:p>
      <w:pPr>
        <w:ind w:right="180" w:firstLine="8"/>
        <w:spacing w:after="0" w:line="261" w:lineRule="auto"/>
        <w:tabs>
          <w:tab w:leader="none" w:pos="3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months in equal installments in accordance with the Company’s regular payroll cycle, commencing with the first payroll date occurring on or after the 60th day following the Termination Date;</w:t>
      </w:r>
    </w:p>
    <w:p>
      <w:pPr>
        <w:spacing w:after="0" w:line="138"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w:t>
      </w:r>
    </w:p>
    <w:p>
      <w:pPr>
        <w:ind w:right="140" w:firstLine="8"/>
        <w:spacing w:after="0" w:line="261" w:lineRule="auto"/>
        <w:tabs>
          <w:tab w:leader="none" w:pos="3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5" w:name="page36"/>
    <w:bookmarkEnd w:id="35"/>
    <w:p>
      <w:pPr>
        <w:ind w:right="62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16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6"/>
          <w:szCs w:val="16"/>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Severance Payment</w:t>
      </w:r>
      <w:r>
        <w:rPr>
          <w:rFonts w:ascii="Arial" w:cs="Arial" w:eastAsia="Arial" w:hAnsi="Arial"/>
          <w:sz w:val="16"/>
          <w:szCs w:val="16"/>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his intent to exercise his rights pursuant to this Section within thirty (30) days following the first occurrence of such condition(s).</w:t>
      </w:r>
    </w:p>
    <w:p>
      <w:pPr>
        <w:spacing w:after="0" w:line="128"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u w:val="single" w:color="auto"/>
          <w:color w:val="auto"/>
        </w:rPr>
        <w:t>Voluntary Resignation by Executive Without Good Reason</w:t>
      </w:r>
      <w:r>
        <w:rPr>
          <w:rFonts w:ascii="Arial" w:cs="Arial" w:eastAsia="Arial" w:hAnsi="Arial"/>
          <w:sz w:val="18"/>
          <w:szCs w:val="18"/>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6" w:name="page37"/>
    <w:bookmarkEnd w:id="36"/>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After a Change in Control</w:t>
      </w:r>
      <w:r>
        <w:rPr>
          <w:rFonts w:ascii="Arial" w:cs="Arial" w:eastAsia="Arial" w:hAnsi="Arial"/>
          <w:sz w:val="18"/>
          <w:szCs w:val="18"/>
          <w:color w:val="auto"/>
        </w:rPr>
        <w:t>.</w:t>
      </w:r>
    </w:p>
    <w:p>
      <w:pPr>
        <w:spacing w:after="0" w:line="171" w:lineRule="exact"/>
        <w:rPr>
          <w:sz w:val="20"/>
          <w:szCs w:val="20"/>
          <w:color w:val="auto"/>
        </w:rPr>
      </w:pPr>
    </w:p>
    <w:p>
      <w:pPr>
        <w:ind w:right="40" w:firstLine="1484"/>
        <w:spacing w:after="0" w:line="302" w:lineRule="auto"/>
        <w:rPr>
          <w:sz w:val="20"/>
          <w:szCs w:val="20"/>
          <w:color w:val="auto"/>
        </w:rPr>
      </w:pPr>
      <w:r>
        <w:rPr>
          <w:rFonts w:ascii="Arial" w:cs="Arial" w:eastAsia="Arial" w:hAnsi="Arial"/>
          <w:sz w:val="15"/>
          <w:szCs w:val="15"/>
          <w:u w:val="single" w:color="auto"/>
          <w:color w:val="auto"/>
        </w:rPr>
        <w:t>Severance Payment; Equity Award Acceleration</w:t>
      </w:r>
      <w:r>
        <w:rPr>
          <w:rFonts w:ascii="Arial" w:cs="Arial" w:eastAsia="Arial" w:hAnsi="Arial"/>
          <w:sz w:val="15"/>
          <w:szCs w:val="15"/>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w:t>
      </w:r>
    </w:p>
    <w:p>
      <w:pPr>
        <w:spacing w:after="0" w:line="3" w:lineRule="exact"/>
        <w:rPr>
          <w:sz w:val="20"/>
          <w:szCs w:val="20"/>
          <w:color w:val="auto"/>
        </w:rPr>
      </w:pPr>
    </w:p>
    <w:p>
      <w:pPr>
        <w:jc w:val="both"/>
        <w:ind w:right="420" w:firstLine="8"/>
        <w:spacing w:after="0" w:line="254"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171" w:lineRule="exact"/>
        <w:rPr>
          <w:sz w:val="20"/>
          <w:szCs w:val="20"/>
          <w:color w:val="auto"/>
        </w:rPr>
      </w:pPr>
    </w:p>
    <w:p>
      <w:pPr>
        <w:ind w:firstLine="1940"/>
        <w:spacing w:after="0" w:line="286" w:lineRule="auto"/>
        <w:rPr>
          <w:sz w:val="20"/>
          <w:szCs w:val="20"/>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127" w:lineRule="exact"/>
        <w:rPr>
          <w:sz w:val="20"/>
          <w:szCs w:val="20"/>
          <w:color w:val="auto"/>
        </w:rPr>
      </w:pPr>
    </w:p>
    <w:p>
      <w:pPr>
        <w:ind w:right="60" w:firstLine="1940"/>
        <w:spacing w:after="0" w:line="253" w:lineRule="auto"/>
        <w:rPr>
          <w:sz w:val="20"/>
          <w:szCs w:val="20"/>
          <w:color w:val="auto"/>
        </w:rPr>
      </w:pPr>
      <w:r>
        <w:rPr>
          <w:rFonts w:ascii="Arial" w:cs="Arial" w:eastAsia="Arial" w:hAnsi="Arial"/>
          <w:sz w:val="18"/>
          <w:szCs w:val="18"/>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7" w:name="page38"/>
    <w:bookmarkEnd w:id="37"/>
    <w:p>
      <w:pPr>
        <w:ind w:left="1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Control</w:t>
      </w:r>
      <w:r>
        <w:rPr>
          <w:rFonts w:ascii="Arial" w:cs="Arial" w:eastAsia="Arial" w:hAnsi="Arial"/>
          <w:sz w:val="18"/>
          <w:szCs w:val="18"/>
          <w:color w:val="auto"/>
        </w:rPr>
        <w:t>. A Change in Control is defined as any one of the following occurrences:</w:t>
      </w:r>
    </w:p>
    <w:p>
      <w:pPr>
        <w:spacing w:after="0" w:line="171" w:lineRule="exact"/>
        <w:rPr>
          <w:sz w:val="20"/>
          <w:szCs w:val="20"/>
          <w:color w:val="auto"/>
        </w:rPr>
      </w:pPr>
    </w:p>
    <w:p>
      <w:pPr>
        <w:ind w:right="20" w:firstLine="1940"/>
        <w:spacing w:after="0" w:line="288" w:lineRule="auto"/>
        <w:rPr>
          <w:sz w:val="20"/>
          <w:szCs w:val="20"/>
          <w:color w:val="auto"/>
        </w:rPr>
      </w:pPr>
      <w:r>
        <w:rPr>
          <w:rFonts w:ascii="Arial" w:cs="Arial" w:eastAsia="Arial" w:hAnsi="Arial"/>
          <w:sz w:val="16"/>
          <w:szCs w:val="16"/>
          <w:color w:val="auto"/>
        </w:rPr>
        <w:t>Any “person”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20" w:lineRule="exact"/>
        <w:rPr>
          <w:sz w:val="20"/>
          <w:szCs w:val="20"/>
          <w:color w:val="auto"/>
        </w:rPr>
      </w:pPr>
    </w:p>
    <w:p>
      <w:pPr>
        <w:ind w:firstLine="1940"/>
        <w:spacing w:after="0" w:line="268" w:lineRule="auto"/>
        <w:rPr>
          <w:sz w:val="20"/>
          <w:szCs w:val="20"/>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32" w:lineRule="exact"/>
        <w:rPr>
          <w:sz w:val="20"/>
          <w:szCs w:val="20"/>
          <w:color w:val="auto"/>
        </w:rPr>
      </w:pPr>
    </w:p>
    <w:p>
      <w:pPr>
        <w:ind w:right="260" w:firstLine="1940"/>
        <w:spacing w:after="0" w:line="256" w:lineRule="auto"/>
        <w:rPr>
          <w:sz w:val="20"/>
          <w:szCs w:val="20"/>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4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dissolution or liquidation of the Company.</w:t>
      </w:r>
    </w:p>
    <w:p>
      <w:pPr>
        <w:spacing w:after="0" w:line="17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2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38" w:name="page39"/>
    <w:bookmarkEnd w:id="38"/>
    <w:p>
      <w:pPr>
        <w:ind w:firstLine="913"/>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71" w:lineRule="exact"/>
        <w:rPr>
          <w:sz w:val="20"/>
          <w:szCs w:val="20"/>
          <w:color w:val="auto"/>
        </w:rPr>
      </w:pPr>
    </w:p>
    <w:p>
      <w:pPr>
        <w:ind w:right="60" w:firstLine="1484"/>
        <w:spacing w:after="0" w:line="289" w:lineRule="auto"/>
        <w:rPr>
          <w:sz w:val="20"/>
          <w:szCs w:val="20"/>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18" w:lineRule="exact"/>
        <w:rPr>
          <w:sz w:val="20"/>
          <w:szCs w:val="20"/>
          <w:color w:val="auto"/>
        </w:rPr>
      </w:pPr>
    </w:p>
    <w:p>
      <w:pPr>
        <w:ind w:right="60" w:firstLine="1484"/>
        <w:spacing w:after="0" w:line="268" w:lineRule="auto"/>
        <w:rPr>
          <w:sz w:val="20"/>
          <w:szCs w:val="20"/>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32" w:lineRule="exact"/>
        <w:rPr>
          <w:sz w:val="20"/>
          <w:szCs w:val="20"/>
          <w:color w:val="auto"/>
        </w:rPr>
      </w:pPr>
    </w:p>
    <w:p>
      <w:pPr>
        <w:ind w:right="100" w:firstLine="1484"/>
        <w:spacing w:after="0" w:line="318" w:lineRule="auto"/>
        <w:rPr>
          <w:sz w:val="20"/>
          <w:szCs w:val="20"/>
          <w:color w:val="auto"/>
        </w:rPr>
      </w:pPr>
      <w:r>
        <w:rPr>
          <w:rFonts w:ascii="Arial" w:cs="Arial" w:eastAsia="Arial" w:hAnsi="Arial"/>
          <w:sz w:val="15"/>
          <w:szCs w:val="15"/>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5"/>
          <w:szCs w:val="15"/>
          <w:b w:val="1"/>
          <w:bCs w:val="1"/>
          <w:color w:val="auto"/>
        </w:rPr>
        <w:t xml:space="preserve">However, the Company does not guarantee any particular tax effect for income provided to Executive pursuant to this Agreement. </w:t>
      </w:r>
      <w:r>
        <w:rPr>
          <w:rFonts w:ascii="Arial" w:cs="Arial" w:eastAsia="Arial" w:hAnsi="Arial"/>
          <w:sz w:val="15"/>
          <w:szCs w:val="15"/>
          <w:color w:val="auto"/>
        </w:rPr>
        <w:t>In any event, except</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No Violation of Rights of Third Parties</w:t>
      </w:r>
      <w:r>
        <w:rPr>
          <w:rFonts w:ascii="Arial" w:cs="Arial" w:eastAsia="Arial" w:hAnsi="Arial"/>
          <w:sz w:val="16"/>
          <w:szCs w:val="16"/>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Other Covenants</w:t>
      </w:r>
      <w:r>
        <w:rPr>
          <w:rFonts w:ascii="Arial" w:cs="Arial" w:eastAsia="Arial" w:hAnsi="Arial"/>
          <w:sz w:val="16"/>
          <w:szCs w:val="16"/>
          <w:color w:val="auto"/>
        </w:rPr>
        <w:t>. Executive hereby makes the following covenants, each of which Executive acknowledges and agrees are a material part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 w:name="page40"/>
    <w:bookmarkEnd w:id="39"/>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1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44"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During the Term and after the termination thereof, neither Executive nor the Company will disparage each other, or the Company’s products, services, agents or employees.</w:t>
      </w:r>
    </w:p>
    <w:p>
      <w:pPr>
        <w:spacing w:after="0" w:line="13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Confidentiality and Proprietary Rights</w:t>
      </w:r>
      <w:r>
        <w:rPr>
          <w:rFonts w:ascii="Arial" w:cs="Arial" w:eastAsia="Arial" w:hAnsi="Arial"/>
          <w:sz w:val="16"/>
          <w:szCs w:val="16"/>
          <w:color w:val="auto"/>
        </w:rPr>
        <w:t>. Executive agrees to continue to abide by the Nondisclosure Agreement, which is incorporated herein by reference.</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0" w:name="page41"/>
    <w:bookmarkEnd w:id="40"/>
    <w:p>
      <w:pPr>
        <w:ind w:left="9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Injunctive Relief</w:t>
      </w:r>
      <w:r>
        <w:rPr>
          <w:rFonts w:ascii="Arial" w:cs="Arial" w:eastAsia="Arial" w:hAnsi="Arial"/>
          <w:sz w:val="16"/>
          <w:szCs w:val="16"/>
          <w:color w:val="auto"/>
        </w:rPr>
        <w:t>. Executive acknowledges that Executive’s breach of the covenants contained in Sections 9, 10 and 11 hereof (collectively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preliminary and permanent injunctive relief without the necessity of proving actual damages or posting any bond or other security in addition to any other relief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the Company may be entitled and other remedies Company may exercise under this Agreement or otherwise.</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90"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During the Term, Executive will be covered by the Company’s director and officer insurance policy to the same extent as all other directors and senior executive officers of the Company.</w:t>
      </w:r>
    </w:p>
    <w:p>
      <w:pPr>
        <w:spacing w:after="0" w:line="132" w:lineRule="exact"/>
        <w:rPr>
          <w:sz w:val="20"/>
          <w:szCs w:val="20"/>
          <w:color w:val="auto"/>
        </w:rPr>
      </w:pPr>
    </w:p>
    <w:p>
      <w:pPr>
        <w:ind w:right="40" w:firstLine="1484"/>
        <w:spacing w:after="0" w:line="268" w:lineRule="auto"/>
        <w:rPr>
          <w:sz w:val="20"/>
          <w:szCs w:val="20"/>
          <w:color w:val="auto"/>
        </w:rPr>
      </w:pPr>
      <w:r>
        <w:rPr>
          <w:rFonts w:ascii="Arial" w:cs="Arial" w:eastAsia="Arial" w:hAnsi="Arial"/>
          <w:sz w:val="18"/>
          <w:szCs w:val="18"/>
          <w:color w:val="auto"/>
        </w:rPr>
        <w:t>Following the execution of this Agreement, the director and officer indemnification agreement executed by the Company and Executive will continue in effect in accordance with its terms.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right="200" w:firstLine="1484"/>
        <w:spacing w:after="0" w:line="370" w:lineRule="auto"/>
        <w:rPr>
          <w:sz w:val="20"/>
          <w:szCs w:val="20"/>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62" w:lineRule="exact"/>
        <w:rPr>
          <w:sz w:val="20"/>
          <w:szCs w:val="20"/>
          <w:color w:val="auto"/>
        </w:rPr>
      </w:pPr>
    </w:p>
    <w:p>
      <w:pPr>
        <w:ind w:right="740" w:firstLine="1484"/>
        <w:spacing w:after="0" w:line="268" w:lineRule="auto"/>
        <w:rPr>
          <w:sz w:val="20"/>
          <w:szCs w:val="20"/>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32"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32" w:lineRule="exact"/>
        <w:rPr>
          <w:sz w:val="20"/>
          <w:szCs w:val="20"/>
          <w:color w:val="auto"/>
        </w:rPr>
      </w:pPr>
    </w:p>
    <w:p>
      <w:pPr>
        <w:ind w:right="80" w:firstLine="1484"/>
        <w:spacing w:after="0" w:line="298" w:lineRule="auto"/>
        <w:rPr>
          <w:sz w:val="20"/>
          <w:szCs w:val="20"/>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13" w:lineRule="exact"/>
        <w:rPr>
          <w:sz w:val="20"/>
          <w:szCs w:val="20"/>
          <w:color w:val="auto"/>
        </w:rPr>
      </w:pPr>
    </w:p>
    <w:p>
      <w:pPr>
        <w:ind w:right="120" w:firstLine="1484"/>
        <w:spacing w:after="0" w:line="255" w:lineRule="auto"/>
        <w:rPr>
          <w:sz w:val="20"/>
          <w:szCs w:val="20"/>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43" w:lineRule="exact"/>
        <w:rPr>
          <w:sz w:val="20"/>
          <w:szCs w:val="20"/>
          <w:color w:val="auto"/>
        </w:rPr>
      </w:pPr>
    </w:p>
    <w:p>
      <w:pPr>
        <w:ind w:firstLine="1484"/>
        <w:spacing w:after="0" w:line="298" w:lineRule="auto"/>
        <w:rPr>
          <w:sz w:val="20"/>
          <w:szCs w:val="20"/>
          <w:color w:val="auto"/>
        </w:rPr>
      </w:pPr>
      <w:r>
        <w:rPr>
          <w:rFonts w:ascii="Arial" w:cs="Arial" w:eastAsia="Arial" w:hAnsi="Arial"/>
          <w:sz w:val="16"/>
          <w:szCs w:val="16"/>
          <w:u w:val="single" w:color="auto"/>
          <w:color w:val="auto"/>
        </w:rPr>
        <w:t>Governing Law; Forum</w:t>
      </w:r>
      <w:r>
        <w:rPr>
          <w:rFonts w:ascii="Arial" w:cs="Arial" w:eastAsia="Arial" w:hAnsi="Arial"/>
          <w:sz w:val="16"/>
          <w:szCs w:val="16"/>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1" w:name="page42"/>
    <w:bookmarkEnd w:id="41"/>
    <w:p>
      <w:pPr>
        <w:ind w:left="150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Any notice required or permitted by this Agreement shall be in writing and shall be delivered as follows with notice deemed given</w:t>
      </w:r>
    </w:p>
    <w:p>
      <w:pPr>
        <w:spacing w:after="0" w:line="38"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09" w:lineRule="exact"/>
        <w:rPr>
          <w:sz w:val="20"/>
          <w:szCs w:val="20"/>
          <w:color w:val="auto"/>
        </w:rPr>
      </w:pPr>
    </w:p>
    <w:p>
      <w:pPr>
        <w:ind w:right="580" w:firstLine="1484"/>
        <w:spacing w:after="0" w:line="259" w:lineRule="auto"/>
        <w:rPr>
          <w:sz w:val="20"/>
          <w:szCs w:val="20"/>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40"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PARTIES TO THIS AGREEMENT HAVE READ THE FOREGOING AGREEMENT AND FULLY UNDERSTAND EACH AND EVERY PROVISION CONTAINED HEREIN. WHEREFORE, THE PARTIES HAVE EXECUTED THIS AGREEMENT ON THE DATES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7880" w:type="dxa"/>
            <w:vAlign w:val="bottom"/>
            <w:gridSpan w:val="3"/>
          </w:tcPr>
          <w:p>
            <w:pPr>
              <w:ind w:left="2120"/>
              <w:spacing w:after="0"/>
              <w:rPr>
                <w:sz w:val="20"/>
                <w:szCs w:val="20"/>
                <w:color w:val="auto"/>
              </w:rPr>
            </w:pPr>
            <w:r>
              <w:rPr>
                <w:rFonts w:ascii="Arial" w:cs="Arial" w:eastAsia="Arial" w:hAnsi="Arial"/>
                <w:sz w:val="18"/>
                <w:szCs w:val="18"/>
                <w:b w:val="1"/>
                <w:bCs w:val="1"/>
                <w:color w:val="auto"/>
              </w:rPr>
              <w:t>BRIAN E. MUELLER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800" w:type="dxa"/>
            <w:vAlign w:val="bottom"/>
            <w:gridSpan w:val="2"/>
          </w:tcPr>
          <w:p>
            <w:pPr>
              <w:ind w:left="21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Brian E. Mueller</w:t>
            </w:r>
          </w:p>
        </w:tc>
      </w:tr>
      <w:tr>
        <w:trPr>
          <w:trHeight w:val="413"/>
        </w:trPr>
        <w:tc>
          <w:tcPr>
            <w:tcW w:w="3540" w:type="dxa"/>
            <w:vAlign w:val="bottom"/>
          </w:tcPr>
          <w:p>
            <w:pPr>
              <w:spacing w:after="0"/>
              <w:rPr>
                <w:sz w:val="24"/>
                <w:szCs w:val="24"/>
                <w:color w:val="auto"/>
              </w:rPr>
            </w:pPr>
          </w:p>
        </w:tc>
        <w:tc>
          <w:tcPr>
            <w:tcW w:w="2800" w:type="dxa"/>
            <w:vAlign w:val="bottom"/>
            <w:gridSpan w:val="2"/>
          </w:tcPr>
          <w:p>
            <w:pPr>
              <w:ind w:left="2120"/>
              <w:spacing w:after="0"/>
              <w:rPr>
                <w:sz w:val="20"/>
                <w:szCs w:val="20"/>
                <w:color w:val="auto"/>
              </w:rPr>
            </w:pPr>
            <w:r>
              <w:rPr>
                <w:rFonts w:ascii="Arial" w:cs="Arial" w:eastAsia="Arial" w:hAnsi="Arial"/>
                <w:sz w:val="18"/>
                <w:szCs w:val="18"/>
                <w:color w:val="auto"/>
                <w:w w:val="92"/>
              </w:rPr>
              <w:t>Address:</w:t>
            </w:r>
          </w:p>
        </w:tc>
        <w:tc>
          <w:tcPr>
            <w:tcW w:w="5080" w:type="dxa"/>
            <w:vAlign w:val="bottom"/>
            <w:tcBorders>
              <w:bottom w:val="single" w:sz="8" w:color="auto"/>
            </w:tcBorders>
          </w:tcPr>
          <w:p>
            <w:pPr>
              <w:spacing w:after="0"/>
              <w:rPr>
                <w:sz w:val="24"/>
                <w:szCs w:val="24"/>
                <w:color w:val="auto"/>
              </w:rPr>
            </w:pPr>
          </w:p>
        </w:tc>
      </w:tr>
      <w:tr>
        <w:trPr>
          <w:trHeight w:val="143"/>
        </w:trPr>
        <w:tc>
          <w:tcPr>
            <w:tcW w:w="3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r>
      <w:tr>
        <w:trPr>
          <w:trHeight w:val="410"/>
        </w:trPr>
        <w:tc>
          <w:tcPr>
            <w:tcW w:w="3540" w:type="dxa"/>
            <w:vAlign w:val="bottom"/>
          </w:tcPr>
          <w:p>
            <w:pPr>
              <w:spacing w:after="0"/>
              <w:rPr>
                <w:sz w:val="24"/>
                <w:szCs w:val="24"/>
                <w:color w:val="auto"/>
              </w:rPr>
            </w:pPr>
          </w:p>
        </w:tc>
        <w:tc>
          <w:tcPr>
            <w:tcW w:w="7880" w:type="dxa"/>
            <w:vAlign w:val="bottom"/>
            <w:gridSpan w:val="3"/>
          </w:tcPr>
          <w:p>
            <w:pPr>
              <w:ind w:left="216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800" w:type="dxa"/>
            <w:vAlign w:val="bottom"/>
            <w:gridSpan w:val="2"/>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Pr>
          <w:p>
            <w:pPr>
              <w:ind w:left="100"/>
              <w:spacing w:after="0"/>
              <w:rPr>
                <w:sz w:val="20"/>
                <w:szCs w:val="20"/>
                <w:color w:val="auto"/>
              </w:rPr>
            </w:pPr>
            <w:r>
              <w:rPr>
                <w:rFonts w:ascii="Arial" w:cs="Arial" w:eastAsia="Arial" w:hAnsi="Arial"/>
                <w:sz w:val="18"/>
                <w:szCs w:val="18"/>
                <w:color w:val="auto"/>
              </w:rPr>
              <w:t>/s/ Brent D. Richardson</w:t>
            </w:r>
          </w:p>
        </w:tc>
      </w:tr>
      <w:tr>
        <w:trPr>
          <w:trHeight w:val="203"/>
        </w:trPr>
        <w:tc>
          <w:tcPr>
            <w:tcW w:w="3540" w:type="dxa"/>
            <w:vAlign w:val="bottom"/>
          </w:tcPr>
          <w:p>
            <w:pPr>
              <w:spacing w:after="0"/>
              <w:rPr>
                <w:sz w:val="17"/>
                <w:szCs w:val="17"/>
                <w:color w:val="auto"/>
              </w:rPr>
            </w:pPr>
          </w:p>
        </w:tc>
        <w:tc>
          <w:tcPr>
            <w:tcW w:w="2780" w:type="dxa"/>
            <w:vAlign w:val="bottom"/>
          </w:tcPr>
          <w:p>
            <w:pPr>
              <w:ind w:left="2160"/>
              <w:spacing w:after="0" w:line="202" w:lineRule="exact"/>
              <w:rPr>
                <w:sz w:val="20"/>
                <w:szCs w:val="20"/>
                <w:color w:val="auto"/>
              </w:rPr>
            </w:pPr>
            <w:r>
              <w:rPr>
                <w:rFonts w:ascii="Arial" w:cs="Arial" w:eastAsia="Arial" w:hAnsi="Arial"/>
                <w:sz w:val="18"/>
                <w:szCs w:val="18"/>
                <w:color w:val="auto"/>
              </w:rPr>
              <w:t>Name:</w:t>
            </w:r>
          </w:p>
        </w:tc>
        <w:tc>
          <w:tcPr>
            <w:tcW w:w="20" w:type="dxa"/>
            <w:vAlign w:val="bottom"/>
            <w:tcBorders>
              <w:top w:val="single" w:sz="8" w:color="auto"/>
            </w:tcBorders>
          </w:tcPr>
          <w:p>
            <w:pPr>
              <w:spacing w:after="0"/>
              <w:rPr>
                <w:sz w:val="17"/>
                <w:szCs w:val="17"/>
                <w:color w:val="auto"/>
              </w:rPr>
            </w:pPr>
          </w:p>
        </w:tc>
        <w:tc>
          <w:tcPr>
            <w:tcW w:w="508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Brent D. Richardson</w:t>
            </w:r>
          </w:p>
        </w:tc>
      </w:tr>
      <w:tr>
        <w:trPr>
          <w:trHeight w:val="222"/>
        </w:trPr>
        <w:tc>
          <w:tcPr>
            <w:tcW w:w="3540" w:type="dxa"/>
            <w:vAlign w:val="bottom"/>
          </w:tcPr>
          <w:p>
            <w:pPr>
              <w:spacing w:after="0"/>
              <w:rPr>
                <w:sz w:val="19"/>
                <w:szCs w:val="19"/>
                <w:color w:val="auto"/>
              </w:rPr>
            </w:pPr>
          </w:p>
        </w:tc>
        <w:tc>
          <w:tcPr>
            <w:tcW w:w="2800" w:type="dxa"/>
            <w:vAlign w:val="bottom"/>
            <w:gridSpan w:val="2"/>
          </w:tcPr>
          <w:p>
            <w:pPr>
              <w:ind w:left="2160"/>
              <w:spacing w:after="0"/>
              <w:rPr>
                <w:sz w:val="20"/>
                <w:szCs w:val="20"/>
                <w:color w:val="auto"/>
              </w:rPr>
            </w:pPr>
            <w:r>
              <w:rPr>
                <w:rFonts w:ascii="Arial" w:cs="Arial" w:eastAsia="Arial" w:hAnsi="Arial"/>
                <w:sz w:val="18"/>
                <w:szCs w:val="18"/>
                <w:color w:val="auto"/>
              </w:rPr>
              <w:t>Title:</w:t>
            </w:r>
          </w:p>
        </w:tc>
        <w:tc>
          <w:tcPr>
            <w:tcW w:w="5080" w:type="dxa"/>
            <w:vAlign w:val="bottom"/>
          </w:tcPr>
          <w:p>
            <w:pPr>
              <w:ind w:left="100"/>
              <w:spacing w:after="0"/>
              <w:rPr>
                <w:sz w:val="20"/>
                <w:szCs w:val="20"/>
                <w:color w:val="auto"/>
              </w:rPr>
            </w:pPr>
            <w:r>
              <w:rPr>
                <w:rFonts w:ascii="Arial" w:cs="Arial" w:eastAsia="Arial" w:hAnsi="Arial"/>
                <w:sz w:val="18"/>
                <w:szCs w:val="18"/>
                <w:color w:val="auto"/>
              </w:rPr>
              <w:t>Executive Chairman</w:t>
            </w:r>
          </w:p>
        </w:tc>
      </w:tr>
      <w:tr>
        <w:trPr>
          <w:trHeight w:val="426"/>
        </w:trPr>
        <w:tc>
          <w:tcPr>
            <w:tcW w:w="3540" w:type="dxa"/>
            <w:vAlign w:val="bottom"/>
          </w:tcPr>
          <w:p>
            <w:pPr>
              <w:spacing w:after="0"/>
              <w:rPr>
                <w:sz w:val="24"/>
                <w:szCs w:val="24"/>
                <w:color w:val="auto"/>
              </w:rPr>
            </w:pPr>
          </w:p>
        </w:tc>
        <w:tc>
          <w:tcPr>
            <w:tcW w:w="2800" w:type="dxa"/>
            <w:vAlign w:val="bottom"/>
            <w:gridSpan w:val="2"/>
          </w:tcPr>
          <w:p>
            <w:pPr>
              <w:ind w:left="2160"/>
              <w:spacing w:after="0"/>
              <w:rPr>
                <w:sz w:val="20"/>
                <w:szCs w:val="20"/>
                <w:color w:val="auto"/>
              </w:rPr>
            </w:pPr>
            <w:r>
              <w:rPr>
                <w:rFonts w:ascii="Arial" w:cs="Arial" w:eastAsia="Arial" w:hAnsi="Arial"/>
                <w:sz w:val="18"/>
                <w:szCs w:val="18"/>
                <w:color w:val="auto"/>
                <w:w w:val="87"/>
              </w:rPr>
              <w:t>Address:</w:t>
            </w:r>
          </w:p>
        </w:tc>
        <w:tc>
          <w:tcPr>
            <w:tcW w:w="5080" w:type="dxa"/>
            <w:vAlign w:val="bottom"/>
          </w:tcPr>
          <w:p>
            <w:pPr>
              <w:ind w:left="100"/>
              <w:spacing w:after="0"/>
              <w:rPr>
                <w:sz w:val="20"/>
                <w:szCs w:val="20"/>
                <w:color w:val="auto"/>
              </w:rPr>
            </w:pPr>
            <w:r>
              <w:rPr>
                <w:rFonts w:ascii="Arial" w:cs="Arial" w:eastAsia="Arial" w:hAnsi="Arial"/>
                <w:sz w:val="18"/>
                <w:szCs w:val="18"/>
                <w:color w:val="auto"/>
              </w:rPr>
              <w:t>3300 West Camelback Road</w:t>
            </w:r>
          </w:p>
        </w:tc>
      </w:tr>
      <w:tr>
        <w:trPr>
          <w:trHeight w:val="222"/>
        </w:trPr>
        <w:tc>
          <w:tcPr>
            <w:tcW w:w="35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65"/>
        </w:trPr>
        <w:tc>
          <w:tcPr>
            <w:tcW w:w="3540" w:type="dxa"/>
            <w:vAlign w:val="bottom"/>
          </w:tcPr>
          <w:p>
            <w:pPr>
              <w:spacing w:after="0"/>
              <w:rPr>
                <w:sz w:val="24"/>
                <w:szCs w:val="24"/>
                <w:color w:val="auto"/>
              </w:rPr>
            </w:pPr>
          </w:p>
        </w:tc>
        <w:tc>
          <w:tcPr>
            <w:tcW w:w="2780" w:type="dxa"/>
            <w:vAlign w:val="bottom"/>
          </w:tcPr>
          <w:p>
            <w:pPr>
              <w:ind w:left="20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Operating Officer)</w:t>
      </w:r>
    </w:p>
    <w:p>
      <w:pPr>
        <w:spacing w:after="0" w:line="16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This Amended and Restated Executive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on July 30, 2012 and is effective as of July 1, 2012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Grand Canyon Education,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W. Stan Meyer (“</w:t>
      </w:r>
      <w:r>
        <w:rPr>
          <w:rFonts w:ascii="Arial" w:cs="Arial" w:eastAsia="Arial" w:hAnsi="Arial"/>
          <w:sz w:val="16"/>
          <w:szCs w:val="16"/>
          <w:u w:val="single" w:color="auto"/>
          <w:color w:val="auto"/>
        </w:rPr>
        <w:t>Executive</w:t>
      </w:r>
      <w:r>
        <w:rPr>
          <w:rFonts w:ascii="Arial" w:cs="Arial" w:eastAsia="Arial" w:hAnsi="Arial"/>
          <w:sz w:val="16"/>
          <w:szCs w:val="16"/>
          <w:color w:val="auto"/>
        </w:rPr>
        <w:t>”).</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Company and Executive entered into an employment agreement dated June 25, 2008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32" w:lineRule="exact"/>
        <w:rPr>
          <w:sz w:val="20"/>
          <w:szCs w:val="20"/>
          <w:color w:val="auto"/>
        </w:rPr>
      </w:pPr>
    </w:p>
    <w:p>
      <w:pPr>
        <w:ind w:left="460" w:right="340"/>
        <w:spacing w:after="0" w:line="493" w:lineRule="auto"/>
        <w:rPr>
          <w:sz w:val="20"/>
          <w:szCs w:val="20"/>
          <w:color w:val="auto"/>
        </w:rPr>
      </w:pPr>
      <w:r>
        <w:rPr>
          <w:rFonts w:ascii="Arial" w:cs="Arial" w:eastAsia="Arial" w:hAnsi="Arial"/>
          <w:sz w:val="16"/>
          <w:szCs w:val="16"/>
          <w:color w:val="auto"/>
        </w:rPr>
        <w:t>WHEREAS, the Company and Executive desire to amend and restate the Original Agreement through the execution and delivery of this Agreement; NOW, THEREFORE, for good and valuable consideration, the receipt and sufficiency of which are hereby acknowledged, the parties agree as follows:</w:t>
      </w:r>
    </w:p>
    <w:p>
      <w:pPr>
        <w:ind w:right="160" w:firstLine="456"/>
        <w:spacing w:after="0" w:line="268" w:lineRule="auto"/>
        <w:rPr>
          <w:sz w:val="20"/>
          <w:szCs w:val="20"/>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Operating Officer and shall have the duties and responsibilities reasonably assigned to him from time to time by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or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43" w:lineRule="exact"/>
        <w:rPr>
          <w:sz w:val="20"/>
          <w:szCs w:val="20"/>
          <w:color w:val="auto"/>
        </w:rPr>
      </w:pPr>
    </w:p>
    <w:p>
      <w:pPr>
        <w:ind w:right="200" w:firstLine="913"/>
        <w:spacing w:after="0" w:line="253" w:lineRule="auto"/>
        <w:rPr>
          <w:sz w:val="20"/>
          <w:szCs w:val="20"/>
          <w:color w:val="auto"/>
        </w:rPr>
      </w:pP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Board and CEO in advance of Executive’s intent to engage in other paid work and receives the Board’s and CEO’s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Work Location</w:t>
      </w:r>
      <w:r>
        <w:rPr>
          <w:rFonts w:ascii="Arial" w:cs="Arial" w:eastAsia="Arial" w:hAnsi="Arial"/>
          <w:sz w:val="16"/>
          <w:szCs w:val="16"/>
          <w:color w:val="auto"/>
        </w:rPr>
        <w:t>. Executive’s principal place of work shall be located in Phoenix, Arizona, or such other location as the Company may direct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ectPr>
          <w:pgSz w:w="11900" w:h="16838" w:orient="portrait"/>
          <w:cols w:equalWidth="0" w:num="1">
            <w:col w:w="11420"/>
          </w:cols>
          <w:pgMar w:left="240" w:top="125"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The employment relationship pursuant to this Agreement shall be for an initial term commencing on the Effective Date and continuing for a period of four (4) years following such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unless sooner terminated in accordance with Section 7.</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Renewal</w:t>
      </w:r>
      <w:r>
        <w:rPr>
          <w:rFonts w:ascii="Arial" w:cs="Arial" w:eastAsia="Arial" w:hAnsi="Arial"/>
          <w:sz w:val="16"/>
          <w:szCs w:val="16"/>
          <w:color w:val="auto"/>
        </w:rPr>
        <w:t>. Upon expiration of the Initial Term and each Renewal Term, this Agreement will automatically renew for subsequent one (1) year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Three-Hundred Sixty-Two Thousand Two-Hundred Fifty Dollars ($362,250.00)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w:t>
      </w:r>
    </w:p>
    <w:p>
      <w:pPr>
        <w:spacing w:after="0" w:line="12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earn incentive compensation in the form of an annual bonus for each fiscal year of the Company, to be awarded under the Company’s annual cash incentive plan as then in effect, with a target amount equal to seventy-five percent (75%)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2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Executive’s Employment</w:t>
      </w:r>
      <w:r>
        <w:rPr>
          <w:rFonts w:ascii="Arial" w:cs="Arial" w:eastAsia="Arial" w:hAnsi="Arial"/>
          <w:sz w:val="18"/>
          <w:szCs w:val="18"/>
          <w:color w:val="auto"/>
        </w:rPr>
        <w:t>.</w:t>
      </w:r>
    </w:p>
    <w:p>
      <w:pPr>
        <w:spacing w:after="0" w:line="171" w:lineRule="exact"/>
        <w:rPr>
          <w:sz w:val="20"/>
          <w:szCs w:val="20"/>
          <w:color w:val="auto"/>
        </w:rPr>
      </w:pPr>
    </w:p>
    <w:p>
      <w:pPr>
        <w:ind w:right="60" w:firstLine="1484"/>
        <w:spacing w:after="0" w:line="286" w:lineRule="auto"/>
        <w:rPr>
          <w:sz w:val="20"/>
          <w:szCs w:val="20"/>
          <w:color w:val="auto"/>
        </w:rPr>
      </w:pP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w:t>
      </w:r>
    </w:p>
    <w:p>
      <w:pPr>
        <w:ind w:right="40" w:firstLine="8"/>
        <w:spacing w:after="0" w:line="284"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3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u w:val="single" w:color="auto"/>
          <w:color w:val="auto"/>
        </w:rPr>
        <w:t>Termination Without Cause by Company</w:t>
      </w:r>
      <w:r>
        <w:rPr>
          <w:rFonts w:ascii="Arial" w:cs="Arial" w:eastAsia="Arial" w:hAnsi="Arial"/>
          <w:sz w:val="18"/>
          <w:szCs w:val="18"/>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8"/>
          <w:szCs w:val="18"/>
          <w:u w:val="single" w:color="auto"/>
          <w:color w:val="auto"/>
        </w:rPr>
        <w:t>Severance Package</w:t>
      </w:r>
      <w:r>
        <w:rPr>
          <w:rFonts w:ascii="Arial" w:cs="Arial" w:eastAsia="Arial" w:hAnsi="Arial"/>
          <w:sz w:val="18"/>
          <w:szCs w:val="18"/>
          <w:color w:val="auto"/>
        </w:rPr>
        <w:t>” that shall consist of:</w:t>
      </w:r>
    </w:p>
    <w:p>
      <w:pPr>
        <w:spacing w:after="0" w:line="143" w:lineRule="exact"/>
        <w:rPr>
          <w:sz w:val="20"/>
          <w:szCs w:val="20"/>
          <w:color w:val="auto"/>
        </w:rPr>
      </w:pPr>
    </w:p>
    <w:p>
      <w:pPr>
        <w:ind w:right="280" w:firstLine="1484"/>
        <w:spacing w:after="0" w:line="286" w:lineRule="auto"/>
        <w:rPr>
          <w:sz w:val="20"/>
          <w:szCs w:val="20"/>
          <w:color w:val="auto"/>
        </w:rPr>
      </w:pPr>
      <w:r>
        <w:rPr>
          <w:rFonts w:ascii="Arial" w:cs="Arial" w:eastAsia="Arial" w:hAnsi="Arial"/>
          <w:sz w:val="16"/>
          <w:szCs w:val="16"/>
          <w:color w:val="auto"/>
        </w:rPr>
        <w:t>severance in an amount equal to the sum of (i) twelve (12) months of Executive’s Base Salary then in effect on the Termination Date, and (ii) 100% of Executive’s Target Bonus for the fiscal year in which the Termination Date occurs, with the total of such amounts to be payable over twelve</w:t>
      </w:r>
    </w:p>
    <w:p>
      <w:pPr>
        <w:ind w:right="180" w:firstLine="8"/>
        <w:spacing w:after="0" w:line="261"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months in equal installments in accordance with the Company’s regular payroll cycle, commencing with the first payroll date occurring on or after the 60th day following the Termination Date;</w:t>
      </w:r>
    </w:p>
    <w:p>
      <w:pPr>
        <w:spacing w:after="0" w:line="138"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w:t>
      </w:r>
    </w:p>
    <w:p>
      <w:pPr>
        <w:ind w:right="140" w:firstLine="8"/>
        <w:spacing w:after="0" w:line="261" w:lineRule="auto"/>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5" w:name="page46"/>
    <w:bookmarkEnd w:id="45"/>
    <w:p>
      <w:pPr>
        <w:ind w:right="62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6"/>
          <w:szCs w:val="16"/>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Severance Payment</w:t>
      </w:r>
      <w:r>
        <w:rPr>
          <w:rFonts w:ascii="Arial" w:cs="Arial" w:eastAsia="Arial" w:hAnsi="Arial"/>
          <w:sz w:val="16"/>
          <w:szCs w:val="16"/>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his intent to exercise his rights pursuant to this Section within thirty (30) days following the first occurrence of such condition(s).</w:t>
      </w:r>
    </w:p>
    <w:p>
      <w:pPr>
        <w:spacing w:after="0" w:line="128"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u w:val="single" w:color="auto"/>
          <w:color w:val="auto"/>
        </w:rPr>
        <w:t>Voluntary Resignation by Executive Without Good Reason</w:t>
      </w:r>
      <w:r>
        <w:rPr>
          <w:rFonts w:ascii="Arial" w:cs="Arial" w:eastAsia="Arial" w:hAnsi="Arial"/>
          <w:sz w:val="18"/>
          <w:szCs w:val="18"/>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6" w:name="page47"/>
    <w:bookmarkEnd w:id="46"/>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After a Change in Control</w:t>
      </w:r>
      <w:r>
        <w:rPr>
          <w:rFonts w:ascii="Arial" w:cs="Arial" w:eastAsia="Arial" w:hAnsi="Arial"/>
          <w:sz w:val="18"/>
          <w:szCs w:val="18"/>
          <w:color w:val="auto"/>
        </w:rPr>
        <w:t>.</w:t>
      </w:r>
    </w:p>
    <w:p>
      <w:pPr>
        <w:spacing w:after="0" w:line="171" w:lineRule="exact"/>
        <w:rPr>
          <w:sz w:val="20"/>
          <w:szCs w:val="20"/>
          <w:color w:val="auto"/>
        </w:rPr>
      </w:pPr>
    </w:p>
    <w:p>
      <w:pPr>
        <w:ind w:right="40" w:firstLine="1484"/>
        <w:spacing w:after="0" w:line="302" w:lineRule="auto"/>
        <w:rPr>
          <w:sz w:val="20"/>
          <w:szCs w:val="20"/>
          <w:color w:val="auto"/>
        </w:rPr>
      </w:pPr>
      <w:r>
        <w:rPr>
          <w:rFonts w:ascii="Arial" w:cs="Arial" w:eastAsia="Arial" w:hAnsi="Arial"/>
          <w:sz w:val="15"/>
          <w:szCs w:val="15"/>
          <w:u w:val="single" w:color="auto"/>
          <w:color w:val="auto"/>
        </w:rPr>
        <w:t>Severance Payment; Equity Award Acceleration</w:t>
      </w:r>
      <w:r>
        <w:rPr>
          <w:rFonts w:ascii="Arial" w:cs="Arial" w:eastAsia="Arial" w:hAnsi="Arial"/>
          <w:sz w:val="15"/>
          <w:szCs w:val="15"/>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w:t>
      </w:r>
    </w:p>
    <w:p>
      <w:pPr>
        <w:spacing w:after="0" w:line="3" w:lineRule="exact"/>
        <w:rPr>
          <w:sz w:val="20"/>
          <w:szCs w:val="20"/>
          <w:color w:val="auto"/>
        </w:rPr>
      </w:pPr>
    </w:p>
    <w:p>
      <w:pPr>
        <w:jc w:val="both"/>
        <w:ind w:right="420" w:firstLine="8"/>
        <w:spacing w:after="0" w:line="254"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171" w:lineRule="exact"/>
        <w:rPr>
          <w:sz w:val="20"/>
          <w:szCs w:val="20"/>
          <w:color w:val="auto"/>
        </w:rPr>
      </w:pPr>
    </w:p>
    <w:p>
      <w:pPr>
        <w:ind w:firstLine="1940"/>
        <w:spacing w:after="0" w:line="286" w:lineRule="auto"/>
        <w:rPr>
          <w:sz w:val="20"/>
          <w:szCs w:val="20"/>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127" w:lineRule="exact"/>
        <w:rPr>
          <w:sz w:val="20"/>
          <w:szCs w:val="20"/>
          <w:color w:val="auto"/>
        </w:rPr>
      </w:pPr>
    </w:p>
    <w:p>
      <w:pPr>
        <w:ind w:right="60" w:firstLine="1940"/>
        <w:spacing w:after="0" w:line="253" w:lineRule="auto"/>
        <w:rPr>
          <w:sz w:val="20"/>
          <w:szCs w:val="20"/>
          <w:color w:val="auto"/>
        </w:rPr>
      </w:pPr>
      <w:r>
        <w:rPr>
          <w:rFonts w:ascii="Arial" w:cs="Arial" w:eastAsia="Arial" w:hAnsi="Arial"/>
          <w:sz w:val="18"/>
          <w:szCs w:val="18"/>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7" w:name="page48"/>
    <w:bookmarkEnd w:id="47"/>
    <w:p>
      <w:pPr>
        <w:ind w:left="1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Control</w:t>
      </w:r>
      <w:r>
        <w:rPr>
          <w:rFonts w:ascii="Arial" w:cs="Arial" w:eastAsia="Arial" w:hAnsi="Arial"/>
          <w:sz w:val="18"/>
          <w:szCs w:val="18"/>
          <w:color w:val="auto"/>
        </w:rPr>
        <w:t>. A Change in Control is defined as any one of the following occurrences:</w:t>
      </w:r>
    </w:p>
    <w:p>
      <w:pPr>
        <w:spacing w:after="0" w:line="90" w:lineRule="exact"/>
        <w:rPr>
          <w:sz w:val="20"/>
          <w:szCs w:val="20"/>
          <w:color w:val="auto"/>
        </w:rPr>
      </w:pPr>
    </w:p>
    <w:p>
      <w:pPr>
        <w:ind w:right="20" w:firstLine="1940"/>
        <w:spacing w:after="0" w:line="288" w:lineRule="auto"/>
        <w:rPr>
          <w:sz w:val="20"/>
          <w:szCs w:val="20"/>
          <w:color w:val="auto"/>
        </w:rPr>
      </w:pPr>
      <w:r>
        <w:rPr>
          <w:rFonts w:ascii="Arial" w:cs="Arial" w:eastAsia="Arial" w:hAnsi="Arial"/>
          <w:sz w:val="16"/>
          <w:szCs w:val="16"/>
          <w:color w:val="auto"/>
        </w:rPr>
        <w:t>Any “person”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20" w:lineRule="exact"/>
        <w:rPr>
          <w:sz w:val="20"/>
          <w:szCs w:val="20"/>
          <w:color w:val="auto"/>
        </w:rPr>
      </w:pPr>
    </w:p>
    <w:p>
      <w:pPr>
        <w:ind w:firstLine="1940"/>
        <w:spacing w:after="0" w:line="268" w:lineRule="auto"/>
        <w:rPr>
          <w:sz w:val="20"/>
          <w:szCs w:val="20"/>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32" w:lineRule="exact"/>
        <w:rPr>
          <w:sz w:val="20"/>
          <w:szCs w:val="20"/>
          <w:color w:val="auto"/>
        </w:rPr>
      </w:pPr>
    </w:p>
    <w:p>
      <w:pPr>
        <w:ind w:right="260" w:firstLine="1940"/>
        <w:spacing w:after="0" w:line="256" w:lineRule="auto"/>
        <w:rPr>
          <w:sz w:val="20"/>
          <w:szCs w:val="20"/>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4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dissolution or liquidation of the Company.</w:t>
      </w:r>
    </w:p>
    <w:p>
      <w:pPr>
        <w:spacing w:after="0" w:line="17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2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48" w:name="page49"/>
    <w:bookmarkEnd w:id="48"/>
    <w:p>
      <w:pPr>
        <w:ind w:firstLine="913"/>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71" w:lineRule="exact"/>
        <w:rPr>
          <w:sz w:val="20"/>
          <w:szCs w:val="20"/>
          <w:color w:val="auto"/>
        </w:rPr>
      </w:pPr>
    </w:p>
    <w:p>
      <w:pPr>
        <w:ind w:right="60" w:firstLine="1484"/>
        <w:spacing w:after="0" w:line="289" w:lineRule="auto"/>
        <w:rPr>
          <w:sz w:val="20"/>
          <w:szCs w:val="20"/>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18" w:lineRule="exact"/>
        <w:rPr>
          <w:sz w:val="20"/>
          <w:szCs w:val="20"/>
          <w:color w:val="auto"/>
        </w:rPr>
      </w:pPr>
    </w:p>
    <w:p>
      <w:pPr>
        <w:ind w:right="60" w:firstLine="1484"/>
        <w:spacing w:after="0" w:line="268" w:lineRule="auto"/>
        <w:rPr>
          <w:sz w:val="20"/>
          <w:szCs w:val="20"/>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32" w:lineRule="exact"/>
        <w:rPr>
          <w:sz w:val="20"/>
          <w:szCs w:val="20"/>
          <w:color w:val="auto"/>
        </w:rPr>
      </w:pPr>
    </w:p>
    <w:p>
      <w:pPr>
        <w:ind w:right="100" w:firstLine="1484"/>
        <w:spacing w:after="0" w:line="318" w:lineRule="auto"/>
        <w:rPr>
          <w:sz w:val="20"/>
          <w:szCs w:val="20"/>
          <w:color w:val="auto"/>
        </w:rPr>
      </w:pPr>
      <w:r>
        <w:rPr>
          <w:rFonts w:ascii="Arial" w:cs="Arial" w:eastAsia="Arial" w:hAnsi="Arial"/>
          <w:sz w:val="15"/>
          <w:szCs w:val="15"/>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5"/>
          <w:szCs w:val="15"/>
          <w:b w:val="1"/>
          <w:bCs w:val="1"/>
          <w:color w:val="auto"/>
        </w:rPr>
        <w:t xml:space="preserve">However, the Company does not guarantee any particular tax effect for income provided to Executive pursuant to this Agreement. </w:t>
      </w:r>
      <w:r>
        <w:rPr>
          <w:rFonts w:ascii="Arial" w:cs="Arial" w:eastAsia="Arial" w:hAnsi="Arial"/>
          <w:sz w:val="15"/>
          <w:szCs w:val="15"/>
          <w:color w:val="auto"/>
        </w:rPr>
        <w:t>In any event, except</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No Violation of Rights of Third Parties</w:t>
      </w:r>
      <w:r>
        <w:rPr>
          <w:rFonts w:ascii="Arial" w:cs="Arial" w:eastAsia="Arial" w:hAnsi="Arial"/>
          <w:sz w:val="16"/>
          <w:szCs w:val="16"/>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Other Covenants</w:t>
      </w:r>
      <w:r>
        <w:rPr>
          <w:rFonts w:ascii="Arial" w:cs="Arial" w:eastAsia="Arial" w:hAnsi="Arial"/>
          <w:sz w:val="16"/>
          <w:szCs w:val="16"/>
          <w:color w:val="auto"/>
        </w:rPr>
        <w:t>. Executive hereby makes the following covenants, each of which Executive acknowledges and agrees are a material part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9" w:name="page50"/>
    <w:bookmarkEnd w:id="49"/>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1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44"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During the Term and after the termination thereof, neither Executive nor the Company will disparage each other, or the Company’s products, services, agents or employees.</w:t>
      </w:r>
    </w:p>
    <w:p>
      <w:pPr>
        <w:spacing w:after="0" w:line="13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Confidentiality and Proprietary Rights</w:t>
      </w:r>
      <w:r>
        <w:rPr>
          <w:rFonts w:ascii="Arial" w:cs="Arial" w:eastAsia="Arial" w:hAnsi="Arial"/>
          <w:sz w:val="16"/>
          <w:szCs w:val="16"/>
          <w:color w:val="auto"/>
        </w:rPr>
        <w:t>. Executive agrees to continue to abide by the Nondisclosure Agreement, which is incorporated herein by reference.</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0" w:name="page51"/>
    <w:bookmarkEnd w:id="50"/>
    <w:p>
      <w:pPr>
        <w:ind w:right="60"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Injunctive Relief</w:t>
      </w:r>
      <w:r>
        <w:rPr>
          <w:rFonts w:ascii="Arial" w:cs="Arial" w:eastAsia="Arial" w:hAnsi="Arial"/>
          <w:sz w:val="16"/>
          <w:szCs w:val="16"/>
          <w:color w:val="auto"/>
        </w:rPr>
        <w:t>. Executive acknowledges that Executive’s breach of the covenants contained in Sections 9, 10 and 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During the Term, Executive will be covered by the Company’s director and officer insurance policy to the same extent as all other senior executive officers of the Company.</w:t>
      </w:r>
    </w:p>
    <w:p>
      <w:pPr>
        <w:spacing w:after="0" w:line="13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Following the execution of this Agreement, the director and officer indemnification agreement executed by the Company and Executive will continue in effect in accordance with its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8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1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43" w:lineRule="exact"/>
        <w:rPr>
          <w:sz w:val="20"/>
          <w:szCs w:val="20"/>
          <w:color w:val="auto"/>
        </w:rPr>
      </w:pPr>
    </w:p>
    <w:p>
      <w:pPr>
        <w:ind w:right="420" w:firstLine="913"/>
        <w:spacing w:after="0" w:line="298" w:lineRule="auto"/>
        <w:rPr>
          <w:sz w:val="20"/>
          <w:szCs w:val="20"/>
          <w:color w:val="auto"/>
        </w:rPr>
      </w:pPr>
      <w:r>
        <w:rPr>
          <w:rFonts w:ascii="Arial" w:cs="Arial" w:eastAsia="Arial" w:hAnsi="Arial"/>
          <w:sz w:val="16"/>
          <w:szCs w:val="16"/>
          <w:u w:val="single" w:color="auto"/>
          <w:color w:val="auto"/>
        </w:rPr>
        <w:t>Governing Law; Forum</w:t>
      </w:r>
      <w:r>
        <w:rPr>
          <w:rFonts w:ascii="Arial" w:cs="Arial" w:eastAsia="Arial" w:hAnsi="Arial"/>
          <w:sz w:val="16"/>
          <w:szCs w:val="16"/>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51" w:name="page52"/>
    <w:bookmarkEnd w:id="51"/>
    <w:p>
      <w:pPr>
        <w:ind w:left="9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Any notice required or permitted by this Agreement shall be in writing and shall be delivered as follows with notice deemed given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indicated: (a) by personal delivery when delivered personally; (b) by overnight courier upon written verification of receipt; (c) by telecopy or facsimile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transmission upon acknowledgment of receipt of electronic transmission; or (d) by certified or registered mail, return receipt requested, upon verification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receipt. Notice shall be sent to the addresses set forth under the signatures below, or such other address as either party may specify in writing.</w:t>
      </w:r>
    </w:p>
    <w:p>
      <w:pPr>
        <w:spacing w:after="0" w:line="165"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PARTIES TO THIS AGREEMENT HAVE READ THE FOREGOING AGREEMENT AND FULLY UNDERSTAND EACH AND EVERY PROVISION CONTAINED HEREIN. WHEREFORE, THE PARTIES HAVE EXECUTED THIS AGREEMENT ON THE DATES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7880" w:type="dxa"/>
            <w:vAlign w:val="bottom"/>
            <w:gridSpan w:val="3"/>
          </w:tcPr>
          <w:p>
            <w:pPr>
              <w:ind w:left="2120"/>
              <w:spacing w:after="0"/>
              <w:rPr>
                <w:sz w:val="20"/>
                <w:szCs w:val="20"/>
                <w:color w:val="auto"/>
              </w:rPr>
            </w:pPr>
            <w:r>
              <w:rPr>
                <w:rFonts w:ascii="Arial" w:cs="Arial" w:eastAsia="Arial" w:hAnsi="Arial"/>
                <w:sz w:val="18"/>
                <w:szCs w:val="18"/>
                <w:b w:val="1"/>
                <w:bCs w:val="1"/>
                <w:color w:val="auto"/>
              </w:rPr>
              <w:t>W. STAN MEYER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800" w:type="dxa"/>
            <w:vAlign w:val="bottom"/>
            <w:gridSpan w:val="2"/>
          </w:tcPr>
          <w:p>
            <w:pPr>
              <w:ind w:left="21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W. Stan Meyer</w:t>
            </w:r>
          </w:p>
        </w:tc>
      </w:tr>
      <w:tr>
        <w:trPr>
          <w:trHeight w:val="413"/>
        </w:trPr>
        <w:tc>
          <w:tcPr>
            <w:tcW w:w="3540" w:type="dxa"/>
            <w:vAlign w:val="bottom"/>
          </w:tcPr>
          <w:p>
            <w:pPr>
              <w:spacing w:after="0"/>
              <w:rPr>
                <w:sz w:val="24"/>
                <w:szCs w:val="24"/>
                <w:color w:val="auto"/>
              </w:rPr>
            </w:pPr>
          </w:p>
        </w:tc>
        <w:tc>
          <w:tcPr>
            <w:tcW w:w="2800" w:type="dxa"/>
            <w:vAlign w:val="bottom"/>
            <w:gridSpan w:val="2"/>
          </w:tcPr>
          <w:p>
            <w:pPr>
              <w:ind w:left="2120"/>
              <w:spacing w:after="0"/>
              <w:rPr>
                <w:sz w:val="20"/>
                <w:szCs w:val="20"/>
                <w:color w:val="auto"/>
              </w:rPr>
            </w:pPr>
            <w:r>
              <w:rPr>
                <w:rFonts w:ascii="Arial" w:cs="Arial" w:eastAsia="Arial" w:hAnsi="Arial"/>
                <w:sz w:val="18"/>
                <w:szCs w:val="18"/>
                <w:color w:val="auto"/>
                <w:w w:val="92"/>
              </w:rPr>
              <w:t>Address:</w:t>
            </w:r>
          </w:p>
        </w:tc>
        <w:tc>
          <w:tcPr>
            <w:tcW w:w="5080" w:type="dxa"/>
            <w:vAlign w:val="bottom"/>
            <w:tcBorders>
              <w:bottom w:val="single" w:sz="8" w:color="auto"/>
            </w:tcBorders>
          </w:tcPr>
          <w:p>
            <w:pPr>
              <w:spacing w:after="0"/>
              <w:rPr>
                <w:sz w:val="24"/>
                <w:szCs w:val="24"/>
                <w:color w:val="auto"/>
              </w:rPr>
            </w:pPr>
          </w:p>
        </w:tc>
      </w:tr>
      <w:tr>
        <w:trPr>
          <w:trHeight w:val="143"/>
        </w:trPr>
        <w:tc>
          <w:tcPr>
            <w:tcW w:w="3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r>
      <w:tr>
        <w:trPr>
          <w:trHeight w:val="410"/>
        </w:trPr>
        <w:tc>
          <w:tcPr>
            <w:tcW w:w="3540" w:type="dxa"/>
            <w:vAlign w:val="bottom"/>
          </w:tcPr>
          <w:p>
            <w:pPr>
              <w:spacing w:after="0"/>
              <w:rPr>
                <w:sz w:val="24"/>
                <w:szCs w:val="24"/>
                <w:color w:val="auto"/>
              </w:rPr>
            </w:pPr>
          </w:p>
        </w:tc>
        <w:tc>
          <w:tcPr>
            <w:tcW w:w="7880" w:type="dxa"/>
            <w:vAlign w:val="bottom"/>
            <w:gridSpan w:val="3"/>
          </w:tcPr>
          <w:p>
            <w:pPr>
              <w:ind w:left="216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800" w:type="dxa"/>
            <w:vAlign w:val="bottom"/>
            <w:gridSpan w:val="2"/>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Pr>
          <w:p>
            <w:pPr>
              <w:ind w:left="100"/>
              <w:spacing w:after="0"/>
              <w:rPr>
                <w:sz w:val="20"/>
                <w:szCs w:val="20"/>
                <w:color w:val="auto"/>
              </w:rPr>
            </w:pPr>
            <w:r>
              <w:rPr>
                <w:rFonts w:ascii="Arial" w:cs="Arial" w:eastAsia="Arial" w:hAnsi="Arial"/>
                <w:sz w:val="18"/>
                <w:szCs w:val="18"/>
                <w:color w:val="auto"/>
              </w:rPr>
              <w:t>/s/ Brent D. Richardson</w:t>
            </w:r>
          </w:p>
        </w:tc>
      </w:tr>
      <w:tr>
        <w:trPr>
          <w:trHeight w:val="203"/>
        </w:trPr>
        <w:tc>
          <w:tcPr>
            <w:tcW w:w="3540" w:type="dxa"/>
            <w:vAlign w:val="bottom"/>
          </w:tcPr>
          <w:p>
            <w:pPr>
              <w:spacing w:after="0"/>
              <w:rPr>
                <w:sz w:val="17"/>
                <w:szCs w:val="17"/>
                <w:color w:val="auto"/>
              </w:rPr>
            </w:pPr>
          </w:p>
        </w:tc>
        <w:tc>
          <w:tcPr>
            <w:tcW w:w="2780" w:type="dxa"/>
            <w:vAlign w:val="bottom"/>
          </w:tcPr>
          <w:p>
            <w:pPr>
              <w:ind w:left="2160"/>
              <w:spacing w:after="0" w:line="202" w:lineRule="exact"/>
              <w:rPr>
                <w:sz w:val="20"/>
                <w:szCs w:val="20"/>
                <w:color w:val="auto"/>
              </w:rPr>
            </w:pPr>
            <w:r>
              <w:rPr>
                <w:rFonts w:ascii="Arial" w:cs="Arial" w:eastAsia="Arial" w:hAnsi="Arial"/>
                <w:sz w:val="18"/>
                <w:szCs w:val="18"/>
                <w:color w:val="auto"/>
              </w:rPr>
              <w:t>Name:</w:t>
            </w:r>
          </w:p>
        </w:tc>
        <w:tc>
          <w:tcPr>
            <w:tcW w:w="20" w:type="dxa"/>
            <w:vAlign w:val="bottom"/>
            <w:tcBorders>
              <w:top w:val="single" w:sz="8" w:color="auto"/>
            </w:tcBorders>
          </w:tcPr>
          <w:p>
            <w:pPr>
              <w:spacing w:after="0"/>
              <w:rPr>
                <w:sz w:val="17"/>
                <w:szCs w:val="17"/>
                <w:color w:val="auto"/>
              </w:rPr>
            </w:pPr>
          </w:p>
        </w:tc>
        <w:tc>
          <w:tcPr>
            <w:tcW w:w="508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Brent D. Richardson</w:t>
            </w:r>
          </w:p>
        </w:tc>
      </w:tr>
      <w:tr>
        <w:trPr>
          <w:trHeight w:val="222"/>
        </w:trPr>
        <w:tc>
          <w:tcPr>
            <w:tcW w:w="3540" w:type="dxa"/>
            <w:vAlign w:val="bottom"/>
          </w:tcPr>
          <w:p>
            <w:pPr>
              <w:spacing w:after="0"/>
              <w:rPr>
                <w:sz w:val="19"/>
                <w:szCs w:val="19"/>
                <w:color w:val="auto"/>
              </w:rPr>
            </w:pPr>
          </w:p>
        </w:tc>
        <w:tc>
          <w:tcPr>
            <w:tcW w:w="2800" w:type="dxa"/>
            <w:vAlign w:val="bottom"/>
            <w:gridSpan w:val="2"/>
          </w:tcPr>
          <w:p>
            <w:pPr>
              <w:ind w:left="2160"/>
              <w:spacing w:after="0"/>
              <w:rPr>
                <w:sz w:val="20"/>
                <w:szCs w:val="20"/>
                <w:color w:val="auto"/>
              </w:rPr>
            </w:pPr>
            <w:r>
              <w:rPr>
                <w:rFonts w:ascii="Arial" w:cs="Arial" w:eastAsia="Arial" w:hAnsi="Arial"/>
                <w:sz w:val="18"/>
                <w:szCs w:val="18"/>
                <w:color w:val="auto"/>
              </w:rPr>
              <w:t>Title:</w:t>
            </w:r>
          </w:p>
        </w:tc>
        <w:tc>
          <w:tcPr>
            <w:tcW w:w="5080" w:type="dxa"/>
            <w:vAlign w:val="bottom"/>
          </w:tcPr>
          <w:p>
            <w:pPr>
              <w:ind w:left="100"/>
              <w:spacing w:after="0"/>
              <w:rPr>
                <w:sz w:val="20"/>
                <w:szCs w:val="20"/>
                <w:color w:val="auto"/>
              </w:rPr>
            </w:pPr>
            <w:r>
              <w:rPr>
                <w:rFonts w:ascii="Arial" w:cs="Arial" w:eastAsia="Arial" w:hAnsi="Arial"/>
                <w:sz w:val="18"/>
                <w:szCs w:val="18"/>
                <w:color w:val="auto"/>
              </w:rPr>
              <w:t>Executive Chairman</w:t>
            </w:r>
          </w:p>
        </w:tc>
      </w:tr>
      <w:tr>
        <w:trPr>
          <w:trHeight w:val="426"/>
        </w:trPr>
        <w:tc>
          <w:tcPr>
            <w:tcW w:w="3540" w:type="dxa"/>
            <w:vAlign w:val="bottom"/>
          </w:tcPr>
          <w:p>
            <w:pPr>
              <w:spacing w:after="0"/>
              <w:rPr>
                <w:sz w:val="24"/>
                <w:szCs w:val="24"/>
                <w:color w:val="auto"/>
              </w:rPr>
            </w:pPr>
          </w:p>
        </w:tc>
        <w:tc>
          <w:tcPr>
            <w:tcW w:w="2800" w:type="dxa"/>
            <w:vAlign w:val="bottom"/>
            <w:gridSpan w:val="2"/>
          </w:tcPr>
          <w:p>
            <w:pPr>
              <w:ind w:left="2160"/>
              <w:spacing w:after="0"/>
              <w:rPr>
                <w:sz w:val="20"/>
                <w:szCs w:val="20"/>
                <w:color w:val="auto"/>
              </w:rPr>
            </w:pPr>
            <w:r>
              <w:rPr>
                <w:rFonts w:ascii="Arial" w:cs="Arial" w:eastAsia="Arial" w:hAnsi="Arial"/>
                <w:sz w:val="18"/>
                <w:szCs w:val="18"/>
                <w:color w:val="auto"/>
                <w:w w:val="87"/>
              </w:rPr>
              <w:t>Address:</w:t>
            </w:r>
          </w:p>
        </w:tc>
        <w:tc>
          <w:tcPr>
            <w:tcW w:w="5080" w:type="dxa"/>
            <w:vAlign w:val="bottom"/>
          </w:tcPr>
          <w:p>
            <w:pPr>
              <w:ind w:left="100"/>
              <w:spacing w:after="0"/>
              <w:rPr>
                <w:sz w:val="20"/>
                <w:szCs w:val="20"/>
                <w:color w:val="auto"/>
              </w:rPr>
            </w:pPr>
            <w:r>
              <w:rPr>
                <w:rFonts w:ascii="Arial" w:cs="Arial" w:eastAsia="Arial" w:hAnsi="Arial"/>
                <w:sz w:val="18"/>
                <w:szCs w:val="18"/>
                <w:color w:val="auto"/>
              </w:rPr>
              <w:t>3300 West Camelback Road</w:t>
            </w:r>
          </w:p>
        </w:tc>
      </w:tr>
      <w:tr>
        <w:trPr>
          <w:trHeight w:val="222"/>
        </w:trPr>
        <w:tc>
          <w:tcPr>
            <w:tcW w:w="35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65"/>
        </w:trPr>
        <w:tc>
          <w:tcPr>
            <w:tcW w:w="3540" w:type="dxa"/>
            <w:vAlign w:val="bottom"/>
          </w:tcPr>
          <w:p>
            <w:pPr>
              <w:spacing w:after="0"/>
              <w:rPr>
                <w:sz w:val="24"/>
                <w:szCs w:val="24"/>
                <w:color w:val="auto"/>
              </w:rPr>
            </w:pPr>
          </w:p>
        </w:tc>
        <w:tc>
          <w:tcPr>
            <w:tcW w:w="2780" w:type="dxa"/>
            <w:vAlign w:val="bottom"/>
          </w:tcPr>
          <w:p>
            <w:pPr>
              <w:ind w:left="20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This Amended and Restated Executive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on July 30, 2012 and is effective as of July 1, 2012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Grand Canyon Education,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Daniel E. Bachus (“</w:t>
      </w:r>
      <w:r>
        <w:rPr>
          <w:rFonts w:ascii="Arial" w:cs="Arial" w:eastAsia="Arial" w:hAnsi="Arial"/>
          <w:sz w:val="16"/>
          <w:szCs w:val="16"/>
          <w:u w:val="single" w:color="auto"/>
          <w:color w:val="auto"/>
        </w:rPr>
        <w:t>Executive</w:t>
      </w:r>
      <w:r>
        <w:rPr>
          <w:rFonts w:ascii="Arial" w:cs="Arial" w:eastAsia="Arial" w:hAnsi="Arial"/>
          <w:sz w:val="16"/>
          <w:szCs w:val="16"/>
          <w:color w:val="auto"/>
        </w:rPr>
        <w:t>”).</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Company and Executive entered into an employment agreement dated June 25, 2008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32" w:lineRule="exact"/>
        <w:rPr>
          <w:sz w:val="20"/>
          <w:szCs w:val="20"/>
          <w:color w:val="auto"/>
        </w:rPr>
      </w:pPr>
    </w:p>
    <w:p>
      <w:pPr>
        <w:ind w:left="460" w:right="340"/>
        <w:spacing w:after="0" w:line="493" w:lineRule="auto"/>
        <w:rPr>
          <w:sz w:val="20"/>
          <w:szCs w:val="20"/>
          <w:color w:val="auto"/>
        </w:rPr>
      </w:pPr>
      <w:r>
        <w:rPr>
          <w:rFonts w:ascii="Arial" w:cs="Arial" w:eastAsia="Arial" w:hAnsi="Arial"/>
          <w:sz w:val="16"/>
          <w:szCs w:val="16"/>
          <w:color w:val="auto"/>
        </w:rPr>
        <w:t>WHEREAS, the Company and Executive desire to amend and restate the Original Agreement through the execution and delivery of this Agreement; NOW, THEREFORE, for good and valuable consideration, the receipt and sufficiency of which are hereby acknowledged, the parties agree as follows:</w:t>
      </w:r>
    </w:p>
    <w:p>
      <w:pPr>
        <w:ind w:right="160" w:firstLine="456"/>
        <w:spacing w:after="0" w:line="268" w:lineRule="auto"/>
        <w:rPr>
          <w:sz w:val="20"/>
          <w:szCs w:val="20"/>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Financial Officer and shall have the duties and responsibilities reasonably assigned to him from time to time by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or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43" w:lineRule="exact"/>
        <w:rPr>
          <w:sz w:val="20"/>
          <w:szCs w:val="20"/>
          <w:color w:val="auto"/>
        </w:rPr>
      </w:pPr>
    </w:p>
    <w:p>
      <w:pPr>
        <w:ind w:right="200" w:firstLine="913"/>
        <w:spacing w:after="0" w:line="253" w:lineRule="auto"/>
        <w:rPr>
          <w:sz w:val="20"/>
          <w:szCs w:val="20"/>
          <w:color w:val="auto"/>
        </w:rPr>
      </w:pP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Board and CEO in advance of Executive’s intent to engage in other paid work and receives the Board’s and CEO’s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Work Location</w:t>
      </w:r>
      <w:r>
        <w:rPr>
          <w:rFonts w:ascii="Arial" w:cs="Arial" w:eastAsia="Arial" w:hAnsi="Arial"/>
          <w:sz w:val="16"/>
          <w:szCs w:val="16"/>
          <w:color w:val="auto"/>
        </w:rPr>
        <w:t>. Executive’s principal place of work shall be located in Phoenix, Arizona, or such other location as the Company may direct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ectPr>
          <w:pgSz w:w="11900" w:h="16838" w:orient="portrait"/>
          <w:cols w:equalWidth="0" w:num="1">
            <w:col w:w="11420"/>
          </w:cols>
          <w:pgMar w:left="240" w:top="125"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The employment relationship pursuant to this Agreement shall be for an initial term commencing on the Effective Date and continuing for a period of four (4) years following such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unless sooner terminated in accordance with Section 7.</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Renewal</w:t>
      </w:r>
      <w:r>
        <w:rPr>
          <w:rFonts w:ascii="Arial" w:cs="Arial" w:eastAsia="Arial" w:hAnsi="Arial"/>
          <w:sz w:val="16"/>
          <w:szCs w:val="16"/>
          <w:color w:val="auto"/>
        </w:rPr>
        <w:t>. Upon expiration of the Initial Term and each Renewal Term, this Agreement will automatically renew for subsequent one (1) year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Three-Hundred Sixty-Two Thousand Two-Hundred Fifty Dollars ($362,250.00)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w:t>
      </w:r>
    </w:p>
    <w:p>
      <w:pPr>
        <w:spacing w:after="0" w:line="12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earn incentive compensation in the form of an annual bonus for each fiscal year of the Company, to be awarded under the Company’s annual cash incentive plan as then in effect, with a target amount equal to seventy-five percent (75%)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2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Executive’s 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w:t>
      </w:r>
    </w:p>
    <w:p>
      <w:pPr>
        <w:spacing w:after="0" w:line="32" w:lineRule="exact"/>
        <w:rPr>
          <w:sz w:val="20"/>
          <w:szCs w:val="20"/>
          <w:color w:val="auto"/>
        </w:rPr>
      </w:pPr>
    </w:p>
    <w:p>
      <w:pPr>
        <w:ind w:right="40" w:firstLine="8"/>
        <w:spacing w:after="0" w:line="284" w:lineRule="auto"/>
        <w:tabs>
          <w:tab w:leader="none" w:pos="23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3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u w:val="single" w:color="auto"/>
          <w:color w:val="auto"/>
        </w:rPr>
        <w:t>Termination Without Cause by Company</w:t>
      </w:r>
      <w:r>
        <w:rPr>
          <w:rFonts w:ascii="Arial" w:cs="Arial" w:eastAsia="Arial" w:hAnsi="Arial"/>
          <w:sz w:val="18"/>
          <w:szCs w:val="18"/>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8"/>
          <w:szCs w:val="18"/>
          <w:u w:val="single" w:color="auto"/>
          <w:color w:val="auto"/>
        </w:rPr>
        <w:t>Severance Package</w:t>
      </w:r>
      <w:r>
        <w:rPr>
          <w:rFonts w:ascii="Arial" w:cs="Arial" w:eastAsia="Arial" w:hAnsi="Arial"/>
          <w:sz w:val="18"/>
          <w:szCs w:val="18"/>
          <w:color w:val="auto"/>
        </w:rPr>
        <w:t>” that shall consist of:</w:t>
      </w:r>
    </w:p>
    <w:p>
      <w:pPr>
        <w:spacing w:after="0" w:line="143" w:lineRule="exact"/>
        <w:rPr>
          <w:sz w:val="20"/>
          <w:szCs w:val="20"/>
          <w:color w:val="auto"/>
        </w:rPr>
      </w:pPr>
    </w:p>
    <w:p>
      <w:pPr>
        <w:ind w:right="280" w:firstLine="1484"/>
        <w:spacing w:after="0" w:line="286" w:lineRule="auto"/>
        <w:rPr>
          <w:sz w:val="20"/>
          <w:szCs w:val="20"/>
          <w:color w:val="auto"/>
        </w:rPr>
      </w:pPr>
      <w:r>
        <w:rPr>
          <w:rFonts w:ascii="Arial" w:cs="Arial" w:eastAsia="Arial" w:hAnsi="Arial"/>
          <w:sz w:val="16"/>
          <w:szCs w:val="16"/>
          <w:color w:val="auto"/>
        </w:rPr>
        <w:t>severance in an amount equal to the sum of (i) twelve (12) months of Executive’s Base Salary then in effect on the Termination Date, and (ii) 100% of Executive’s Target Bonus for the fiscal year in which the Termination Date occurs, with the total of such amounts to be payable over twelve</w:t>
      </w:r>
    </w:p>
    <w:p>
      <w:pPr>
        <w:ind w:right="180" w:firstLine="8"/>
        <w:spacing w:after="0" w:line="261" w:lineRule="auto"/>
        <w:tabs>
          <w:tab w:leader="none" w:pos="3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months in equal installments in accordance with the Company’s regular payroll cycle, commencing with the first payroll date occurring on or after the 60th day following the Termination Date;</w:t>
      </w:r>
    </w:p>
    <w:p>
      <w:pPr>
        <w:spacing w:after="0" w:line="138"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w:t>
      </w:r>
    </w:p>
    <w:p>
      <w:pPr>
        <w:ind w:right="140" w:firstLine="8"/>
        <w:spacing w:after="0" w:line="261" w:lineRule="auto"/>
        <w:tabs>
          <w:tab w:leader="none" w:pos="3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5" w:name="page56"/>
    <w:bookmarkEnd w:id="55"/>
    <w:p>
      <w:pPr>
        <w:ind w:right="62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6"/>
          <w:szCs w:val="16"/>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Severance Payment</w:t>
      </w:r>
      <w:r>
        <w:rPr>
          <w:rFonts w:ascii="Arial" w:cs="Arial" w:eastAsia="Arial" w:hAnsi="Arial"/>
          <w:sz w:val="16"/>
          <w:szCs w:val="16"/>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his intent to exercise his rights pursuant to this Section within thirty (30) days following the first occurrence of such condition(s).</w:t>
      </w:r>
    </w:p>
    <w:p>
      <w:pPr>
        <w:spacing w:after="0" w:line="128"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u w:val="single" w:color="auto"/>
          <w:color w:val="auto"/>
        </w:rPr>
        <w:t>Voluntary Resignation by Executive Without Good Reason</w:t>
      </w:r>
      <w:r>
        <w:rPr>
          <w:rFonts w:ascii="Arial" w:cs="Arial" w:eastAsia="Arial" w:hAnsi="Arial"/>
          <w:sz w:val="18"/>
          <w:szCs w:val="18"/>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After a Change in Control</w:t>
      </w:r>
      <w:r>
        <w:rPr>
          <w:rFonts w:ascii="Arial" w:cs="Arial" w:eastAsia="Arial" w:hAnsi="Arial"/>
          <w:sz w:val="18"/>
          <w:szCs w:val="18"/>
          <w:color w:val="auto"/>
        </w:rPr>
        <w:t>.</w:t>
      </w:r>
    </w:p>
    <w:p>
      <w:pPr>
        <w:spacing w:after="0" w:line="90" w:lineRule="exact"/>
        <w:rPr>
          <w:sz w:val="20"/>
          <w:szCs w:val="20"/>
          <w:color w:val="auto"/>
        </w:rPr>
      </w:pPr>
    </w:p>
    <w:p>
      <w:pPr>
        <w:ind w:right="40" w:firstLine="1484"/>
        <w:spacing w:after="0" w:line="302" w:lineRule="auto"/>
        <w:rPr>
          <w:sz w:val="20"/>
          <w:szCs w:val="20"/>
          <w:color w:val="auto"/>
        </w:rPr>
      </w:pPr>
      <w:r>
        <w:rPr>
          <w:rFonts w:ascii="Arial" w:cs="Arial" w:eastAsia="Arial" w:hAnsi="Arial"/>
          <w:sz w:val="15"/>
          <w:szCs w:val="15"/>
          <w:u w:val="single" w:color="auto"/>
          <w:color w:val="auto"/>
        </w:rPr>
        <w:t>Severance Payment; Equity Award Acceleration</w:t>
      </w:r>
      <w:r>
        <w:rPr>
          <w:rFonts w:ascii="Arial" w:cs="Arial" w:eastAsia="Arial" w:hAnsi="Arial"/>
          <w:sz w:val="15"/>
          <w:szCs w:val="15"/>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w:t>
      </w:r>
    </w:p>
    <w:p>
      <w:pPr>
        <w:spacing w:after="0" w:line="3" w:lineRule="exact"/>
        <w:rPr>
          <w:sz w:val="20"/>
          <w:szCs w:val="20"/>
          <w:color w:val="auto"/>
        </w:rPr>
      </w:pPr>
    </w:p>
    <w:p>
      <w:pPr>
        <w:jc w:val="both"/>
        <w:ind w:right="420" w:firstLine="8"/>
        <w:spacing w:after="0" w:line="254"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171" w:lineRule="exact"/>
        <w:rPr>
          <w:sz w:val="20"/>
          <w:szCs w:val="20"/>
          <w:color w:val="auto"/>
        </w:rPr>
      </w:pPr>
    </w:p>
    <w:p>
      <w:pPr>
        <w:ind w:firstLine="1940"/>
        <w:spacing w:after="0" w:line="286" w:lineRule="auto"/>
        <w:rPr>
          <w:sz w:val="20"/>
          <w:szCs w:val="20"/>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127" w:lineRule="exact"/>
        <w:rPr>
          <w:sz w:val="20"/>
          <w:szCs w:val="20"/>
          <w:color w:val="auto"/>
        </w:rPr>
      </w:pPr>
    </w:p>
    <w:p>
      <w:pPr>
        <w:ind w:right="60" w:firstLine="1940"/>
        <w:spacing w:after="0" w:line="253" w:lineRule="auto"/>
        <w:rPr>
          <w:sz w:val="20"/>
          <w:szCs w:val="20"/>
          <w:color w:val="auto"/>
        </w:rPr>
      </w:pPr>
      <w:r>
        <w:rPr>
          <w:rFonts w:ascii="Arial" w:cs="Arial" w:eastAsia="Arial" w:hAnsi="Arial"/>
          <w:sz w:val="18"/>
          <w:szCs w:val="18"/>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7" w:name="page58"/>
    <w:bookmarkEnd w:id="57"/>
    <w:p>
      <w:pPr>
        <w:ind w:left="1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 A Change in Control is defined as any one of the following occurrences:</w:t>
      </w:r>
    </w:p>
    <w:p>
      <w:pPr>
        <w:spacing w:after="0" w:line="171" w:lineRule="exact"/>
        <w:rPr>
          <w:sz w:val="20"/>
          <w:szCs w:val="20"/>
          <w:color w:val="auto"/>
        </w:rPr>
      </w:pPr>
    </w:p>
    <w:p>
      <w:pPr>
        <w:ind w:right="20" w:firstLine="1940"/>
        <w:spacing w:after="0" w:line="288" w:lineRule="auto"/>
        <w:rPr>
          <w:sz w:val="20"/>
          <w:szCs w:val="20"/>
          <w:color w:val="auto"/>
        </w:rPr>
      </w:pPr>
      <w:r>
        <w:rPr>
          <w:rFonts w:ascii="Arial" w:cs="Arial" w:eastAsia="Arial" w:hAnsi="Arial"/>
          <w:sz w:val="16"/>
          <w:szCs w:val="16"/>
          <w:color w:val="auto"/>
        </w:rPr>
        <w:t>Any “person”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20" w:lineRule="exact"/>
        <w:rPr>
          <w:sz w:val="20"/>
          <w:szCs w:val="20"/>
          <w:color w:val="auto"/>
        </w:rPr>
      </w:pPr>
    </w:p>
    <w:p>
      <w:pPr>
        <w:ind w:firstLine="1940"/>
        <w:spacing w:after="0" w:line="268" w:lineRule="auto"/>
        <w:rPr>
          <w:sz w:val="20"/>
          <w:szCs w:val="20"/>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32" w:lineRule="exact"/>
        <w:rPr>
          <w:sz w:val="20"/>
          <w:szCs w:val="20"/>
          <w:color w:val="auto"/>
        </w:rPr>
      </w:pPr>
    </w:p>
    <w:p>
      <w:pPr>
        <w:ind w:right="260" w:firstLine="1940"/>
        <w:spacing w:after="0" w:line="256" w:lineRule="auto"/>
        <w:rPr>
          <w:sz w:val="20"/>
          <w:szCs w:val="20"/>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4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dissolution or liquidation of the Company.</w:t>
      </w:r>
    </w:p>
    <w:p>
      <w:pPr>
        <w:spacing w:after="0" w:line="17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2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58" w:name="page59"/>
    <w:bookmarkEnd w:id="58"/>
    <w:p>
      <w:pPr>
        <w:ind w:firstLine="913"/>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71" w:lineRule="exact"/>
        <w:rPr>
          <w:sz w:val="20"/>
          <w:szCs w:val="20"/>
          <w:color w:val="auto"/>
        </w:rPr>
      </w:pPr>
    </w:p>
    <w:p>
      <w:pPr>
        <w:ind w:right="60" w:firstLine="1940"/>
        <w:spacing w:after="0" w:line="289" w:lineRule="auto"/>
        <w:rPr>
          <w:sz w:val="20"/>
          <w:szCs w:val="20"/>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18" w:lineRule="exact"/>
        <w:rPr>
          <w:sz w:val="20"/>
          <w:szCs w:val="20"/>
          <w:color w:val="auto"/>
        </w:rPr>
      </w:pPr>
    </w:p>
    <w:p>
      <w:pPr>
        <w:ind w:right="460" w:firstLine="1940"/>
        <w:spacing w:after="0" w:line="268" w:lineRule="auto"/>
        <w:rPr>
          <w:sz w:val="20"/>
          <w:szCs w:val="20"/>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32" w:lineRule="exact"/>
        <w:rPr>
          <w:sz w:val="20"/>
          <w:szCs w:val="20"/>
          <w:color w:val="auto"/>
        </w:rPr>
      </w:pPr>
    </w:p>
    <w:p>
      <w:pPr>
        <w:ind w:right="140" w:firstLine="1940"/>
        <w:spacing w:after="0" w:line="254" w:lineRule="auto"/>
        <w:rPr>
          <w:sz w:val="20"/>
          <w:szCs w:val="20"/>
          <w:color w:val="auto"/>
        </w:rPr>
      </w:pPr>
      <w:r>
        <w:rPr>
          <w:rFonts w:ascii="Arial" w:cs="Arial" w:eastAsia="Arial" w:hAnsi="Arial"/>
          <w:sz w:val="18"/>
          <w:szCs w:val="18"/>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8"/>
          <w:szCs w:val="18"/>
          <w:b w:val="1"/>
          <w:bCs w:val="1"/>
          <w:color w:val="auto"/>
        </w:rPr>
        <w:t>However, the Company does not guarantee any particular tax effect for income provided to Executive pursuant to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Agreement. </w:t>
      </w:r>
      <w:r>
        <w:rPr>
          <w:rFonts w:ascii="Arial" w:cs="Arial" w:eastAsia="Arial" w:hAnsi="Arial"/>
          <w:sz w:val="18"/>
          <w:szCs w:val="18"/>
          <w:color w:val="auto"/>
        </w:rPr>
        <w:t>In any event, except for the Company’s responsibility to withhold applicable income and employment taxes from compensation paid or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the Company shall not be responsible for the payment of any applicable taxes incurred by Executive on compensation paid or provided to Executive pursuant to this Agreement.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No Violation of Rights of Third Parties</w:t>
      </w:r>
      <w:r>
        <w:rPr>
          <w:rFonts w:ascii="Arial" w:cs="Arial" w:eastAsia="Arial" w:hAnsi="Arial"/>
          <w:sz w:val="16"/>
          <w:szCs w:val="16"/>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Other Covenants</w:t>
      </w:r>
      <w:r>
        <w:rPr>
          <w:rFonts w:ascii="Arial" w:cs="Arial" w:eastAsia="Arial" w:hAnsi="Arial"/>
          <w:sz w:val="16"/>
          <w:szCs w:val="16"/>
          <w:color w:val="auto"/>
        </w:rPr>
        <w:t>. Executive hereby makes the following covenants, each of which Executive acknowledges and agrees are a material part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9" w:name="page60"/>
    <w:bookmarkEnd w:id="59"/>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1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44"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During the Term and after the termination thereof, neither Executive nor the Company will disparage each other, or the Company’s products, services, agents or employees.</w:t>
      </w:r>
    </w:p>
    <w:p>
      <w:pPr>
        <w:spacing w:after="0" w:line="13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Confidentiality and Proprietary Rights</w:t>
      </w:r>
      <w:r>
        <w:rPr>
          <w:rFonts w:ascii="Arial" w:cs="Arial" w:eastAsia="Arial" w:hAnsi="Arial"/>
          <w:sz w:val="16"/>
          <w:szCs w:val="16"/>
          <w:color w:val="auto"/>
        </w:rPr>
        <w:t>. Executive agrees to continue to abide by the Nondisclosure Agreement, which is incorporated herein by reference.</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0" w:name="page61"/>
    <w:bookmarkEnd w:id="60"/>
    <w:p>
      <w:pPr>
        <w:ind w:right="60"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Injunctive Relief</w:t>
      </w:r>
      <w:r>
        <w:rPr>
          <w:rFonts w:ascii="Arial" w:cs="Arial" w:eastAsia="Arial" w:hAnsi="Arial"/>
          <w:sz w:val="16"/>
          <w:szCs w:val="16"/>
          <w:color w:val="auto"/>
        </w:rPr>
        <w:t>. Executive acknowledges that Executive’s breach of the covenants contained in Sections 9, 10 and 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During the Term, Executive will be covered by the Company’s director and officer insurance policy to the same extent as all other senior executive officers of the Company.</w:t>
      </w:r>
    </w:p>
    <w:p>
      <w:pPr>
        <w:spacing w:after="0" w:line="13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Following the execution of this Agreement, the director and officer indemnification agreement executed by the Company and Executive will continue in effect in accordance with its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8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1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43" w:lineRule="exact"/>
        <w:rPr>
          <w:sz w:val="20"/>
          <w:szCs w:val="20"/>
          <w:color w:val="auto"/>
        </w:rPr>
      </w:pPr>
    </w:p>
    <w:p>
      <w:pPr>
        <w:ind w:right="420" w:firstLine="913"/>
        <w:spacing w:after="0" w:line="298" w:lineRule="auto"/>
        <w:rPr>
          <w:sz w:val="20"/>
          <w:szCs w:val="20"/>
          <w:color w:val="auto"/>
        </w:rPr>
      </w:pPr>
      <w:r>
        <w:rPr>
          <w:rFonts w:ascii="Arial" w:cs="Arial" w:eastAsia="Arial" w:hAnsi="Arial"/>
          <w:sz w:val="16"/>
          <w:szCs w:val="16"/>
          <w:u w:val="single" w:color="auto"/>
          <w:color w:val="auto"/>
        </w:rPr>
        <w:t>Governing Law; Forum</w:t>
      </w:r>
      <w:r>
        <w:rPr>
          <w:rFonts w:ascii="Arial" w:cs="Arial" w:eastAsia="Arial" w:hAnsi="Arial"/>
          <w:sz w:val="16"/>
          <w:szCs w:val="16"/>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61" w:name="page62"/>
    <w:bookmarkEnd w:id="61"/>
    <w:p>
      <w:pPr>
        <w:ind w:left="9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Any notice required or permitted by this Agreement shall be in writing and shall be delivered as follows with notice deemed given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indicated: (a) by personal delivery when delivered personally; (b) by overnight courier upon written verification of receipt; (c) by telecopy or facsimile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transmission upon acknowledgment of receipt of electronic transmission; or (d) by certified or registered mail, return receipt requested, upon verification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receipt. Notice shall be sent to the addresses set forth under the signatures below, or such other address as either party may specify in writing.</w:t>
      </w:r>
    </w:p>
    <w:p>
      <w:pPr>
        <w:spacing w:after="0" w:line="165"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PARTIES TO THIS AGREEMENT HAVE READ THE FOREGOING AGREEMENT AND FULLY UNDERSTAND EACH AND EVERY PROVISION CONTAINED HEREIN. WHEREFORE, THE PARTIES HAVE EXECUTED THIS AGREEMENT ON THE DATES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7880" w:type="dxa"/>
            <w:vAlign w:val="bottom"/>
            <w:gridSpan w:val="2"/>
          </w:tcPr>
          <w:p>
            <w:pPr>
              <w:ind w:left="2060"/>
              <w:spacing w:after="0"/>
              <w:rPr>
                <w:sz w:val="20"/>
                <w:szCs w:val="20"/>
                <w:color w:val="auto"/>
              </w:rPr>
            </w:pPr>
            <w:r>
              <w:rPr>
                <w:rFonts w:ascii="Arial" w:cs="Arial" w:eastAsia="Arial" w:hAnsi="Arial"/>
                <w:sz w:val="18"/>
                <w:szCs w:val="18"/>
                <w:b w:val="1"/>
                <w:bCs w:val="1"/>
                <w:color w:val="auto"/>
              </w:rPr>
              <w:t>DANIEL E. BACHUS</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198"/>
        </w:trPr>
        <w:tc>
          <w:tcPr>
            <w:tcW w:w="3540" w:type="dxa"/>
            <w:vAlign w:val="bottom"/>
          </w:tcPr>
          <w:p>
            <w:pPr>
              <w:spacing w:after="0"/>
              <w:rPr>
                <w:sz w:val="17"/>
                <w:szCs w:val="17"/>
                <w:color w:val="auto"/>
              </w:rPr>
            </w:pPr>
          </w:p>
        </w:tc>
        <w:tc>
          <w:tcPr>
            <w:tcW w:w="2740" w:type="dxa"/>
            <w:vAlign w:val="bottom"/>
          </w:tcPr>
          <w:p>
            <w:pPr>
              <w:ind w:left="2060"/>
              <w:spacing w:after="0" w:line="198" w:lineRule="exact"/>
              <w:rPr>
                <w:sz w:val="20"/>
                <w:szCs w:val="20"/>
                <w:color w:val="auto"/>
              </w:rPr>
            </w:pPr>
            <w:r>
              <w:rPr>
                <w:rFonts w:ascii="Arial" w:cs="Arial" w:eastAsia="Arial" w:hAnsi="Arial"/>
                <w:sz w:val="18"/>
                <w:szCs w:val="18"/>
                <w:color w:val="auto"/>
                <w:w w:val="92"/>
              </w:rPr>
              <w:t>Address:</w:t>
            </w:r>
          </w:p>
        </w:tc>
        <w:tc>
          <w:tcPr>
            <w:tcW w:w="5140" w:type="dxa"/>
            <w:vAlign w:val="bottom"/>
            <w:tcBorders>
              <w:bottom w:val="single" w:sz="8" w:color="auto"/>
            </w:tcBorders>
          </w:tcPr>
          <w:p>
            <w:pPr>
              <w:spacing w:after="0"/>
              <w:rPr>
                <w:sz w:val="17"/>
                <w:szCs w:val="17"/>
                <w:color w:val="auto"/>
              </w:rPr>
            </w:pPr>
          </w:p>
        </w:tc>
      </w:tr>
      <w:tr>
        <w:trPr>
          <w:trHeight w:val="142"/>
        </w:trPr>
        <w:tc>
          <w:tcPr>
            <w:tcW w:w="3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140" w:type="dxa"/>
            <w:vAlign w:val="bottom"/>
            <w:tcBorders>
              <w:bottom w:val="single" w:sz="8" w:color="auto"/>
            </w:tcBorders>
          </w:tcPr>
          <w:p>
            <w:pPr>
              <w:spacing w:after="0"/>
              <w:rPr>
                <w:sz w:val="12"/>
                <w:szCs w:val="12"/>
                <w:color w:val="auto"/>
              </w:rPr>
            </w:pPr>
          </w:p>
        </w:tc>
      </w:tr>
      <w:tr>
        <w:trPr>
          <w:trHeight w:val="410"/>
        </w:trPr>
        <w:tc>
          <w:tcPr>
            <w:tcW w:w="3540" w:type="dxa"/>
            <w:vAlign w:val="bottom"/>
          </w:tcPr>
          <w:p>
            <w:pPr>
              <w:spacing w:after="0"/>
              <w:rPr>
                <w:sz w:val="24"/>
                <w:szCs w:val="24"/>
                <w:color w:val="auto"/>
              </w:rPr>
            </w:pPr>
          </w:p>
        </w:tc>
        <w:tc>
          <w:tcPr>
            <w:tcW w:w="7880" w:type="dxa"/>
            <w:vAlign w:val="bottom"/>
            <w:gridSpan w:val="2"/>
          </w:tcPr>
          <w:p>
            <w:pPr>
              <w:ind w:left="206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Brent D. Richardson</w:t>
            </w:r>
          </w:p>
        </w:tc>
      </w:tr>
      <w:tr>
        <w:trPr>
          <w:trHeight w:val="203"/>
        </w:trPr>
        <w:tc>
          <w:tcPr>
            <w:tcW w:w="3540" w:type="dxa"/>
            <w:vAlign w:val="bottom"/>
          </w:tcPr>
          <w:p>
            <w:pPr>
              <w:spacing w:after="0"/>
              <w:rPr>
                <w:sz w:val="17"/>
                <w:szCs w:val="17"/>
                <w:color w:val="auto"/>
              </w:rPr>
            </w:pPr>
          </w:p>
        </w:tc>
        <w:tc>
          <w:tcPr>
            <w:tcW w:w="2740" w:type="dxa"/>
            <w:vAlign w:val="bottom"/>
          </w:tcPr>
          <w:p>
            <w:pPr>
              <w:ind w:left="2060"/>
              <w:spacing w:after="0" w:line="202" w:lineRule="exact"/>
              <w:rPr>
                <w:sz w:val="20"/>
                <w:szCs w:val="20"/>
                <w:color w:val="auto"/>
              </w:rPr>
            </w:pPr>
            <w:r>
              <w:rPr>
                <w:rFonts w:ascii="Arial" w:cs="Arial" w:eastAsia="Arial" w:hAnsi="Arial"/>
                <w:sz w:val="18"/>
                <w:szCs w:val="18"/>
                <w:color w:val="auto"/>
              </w:rPr>
              <w:t>Name:</w:t>
            </w:r>
          </w:p>
        </w:tc>
        <w:tc>
          <w:tcPr>
            <w:tcW w:w="5140" w:type="dxa"/>
            <w:vAlign w:val="bottom"/>
          </w:tcPr>
          <w:p>
            <w:pPr>
              <w:ind w:left="100"/>
              <w:spacing w:after="0" w:line="203" w:lineRule="exact"/>
              <w:rPr>
                <w:sz w:val="20"/>
                <w:szCs w:val="20"/>
                <w:color w:val="auto"/>
              </w:rPr>
            </w:pPr>
            <w:r>
              <w:rPr>
                <w:rFonts w:ascii="Arial" w:cs="Arial" w:eastAsia="Arial" w:hAnsi="Arial"/>
                <w:sz w:val="18"/>
                <w:szCs w:val="18"/>
                <w:color w:val="auto"/>
              </w:rPr>
              <w:t>Brent D. Richardson</w:t>
            </w:r>
          </w:p>
        </w:tc>
      </w:tr>
      <w:tr>
        <w:trPr>
          <w:trHeight w:val="222"/>
        </w:trPr>
        <w:tc>
          <w:tcPr>
            <w:tcW w:w="3540" w:type="dxa"/>
            <w:vAlign w:val="bottom"/>
          </w:tcPr>
          <w:p>
            <w:pPr>
              <w:spacing w:after="0"/>
              <w:rPr>
                <w:sz w:val="19"/>
                <w:szCs w:val="19"/>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Title:</w:t>
            </w:r>
          </w:p>
        </w:tc>
        <w:tc>
          <w:tcPr>
            <w:tcW w:w="5140" w:type="dxa"/>
            <w:vAlign w:val="bottom"/>
          </w:tcPr>
          <w:p>
            <w:pPr>
              <w:ind w:left="100"/>
              <w:spacing w:after="0"/>
              <w:rPr>
                <w:sz w:val="20"/>
                <w:szCs w:val="20"/>
                <w:color w:val="auto"/>
              </w:rPr>
            </w:pPr>
            <w:r>
              <w:rPr>
                <w:rFonts w:ascii="Arial" w:cs="Arial" w:eastAsia="Arial" w:hAnsi="Arial"/>
                <w:sz w:val="18"/>
                <w:szCs w:val="18"/>
                <w:color w:val="auto"/>
              </w:rPr>
              <w:t>Executive Chairman</w:t>
            </w:r>
          </w:p>
        </w:tc>
      </w:tr>
      <w:tr>
        <w:trPr>
          <w:trHeight w:val="318"/>
        </w:trPr>
        <w:tc>
          <w:tcPr>
            <w:tcW w:w="3540" w:type="dxa"/>
            <w:vAlign w:val="bottom"/>
          </w:tcPr>
          <w:p>
            <w:pPr>
              <w:spacing w:after="0"/>
              <w:rPr>
                <w:sz w:val="24"/>
                <w:szCs w:val="24"/>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w w:val="92"/>
              </w:rPr>
              <w:t>Address:</w:t>
            </w:r>
          </w:p>
        </w:tc>
        <w:tc>
          <w:tcPr>
            <w:tcW w:w="5140" w:type="dxa"/>
            <w:vAlign w:val="bottom"/>
          </w:tcPr>
          <w:p>
            <w:pPr>
              <w:ind w:left="100"/>
              <w:spacing w:after="0"/>
              <w:rPr>
                <w:sz w:val="20"/>
                <w:szCs w:val="20"/>
                <w:color w:val="auto"/>
              </w:rPr>
            </w:pPr>
            <w:r>
              <w:rPr>
                <w:rFonts w:ascii="Arial" w:cs="Arial" w:eastAsia="Arial" w:hAnsi="Arial"/>
                <w:sz w:val="18"/>
                <w:szCs w:val="18"/>
                <w:color w:val="auto"/>
              </w:rPr>
              <w:t>3300 West Camelback Road</w:t>
            </w:r>
          </w:p>
        </w:tc>
      </w:tr>
      <w:tr>
        <w:trPr>
          <w:trHeight w:val="222"/>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78"/>
        </w:trPr>
        <w:tc>
          <w:tcPr>
            <w:tcW w:w="3540" w:type="dxa"/>
            <w:vAlign w:val="bottom"/>
          </w:tcPr>
          <w:p>
            <w:pPr>
              <w:spacing w:after="0"/>
              <w:rPr>
                <w:sz w:val="24"/>
                <w:szCs w:val="24"/>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10</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Technology Officer)</w:t>
      </w:r>
    </w:p>
    <w:p>
      <w:pPr>
        <w:spacing w:after="0" w:line="16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This Amended and Restated Executive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on July 30, 2012 and is effective as of July 1, 2012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Grand Canyon Education,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Joseph N. Mildenhall (“</w:t>
      </w:r>
      <w:r>
        <w:rPr>
          <w:rFonts w:ascii="Arial" w:cs="Arial" w:eastAsia="Arial" w:hAnsi="Arial"/>
          <w:sz w:val="16"/>
          <w:szCs w:val="16"/>
          <w:u w:val="single" w:color="auto"/>
          <w:color w:val="auto"/>
        </w:rPr>
        <w:t>Executive</w:t>
      </w:r>
      <w:r>
        <w:rPr>
          <w:rFonts w:ascii="Arial" w:cs="Arial" w:eastAsia="Arial" w:hAnsi="Arial"/>
          <w:sz w:val="16"/>
          <w:szCs w:val="16"/>
          <w:color w:val="auto"/>
        </w:rPr>
        <w:t>”).</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Company and Executive entered into an employment agreement dated September 16, 2009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32" w:lineRule="exact"/>
        <w:rPr>
          <w:sz w:val="20"/>
          <w:szCs w:val="20"/>
          <w:color w:val="auto"/>
        </w:rPr>
      </w:pPr>
    </w:p>
    <w:p>
      <w:pPr>
        <w:ind w:left="460" w:right="340"/>
        <w:spacing w:after="0" w:line="493" w:lineRule="auto"/>
        <w:rPr>
          <w:sz w:val="20"/>
          <w:szCs w:val="20"/>
          <w:color w:val="auto"/>
        </w:rPr>
      </w:pPr>
      <w:r>
        <w:rPr>
          <w:rFonts w:ascii="Arial" w:cs="Arial" w:eastAsia="Arial" w:hAnsi="Arial"/>
          <w:sz w:val="16"/>
          <w:szCs w:val="16"/>
          <w:color w:val="auto"/>
        </w:rPr>
        <w:t>WHEREAS, the Company and Executive desire to amend and restate the Original Agreement through the execution and delivery of this Agreement; NOW, THEREFORE, for good and valuable consideration, the receipt and sufficiency of which are hereby acknowledged, the parties agree as follows:</w:t>
      </w:r>
    </w:p>
    <w:p>
      <w:pPr>
        <w:ind w:right="160" w:firstLine="456"/>
        <w:spacing w:after="0" w:line="268" w:lineRule="auto"/>
        <w:rPr>
          <w:sz w:val="20"/>
          <w:szCs w:val="20"/>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Technology Officer and shall have the duties and responsibilities reasonably assigned to him from time to time by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or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43" w:lineRule="exact"/>
        <w:rPr>
          <w:sz w:val="20"/>
          <w:szCs w:val="20"/>
          <w:color w:val="auto"/>
        </w:rPr>
      </w:pPr>
    </w:p>
    <w:p>
      <w:pPr>
        <w:ind w:right="200" w:firstLine="913"/>
        <w:spacing w:after="0" w:line="253" w:lineRule="auto"/>
        <w:rPr>
          <w:sz w:val="20"/>
          <w:szCs w:val="20"/>
          <w:color w:val="auto"/>
        </w:rPr>
      </w:pP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Board and CEO in advance of Executive’s intent to engage in other paid work and receives the Board’s and CEO’s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Work Location</w:t>
      </w:r>
      <w:r>
        <w:rPr>
          <w:rFonts w:ascii="Arial" w:cs="Arial" w:eastAsia="Arial" w:hAnsi="Arial"/>
          <w:sz w:val="16"/>
          <w:szCs w:val="16"/>
          <w:color w:val="auto"/>
        </w:rPr>
        <w:t>. Executive’s principal place of work shall be located in Phoenix, Arizona, or such other location as the Company may direct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ectPr>
          <w:pgSz w:w="11900" w:h="16838" w:orient="portrait"/>
          <w:cols w:equalWidth="0" w:num="1">
            <w:col w:w="11420"/>
          </w:cols>
          <w:pgMar w:left="240" w:top="125"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The employment relationship pursuant to this Agreement shall be for an initial term commencing on the Effective Date and continuing for a period of four (4) years following such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unless sooner terminated in accordance with Section 7.</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Renewal</w:t>
      </w:r>
      <w:r>
        <w:rPr>
          <w:rFonts w:ascii="Arial" w:cs="Arial" w:eastAsia="Arial" w:hAnsi="Arial"/>
          <w:sz w:val="16"/>
          <w:szCs w:val="16"/>
          <w:color w:val="auto"/>
        </w:rPr>
        <w:t>. Upon expiration of the Initial Term and each Renewal Term, this Agreement will automatically renew for subsequent one (1) year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Three-Hundred Ten Thousand Five-Hundred Dollars ($310,500.00)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w:t>
      </w:r>
    </w:p>
    <w:p>
      <w:pPr>
        <w:spacing w:after="0" w:line="120"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earn incentive compensation in the form of an annual bonus for each fiscal year of the Company, to be awarded under the Company’s annual cash incentive plan as then in effect, with a target amount equal to fifty percent (50%)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2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Executive’s Employment</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w:t>
      </w:r>
    </w:p>
    <w:p>
      <w:pPr>
        <w:spacing w:after="0" w:line="32" w:lineRule="exact"/>
        <w:rPr>
          <w:sz w:val="20"/>
          <w:szCs w:val="20"/>
          <w:color w:val="auto"/>
        </w:rPr>
      </w:pPr>
    </w:p>
    <w:p>
      <w:pPr>
        <w:ind w:right="40" w:firstLine="8"/>
        <w:spacing w:after="0" w:line="284" w:lineRule="auto"/>
        <w:tabs>
          <w:tab w:leader="none" w:pos="2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3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u w:val="single" w:color="auto"/>
          <w:color w:val="auto"/>
        </w:rPr>
        <w:t>Termination Without Cause by Company</w:t>
      </w:r>
      <w:r>
        <w:rPr>
          <w:rFonts w:ascii="Arial" w:cs="Arial" w:eastAsia="Arial" w:hAnsi="Arial"/>
          <w:sz w:val="18"/>
          <w:szCs w:val="18"/>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8"/>
          <w:szCs w:val="18"/>
          <w:u w:val="single" w:color="auto"/>
          <w:color w:val="auto"/>
        </w:rPr>
        <w:t>Severance Package</w:t>
      </w:r>
      <w:r>
        <w:rPr>
          <w:rFonts w:ascii="Arial" w:cs="Arial" w:eastAsia="Arial" w:hAnsi="Arial"/>
          <w:sz w:val="18"/>
          <w:szCs w:val="18"/>
          <w:color w:val="auto"/>
        </w:rPr>
        <w:t>” that shall consist of:</w:t>
      </w:r>
    </w:p>
    <w:p>
      <w:pPr>
        <w:spacing w:after="0" w:line="143" w:lineRule="exact"/>
        <w:rPr>
          <w:sz w:val="20"/>
          <w:szCs w:val="20"/>
          <w:color w:val="auto"/>
        </w:rPr>
      </w:pPr>
    </w:p>
    <w:p>
      <w:pPr>
        <w:ind w:right="280" w:firstLine="1484"/>
        <w:spacing w:after="0" w:line="286" w:lineRule="auto"/>
        <w:rPr>
          <w:sz w:val="20"/>
          <w:szCs w:val="20"/>
          <w:color w:val="auto"/>
        </w:rPr>
      </w:pPr>
      <w:r>
        <w:rPr>
          <w:rFonts w:ascii="Arial" w:cs="Arial" w:eastAsia="Arial" w:hAnsi="Arial"/>
          <w:sz w:val="16"/>
          <w:szCs w:val="16"/>
          <w:color w:val="auto"/>
        </w:rPr>
        <w:t>severance in an amount equal to the sum of (i) twelve (12) months of Executive’s Base Salary then in effect on the Termination Date, and (ii) 100% of Executive’s Target Bonus for the fiscal year in which the Termination Date occurs, with the total of such amounts to be payable over twelve</w:t>
      </w:r>
    </w:p>
    <w:p>
      <w:pPr>
        <w:ind w:right="180" w:firstLine="8"/>
        <w:spacing w:after="0" w:line="261" w:lineRule="auto"/>
        <w:tabs>
          <w:tab w:leader="none" w:pos="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months in equal installments in accordance with the Company’s regular payroll cycle, commencing with the first payroll date occurring on or after the 60th day following the Termination Date;</w:t>
      </w:r>
    </w:p>
    <w:p>
      <w:pPr>
        <w:spacing w:after="0" w:line="138"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w:t>
      </w:r>
    </w:p>
    <w:p>
      <w:pPr>
        <w:ind w:right="140" w:firstLine="8"/>
        <w:spacing w:after="0" w:line="261" w:lineRule="auto"/>
        <w:tabs>
          <w:tab w:leader="none" w:pos="3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5" w:name="page66"/>
    <w:bookmarkEnd w:id="65"/>
    <w:p>
      <w:pPr>
        <w:ind w:right="62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8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6"/>
          <w:szCs w:val="16"/>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Severance Payment</w:t>
      </w:r>
      <w:r>
        <w:rPr>
          <w:rFonts w:ascii="Arial" w:cs="Arial" w:eastAsia="Arial" w:hAnsi="Arial"/>
          <w:sz w:val="16"/>
          <w:szCs w:val="16"/>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his intent to exercise his rights pursuant to this Section within thirty (30) days following the first occurrence of such condition(s).</w:t>
      </w:r>
    </w:p>
    <w:p>
      <w:pPr>
        <w:spacing w:after="0" w:line="128"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u w:val="single" w:color="auto"/>
          <w:color w:val="auto"/>
        </w:rPr>
        <w:t>Voluntary Resignation by Executive Without Good Reason</w:t>
      </w:r>
      <w:r>
        <w:rPr>
          <w:rFonts w:ascii="Arial" w:cs="Arial" w:eastAsia="Arial" w:hAnsi="Arial"/>
          <w:sz w:val="18"/>
          <w:szCs w:val="18"/>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After a Change in Control</w:t>
      </w:r>
      <w:r>
        <w:rPr>
          <w:rFonts w:ascii="Arial" w:cs="Arial" w:eastAsia="Arial" w:hAnsi="Arial"/>
          <w:sz w:val="18"/>
          <w:szCs w:val="18"/>
          <w:color w:val="auto"/>
        </w:rPr>
        <w:t>.</w:t>
      </w:r>
    </w:p>
    <w:p>
      <w:pPr>
        <w:spacing w:after="0" w:line="90" w:lineRule="exact"/>
        <w:rPr>
          <w:sz w:val="20"/>
          <w:szCs w:val="20"/>
          <w:color w:val="auto"/>
        </w:rPr>
      </w:pPr>
    </w:p>
    <w:p>
      <w:pPr>
        <w:ind w:right="40" w:firstLine="1484"/>
        <w:spacing w:after="0" w:line="302" w:lineRule="auto"/>
        <w:rPr>
          <w:sz w:val="20"/>
          <w:szCs w:val="20"/>
          <w:color w:val="auto"/>
        </w:rPr>
      </w:pPr>
      <w:r>
        <w:rPr>
          <w:rFonts w:ascii="Arial" w:cs="Arial" w:eastAsia="Arial" w:hAnsi="Arial"/>
          <w:sz w:val="15"/>
          <w:szCs w:val="15"/>
          <w:u w:val="single" w:color="auto"/>
          <w:color w:val="auto"/>
        </w:rPr>
        <w:t>Severance Payment; Equity Award Acceleration</w:t>
      </w:r>
      <w:r>
        <w:rPr>
          <w:rFonts w:ascii="Arial" w:cs="Arial" w:eastAsia="Arial" w:hAnsi="Arial"/>
          <w:sz w:val="15"/>
          <w:szCs w:val="15"/>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w:t>
      </w:r>
    </w:p>
    <w:p>
      <w:pPr>
        <w:spacing w:after="0" w:line="3" w:lineRule="exact"/>
        <w:rPr>
          <w:sz w:val="20"/>
          <w:szCs w:val="20"/>
          <w:color w:val="auto"/>
        </w:rPr>
      </w:pPr>
    </w:p>
    <w:p>
      <w:pPr>
        <w:jc w:val="both"/>
        <w:ind w:right="420" w:firstLine="8"/>
        <w:spacing w:after="0" w:line="254" w:lineRule="auto"/>
        <w:tabs>
          <w:tab w:leader="none" w:pos="2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90" w:lineRule="exact"/>
        <w:rPr>
          <w:sz w:val="20"/>
          <w:szCs w:val="20"/>
          <w:color w:val="auto"/>
        </w:rPr>
      </w:pPr>
    </w:p>
    <w:p>
      <w:pPr>
        <w:ind w:firstLine="1940"/>
        <w:spacing w:after="0" w:line="286" w:lineRule="auto"/>
        <w:rPr>
          <w:sz w:val="20"/>
          <w:szCs w:val="20"/>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127" w:lineRule="exact"/>
        <w:rPr>
          <w:sz w:val="20"/>
          <w:szCs w:val="20"/>
          <w:color w:val="auto"/>
        </w:rPr>
      </w:pPr>
    </w:p>
    <w:p>
      <w:pPr>
        <w:ind w:right="60" w:firstLine="1940"/>
        <w:spacing w:after="0" w:line="253" w:lineRule="auto"/>
        <w:rPr>
          <w:sz w:val="20"/>
          <w:szCs w:val="20"/>
          <w:color w:val="auto"/>
        </w:rPr>
      </w:pPr>
      <w:r>
        <w:rPr>
          <w:rFonts w:ascii="Arial" w:cs="Arial" w:eastAsia="Arial" w:hAnsi="Arial"/>
          <w:sz w:val="18"/>
          <w:szCs w:val="18"/>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7" w:name="page68"/>
    <w:bookmarkEnd w:id="67"/>
    <w:p>
      <w:pPr>
        <w:ind w:left="1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 A Change in Control is defined as any one of the following occurrences:</w:t>
      </w:r>
    </w:p>
    <w:p>
      <w:pPr>
        <w:spacing w:after="0" w:line="171" w:lineRule="exact"/>
        <w:rPr>
          <w:sz w:val="20"/>
          <w:szCs w:val="20"/>
          <w:color w:val="auto"/>
        </w:rPr>
      </w:pPr>
    </w:p>
    <w:p>
      <w:pPr>
        <w:ind w:right="20" w:firstLine="1940"/>
        <w:spacing w:after="0" w:line="288" w:lineRule="auto"/>
        <w:rPr>
          <w:sz w:val="20"/>
          <w:szCs w:val="20"/>
          <w:color w:val="auto"/>
        </w:rPr>
      </w:pPr>
      <w:r>
        <w:rPr>
          <w:rFonts w:ascii="Arial" w:cs="Arial" w:eastAsia="Arial" w:hAnsi="Arial"/>
          <w:sz w:val="16"/>
          <w:szCs w:val="16"/>
          <w:color w:val="auto"/>
        </w:rPr>
        <w:t>Any “person”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20" w:lineRule="exact"/>
        <w:rPr>
          <w:sz w:val="20"/>
          <w:szCs w:val="20"/>
          <w:color w:val="auto"/>
        </w:rPr>
      </w:pPr>
    </w:p>
    <w:p>
      <w:pPr>
        <w:ind w:firstLine="1940"/>
        <w:spacing w:after="0" w:line="268" w:lineRule="auto"/>
        <w:rPr>
          <w:sz w:val="20"/>
          <w:szCs w:val="20"/>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32" w:lineRule="exact"/>
        <w:rPr>
          <w:sz w:val="20"/>
          <w:szCs w:val="20"/>
          <w:color w:val="auto"/>
        </w:rPr>
      </w:pPr>
    </w:p>
    <w:p>
      <w:pPr>
        <w:ind w:right="260" w:firstLine="1940"/>
        <w:spacing w:after="0" w:line="256" w:lineRule="auto"/>
        <w:rPr>
          <w:sz w:val="20"/>
          <w:szCs w:val="20"/>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4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dissolution or liquidation of the Company.</w:t>
      </w:r>
    </w:p>
    <w:p>
      <w:pPr>
        <w:spacing w:after="0" w:line="17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2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68" w:name="page69"/>
    <w:bookmarkEnd w:id="68"/>
    <w:p>
      <w:pPr>
        <w:ind w:firstLine="913"/>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90" w:lineRule="exact"/>
        <w:rPr>
          <w:sz w:val="20"/>
          <w:szCs w:val="20"/>
          <w:color w:val="auto"/>
        </w:rPr>
      </w:pPr>
    </w:p>
    <w:p>
      <w:pPr>
        <w:ind w:right="60" w:firstLine="1484"/>
        <w:spacing w:after="0" w:line="289" w:lineRule="auto"/>
        <w:rPr>
          <w:sz w:val="20"/>
          <w:szCs w:val="20"/>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18" w:lineRule="exact"/>
        <w:rPr>
          <w:sz w:val="20"/>
          <w:szCs w:val="20"/>
          <w:color w:val="auto"/>
        </w:rPr>
      </w:pPr>
    </w:p>
    <w:p>
      <w:pPr>
        <w:ind w:right="60" w:firstLine="1484"/>
        <w:spacing w:after="0" w:line="268" w:lineRule="auto"/>
        <w:rPr>
          <w:sz w:val="20"/>
          <w:szCs w:val="20"/>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32" w:lineRule="exact"/>
        <w:rPr>
          <w:sz w:val="20"/>
          <w:szCs w:val="20"/>
          <w:color w:val="auto"/>
        </w:rPr>
      </w:pPr>
    </w:p>
    <w:p>
      <w:pPr>
        <w:ind w:right="100" w:firstLine="1484"/>
        <w:spacing w:after="0" w:line="318" w:lineRule="auto"/>
        <w:rPr>
          <w:sz w:val="20"/>
          <w:szCs w:val="20"/>
          <w:color w:val="auto"/>
        </w:rPr>
      </w:pPr>
      <w:r>
        <w:rPr>
          <w:rFonts w:ascii="Arial" w:cs="Arial" w:eastAsia="Arial" w:hAnsi="Arial"/>
          <w:sz w:val="15"/>
          <w:szCs w:val="15"/>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5"/>
          <w:szCs w:val="15"/>
          <w:b w:val="1"/>
          <w:bCs w:val="1"/>
          <w:color w:val="auto"/>
        </w:rPr>
        <w:t xml:space="preserve">However, the Company does not guarantee any particular tax effect for income provided to Executive pursuant to this Agreement. </w:t>
      </w:r>
      <w:r>
        <w:rPr>
          <w:rFonts w:ascii="Arial" w:cs="Arial" w:eastAsia="Arial" w:hAnsi="Arial"/>
          <w:sz w:val="15"/>
          <w:szCs w:val="15"/>
          <w:color w:val="auto"/>
        </w:rPr>
        <w:t>In any event, except</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No Violation of Rights of Third Parties</w:t>
      </w:r>
      <w:r>
        <w:rPr>
          <w:rFonts w:ascii="Arial" w:cs="Arial" w:eastAsia="Arial" w:hAnsi="Arial"/>
          <w:sz w:val="16"/>
          <w:szCs w:val="16"/>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Other Covenants</w:t>
      </w:r>
      <w:r>
        <w:rPr>
          <w:rFonts w:ascii="Arial" w:cs="Arial" w:eastAsia="Arial" w:hAnsi="Arial"/>
          <w:sz w:val="16"/>
          <w:szCs w:val="16"/>
          <w:color w:val="auto"/>
        </w:rPr>
        <w:t>. Executive hereby makes the following covenants, each of which Executive acknowledges and agrees are a material part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9" w:name="page70"/>
    <w:bookmarkEnd w:id="69"/>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1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44"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During the Term and after the termination thereof, neither Executive nor the Company will disparage each other, or the Company’s products, services, agents or employees.</w:t>
      </w:r>
    </w:p>
    <w:p>
      <w:pPr>
        <w:spacing w:after="0" w:line="13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Confidentiality and Proprietary Rights</w:t>
      </w:r>
      <w:r>
        <w:rPr>
          <w:rFonts w:ascii="Arial" w:cs="Arial" w:eastAsia="Arial" w:hAnsi="Arial"/>
          <w:sz w:val="16"/>
          <w:szCs w:val="16"/>
          <w:color w:val="auto"/>
        </w:rPr>
        <w:t>. Executive agrees to continue to abide by the Nondisclosure Agreement, which is incorporated herein by reference.</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70" w:name="page71"/>
    <w:bookmarkEnd w:id="70"/>
    <w:p>
      <w:pPr>
        <w:ind w:right="60"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Injunctive Relief</w:t>
      </w:r>
      <w:r>
        <w:rPr>
          <w:rFonts w:ascii="Arial" w:cs="Arial" w:eastAsia="Arial" w:hAnsi="Arial"/>
          <w:sz w:val="16"/>
          <w:szCs w:val="16"/>
          <w:color w:val="auto"/>
        </w:rPr>
        <w:t>. Executive acknowledges that Executive’s breach of the covenants contained in Sections 9, 10 and 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During the Term, Executive will be covered by the Company’s director and officer insurance policy to the same extent as all other senior executive officers of the Company.</w:t>
      </w:r>
    </w:p>
    <w:p>
      <w:pPr>
        <w:spacing w:after="0" w:line="13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Following the execution of this Agreement, the director and officer indemnification agreement executed by the Company and Executive will continue in effect in accordance with its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8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3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1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43" w:lineRule="exact"/>
        <w:rPr>
          <w:sz w:val="20"/>
          <w:szCs w:val="20"/>
          <w:color w:val="auto"/>
        </w:rPr>
      </w:pPr>
    </w:p>
    <w:p>
      <w:pPr>
        <w:ind w:right="420" w:firstLine="913"/>
        <w:spacing w:after="0" w:line="298" w:lineRule="auto"/>
        <w:rPr>
          <w:sz w:val="20"/>
          <w:szCs w:val="20"/>
          <w:color w:val="auto"/>
        </w:rPr>
      </w:pPr>
      <w:r>
        <w:rPr>
          <w:rFonts w:ascii="Arial" w:cs="Arial" w:eastAsia="Arial" w:hAnsi="Arial"/>
          <w:sz w:val="16"/>
          <w:szCs w:val="16"/>
          <w:u w:val="single" w:color="auto"/>
          <w:color w:val="auto"/>
        </w:rPr>
        <w:t>Governing Law; Forum</w:t>
      </w:r>
      <w:r>
        <w:rPr>
          <w:rFonts w:ascii="Arial" w:cs="Arial" w:eastAsia="Arial" w:hAnsi="Arial"/>
          <w:sz w:val="16"/>
          <w:szCs w:val="16"/>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71" w:name="page72"/>
    <w:bookmarkEnd w:id="71"/>
    <w:p>
      <w:pPr>
        <w:ind w:left="9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Any notice required or permitted by this Agreement shall be in writing and shall be delivered as follows with notice deemed given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indicated: (a) by personal delivery when delivered personally; (b) by overnight courier upon written verification of receipt; (c) by telecopy or facsimile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transmission upon acknowledgment of receipt of electronic transmission; or (d) by certified or registered mail, return receipt requested, upon verification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receipt. Notice shall be sent to the addresses set forth under the signatures below, or such other address as either party may specify in writing.</w:t>
      </w:r>
    </w:p>
    <w:p>
      <w:pPr>
        <w:spacing w:after="0" w:line="165"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PARTIES TO THIS AGREEMENT HAVE READ THE FOREGOING AGREEMENT AND FULLY UNDERSTAND EACH AND EVERY PROVISION CONTAINED HEREIN. WHEREFORE, THE PARTIES HAVE EXECUTED THIS AGREEMENT ON THE DATES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7880" w:type="dxa"/>
            <w:vAlign w:val="bottom"/>
            <w:gridSpan w:val="2"/>
          </w:tcPr>
          <w:p>
            <w:pPr>
              <w:ind w:left="2120"/>
              <w:spacing w:after="0"/>
              <w:rPr>
                <w:sz w:val="20"/>
                <w:szCs w:val="20"/>
                <w:color w:val="auto"/>
              </w:rPr>
            </w:pPr>
            <w:r>
              <w:rPr>
                <w:rFonts w:ascii="Arial" w:cs="Arial" w:eastAsia="Arial" w:hAnsi="Arial"/>
                <w:sz w:val="18"/>
                <w:szCs w:val="18"/>
                <w:b w:val="1"/>
                <w:bCs w:val="1"/>
                <w:color w:val="auto"/>
              </w:rPr>
              <w:t>JOSEPH N. MILDENHALL</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800" w:type="dxa"/>
            <w:vAlign w:val="bottom"/>
          </w:tcPr>
          <w:p>
            <w:pPr>
              <w:ind w:left="21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Joseph N. Mildenhall</w:t>
            </w:r>
          </w:p>
        </w:tc>
      </w:tr>
      <w:tr>
        <w:trPr>
          <w:trHeight w:val="198"/>
        </w:trPr>
        <w:tc>
          <w:tcPr>
            <w:tcW w:w="3540" w:type="dxa"/>
            <w:vAlign w:val="bottom"/>
          </w:tcPr>
          <w:p>
            <w:pPr>
              <w:spacing w:after="0"/>
              <w:rPr>
                <w:sz w:val="17"/>
                <w:szCs w:val="17"/>
                <w:color w:val="auto"/>
              </w:rPr>
            </w:pPr>
          </w:p>
        </w:tc>
        <w:tc>
          <w:tcPr>
            <w:tcW w:w="2800" w:type="dxa"/>
            <w:vAlign w:val="bottom"/>
          </w:tcPr>
          <w:p>
            <w:pPr>
              <w:ind w:left="2120"/>
              <w:spacing w:after="0" w:line="198" w:lineRule="exact"/>
              <w:rPr>
                <w:sz w:val="20"/>
                <w:szCs w:val="20"/>
                <w:color w:val="auto"/>
              </w:rPr>
            </w:pPr>
            <w:r>
              <w:rPr>
                <w:rFonts w:ascii="Arial" w:cs="Arial" w:eastAsia="Arial" w:hAnsi="Arial"/>
                <w:sz w:val="18"/>
                <w:szCs w:val="18"/>
                <w:color w:val="auto"/>
                <w:w w:val="92"/>
              </w:rPr>
              <w:t>Address:</w:t>
            </w:r>
          </w:p>
        </w:tc>
        <w:tc>
          <w:tcPr>
            <w:tcW w:w="5080" w:type="dxa"/>
            <w:vAlign w:val="bottom"/>
            <w:tcBorders>
              <w:bottom w:val="single" w:sz="8" w:color="auto"/>
            </w:tcBorders>
          </w:tcPr>
          <w:p>
            <w:pPr>
              <w:spacing w:after="0"/>
              <w:rPr>
                <w:sz w:val="17"/>
                <w:szCs w:val="17"/>
                <w:color w:val="auto"/>
              </w:rPr>
            </w:pPr>
          </w:p>
        </w:tc>
      </w:tr>
      <w:tr>
        <w:trPr>
          <w:trHeight w:val="142"/>
        </w:trPr>
        <w:tc>
          <w:tcPr>
            <w:tcW w:w="35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r>
      <w:tr>
        <w:trPr>
          <w:trHeight w:val="410"/>
        </w:trPr>
        <w:tc>
          <w:tcPr>
            <w:tcW w:w="3540" w:type="dxa"/>
            <w:vAlign w:val="bottom"/>
          </w:tcPr>
          <w:p>
            <w:pPr>
              <w:spacing w:after="0"/>
              <w:rPr>
                <w:sz w:val="24"/>
                <w:szCs w:val="24"/>
                <w:color w:val="auto"/>
              </w:rPr>
            </w:pPr>
          </w:p>
        </w:tc>
        <w:tc>
          <w:tcPr>
            <w:tcW w:w="7880" w:type="dxa"/>
            <w:vAlign w:val="bottom"/>
            <w:gridSpan w:val="2"/>
          </w:tcPr>
          <w:p>
            <w:pPr>
              <w:ind w:left="21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800" w:type="dxa"/>
            <w:vAlign w:val="bottom"/>
          </w:tcPr>
          <w:p>
            <w:pPr>
              <w:ind w:left="21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Brent D. Richardson</w:t>
            </w:r>
          </w:p>
        </w:tc>
      </w:tr>
      <w:tr>
        <w:trPr>
          <w:trHeight w:val="203"/>
        </w:trPr>
        <w:tc>
          <w:tcPr>
            <w:tcW w:w="3540" w:type="dxa"/>
            <w:vAlign w:val="bottom"/>
          </w:tcPr>
          <w:p>
            <w:pPr>
              <w:spacing w:after="0"/>
              <w:rPr>
                <w:sz w:val="17"/>
                <w:szCs w:val="17"/>
                <w:color w:val="auto"/>
              </w:rPr>
            </w:pPr>
          </w:p>
        </w:tc>
        <w:tc>
          <w:tcPr>
            <w:tcW w:w="2800" w:type="dxa"/>
            <w:vAlign w:val="bottom"/>
          </w:tcPr>
          <w:p>
            <w:pPr>
              <w:ind w:left="2120"/>
              <w:spacing w:after="0" w:line="203" w:lineRule="exact"/>
              <w:rPr>
                <w:sz w:val="20"/>
                <w:szCs w:val="20"/>
                <w:color w:val="auto"/>
              </w:rPr>
            </w:pPr>
            <w:r>
              <w:rPr>
                <w:rFonts w:ascii="Arial" w:cs="Arial" w:eastAsia="Arial" w:hAnsi="Arial"/>
                <w:sz w:val="18"/>
                <w:szCs w:val="18"/>
                <w:color w:val="auto"/>
              </w:rPr>
              <w:t>Name:</w:t>
            </w:r>
          </w:p>
        </w:tc>
        <w:tc>
          <w:tcPr>
            <w:tcW w:w="5080" w:type="dxa"/>
            <w:vAlign w:val="bottom"/>
          </w:tcPr>
          <w:p>
            <w:pPr>
              <w:ind w:left="120"/>
              <w:spacing w:after="0" w:line="203" w:lineRule="exact"/>
              <w:rPr>
                <w:sz w:val="20"/>
                <w:szCs w:val="20"/>
                <w:color w:val="auto"/>
              </w:rPr>
            </w:pPr>
            <w:r>
              <w:rPr>
                <w:rFonts w:ascii="Arial" w:cs="Arial" w:eastAsia="Arial" w:hAnsi="Arial"/>
                <w:sz w:val="18"/>
                <w:szCs w:val="18"/>
                <w:color w:val="auto"/>
              </w:rPr>
              <w:t>Brent D. Richardson</w:t>
            </w:r>
          </w:p>
        </w:tc>
      </w:tr>
      <w:tr>
        <w:trPr>
          <w:trHeight w:val="222"/>
        </w:trPr>
        <w:tc>
          <w:tcPr>
            <w:tcW w:w="3540" w:type="dxa"/>
            <w:vAlign w:val="bottom"/>
          </w:tcPr>
          <w:p>
            <w:pPr>
              <w:spacing w:after="0"/>
              <w:rPr>
                <w:sz w:val="19"/>
                <w:szCs w:val="19"/>
                <w:color w:val="auto"/>
              </w:rPr>
            </w:pPr>
          </w:p>
        </w:tc>
        <w:tc>
          <w:tcPr>
            <w:tcW w:w="2800" w:type="dxa"/>
            <w:vAlign w:val="bottom"/>
          </w:tcPr>
          <w:p>
            <w:pPr>
              <w:ind w:left="2120"/>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color w:val="auto"/>
              </w:rPr>
              <w:t>Executive Chairman</w:t>
            </w:r>
          </w:p>
        </w:tc>
      </w:tr>
      <w:tr>
        <w:trPr>
          <w:trHeight w:val="385"/>
        </w:trPr>
        <w:tc>
          <w:tcPr>
            <w:tcW w:w="3540" w:type="dxa"/>
            <w:vAlign w:val="bottom"/>
          </w:tcPr>
          <w:p>
            <w:pPr>
              <w:spacing w:after="0"/>
              <w:rPr>
                <w:sz w:val="24"/>
                <w:szCs w:val="24"/>
                <w:color w:val="auto"/>
              </w:rPr>
            </w:pPr>
          </w:p>
        </w:tc>
        <w:tc>
          <w:tcPr>
            <w:tcW w:w="2800" w:type="dxa"/>
            <w:vAlign w:val="bottom"/>
          </w:tcPr>
          <w:p>
            <w:pPr>
              <w:ind w:left="2120"/>
              <w:spacing w:after="0"/>
              <w:rPr>
                <w:sz w:val="20"/>
                <w:szCs w:val="20"/>
                <w:color w:val="auto"/>
              </w:rPr>
            </w:pPr>
            <w:r>
              <w:rPr>
                <w:rFonts w:ascii="Arial" w:cs="Arial" w:eastAsia="Arial" w:hAnsi="Arial"/>
                <w:sz w:val="18"/>
                <w:szCs w:val="18"/>
                <w:color w:val="auto"/>
                <w:w w:val="92"/>
              </w:rPr>
              <w:t>Address:</w:t>
            </w:r>
          </w:p>
        </w:tc>
        <w:tc>
          <w:tcPr>
            <w:tcW w:w="5080" w:type="dxa"/>
            <w:vAlign w:val="bottom"/>
          </w:tcPr>
          <w:p>
            <w:pPr>
              <w:ind w:left="120"/>
              <w:spacing w:after="0"/>
              <w:rPr>
                <w:sz w:val="20"/>
                <w:szCs w:val="20"/>
                <w:color w:val="auto"/>
              </w:rPr>
            </w:pPr>
            <w:r>
              <w:rPr>
                <w:rFonts w:ascii="Arial" w:cs="Arial" w:eastAsia="Arial" w:hAnsi="Arial"/>
                <w:sz w:val="18"/>
                <w:szCs w:val="18"/>
                <w:color w:val="auto"/>
              </w:rPr>
              <w:t>3300 West Camelback Road</w:t>
            </w:r>
          </w:p>
        </w:tc>
      </w:tr>
      <w:tr>
        <w:trPr>
          <w:trHeight w:val="222"/>
        </w:trPr>
        <w:tc>
          <w:tcPr>
            <w:tcW w:w="3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Phoenix, Arizona 85017</w:t>
            </w:r>
          </w:p>
        </w:tc>
      </w:tr>
      <w:tr>
        <w:trPr>
          <w:trHeight w:val="378"/>
        </w:trPr>
        <w:tc>
          <w:tcPr>
            <w:tcW w:w="3540" w:type="dxa"/>
            <w:vAlign w:val="bottom"/>
          </w:tcPr>
          <w:p>
            <w:pPr>
              <w:spacing w:after="0"/>
              <w:rPr>
                <w:sz w:val="24"/>
                <w:szCs w:val="24"/>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10</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(Associate Provost)</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Executive Employment Agreement (the “Agreement”) is entered into on July 30, 2012, with an effective date of September 1, 2012, by and between Grand Canyon Education, Inc., a Delaware corporation (the “Company”), and Dr. Kathy Player (“Executive”).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90"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The Company hereby employs Executive, and Executive hereby accepts such employment, upon the terms and conditions set forth herein.</w:t>
      </w:r>
    </w:p>
    <w:p>
      <w:pPr>
        <w:spacing w:after="0" w:line="275" w:lineRule="exact"/>
        <w:rPr>
          <w:rFonts w:ascii="Arial" w:cs="Arial" w:eastAsia="Arial" w:hAnsi="Arial"/>
          <w:sz w:val="16"/>
          <w:szCs w:val="16"/>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Associate Provost of the University and shall have the duties and responsibilities assigned by the Company’s Provost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 below.</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Company in advance of Executive’s intent to engage in other paid work and receives the Company’s express written consent to do so. Notwithstanding the foregoing, Executive will be permitted to serve as an outside director on the board of directors for corporate, civic, nonprofit or charitable entities, so long as Executive obtains the advance, written consent of the Company and provided such entities are not competitive with the Company and subject to the provisions of section 9 below.</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213"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Term</w:t>
      </w:r>
      <w:r>
        <w:rPr>
          <w:rFonts w:ascii="Arial" w:cs="Arial" w:eastAsia="Arial" w:hAnsi="Arial"/>
          <w:sz w:val="16"/>
          <w:szCs w:val="16"/>
          <w:color w:val="auto"/>
        </w:rPr>
        <w:t>. The employment relationship pursuant to this Agreement shall be for an initial term commencing on September 1, 2012 (the “Effective Date”) and continuing for a period of two (2) years following such date (“lnitial Term”), unless sooner terminated in accordance with section 7 below.</w:t>
      </w:r>
    </w:p>
    <w:p>
      <w:pPr>
        <w:sectPr>
          <w:pgSz w:w="11900" w:h="16838" w:orient="portrait"/>
          <w:cols w:equalWidth="0" w:num="1">
            <w:col w:w="11420"/>
          </w:cols>
          <w:pgMar w:left="240" w:top="125" w:right="239" w:bottom="1440" w:gutter="0" w:footer="0" w:header="0"/>
        </w:sectPr>
      </w:pPr>
    </w:p>
    <w:bookmarkStart w:id="73" w:name="page74"/>
    <w:bookmarkEnd w:id="73"/>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Renewal</w:t>
      </w:r>
      <w:r>
        <w:rPr>
          <w:rFonts w:ascii="Arial" w:cs="Arial" w:eastAsia="Arial" w:hAnsi="Arial"/>
          <w:sz w:val="16"/>
          <w:szCs w:val="16"/>
          <w:color w:val="auto"/>
        </w:rPr>
        <w:t>. On expiration of the lnitial Term specified in subsection 3.1 above, this Agreement will automatically renew for subsequent one (1) year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thirty (30) days’ advance written notice to the other that the Company or Executive does not wish to renew the Agreement for subsequent Renewal Term. In the event either party gives notice of nonrenewal pursuant to this subsection 3.2, this Agreement will expire at the end of the then current term. The lnitial Term and each subsequent Renewal Term are referred to collectively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9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the Company shall pay to Executive an initial Base Salary at the rate of Two-Hundred Thousand Dollars ($200,000)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Company’s Chief Executive Officer.</w:t>
      </w:r>
    </w:p>
    <w:p>
      <w:pPr>
        <w:spacing w:after="0" w:line="11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Incentive Compensation</w:t>
      </w:r>
      <w:r>
        <w:rPr>
          <w:rFonts w:ascii="Arial" w:cs="Arial" w:eastAsia="Arial" w:hAnsi="Arial"/>
          <w:sz w:val="15"/>
          <w:szCs w:val="15"/>
          <w:color w:val="auto"/>
        </w:rPr>
        <w:t>. Beginning January 1, 2013, Executive will be eligible to earn incentive compensation in the form of a semi-annual bonus based on the December 31 fiscal year end of the Company with a target amount of twelve-thousand five hundred ($12,500) per semi-annual period. The Provost will determine the actual amount of the bonus earned for each semi-annual period, which will be based upon both the Company’s achievement of overall performance metrics for the period and Executive’s achievement of individual performance metrics as agreed upon by the Provost and the Executive. Bonus amounts, if any, are to be awarded semi-annually and payment shall be made within two and one-half months following June 30 and December 31, each year.</w:t>
      </w:r>
    </w:p>
    <w:p>
      <w:pPr>
        <w:spacing w:after="0" w:line="100" w:lineRule="exact"/>
        <w:rPr>
          <w:sz w:val="20"/>
          <w:szCs w:val="20"/>
          <w:color w:val="auto"/>
        </w:rPr>
      </w:pPr>
    </w:p>
    <w:p>
      <w:pPr>
        <w:ind w:right="240" w:firstLine="8"/>
        <w:spacing w:after="0" w:line="259" w:lineRule="auto"/>
        <w:tabs>
          <w:tab w:leader="none" w:pos="17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40" w:lineRule="exact"/>
        <w:rPr>
          <w:rFonts w:ascii="Arial" w:cs="Arial" w:eastAsia="Arial" w:hAnsi="Arial"/>
          <w:sz w:val="18"/>
          <w:szCs w:val="18"/>
          <w:color w:val="auto"/>
        </w:rPr>
      </w:pPr>
    </w:p>
    <w:p>
      <w:pPr>
        <w:ind w:firstLine="8"/>
        <w:spacing w:after="0" w:line="294" w:lineRule="auto"/>
        <w:tabs>
          <w:tab w:leader="none" w:pos="17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customary, ordinary, and necessary,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two and one half months following the tax year in which the expense was incurred, (b) not be affected by any other expenses that are eligible for reimbursement in any tax year, and (c) not be subject to liquidation or exchange for another benefit.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4" w:name="page75"/>
    <w:bookmarkEnd w:id="74"/>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Executive’s Employment.</w:t>
      </w:r>
    </w:p>
    <w:p>
      <w:pPr>
        <w:spacing w:after="0" w:line="90"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w:t>
      </w:r>
    </w:p>
    <w:p>
      <w:pPr>
        <w:spacing w:after="0" w:line="3" w:lineRule="exact"/>
        <w:rPr>
          <w:sz w:val="20"/>
          <w:szCs w:val="20"/>
          <w:color w:val="auto"/>
        </w:rPr>
      </w:pPr>
    </w:p>
    <w:p>
      <w:pPr>
        <w:ind w:firstLine="8"/>
        <w:spacing w:after="0" w:line="286" w:lineRule="auto"/>
        <w:tabs>
          <w:tab w:leader="none" w:pos="239"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Executive’s breach of the Company’s Employee Nondisclosure and Assignment Agreement; (d) Executive’s conviction or entry of a plea of nolo contendere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Company’s Provost, provided that Executive has received written notice of the action or omission giving rise to such determination and has failed to remedy such situation to the satisfaction of the Provost within thirty (30) days following receipt of such written notice, unless Executive’s action or omission is not subject to cure, in which case no such notice shall be required, or (g) Executive’s death. In the event Executive’s employment is terminated in accordance with this subsection 7.1, Executive shall be entitled to receive only Executive’s 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subsection 7.2 below. Any termination pursuant to this subsection 7.1 shall be evidenced by a written notification from the Provost.</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Termination Without Cause by Company/Severance</w:t>
      </w:r>
      <w:r>
        <w:rPr>
          <w:rFonts w:ascii="Arial" w:cs="Arial" w:eastAsia="Arial" w:hAnsi="Arial"/>
          <w:sz w:val="16"/>
          <w:szCs w:val="16"/>
          <w:color w:val="auto"/>
        </w:rPr>
        <w:t>. The Company may terminate Executive’s employment under this Agreement without Cause at any time upon written notice to Executive. In the event of such termination, Executive will receive Executive’s Base Salary then in effect, prorated to the date of termination of employment. In addition, Executive will receive a “</w:t>
      </w:r>
      <w:r>
        <w:rPr>
          <w:rFonts w:ascii="Arial" w:cs="Arial" w:eastAsia="Arial" w:hAnsi="Arial"/>
          <w:sz w:val="16"/>
          <w:szCs w:val="16"/>
          <w:u w:val="single" w:color="auto"/>
          <w:color w:val="auto"/>
        </w:rPr>
        <w:t>Severance Package</w:t>
      </w:r>
      <w:r>
        <w:rPr>
          <w:rFonts w:ascii="Arial" w:cs="Arial" w:eastAsia="Arial" w:hAnsi="Arial"/>
          <w:sz w:val="16"/>
          <w:szCs w:val="16"/>
          <w:color w:val="auto"/>
        </w:rPr>
        <w:t>” that shall include (a) a severance payment equivalent to six (6) months of Executive’s Base Salary then in effect on the date of termination, payable in accordance with the Company’s regular payroll cycle commencing with the first payroll date occurring on or after the 60th day following the date of Executive’s termination of employment, and (b) payment by the Company of the premiums required to continue Executive’s group health care coverage for a period of six (6) months following Executive’s termination, under the applicable provisions of the Consolidated Omnibus Budget Reconciliation Act (“</w:t>
      </w:r>
      <w:r>
        <w:rPr>
          <w:rFonts w:ascii="Arial" w:cs="Arial" w:eastAsia="Arial" w:hAnsi="Arial"/>
          <w:sz w:val="16"/>
          <w:szCs w:val="16"/>
          <w:u w:val="single" w:color="auto"/>
          <w:color w:val="auto"/>
        </w:rPr>
        <w:t>COBRA</w:t>
      </w:r>
      <w:r>
        <w:rPr>
          <w:rFonts w:ascii="Arial" w:cs="Arial" w:eastAsia="Arial" w:hAnsi="Arial"/>
          <w:sz w:val="16"/>
          <w:szCs w:val="16"/>
          <w:color w:val="auto"/>
        </w:rPr>
        <w:t>”), provided that Executive timely elects to continue and remains eligible for these benefits under COBRA, and does not become eligible for health coverage through another employer during this period. Executive will only receive the Severance Package if Executive: (i) complies with all surviving provisions of this Agreement as specified in subsection 14.8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5" w:name="page76"/>
    <w:bookmarkEnd w:id="75"/>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6"/>
          <w:szCs w:val="16"/>
          <w:u w:val="single" w:color="auto"/>
          <w:color w:val="auto"/>
        </w:rPr>
        <w:t>Voluntary Resignation by Executive for Good Reason/Severance</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subsection 7.2 above, provided Executive complies with all of the conditions described in subsection 7.2 above. All other Company obligations to Executive pursuant to this Agreement will be automatically terminated and completely extinguished. Executive will be deemed to have resigned for Good Reason if Executive voluntarily terminates her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subsection if Executive does not provide written notice to the Company of her intent to exercise her rights pursuant to this subsection within thirty (30) days following the first occurrence of such condition(s).</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Voluntary Resignation by Executive Without Good Reason</w:t>
      </w:r>
      <w:r>
        <w:rPr>
          <w:rFonts w:ascii="Arial" w:cs="Arial" w:eastAsia="Arial" w:hAnsi="Arial"/>
          <w:sz w:val="16"/>
          <w:szCs w:val="16"/>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subsection 7.2 above.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90" w:lineRule="exact"/>
        <w:rPr>
          <w:sz w:val="20"/>
          <w:szCs w:val="20"/>
          <w:color w:val="auto"/>
        </w:rPr>
      </w:pPr>
    </w:p>
    <w:p>
      <w:pPr>
        <w:ind w:right="120" w:firstLine="464"/>
        <w:spacing w:after="0" w:line="302" w:lineRule="auto"/>
        <w:tabs>
          <w:tab w:leader="none" w:pos="695"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Severance Payment; Option Vesting Acceleration</w:t>
      </w:r>
      <w:r>
        <w:rPr>
          <w:rFonts w:ascii="Arial" w:cs="Arial" w:eastAsia="Arial" w:hAnsi="Arial"/>
          <w:sz w:val="15"/>
          <w:szCs w:val="15"/>
          <w:color w:val="auto"/>
        </w:rPr>
        <w:t>. If, upon or within twelve (12) months after a Change in Control (as that term is defined below), Executive’s employment is terminated by the Company other than for Cause (as defined in subsection 7.1 above) or Executive resigns for Good Reason (as defined in subsection 7.3 above), then (i) Executive shall be entitled to receive (A) Executive’s Base Salary, prorated to the date of termination of employment, and (B) the Severance Package described in subsection 7.2 above, provided Executive complies with all of the conditions described in subsection 7.2 above, and</w:t>
      </w:r>
    </w:p>
    <w:p>
      <w:pPr>
        <w:spacing w:after="0" w:line="2" w:lineRule="exact"/>
        <w:rPr>
          <w:rFonts w:ascii="Arial" w:cs="Arial" w:eastAsia="Arial" w:hAnsi="Arial"/>
          <w:sz w:val="15"/>
          <w:szCs w:val="15"/>
          <w:color w:val="auto"/>
        </w:rPr>
      </w:pPr>
    </w:p>
    <w:p>
      <w:pPr>
        <w:ind w:right="120" w:firstLine="8"/>
        <w:spacing w:after="0" w:line="261" w:lineRule="auto"/>
        <w:tabs>
          <w:tab w:leader="none" w:pos="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not yet vested, any stock options or other equity grants granted to Executive by the Company shall vest in full as of the date of such termination of employment, provided Executive complies with the conditions described in subsection 7.2 above.</w:t>
      </w:r>
    </w:p>
    <w:p>
      <w:pPr>
        <w:spacing w:after="0" w:line="137" w:lineRule="exact"/>
        <w:rPr>
          <w:rFonts w:ascii="Arial" w:cs="Arial" w:eastAsia="Arial" w:hAnsi="Arial"/>
          <w:sz w:val="18"/>
          <w:szCs w:val="18"/>
          <w:color w:val="auto"/>
        </w:rPr>
      </w:pPr>
    </w:p>
    <w:p>
      <w:pPr>
        <w:ind w:right="160" w:firstLine="464"/>
        <w:spacing w:after="0" w:line="298" w:lineRule="auto"/>
        <w:tabs>
          <w:tab w:leader="none" w:pos="705"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Parachute Payments</w:t>
      </w:r>
      <w:r>
        <w:rPr>
          <w:rFonts w:ascii="Arial" w:cs="Arial" w:eastAsia="Arial" w:hAnsi="Arial"/>
          <w:sz w:val="16"/>
          <w:szCs w:val="16"/>
          <w:color w:val="auto"/>
        </w:rPr>
        <w:t>. If, due to the benefits provided under subsection 7.5(a) and any other payments or benefits, Executive would be subject to any excise tax pursuant to Section 4999 of the Internal Revenue Code of 1986, as amended (the “Code”) due to characterization of any such amounts as excess parachute payments pursuant to Section 280G of the Code, the amounts payable under subsection 7.5(a) will be reduced (to the least extent possible) in order to avoid any “excess parachute payment” under Section 280G(b)(l) of the Code.</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6" w:name="page77"/>
    <w:bookmarkEnd w:id="76"/>
    <w:p>
      <w:pPr>
        <w:ind w:right="40" w:firstLine="1492"/>
        <w:spacing w:after="0" w:line="288" w:lineRule="auto"/>
        <w:tabs>
          <w:tab w:leader="none" w:pos="1693"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19" w:lineRule="exact"/>
        <w:rPr>
          <w:rFonts w:ascii="Arial" w:cs="Arial" w:eastAsia="Arial" w:hAnsi="Arial"/>
          <w:sz w:val="16"/>
          <w:szCs w:val="16"/>
          <w:color w:val="auto"/>
        </w:rPr>
      </w:pPr>
    </w:p>
    <w:p>
      <w:pPr>
        <w:ind w:right="180" w:firstLine="1492"/>
        <w:spacing w:after="0" w:line="268" w:lineRule="auto"/>
        <w:tabs>
          <w:tab w:leader="none" w:pos="17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31" w:lineRule="exact"/>
        <w:rPr>
          <w:rFonts w:ascii="Arial" w:cs="Arial" w:eastAsia="Arial" w:hAnsi="Arial"/>
          <w:sz w:val="18"/>
          <w:szCs w:val="18"/>
          <w:color w:val="auto"/>
        </w:rPr>
      </w:pPr>
    </w:p>
    <w:p>
      <w:pPr>
        <w:ind w:right="260" w:firstLine="1492"/>
        <w:spacing w:after="0" w:line="256" w:lineRule="auto"/>
        <w:tabs>
          <w:tab w:leader="none" w:pos="17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43" w:lineRule="exact"/>
        <w:rPr>
          <w:rFonts w:ascii="Arial" w:cs="Arial" w:eastAsia="Arial" w:hAnsi="Arial"/>
          <w:sz w:val="18"/>
          <w:szCs w:val="18"/>
          <w:color w:val="auto"/>
        </w:rPr>
      </w:pPr>
    </w:p>
    <w:p>
      <w:pPr>
        <w:ind w:left="1780" w:hanging="288"/>
        <w:spacing w:after="0"/>
        <w:tabs>
          <w:tab w:leader="none" w:pos="1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subsection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subsection 7.2 above, but shall be subject to the surviving provisions of this Agreement as set forth in section 14.8 below.</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89" w:lineRule="auto"/>
        <w:tabs>
          <w:tab w:leader="none" w:pos="17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subsection, become payable prior to the Delayed Payment Date will be accumulated and paid on the Delayed Payment Date.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77" w:name="page78"/>
    <w:bookmarkEnd w:id="77"/>
    <w:p>
      <w:pPr>
        <w:ind w:right="80" w:firstLine="1492"/>
        <w:spacing w:after="0" w:line="318" w:lineRule="auto"/>
        <w:tabs>
          <w:tab w:leader="none" w:pos="1732" w:val="left"/>
        </w:tabs>
        <w:numPr>
          <w:ilvl w:val="1"/>
          <w:numId w:val="4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5"/>
          <w:szCs w:val="15"/>
          <w:b w:val="1"/>
          <w:bCs w:val="1"/>
          <w:color w:val="auto"/>
        </w:rPr>
        <w:t xml:space="preserve">However, the Company does not guarantee any particular tax effect for income provided to Executive pursuant to this Agreement. </w:t>
      </w:r>
      <w:r>
        <w:rPr>
          <w:rFonts w:ascii="Arial" w:cs="Arial" w:eastAsia="Arial" w:hAnsi="Arial"/>
          <w:sz w:val="15"/>
          <w:szCs w:val="15"/>
          <w:color w:val="auto"/>
        </w:rPr>
        <w:t>In any event, except</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99" w:lineRule="exact"/>
        <w:rPr>
          <w:rFonts w:ascii="Arial" w:cs="Arial" w:eastAsia="Arial" w:hAnsi="Arial"/>
          <w:sz w:val="15"/>
          <w:szCs w:val="15"/>
          <w:color w:val="auto"/>
        </w:rPr>
      </w:pPr>
    </w:p>
    <w:p>
      <w:pPr>
        <w:ind w:right="40" w:firstLine="464"/>
        <w:spacing w:after="0" w:line="294"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 Violation of Rights of Third Parties</w:t>
      </w:r>
      <w:r>
        <w:rPr>
          <w:rFonts w:ascii="Arial" w:cs="Arial" w:eastAsia="Arial" w:hAnsi="Arial"/>
          <w:sz w:val="16"/>
          <w:szCs w:val="16"/>
          <w:color w:val="auto"/>
        </w:rPr>
        <w:t>. Executive represents and warrants to the Company that Executive is not currently a party, and will not become a party, to any other agreement that is in conflict with, or will prevent Executive from complying with,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15" w:lineRule="exact"/>
        <w:rPr>
          <w:rFonts w:ascii="Arial" w:cs="Arial" w:eastAsia="Arial" w:hAnsi="Arial"/>
          <w:sz w:val="16"/>
          <w:szCs w:val="16"/>
          <w:color w:val="auto"/>
        </w:rPr>
      </w:pPr>
    </w:p>
    <w:p>
      <w:pPr>
        <w:ind w:right="580" w:firstLine="464"/>
        <w:spacing w:after="0" w:line="268"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132" w:lineRule="exact"/>
        <w:rPr>
          <w:sz w:val="20"/>
          <w:szCs w:val="20"/>
          <w:color w:val="auto"/>
        </w:rPr>
      </w:pPr>
    </w:p>
    <w:p>
      <w:pPr>
        <w:ind w:right="300" w:firstLine="913"/>
        <w:spacing w:after="0" w:line="255" w:lineRule="auto"/>
        <w:rPr>
          <w:sz w:val="20"/>
          <w:szCs w:val="20"/>
          <w:color w:val="auto"/>
        </w:rPr>
      </w:pPr>
      <w:r>
        <w:rPr>
          <w:rFonts w:ascii="Arial" w:cs="Arial" w:eastAsia="Arial" w:hAnsi="Arial"/>
          <w:sz w:val="18"/>
          <w:szCs w:val="18"/>
          <w:color w:val="auto"/>
        </w:rPr>
        <w:t>9.1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9.2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8" w:name="page79"/>
    <w:bookmarkEnd w:id="78"/>
    <w:p>
      <w:pPr>
        <w:ind w:right="5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 During the Term of Executive’s employment with the Company and after the termination thereof, neither Executive nor the Company will disparage each other, or the Company’s products, services, agents or employees.</w:t>
      </w:r>
    </w:p>
    <w:p>
      <w:pPr>
        <w:spacing w:after="0" w:line="132" w:lineRule="exact"/>
        <w:rPr>
          <w:sz w:val="20"/>
          <w:szCs w:val="20"/>
          <w:color w:val="auto"/>
        </w:rPr>
      </w:pPr>
    </w:p>
    <w:p>
      <w:pPr>
        <w:ind w:right="320" w:firstLine="913"/>
        <w:spacing w:after="0" w:line="298" w:lineRule="auto"/>
        <w:rPr>
          <w:sz w:val="20"/>
          <w:szCs w:val="20"/>
          <w:color w:val="auto"/>
        </w:rPr>
      </w:pPr>
      <w:r>
        <w:rPr>
          <w:rFonts w:ascii="Arial" w:cs="Arial" w:eastAsia="Arial" w:hAnsi="Arial"/>
          <w:sz w:val="16"/>
          <w:szCs w:val="16"/>
          <w:color w:val="auto"/>
        </w:rPr>
        <w:t>9.4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13" w:lineRule="exact"/>
        <w:rPr>
          <w:sz w:val="20"/>
          <w:szCs w:val="20"/>
          <w:color w:val="auto"/>
        </w:rPr>
      </w:pPr>
    </w:p>
    <w:p>
      <w:pPr>
        <w:ind w:right="320" w:firstLine="921"/>
        <w:spacing w:after="0" w:line="268" w:lineRule="auto"/>
        <w:tabs>
          <w:tab w:leader="none" w:pos="117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Executive agrees to read, sign and abide by the Company’s Employee Nondisclosure and Assignment Agreement, which is provided with this Agreement and incorporated herein by reference.</w:t>
      </w:r>
    </w:p>
    <w:p>
      <w:pPr>
        <w:spacing w:after="0" w:line="131" w:lineRule="exact"/>
        <w:rPr>
          <w:rFonts w:ascii="Arial" w:cs="Arial" w:eastAsia="Arial" w:hAnsi="Arial"/>
          <w:sz w:val="18"/>
          <w:szCs w:val="18"/>
          <w:color w:val="auto"/>
        </w:rPr>
      </w:pPr>
    </w:p>
    <w:p>
      <w:pPr>
        <w:ind w:firstLine="921"/>
        <w:spacing w:after="0" w:line="305" w:lineRule="auto"/>
        <w:tabs>
          <w:tab w:leader="none" w:pos="1170"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Non-Competition; Nonsolicitation of Company’s Employees</w:t>
      </w:r>
      <w:r>
        <w:rPr>
          <w:rFonts w:ascii="Arial" w:cs="Arial" w:eastAsia="Arial" w:hAnsi="Arial"/>
          <w:sz w:val="15"/>
          <w:szCs w:val="15"/>
          <w:color w:val="auto"/>
        </w:rPr>
        <w:t>. Executive acknowledges that in the course of her employment with the Company she will serve as a member of the Company’s senior management and will become familiar with the Company’s trade secrets and with other confidential and proprietary information and that her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six-month (6) month period following the Term, she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15" w:lineRule="exact"/>
        <w:rPr>
          <w:rFonts w:ascii="Arial" w:cs="Arial" w:eastAsia="Arial" w:hAnsi="Arial"/>
          <w:sz w:val="15"/>
          <w:szCs w:val="15"/>
          <w:color w:val="auto"/>
        </w:rPr>
      </w:pPr>
    </w:p>
    <w:p>
      <w:pPr>
        <w:jc w:val="both"/>
        <w:ind w:right="60" w:firstLine="921"/>
        <w:spacing w:after="0" w:line="298" w:lineRule="auto"/>
        <w:tabs>
          <w:tab w:leader="none" w:pos="117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Executive acknowledges that Executive’s breach of the covenants contained in sections 9-11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9" w:name="page80"/>
    <w:bookmarkEnd w:id="79"/>
    <w:p>
      <w:pPr>
        <w:jc w:val="both"/>
        <w:ind w:right="180" w:firstLine="921"/>
        <w:spacing w:after="0" w:line="259" w:lineRule="auto"/>
        <w:tabs>
          <w:tab w:leader="none" w:pos="117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Indemnification</w:t>
      </w:r>
      <w:r>
        <w:rPr>
          <w:rFonts w:ascii="Arial" w:cs="Arial" w:eastAsia="Arial" w:hAnsi="Arial"/>
          <w:sz w:val="18"/>
          <w:szCs w:val="18"/>
          <w:color w:val="auto"/>
        </w:rPr>
        <w:t>. During the Term of Executive’s employment hereunder, Executive will be covered by the Company’s director and officer insurance policy to the same extent as all other senior executive officers of the Company. During the Term, the director and officer indemnity agreement previously executed between Executive and the Company shall continue in full force and effect.</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0" w:name="page81"/>
    <w:bookmarkEnd w:id="80"/>
    <w:p>
      <w:pPr>
        <w:jc w:val="both"/>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12 (“Injunctive Relief”), 13 (“Insurance; Indemnification”), 14 (“General Provisions”) and 15 (“Entire Agreement”) of this Agreement shall survive termination of Executive’s employment with the Company.</w:t>
      </w:r>
    </w:p>
    <w:p>
      <w:pPr>
        <w:spacing w:after="0" w:line="140" w:lineRule="exact"/>
        <w:rPr>
          <w:sz w:val="20"/>
          <w:szCs w:val="20"/>
          <w:color w:val="auto"/>
        </w:rPr>
      </w:pPr>
    </w:p>
    <w:p>
      <w:pPr>
        <w:ind w:right="40" w:firstLine="8"/>
        <w:spacing w:after="0" w:line="256" w:lineRule="auto"/>
        <w:tabs>
          <w:tab w:leader="none" w:pos="26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Employee Nondisclosure and Assignment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Chief Executive Officer. No oral waiver, amendment or modification will be effective under any circumstances whatsoever.</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PARTIES TO THlS AGREEMENT HAVE READ THE FOREGOING AGREEMENT AND FULLY UNDERSTAND EACH AND EVERY PROVISION CONTAINED HEREIN. WHEREFORE, THE PARTIES HAVE EXECUTED THlS AGREEMENT ON THE DATES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b w:val="1"/>
                <w:bCs w:val="1"/>
                <w:color w:val="auto"/>
              </w:rPr>
              <w:t>DR KATHY PLAYER</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Dr. Kathy Player</w:t>
            </w:r>
          </w:p>
        </w:tc>
      </w:tr>
      <w:tr>
        <w:trPr>
          <w:trHeight w:val="198"/>
        </w:trPr>
        <w:tc>
          <w:tcPr>
            <w:tcW w:w="3540" w:type="dxa"/>
            <w:vAlign w:val="bottom"/>
          </w:tcPr>
          <w:p>
            <w:pPr>
              <w:spacing w:after="0"/>
              <w:rPr>
                <w:sz w:val="17"/>
                <w:szCs w:val="17"/>
                <w:color w:val="auto"/>
              </w:rPr>
            </w:pPr>
          </w:p>
        </w:tc>
        <w:tc>
          <w:tcPr>
            <w:tcW w:w="2740" w:type="dxa"/>
            <w:vAlign w:val="bottom"/>
          </w:tcPr>
          <w:p>
            <w:pPr>
              <w:ind w:left="2060"/>
              <w:spacing w:after="0" w:line="198" w:lineRule="exact"/>
              <w:rPr>
                <w:sz w:val="20"/>
                <w:szCs w:val="20"/>
                <w:color w:val="auto"/>
              </w:rPr>
            </w:pPr>
            <w:r>
              <w:rPr>
                <w:rFonts w:ascii="Arial" w:cs="Arial" w:eastAsia="Arial" w:hAnsi="Arial"/>
                <w:sz w:val="18"/>
                <w:szCs w:val="18"/>
                <w:color w:val="auto"/>
                <w:w w:val="92"/>
              </w:rPr>
              <w:t>Address:</w:t>
            </w:r>
          </w:p>
        </w:tc>
        <w:tc>
          <w:tcPr>
            <w:tcW w:w="5140" w:type="dxa"/>
            <w:vAlign w:val="bottom"/>
            <w:tcBorders>
              <w:bottom w:val="single" w:sz="8" w:color="auto"/>
            </w:tcBorders>
          </w:tcPr>
          <w:p>
            <w:pPr>
              <w:spacing w:after="0"/>
              <w:rPr>
                <w:sz w:val="17"/>
                <w:szCs w:val="17"/>
                <w:color w:val="auto"/>
              </w:rPr>
            </w:pPr>
          </w:p>
        </w:tc>
      </w:tr>
      <w:tr>
        <w:trPr>
          <w:trHeight w:val="142"/>
        </w:trPr>
        <w:tc>
          <w:tcPr>
            <w:tcW w:w="3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140" w:type="dxa"/>
            <w:vAlign w:val="bottom"/>
            <w:tcBorders>
              <w:bottom w:val="single" w:sz="8" w:color="auto"/>
            </w:tcBorders>
          </w:tcPr>
          <w:p>
            <w:pPr>
              <w:spacing w:after="0"/>
              <w:rPr>
                <w:sz w:val="12"/>
                <w:szCs w:val="12"/>
                <w:color w:val="auto"/>
              </w:rPr>
            </w:pPr>
          </w:p>
        </w:tc>
      </w:tr>
      <w:tr>
        <w:trPr>
          <w:trHeight w:val="410"/>
        </w:trPr>
        <w:tc>
          <w:tcPr>
            <w:tcW w:w="3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July 30, 2012</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_/s/ Brian E. Mueller</w:t>
            </w:r>
          </w:p>
        </w:tc>
      </w:tr>
      <w:tr>
        <w:trPr>
          <w:trHeight w:val="203"/>
        </w:trPr>
        <w:tc>
          <w:tcPr>
            <w:tcW w:w="3540" w:type="dxa"/>
            <w:vAlign w:val="bottom"/>
          </w:tcPr>
          <w:p>
            <w:pPr>
              <w:spacing w:after="0"/>
              <w:rPr>
                <w:sz w:val="17"/>
                <w:szCs w:val="17"/>
                <w:color w:val="auto"/>
              </w:rPr>
            </w:pPr>
          </w:p>
        </w:tc>
        <w:tc>
          <w:tcPr>
            <w:tcW w:w="2740" w:type="dxa"/>
            <w:vAlign w:val="bottom"/>
          </w:tcPr>
          <w:p>
            <w:pPr>
              <w:ind w:left="2060"/>
              <w:spacing w:after="0" w:line="202" w:lineRule="exact"/>
              <w:rPr>
                <w:sz w:val="20"/>
                <w:szCs w:val="20"/>
                <w:color w:val="auto"/>
              </w:rPr>
            </w:pPr>
            <w:r>
              <w:rPr>
                <w:rFonts w:ascii="Arial" w:cs="Arial" w:eastAsia="Arial" w:hAnsi="Arial"/>
                <w:sz w:val="18"/>
                <w:szCs w:val="18"/>
                <w:color w:val="auto"/>
              </w:rPr>
              <w:t>Name:</w:t>
            </w:r>
          </w:p>
        </w:tc>
        <w:tc>
          <w:tcPr>
            <w:tcW w:w="5140" w:type="dxa"/>
            <w:vAlign w:val="bottom"/>
          </w:tcPr>
          <w:p>
            <w:pPr>
              <w:ind w:left="100"/>
              <w:spacing w:after="0" w:line="203" w:lineRule="exact"/>
              <w:rPr>
                <w:sz w:val="20"/>
                <w:szCs w:val="20"/>
                <w:color w:val="auto"/>
              </w:rPr>
            </w:pPr>
            <w:r>
              <w:rPr>
                <w:rFonts w:ascii="Arial" w:cs="Arial" w:eastAsia="Arial" w:hAnsi="Arial"/>
                <w:sz w:val="18"/>
                <w:szCs w:val="18"/>
                <w:color w:val="auto"/>
              </w:rPr>
              <w:t>Brian E. Mueller</w:t>
            </w:r>
          </w:p>
        </w:tc>
      </w:tr>
      <w:tr>
        <w:trPr>
          <w:trHeight w:val="222"/>
        </w:trPr>
        <w:tc>
          <w:tcPr>
            <w:tcW w:w="3540" w:type="dxa"/>
            <w:vAlign w:val="bottom"/>
          </w:tcPr>
          <w:p>
            <w:pPr>
              <w:spacing w:after="0"/>
              <w:rPr>
                <w:sz w:val="19"/>
                <w:szCs w:val="19"/>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Title:</w:t>
            </w:r>
          </w:p>
        </w:tc>
        <w:tc>
          <w:tcPr>
            <w:tcW w:w="51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26"/>
        </w:trPr>
        <w:tc>
          <w:tcPr>
            <w:tcW w:w="3540" w:type="dxa"/>
            <w:vAlign w:val="bottom"/>
          </w:tcPr>
          <w:p>
            <w:pPr>
              <w:spacing w:after="0"/>
              <w:rPr>
                <w:sz w:val="24"/>
                <w:szCs w:val="24"/>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w w:val="92"/>
              </w:rPr>
              <w:t>Address:</w:t>
            </w:r>
          </w:p>
        </w:tc>
        <w:tc>
          <w:tcPr>
            <w:tcW w:w="5140" w:type="dxa"/>
            <w:vAlign w:val="bottom"/>
          </w:tcPr>
          <w:p>
            <w:pPr>
              <w:ind w:left="100"/>
              <w:spacing w:after="0"/>
              <w:rPr>
                <w:sz w:val="20"/>
                <w:szCs w:val="20"/>
                <w:color w:val="auto"/>
              </w:rPr>
            </w:pPr>
            <w:r>
              <w:rPr>
                <w:rFonts w:ascii="Arial" w:cs="Arial" w:eastAsia="Arial" w:hAnsi="Arial"/>
                <w:sz w:val="18"/>
                <w:szCs w:val="18"/>
                <w:color w:val="auto"/>
              </w:rPr>
              <w:t>3300 West Camelback Road</w:t>
            </w:r>
          </w:p>
        </w:tc>
      </w:tr>
      <w:tr>
        <w:trPr>
          <w:trHeight w:val="222"/>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78"/>
        </w:trPr>
        <w:tc>
          <w:tcPr>
            <w:tcW w:w="3540" w:type="dxa"/>
            <w:vAlign w:val="bottom"/>
          </w:tcPr>
          <w:p>
            <w:pPr>
              <w:spacing w:after="0"/>
              <w:rPr>
                <w:sz w:val="24"/>
                <w:szCs w:val="24"/>
                <w:color w:val="auto"/>
              </w:rPr>
            </w:pPr>
          </w:p>
        </w:tc>
        <w:tc>
          <w:tcPr>
            <w:tcW w:w="2740" w:type="dxa"/>
            <w:vAlign w:val="bottom"/>
          </w:tcPr>
          <w:p>
            <w:pPr>
              <w:ind w:left="2140"/>
              <w:spacing w:after="0"/>
              <w:rPr>
                <w:sz w:val="20"/>
                <w:szCs w:val="20"/>
                <w:color w:val="auto"/>
              </w:rPr>
            </w:pPr>
            <w:r>
              <w:rPr>
                <w:rFonts w:ascii="Arial" w:cs="Arial" w:eastAsia="Arial" w:hAnsi="Arial"/>
                <w:sz w:val="18"/>
                <w:szCs w:val="18"/>
                <w:color w:val="auto"/>
              </w:rPr>
              <w:t>9</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18.0</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been furnished with a copy of the quarterly report on Form 10-Q of Grand Canyon Education, Inc. (the “University”) for the three and six month periods ended June 30, 2012, and have read the University’s statements contained in Note 2 to the condensed consolidated financial statements included therein. As stated in Note 2, the University changed its method of accounting for the presentation of changes in restricted cash related to financial aid program funds from cash flows from investing activities to cash flows from operating activities on the condensed consolidated statements of cash flows and states that the newly adopted accounting principle is preferable in the circumstances because the restricted funds are a core activity of the University’s operations and presenting both changes in the restricted cash asset and the student deposit liability within operating activities provides better transparency to sources and uses of cash from operations. In accordance with your request, we have reviewed and discussed with University officials the circumstances and business judgment and planning upon which the decision to make this change in the method of accounting was based.</w:t>
      </w:r>
    </w:p>
    <w:p>
      <w:pPr>
        <w:spacing w:after="0" w:line="118"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We have not audited any financial statements of the University as of any date or for any period, nor have we audited the information set forth in the aforementioned Note 2 to the condensed consolidated financial statements; accordingly, we do not express an opinion concerning the factual information contained therein.</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regard to the aforementioned accounting change, authoritative criteria have not been established for evaluating the preferability of one acceptable method of accounting over another acceptable method. However, for purposes of the University’s compliance with the requirements of the Securities and Exchange Commission, we are furnishing this letter.</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 and discussion, with reliance on management’s business judgment and planning, we concur that the newly adopted method of accounting is preferable in the University’s circumstances.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71"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2012 of Grand Canyon Education,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Date: August 6, 2012</w:t>
            </w:r>
          </w:p>
        </w:tc>
        <w:tc>
          <w:tcPr>
            <w:tcW w:w="5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Brian E. Mueller</w:t>
            </w:r>
          </w:p>
        </w:tc>
      </w:tr>
      <w:tr>
        <w:trPr>
          <w:trHeight w:val="202"/>
        </w:trPr>
        <w:tc>
          <w:tcPr>
            <w:tcW w:w="5920" w:type="dxa"/>
            <w:vAlign w:val="bottom"/>
          </w:tcPr>
          <w:p>
            <w:pPr>
              <w:spacing w:after="0"/>
              <w:rPr>
                <w:sz w:val="17"/>
                <w:szCs w:val="17"/>
                <w:color w:val="auto"/>
              </w:rPr>
            </w:pPr>
          </w:p>
        </w:tc>
        <w:tc>
          <w:tcPr>
            <w:tcW w:w="5500" w:type="dxa"/>
            <w:vAlign w:val="bottom"/>
          </w:tcPr>
          <w:p>
            <w:pPr>
              <w:ind w:left="260"/>
              <w:spacing w:after="0" w:line="202" w:lineRule="exact"/>
              <w:rPr>
                <w:sz w:val="20"/>
                <w:szCs w:val="20"/>
                <w:color w:val="auto"/>
              </w:rPr>
            </w:pPr>
            <w:r>
              <w:rPr>
                <w:rFonts w:ascii="Arial" w:cs="Arial" w:eastAsia="Arial" w:hAnsi="Arial"/>
                <w:sz w:val="18"/>
                <w:szCs w:val="18"/>
                <w:color w:val="auto"/>
              </w:rPr>
              <w:t>Brian E. Mueller</w:t>
            </w:r>
          </w:p>
        </w:tc>
      </w:tr>
      <w:tr>
        <w:trPr>
          <w:trHeight w:val="216"/>
        </w:trPr>
        <w:tc>
          <w:tcPr>
            <w:tcW w:w="592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r>
        <w:trPr>
          <w:trHeight w:val="222"/>
        </w:trPr>
        <w:tc>
          <w:tcPr>
            <w:tcW w:w="5920" w:type="dxa"/>
            <w:vAlign w:val="bottom"/>
          </w:tcPr>
          <w:p>
            <w:pPr>
              <w:spacing w:after="0"/>
              <w:rPr>
                <w:sz w:val="19"/>
                <w:szCs w:val="19"/>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71"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2012 of Grand Canyon Education,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August 6,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June 30, 2012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June 30, 2012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077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decimal"/>
      <w:start w:val="6"/>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lvl w:ilvl="1">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decimal"/>
      <w:start w:val="12"/>
    </w:lvl>
  </w:abstractNum>
  <w:abstractNum w:abstractNumId="17">
    <w:nsid w:val="419AC241"/>
    <w:multiLevelType w:val="hybridMultilevel"/>
    <w:lvl w:ilvl="0">
      <w:lvlJc w:val="left"/>
      <w:lvlText w:val="(%1)"/>
      <w:numFmt w:val="decimal"/>
      <w:start w:val="12"/>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decimal"/>
      <w:start w:val="12"/>
    </w:lvl>
  </w:abstractNum>
  <w:abstractNum w:abstractNumId="21">
    <w:nsid w:val="3804823E"/>
    <w:multiLevelType w:val="hybridMultilevel"/>
    <w:lvl w:ilvl="0">
      <w:lvlJc w:val="left"/>
      <w:lvlText w:val="(%1)"/>
      <w:numFmt w:val="decimal"/>
      <w:start w:val="12"/>
    </w:lvl>
  </w:abstractNum>
  <w:abstractNum w:abstractNumId="22">
    <w:nsid w:val="77465F01"/>
    <w:multiLevelType w:val="hybridMultilevel"/>
    <w:lvl w:ilvl="0">
      <w:lvlJc w:val="left"/>
      <w:lvlText w:val="(%1)"/>
      <w:numFmt w:val="lowerRoman"/>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12"/>
    </w:lvl>
  </w:abstractNum>
  <w:abstractNum w:abstractNumId="25">
    <w:nsid w:val="2463B9EA"/>
    <w:multiLevelType w:val="hybridMultilevel"/>
    <w:lvl w:ilvl="0">
      <w:lvlJc w:val="left"/>
      <w:lvlText w:val="(%1)"/>
      <w:numFmt w:val="decimal"/>
      <w:start w:val="12"/>
    </w:lvl>
  </w:abstractNum>
  <w:abstractNum w:abstractNumId="26">
    <w:nsid w:val="5E884ADC"/>
    <w:multiLevelType w:val="hybridMultilevel"/>
    <w:lvl w:ilvl="0">
      <w:lvlJc w:val="left"/>
      <w:lvlText w:val="(%1)"/>
      <w:numFmt w:val="lowerRoman"/>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decimal"/>
      <w:start w:val="12"/>
    </w:lvl>
  </w:abstractNum>
  <w:abstractNum w:abstractNumId="29">
    <w:nsid w:val="580BD78F"/>
    <w:multiLevelType w:val="hybridMultilevel"/>
    <w:lvl w:ilvl="0">
      <w:lvlJc w:val="left"/>
      <w:lvlText w:val="(%1)"/>
      <w:numFmt w:val="decimal"/>
      <w:start w:val="12"/>
    </w:lvl>
  </w:abstractNum>
  <w:abstractNum w:abstractNumId="30">
    <w:nsid w:val="153EA438"/>
    <w:multiLevelType w:val="hybridMultilevel"/>
    <w:lvl w:ilvl="0">
      <w:lvlJc w:val="left"/>
      <w:lvlText w:val="(%1)"/>
      <w:numFmt w:val="lowerRoman"/>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3"/>
    </w:lvl>
  </w:abstractNum>
  <w:abstractNum w:abstractNumId="33">
    <w:nsid w:val="6A2342EC"/>
    <w:multiLevelType w:val="hybridMultilevel"/>
    <w:lvl w:ilvl="0">
      <w:lvlJc w:val="left"/>
      <w:lvlText w:val="%1."/>
      <w:numFmt w:val="decimal"/>
      <w:start w:val="4"/>
    </w:lvl>
  </w:abstractNum>
  <w:abstractNum w:abstractNumId="34">
    <w:nsid w:val="2A487CB0"/>
    <w:multiLevelType w:val="hybridMultilevel"/>
    <w:lvl w:ilvl="0">
      <w:lvlJc w:val="left"/>
      <w:lvlText w:val="%1."/>
      <w:numFmt w:val="decimal"/>
      <w:start w:val="5"/>
    </w:lvl>
  </w:abstractNum>
  <w:abstractNum w:abstractNumId="35">
    <w:nsid w:val="1D4ED43B"/>
    <w:multiLevelType w:val="hybridMultilevel"/>
    <w:lvl w:ilvl="0">
      <w:lvlJc w:val="left"/>
      <w:lvlText w:val="%1."/>
      <w:numFmt w:val="decimal"/>
      <w:start w:val="7"/>
    </w:lvl>
  </w:abstractNum>
  <w:abstractNum w:abstractNumId="36">
    <w:nsid w:val="725A06FB"/>
    <w:multiLevelType w:val="hybridMultilevel"/>
    <w:lvl w:ilvl="0">
      <w:lvlJc w:val="left"/>
      <w:lvlText w:val="(%1)"/>
      <w:numFmt w:val="lowerLetter"/>
      <w:start w:val="3"/>
    </w:lvl>
  </w:abstractNum>
  <w:abstractNum w:abstractNumId="37">
    <w:nsid w:val="2CD89A32"/>
    <w:multiLevelType w:val="hybridMultilevel"/>
    <w:lvl w:ilvl="0">
      <w:lvlJc w:val="left"/>
      <w:lvlText w:val="%1"/>
      <w:numFmt w:val="lowerLetter"/>
      <w:start w:val="1"/>
    </w:lvl>
    <w:lvl w:ilvl="1">
      <w:lvlJc w:val="left"/>
      <w:lvlText w:val="(%2)"/>
      <w:numFmt w:val="lowerLetter"/>
      <w:start w:val="1"/>
    </w:lvl>
  </w:abstractNum>
  <w:abstractNum w:abstractNumId="38">
    <w:nsid w:val="57E4CCAF"/>
    <w:multiLevelType w:val="hybridMultilevel"/>
    <w:lvl w:ilvl="0">
      <w:lvlJc w:val="left"/>
      <w:lvlText w:val="(%1)"/>
      <w:numFmt w:val="lowerLetter"/>
      <w:start w:val="35"/>
    </w:lvl>
    <w:lvl w:ilvl="1">
      <w:lvlJc w:val="left"/>
      <w:lvlText w:val="(%2)"/>
      <w:numFmt w:val="lowerLetter"/>
      <w:start w:val="2"/>
    </w:lvl>
  </w:abstractNum>
  <w:abstractNum w:abstractNumId="39">
    <w:nsid w:val="7A6D8D3C"/>
    <w:multiLevelType w:val="hybridMultilevel"/>
    <w:lvl w:ilvl="0">
      <w:lvlJc w:val="left"/>
      <w:lvlText w:val="(%1)"/>
      <w:numFmt w:val="lowerRoman"/>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1"/>
    </w:lvl>
    <w:lvl w:ilvl="1">
      <w:lvlJc w:val="left"/>
      <w:lvlText w:val="(%2)"/>
      <w:numFmt w:val="lowerLetter"/>
      <w:start w:val="2"/>
    </w:lvl>
  </w:abstractNum>
  <w:abstractNum w:abstractNumId="42">
    <w:nsid w:val="6DE91B18"/>
    <w:multiLevelType w:val="hybridMultilevel"/>
    <w:lvl w:ilvl="0">
      <w:lvlJc w:val="left"/>
      <w:lvlText w:val="%1."/>
      <w:numFmt w:val="decimal"/>
      <w:start w:val="8"/>
    </w:lvl>
    <w:lvl w:ilvl="1">
      <w:lvlJc w:val="left"/>
      <w:lvlText w:val="%2"/>
      <w:numFmt w:val="lowerLetter"/>
      <w:start w:val="1"/>
    </w:lvl>
  </w:abstractNum>
  <w:abstractNum w:abstractNumId="43">
    <w:nsid w:val="38437FDB"/>
    <w:multiLevelType w:val="hybridMultilevel"/>
    <w:lvl w:ilvl="0">
      <w:lvlJc w:val="left"/>
      <w:lvlText w:val="%1."/>
      <w:numFmt w:val="decimal"/>
      <w:start w:val="10"/>
    </w:lvl>
  </w:abstractNum>
  <w:abstractNum w:abstractNumId="44">
    <w:nsid w:val="7644A45C"/>
    <w:multiLevelType w:val="hybridMultilevel"/>
    <w:lvl w:ilvl="0">
      <w:lvlJc w:val="left"/>
      <w:lvlText w:val="%1"/>
      <w:numFmt w:val="decimal"/>
      <w:start w:val="1"/>
    </w:lvl>
    <w:lvl w:ilvl="1">
      <w:lvlJc w:val="left"/>
      <w:lvlText w:val="%2."/>
      <w:numFmt w:val="decimal"/>
      <w:start w:val="13"/>
    </w:lvl>
  </w:abstractNum>
  <w:abstractNum w:abstractNumId="45">
    <w:nsid w:val="32FFF902"/>
    <w:multiLevelType w:val="hybridMultilevel"/>
    <w:lvl w:ilvl="0">
      <w:lvlJc w:val="left"/>
      <w:lvlText w:val="%1."/>
      <w:numFmt w:val="decimal"/>
      <w:start w:val="14"/>
    </w:lvl>
    <w:lvl w:ilvl="1">
      <w:lvlJc w:val="left"/>
      <w:lvlText w:val="%2"/>
      <w:numFmt w:val="decimal"/>
      <w:start w:val="1"/>
    </w:lvl>
  </w:abstractNum>
  <w:abstractNum w:abstractNumId="46">
    <w:nsid w:val="684A481A"/>
    <w:multiLevelType w:val="hybridMultilevel"/>
    <w:lvl w:ilvl="0">
      <w:lvlJc w:val="left"/>
      <w:lvlText w:val="%1."/>
      <w:numFmt w:val="decimal"/>
      <w:start w:val="15"/>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2019-12-09T19:46:39Z</dcterms:created>
  <dcterms:modified xsi:type="dcterms:W3CDTF">2019-12-09T19:46:39Z</dcterms:modified>
</cp:coreProperties>
</file>