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January 22, 2019</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Grand Canyon Education, Inc.</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538" w:right="35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020" w:space="720"/>
            <w:col w:w="2900" w:space="720"/>
            <w:col w:w="2940"/>
          </w:cols>
          <w:pgMar w:left="240" w:top="538" w:right="35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300"/>
          </w:cols>
          <w:pgMar w:left="240" w:top="538" w:right="359" w:bottom="1440" w:gutter="0" w:footer="0" w:header="0"/>
          <w:type w:val="continuous"/>
        </w:sectPr>
      </w:pPr>
    </w:p>
    <w:p>
      <w:pPr>
        <w:spacing w:after="0" w:line="20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Phoenix, Arizona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85017</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38" w:right="35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38"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 to Amendment No. 1</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Amendment No. 1 to Current Report on Form 8-K/A is being filed solely to correct certain inadvertent errors contained in the unaudited pro forma combined financial statements and explanatory notes as of December 31, 2018 and for the year ended December 31, 2018 previously provided pursuant to Item 9.02(b) and in Exhibit 99.2 of the Current Report on Form 8-K/A filed on April 2, 2019.</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January 23, 2019, Grand Canyon Education, Inc. (the “Company” or “GCE”) filed with the Securities and Exchange Commission (the “SEC”), a Current Report on Form 8-K (the “Initial Form 8-K”) disclosing that on January 22, 2019, GCE had completed the acquisition of Orbis Education Services, LLC (“Orbis Education”) for $365.8 million in cash (inclusive of closing date adjustments). Orbis Education is an education services company that supports healthcare education programs for 17 universities across the United States.</w:t>
      </w:r>
    </w:p>
    <w:p>
      <w:pPr>
        <w:spacing w:after="0" w:line="18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Initial Form 8-K, GCE stated its intention to file the historical financial statements of Orbis Education and the pro forma financial information required by parts (a) and (b) of Item 9.01 of Form 8-K not later than 71 calendar days after the date that the Initial Form 8-K was required to be filed with the SEC. Pursuant to the instructions to Item 9.01 of Form 8-K, this Current Report on Form 8-K/A (the “Form 8-K/A”) amends the Initial Form 8-K in order to provide the required 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Consolidated Financial Statements and Exhibits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 of Business Acquired</w:t>
      </w:r>
    </w:p>
    <w:p>
      <w:pPr>
        <w:spacing w:after="0" w:line="227" w:lineRule="exact"/>
        <w:rPr>
          <w:rFonts w:ascii="Times New Roman" w:cs="Times New Roman" w:eastAsia="Times New Roman" w:hAnsi="Times New Roman"/>
          <w:sz w:val="18"/>
          <w:szCs w:val="18"/>
          <w:i w:val="1"/>
          <w:iCs w:val="1"/>
          <w:color w:val="auto"/>
        </w:rPr>
      </w:pPr>
    </w:p>
    <w:p>
      <w:pPr>
        <w:ind w:left="660" w:right="2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audited consolidated balance sheet of Orbis Education Services, LLC as of December 31, 2018, the related audited consolidated statements of operations for the year ended December 31, 2018 are attached to this Form 8-K/A as Exhibit 99.1 and are incorporated herein by reference.</w:t>
      </w:r>
    </w:p>
    <w:p>
      <w:pPr>
        <w:spacing w:after="0" w:line="15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rFonts w:ascii="Times New Roman" w:cs="Times New Roman" w:eastAsia="Times New Roman" w:hAnsi="Times New Roman"/>
          <w:sz w:val="18"/>
          <w:szCs w:val="18"/>
          <w:i w:val="1"/>
          <w:iCs w:val="1"/>
          <w:color w:val="auto"/>
        </w:rPr>
      </w:pPr>
    </w:p>
    <w:p>
      <w:pPr>
        <w:ind w:left="660" w:right="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unaudited pro forma combined balance sheet which gives effect to the Acquisition as if it had occurred on December 31, 2018, the related unaudited pro forma combined statement of income for the year ended December 31, 2018 which gives effect to the Acquisition as if it had occurred on January 1, 2018, and the related notes to such unaudited pro forma combined financial statements are attached to this Form 8-K/A as Exhibit 99.2 and are incorporated herein by reference.</w:t>
      </w:r>
    </w:p>
    <w:p>
      <w:pPr>
        <w:spacing w:after="0" w:line="178" w:lineRule="exact"/>
        <w:rPr>
          <w:rFonts w:ascii="Times New Roman" w:cs="Times New Roman" w:eastAsia="Times New Roman" w:hAnsi="Times New Roman"/>
          <w:sz w:val="18"/>
          <w:szCs w:val="18"/>
          <w:i w:val="1"/>
          <w:iCs w:val="1"/>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60" w:type="dxa"/>
            <w:vAlign w:val="bottom"/>
            <w:gridSpan w:val="3"/>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7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Consent of BKD, LLP, Independent Registered Accounting Firm for Orbis Education Services, LLC.</w:t>
              </w:r>
            </w:hyperlink>
          </w:p>
        </w:tc>
        <w:tc>
          <w:tcPr>
            <w:tcW w:w="2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7"/>
                <w:szCs w:val="17"/>
                <w:color w:val="auto"/>
              </w:rPr>
            </w:pPr>
          </w:p>
        </w:tc>
        <w:tc>
          <w:tcPr>
            <w:tcW w:w="9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Audited consolidated financial statements of Orbis Education Services, LLC as of December 31, 2018 and for the year ended</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December 31, 2018.</w:t>
              </w:r>
            </w:hyperlink>
          </w:p>
        </w:tc>
        <w:tc>
          <w:tcPr>
            <w:tcW w:w="8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7"/>
                <w:szCs w:val="17"/>
                <w:color w:val="auto"/>
              </w:rPr>
            </w:pPr>
          </w:p>
        </w:tc>
        <w:tc>
          <w:tcPr>
            <w:tcW w:w="9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Unaudited pro forma combined financial statements and explanatory notes as of December 31, 2018 and for the year ended December 31,</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740" w:type="dxa"/>
            <w:vAlign w:val="bottom"/>
            <w:gridSpan w:val="2"/>
          </w:tcPr>
          <w:p>
            <w:pPr>
              <w:ind w:left="340"/>
              <w:spacing w:after="0" w:line="196" w:lineRule="exact"/>
              <w:rPr>
                <w:rFonts w:ascii="Times New Roman" w:cs="Times New Roman" w:eastAsia="Times New Roman" w:hAnsi="Times New Roman"/>
                <w:sz w:val="18"/>
                <w:szCs w:val="18"/>
                <w:color w:val="0000EE"/>
                <w:w w:val="93"/>
              </w:rPr>
            </w:pPr>
            <w:hyperlink w:anchor="page26">
              <w:r>
                <w:rPr>
                  <w:rFonts w:ascii="Times New Roman" w:cs="Times New Roman" w:eastAsia="Times New Roman" w:hAnsi="Times New Roman"/>
                  <w:sz w:val="18"/>
                  <w:szCs w:val="18"/>
                  <w:color w:val="0000EE"/>
                  <w:w w:val="93"/>
                </w:rPr>
                <w:t>2018.</w:t>
              </w:r>
            </w:hyperlink>
          </w:p>
        </w:tc>
        <w:tc>
          <w:tcPr>
            <w:tcW w:w="106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statements relating to the Acquisition discussed above. Words such as “may,” “should,” “could,” “would,” “predicts,” “potential,” “continue,” “expects,” “anticipates,” “future,” “intends,” “plans,” “believes,” “estimates” and similar expressions, as well as statements in future tense, identify forward-looking statements. Forward-looking statements are based on information available at the time those statements are made or management’s good faith belief as of that time with respect to future events, and are subject to risks and uncertainties that could cause actual events to differ materially from those expressed in or suggested by the forward-looking statements. Important factors that could cause such differences include, but are not limited to: the failure of the Company to operate successfully as a third party education services provider; the occurrence of any event, change or other circumstance that could give rise to the termination of any of our key customer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 convert prospective students to enrolled students and to retain active students to graduation; our success in updating and expanding the content of existing programs and developing new programs in a cost-effective manner or on a timely basis for our university partners; and other factors discussed in the Company’s reports on file with the Securities and Exchange Commission. Factors or events that could affect the transactions contemplated herein or cause the Company’s actual results to differ may emerge from time to time, and it is not possible for the Company to predict all of them. The Company undertakes no obligation to publicly update or revise any forward-looking statement, whether as a result of new information, future developments or otherwise, except as may be required by any applicable securities laws.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6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GRAND CANYON EDUCATION, INC.</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2019</w:t>
            </w:r>
          </w:p>
        </w:tc>
        <w:tc>
          <w:tcPr>
            <w:tcW w:w="78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Daniel E. Bachus</w:t>
            </w:r>
          </w:p>
        </w:tc>
        <w:tc>
          <w:tcPr>
            <w:tcW w:w="4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E. Bachus</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333-155973, 333-165019, 333-179611, and 333-218740) on Form S-8 of Grand Canyon Education, Inc. of our report dated March 25, 2019 on our audit of the consolidated balance sheet as of December 31, 2018 of Orbis Education Services, LLC and the related consolidated statements of operations, members’ deficit, and cash flows for the year ended December 31, 2018 included in this Current Report on Form 8-K/A of Grand Canyon Education, Inc.,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BKD,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Independent Auditor’s Report and Consolidated Financial Statements</w:t>
      </w:r>
    </w:p>
    <w:p>
      <w:pPr>
        <w:spacing w:after="0" w:line="2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60" w:type="dxa"/>
            <w:vAlign w:val="bottom"/>
          </w:tcPr>
          <w:p>
            <w:pPr>
              <w:jc w:val="right"/>
              <w:ind w:right="445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tc>
      </w:tr>
      <w:tr>
        <w:trPr>
          <w:trHeight w:val="238"/>
        </w:trPr>
        <w:tc>
          <w:tcPr>
            <w:tcW w:w="3600" w:type="dxa"/>
            <w:vAlign w:val="bottom"/>
          </w:tcPr>
          <w:p>
            <w:pPr>
              <w:spacing w:after="0"/>
              <w:rPr>
                <w:sz w:val="20"/>
                <w:szCs w:val="20"/>
                <w:color w:val="auto"/>
              </w:rPr>
            </w:pPr>
          </w:p>
        </w:tc>
        <w:tc>
          <w:tcPr>
            <w:tcW w:w="7860" w:type="dxa"/>
            <w:vAlign w:val="bottom"/>
          </w:tcPr>
          <w:p>
            <w:pPr>
              <w:jc w:val="right"/>
              <w:ind w:right="49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7860" w:type="dxa"/>
            <w:vAlign w:val="bottom"/>
          </w:tcPr>
          <w:p>
            <w:pPr>
              <w:spacing w:after="0"/>
              <w:rPr>
                <w:sz w:val="24"/>
                <w:szCs w:val="24"/>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tc>
        <w:tc>
          <w:tcPr>
            <w:tcW w:w="7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14"/>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860" w:type="dxa"/>
            <w:vAlign w:val="bottom"/>
          </w:tcPr>
          <w:p>
            <w:pPr>
              <w:spacing w:after="0"/>
              <w:rPr>
                <w:sz w:val="24"/>
                <w:szCs w:val="24"/>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Sheet</w:t>
            </w:r>
          </w:p>
        </w:tc>
        <w:tc>
          <w:tcPr>
            <w:tcW w:w="7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 of Operations</w:t>
            </w:r>
          </w:p>
        </w:tc>
        <w:tc>
          <w:tcPr>
            <w:tcW w:w="7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 of Members’ Deficit</w:t>
            </w:r>
          </w:p>
        </w:tc>
        <w:tc>
          <w:tcPr>
            <w:tcW w:w="7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 of Cash Flows</w:t>
            </w:r>
          </w:p>
        </w:tc>
        <w:tc>
          <w:tcPr>
            <w:tcW w:w="7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7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48"/>
        </w:trPr>
        <w:tc>
          <w:tcPr>
            <w:tcW w:w="360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7" w:name="page8"/>
    <w:bookmarkEnd w:id="7"/>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660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Orbis Education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Orbis Education Services, LLC and its subsidiaries, which comprise the consolidated balance sheet as of December 31, 2018, and the related consolidated statements of operations, members’ deficit and cash flows for the year then ended, and the related notes to consolidated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the Financial Statements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744220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154940</wp:posOffset>
            </wp:positionV>
            <wp:extent cx="66865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655" cy="38608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Orbis Education Services, LLC and its subsidiaries as of December 31, 2018 and the results of their operations and their cash flows for the year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entity has changed its method of accounting for goodwill and its presentation of redeemable preferred units in 2018.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BKD,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2019</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6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6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7"/>
              </w:rPr>
              <w:t>December 31, 2018</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98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4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240,981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40,736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1,759,219</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4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gridSpan w:val="2"/>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2,040,936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5,270,481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4,315,621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346,325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9,932,427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4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11,973,363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17,517,500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799,669</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7,112,460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4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25,429,629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2,624,379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895,939</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Total noncurrent liabilities</w:t>
            </w:r>
          </w:p>
        </w:tc>
        <w:tc>
          <w:tcPr>
            <w:tcW w:w="4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3,520,318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28,949,947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Redeemable Convertible Preferred Units</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33,942,336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Members’ Deficit</w:t>
            </w:r>
          </w:p>
        </w:tc>
        <w:tc>
          <w:tcPr>
            <w:tcW w:w="4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(50,918,920)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4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11,973,363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tc>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0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7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7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62,458,801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4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14,094,651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Instructional costs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18,348,660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Facilities</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4,118,716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Wages and benefits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7,449,711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costs of revenue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1,275,159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cost of revenues</w:t>
            </w:r>
          </w:p>
        </w:tc>
        <w:tc>
          <w:tcPr>
            <w:tcW w:w="4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45,286,897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Income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17,171,904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16,991,156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3,040,592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300,026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4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20,331,774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(3,159,870)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(3,216,074)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(40,448)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(3,256,522)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(6,416,392)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gridSpan w:val="2"/>
            <w:vMerge w:val="continue"/>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4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140" w:type="dxa"/>
            <w:vAlign w:val="bottom"/>
            <w:gridSpan w:val="2"/>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140" w:type="dxa"/>
            <w:vAlign w:val="bottom"/>
            <w:gridSpan w:val="2"/>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Consolidated Statement of Members’ Deficit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14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2017 (as adjusted - Note 11)</w:t>
            </w:r>
          </w:p>
        </w:tc>
        <w:tc>
          <w:tcPr>
            <w:tcW w:w="6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(44,802,554)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5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(6,416,392)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Profit interest expense</w:t>
            </w:r>
          </w:p>
        </w:tc>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6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(50,918,920)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tc>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gridSpan w:val="2"/>
            <w:vMerge w:val="continue"/>
          </w:tcPr>
          <w:p>
            <w:pPr>
              <w:spacing w:after="0"/>
              <w:rPr>
                <w:sz w:val="24"/>
                <w:szCs w:val="24"/>
                <w:color w:val="auto"/>
              </w:rPr>
            </w:pPr>
          </w:p>
        </w:tc>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8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5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Cash Flows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20" w:type="dxa"/>
            <w:vAlign w:val="bottom"/>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(6,416,392)</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Items not requiring cash</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3,040,592</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discount amortization (interest expense)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17,656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 adjustment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1,876,700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Profit interest expense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300,026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(40,736)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(146,353)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(314,359)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1,437,453</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282,317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36,904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(2,473,858)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of online learning products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(837,921)</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(3,311,779)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32,935,000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revolving credit facility</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(29,520,000)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3,415,000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Beginning of Year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240,981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1,296,766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71,116</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 and Summary of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left="520" w:right="80"/>
        <w:spacing w:after="0" w:line="256" w:lineRule="auto"/>
        <w:rPr>
          <w:sz w:val="20"/>
          <w:szCs w:val="20"/>
          <w:color w:val="auto"/>
        </w:rPr>
      </w:pPr>
      <w:r>
        <w:rPr>
          <w:rFonts w:ascii="Times New Roman" w:cs="Times New Roman" w:eastAsia="Times New Roman" w:hAnsi="Times New Roman"/>
          <w:sz w:val="18"/>
          <w:szCs w:val="18"/>
          <w:color w:val="auto"/>
        </w:rPr>
        <w:t>Orbis Education Services, LLC (Orbis), headquartered in Indianapolis, Indiana, is an outsourced provider of education services to universities and healthcare providers. In partnership with college and university affiliates and hospital networks, the Company creates, manages and markets collaborative educational solutions for nursing and other healthcare related students. The Company leverages these alliances to provide flexible and customized education programs by facilitating operations, management, student recruitment, and the technology behind the programs. The Company currently has work environments in California, Colorado, Florida, Indiana, Massachusetts, Nevada, New York, North Carolina, Ohio, Oregon, Tennessee, Texas, Utah and Wisconsin.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Orbis Management Company, LLC (Management) and Orbis Education II, LLC (“OE II”). Management is owned 99% by Orbis and 1% by OE II. Management primarily provides employee services to Orbis for a service fee. OE II is owned 100% by Orbis. All intercompany accounts and transactions have been eliminated in the consolidation of Orbis, Management and OE II (hereinafter collectively referred to as the Company). OE II had no significant operating activities during the year ended December 31, 2018.</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520" w:right="1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Estimates</w:t>
      </w:r>
    </w:p>
    <w:p>
      <w:pPr>
        <w:spacing w:after="0" w:line="229"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disclosure of certain significant estimates. Definite-lived intangibles are evaluated by management whenever events or circumstances indicate the carrying amount may not be recoverable. Assumptions by management that could affect the value of the intangibles include expected profitability and economic factors, including increased competition.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the Company estimates the fair value of outstanding warrants.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4" w:name="page15"/>
    <w:bookmarkEnd w:id="14"/>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260" w:right="60"/>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bank accounts, which may exceed federally insured limits. The Company has not experienced any losses in such accounts. At December 31, 2018, the Company’s cash accounts exceed federally insured limits by approximately $162,000.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left="260" w:right="60"/>
        <w:spacing w:after="0" w:line="266" w:lineRule="auto"/>
        <w:rPr>
          <w:sz w:val="20"/>
          <w:szCs w:val="20"/>
          <w:color w:val="auto"/>
        </w:rPr>
      </w:pPr>
      <w:r>
        <w:rPr>
          <w:rFonts w:ascii="Times New Roman" w:cs="Times New Roman" w:eastAsia="Times New Roman" w:hAnsi="Times New Roman"/>
          <w:sz w:val="18"/>
          <w:szCs w:val="18"/>
          <w:color w:val="auto"/>
        </w:rPr>
        <w:t>Accounts receivable are stated at the amount billed to customers. The Company provides an allowance for doubtful accounts, which is based upon a review of outstanding receivables, historical collection information and existing economic conditions. Delinquent receivables are written off based on individual credit evaluation and specific circumstances of the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260" w:right="200"/>
        <w:spacing w:after="0" w:line="261" w:lineRule="auto"/>
        <w:rPr>
          <w:sz w:val="20"/>
          <w:szCs w:val="20"/>
          <w:color w:val="auto"/>
        </w:rPr>
      </w:pPr>
      <w:r>
        <w:rPr>
          <w:rFonts w:ascii="Times New Roman" w:cs="Times New Roman" w:eastAsia="Times New Roman" w:hAnsi="Times New Roman"/>
          <w:sz w:val="18"/>
          <w:szCs w:val="18"/>
          <w:color w:val="auto"/>
        </w:rPr>
        <w:t>Property and equipment acquisitions are stated at cost, less accumulated depreciation and amortization. Depreciation and amortization is charged to expense on the straight-line basis over the estimated useful life of each asset. Assets under capital lease obligations and leasehold improvements are amortized over the shorter of the lease term or their respective estimated useful lives. The estimated useful lives for each major depreciable classification of property and equipment are:</w:t>
      </w:r>
    </w:p>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equipment</w:t>
            </w:r>
          </w:p>
        </w:tc>
        <w:tc>
          <w:tcPr>
            <w:tcW w:w="4760" w:type="dxa"/>
            <w:vAlign w:val="bottom"/>
            <w:shd w:val="clear" w:color="auto" w:fill="CCEEFF"/>
          </w:tcPr>
          <w:p>
            <w:pPr>
              <w:jc w:val="center"/>
              <w:ind w:left="30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476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760" w:type="dxa"/>
            <w:vAlign w:val="bottom"/>
            <w:shd w:val="clear" w:color="auto" w:fill="CCEEFF"/>
          </w:tcPr>
          <w:p>
            <w:pPr>
              <w:jc w:val="center"/>
              <w:ind w:left="30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6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7"/>
              </w:rPr>
              <w:t>3 - 9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260" w:right="100"/>
        <w:spacing w:after="0" w:line="258" w:lineRule="auto"/>
        <w:rPr>
          <w:sz w:val="20"/>
          <w:szCs w:val="20"/>
          <w:color w:val="auto"/>
        </w:rPr>
      </w:pPr>
      <w:r>
        <w:rPr>
          <w:rFonts w:ascii="Times New Roman" w:cs="Times New Roman" w:eastAsia="Times New Roman" w:hAnsi="Times New Roman"/>
          <w:sz w:val="18"/>
          <w:szCs w:val="18"/>
          <w:color w:val="auto"/>
        </w:rPr>
        <w:t>Goodwill is evaluated annually for impairment. In testing goodwill for impairment, the Company has the option first to perform a qualitative assessment to determine whether it is more likely than not that goodwill is impaired or the entity can bypass the qualitative assessment and proceed directly to the quantitative test by comparing the carrying amount, including goodwill, of the entity with its fair value. The goodwill impairment loss, if any, is measured as the amount by which the carrying amount of an entity, including goodwill, exceeds its fair value. Subsequent increases in goodwill value are not recognized in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260"/>
        <w:spacing w:after="0" w:line="266" w:lineRule="auto"/>
        <w:rPr>
          <w:sz w:val="20"/>
          <w:szCs w:val="20"/>
          <w:color w:val="auto"/>
        </w:rPr>
      </w:pPr>
      <w:r>
        <w:rPr>
          <w:rFonts w:ascii="Times New Roman" w:cs="Times New Roman" w:eastAsia="Times New Roman" w:hAnsi="Times New Roman"/>
          <w:sz w:val="18"/>
          <w:szCs w:val="18"/>
          <w:color w:val="auto"/>
        </w:rPr>
        <w:t>Definite-lived intangible assets consist of customer relationships and acquired learning objects. Customer relationships are amortized on the straight-line basis over periods ranging from 8 to13 years. Online learning products are being amortized on the straight-line basis over three years. Such assets are periodically evaluated as to the recoverability of their carrying values.</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500" w:top="333" w:right="239" w:bottom="1440" w:gutter="0" w:footer="0" w:header="0"/>
        </w:sectPr>
      </w:pPr>
    </w:p>
    <w:bookmarkStart w:id="15" w:name="page16"/>
    <w:bookmarkEnd w:id="15"/>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260" w:right="80"/>
        <w:spacing w:after="0" w:line="258" w:lineRule="auto"/>
        <w:rPr>
          <w:sz w:val="20"/>
          <w:szCs w:val="20"/>
          <w:color w:val="auto"/>
        </w:rPr>
      </w:pPr>
      <w:r>
        <w:rPr>
          <w:rFonts w:ascii="Times New Roman" w:cs="Times New Roman" w:eastAsia="Times New Roman" w:hAnsi="Times New Roman"/>
          <w:sz w:val="18"/>
          <w:szCs w:val="18"/>
          <w:color w:val="auto"/>
        </w:rPr>
        <w:t xml:space="preserve">Costs incurred for the development of software that will be sold, leased, or otherwise marketed are capitalized when technological feasibility has been established under Financial Accounting Standards Board (FASB) Accounting Standards Codification (ASC) Topic 985,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These costs are included in online learning products and are amortized over the estimated useful life of the resulting software. The Company amortizes the online learning products on a straight-line basis over three years beginning when the product is available for general release. Costs capitalized include direct labor and overhead costs. Costs incurred prior to technological feasibility and after general release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sz w:val="20"/>
          <w:szCs w:val="20"/>
          <w:color w:val="auto"/>
        </w:rPr>
      </w:pPr>
    </w:p>
    <w:p>
      <w:pPr>
        <w:jc w:val="both"/>
        <w:ind w:left="260" w:right="160"/>
        <w:spacing w:after="0" w:line="261" w:lineRule="auto"/>
        <w:rPr>
          <w:sz w:val="20"/>
          <w:szCs w:val="20"/>
          <w:color w:val="auto"/>
        </w:rPr>
      </w:pPr>
      <w:r>
        <w:rPr>
          <w:rFonts w:ascii="Times New Roman" w:cs="Times New Roman" w:eastAsia="Times New Roman" w:hAnsi="Times New Roman"/>
          <w:sz w:val="18"/>
          <w:szCs w:val="18"/>
          <w:color w:val="auto"/>
        </w:rPr>
        <w:t>The Company evaluates the recoverability of the carrying value of long-lived assets whenever events or circumstances indicate the carrying amount may not be recoverable.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asset impairment was recognized during the year ended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260" w:right="360"/>
        <w:spacing w:after="0" w:line="266" w:lineRule="auto"/>
        <w:rPr>
          <w:sz w:val="20"/>
          <w:szCs w:val="20"/>
          <w:color w:val="auto"/>
        </w:rPr>
      </w:pPr>
      <w:r>
        <w:rPr>
          <w:rFonts w:ascii="Times New Roman" w:cs="Times New Roman" w:eastAsia="Times New Roman" w:hAnsi="Times New Roman"/>
          <w:sz w:val="18"/>
          <w:szCs w:val="18"/>
          <w:color w:val="auto"/>
        </w:rPr>
        <w:t>Orbis and Management are limited liability companies in which taxable income is taxed directly to their members. Consequently, Orbis and Management do not record any provision for federal or state taxes on the income of the Company. OE II files a separate federal and separate state income tax returns. Due to no significant operating activity, no provision for federal or state taxes is recorded on the income of OE II.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8"/>
          <w:szCs w:val="18"/>
          <w:color w:val="auto"/>
        </w:rPr>
        <w:t>Revenue is recognized when the following four revenue recognition criteria are met: persuasive evidence of an arrangement exists, delivery has occurred or services have been rendered, the selling price is fixed or determinable, and collectability is reasonably assured. Revenue generally consists of service fees associated with educational partners and/or healthcare partners, and is recognized ratably over the period of instruction for each program. Fees are generally invoiced each semester for the number of students at the contractual rate per credit hour.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Promotional Costs</w:t>
      </w:r>
    </w:p>
    <w:p>
      <w:pPr>
        <w:spacing w:after="0" w:line="229" w:lineRule="exact"/>
        <w:rPr>
          <w:sz w:val="20"/>
          <w:szCs w:val="20"/>
          <w:color w:val="auto"/>
        </w:rPr>
      </w:pPr>
    </w:p>
    <w:p>
      <w:pPr>
        <w:jc w:val="both"/>
        <w:ind w:left="260" w:right="400"/>
        <w:spacing w:after="0" w:line="266" w:lineRule="auto"/>
        <w:rPr>
          <w:sz w:val="20"/>
          <w:szCs w:val="20"/>
          <w:color w:val="auto"/>
        </w:rPr>
      </w:pPr>
      <w:r>
        <w:rPr>
          <w:rFonts w:ascii="Times New Roman" w:cs="Times New Roman" w:eastAsia="Times New Roman" w:hAnsi="Times New Roman"/>
          <w:sz w:val="18"/>
          <w:szCs w:val="18"/>
          <w:color w:val="auto"/>
        </w:rPr>
        <w:t>The Company generally expenses selling and promotional costs, including paid advertising, as incurred. The purpose of these costs is to generate awareness of our university partners’ educational solutions so that prospective students may enroll in the university partners’ education programs. Advertising and promotional costs were approximately $9,490,000 for the year ended December 31, 2018.</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500" w:top="333" w:right="239" w:bottom="1440" w:gutter="0" w:footer="0" w:header="0"/>
        </w:sectPr>
      </w:pPr>
    </w:p>
    <w:bookmarkStart w:id="16" w:name="page17"/>
    <w:bookmarkEnd w:id="16"/>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in Accounting Principles</w:t>
      </w:r>
    </w:p>
    <w:p>
      <w:pPr>
        <w:spacing w:after="0" w:line="229" w:lineRule="exact"/>
        <w:rPr>
          <w:sz w:val="20"/>
          <w:szCs w:val="20"/>
          <w:color w:val="auto"/>
        </w:rPr>
      </w:pPr>
    </w:p>
    <w:p>
      <w:pPr>
        <w:ind w:left="260"/>
        <w:spacing w:after="0" w:line="253" w:lineRule="auto"/>
        <w:rPr>
          <w:sz w:val="20"/>
          <w:szCs w:val="20"/>
          <w:color w:val="auto"/>
        </w:rPr>
      </w:pPr>
      <w:r>
        <w:rPr>
          <w:rFonts w:ascii="Times New Roman" w:cs="Times New Roman" w:eastAsia="Times New Roman" w:hAnsi="Times New Roman"/>
          <w:sz w:val="18"/>
          <w:szCs w:val="18"/>
          <w:color w:val="auto"/>
        </w:rPr>
        <w:t>The Financial Accounting Standards Board amended its standards related to revenue recognition. This amendment replaces all existing revenue recognition guidance and provides a single, comprehensive revenue recognition model for all contracts with customers. The guidance provides a five-step analysis of transactions to determine when and how revenue is recognized. Other major provisions include capitalization of certain contract costs, consideration of the time value of money in the transaction price and allowing estimates of variable consideration to be recognized before contingencies are resolved in certain circumstances. The amendment also requires additional disclosure about the nature, amount, timing and uncertainty of revenue and cash flows arising from customer contracts, including significant judgments and changes in those judgments and assets recognized from costs incurred to fulfill a contract. The standard allows either full or modified retrospective adoption. The Company has not adopted this standard as it is a public business entity that otherwise would not meet the definition except for a requirement to include its financial statements in another entity’s filing with the SEC. Therefore, the Company may apply this amendment for annual periods beginning after December 15, 2018, and interim periods within annual periods beginning after December 15, 2019. The Company is in the process of evaluating the impact the amendment will have on the consolidated financial statements.</w:t>
      </w:r>
    </w:p>
    <w:p>
      <w:pPr>
        <w:spacing w:after="0" w:line="193" w:lineRule="exact"/>
        <w:rPr>
          <w:sz w:val="20"/>
          <w:szCs w:val="20"/>
          <w:color w:val="auto"/>
        </w:rPr>
      </w:pPr>
    </w:p>
    <w:p>
      <w:pPr>
        <w:ind w:left="260"/>
        <w:spacing w:after="0" w:line="253" w:lineRule="auto"/>
        <w:rPr>
          <w:sz w:val="20"/>
          <w:szCs w:val="20"/>
          <w:color w:val="auto"/>
        </w:rPr>
      </w:pPr>
      <w:r>
        <w:rPr>
          <w:rFonts w:ascii="Times New Roman" w:cs="Times New Roman" w:eastAsia="Times New Roman" w:hAnsi="Times New Roman"/>
          <w:sz w:val="18"/>
          <w:szCs w:val="18"/>
          <w:color w:val="auto"/>
        </w:rPr>
        <w:t>The Financial Accounting Standards Board amended its standard related to the accounting for leases. Under the new standard, lessees will now be required to recognize substantially all leases on the balance sheets as both a right-of-use asset and a liability. The standard has two types of leases for income statement recognition purposes: operating leases and finance leases. Operating leases will result in the recognition of a single lease expense on a straight-line basis over the lease term similar to the treatment for operating leases under existing standards. Finance leases will result in an accelerated expense similar to the accounting for capital leases under existing standards. The determination of lease classification as operating or finance will be done in a manner similar to existing standards. The new standard also contains amended guidance regarding the identification of embedded leases in service contracts. Because the Company is a public business entity that otherwise would not meet the definition except for a requirement to include its financial statements in another entity’s filing with the SEC, the Company may apply this amendment for annual periods beginning after December 15, 2019, and interim periods within annual periods beginning after December 15, 2020. The Company is evaluating the impact the standard will have on the consolidated financial statements; however, the standard is expected to have a material impact on the consolidated financial statements due to the recognition of additional assets and liabilities for operating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Subsequent events have been evaluated through March 25, 2019, which is the date the consolidated financial statements were available to be issued.</w:t>
      </w:r>
    </w:p>
    <w:p>
      <w:pPr>
        <w:spacing w:after="0" w:line="225" w:lineRule="exact"/>
        <w:rPr>
          <w:sz w:val="20"/>
          <w:szCs w:val="20"/>
          <w:color w:val="auto"/>
        </w:rPr>
      </w:pPr>
    </w:p>
    <w:p>
      <w:pPr>
        <w:ind w:left="260" w:right="160"/>
        <w:spacing w:after="0" w:line="261" w:lineRule="auto"/>
        <w:rPr>
          <w:sz w:val="20"/>
          <w:szCs w:val="20"/>
          <w:color w:val="auto"/>
        </w:rPr>
      </w:pPr>
      <w:r>
        <w:rPr>
          <w:rFonts w:ascii="Times New Roman" w:cs="Times New Roman" w:eastAsia="Times New Roman" w:hAnsi="Times New Roman"/>
          <w:sz w:val="18"/>
          <w:szCs w:val="18"/>
          <w:color w:val="auto"/>
        </w:rPr>
        <w:t>On January 22, 2019, the Company completed a merger with Grand Canyon Education, Inc. (GCE). The consideration received was $365,800,000 subject to various provisions as defined in the merger agreement. The Company incurred approximately $908,000 of transaction costs related to this merger that were incurred and accrued at December 31, 2018. Additionally, the Company incurred approximately $7,898,000 of transaction costs during 2019.</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33" w:right="25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Upon the effective date of the merger, Orbis membership units were converted into the right to receive the per unit portion of the closing cash proceeds as defined in the merger agreement. Additionally, all outstanding options and warrants were converted into the right to receive the excess of the per unit estimated closing cash proceeds over the applicable exercise price of the warrant or option. All outstanding debt was repaid from the sale proceeds.</w:t>
      </w:r>
    </w:p>
    <w:p>
      <w:pPr>
        <w:spacing w:after="0" w:line="180"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On January 31, 2019, GCE, its wholly owned subsidiary, Orbis Education Services, LLC, a Delaware limited liability company (“Orbis Education”), as guarantor and Bank of America, N.A., as administrative agent, entered into a First Amendment (the “First Amendment”) to the Amended and Restated Credit Agreement, dated as of January 22, 2019, among GCE, Orbis Education, as guarantor, Bank of America, N.A. as administrative agent, swing line lender and letter of credit issuer, and the other lenders named therein (as amended, the “Credit Agreement”)</w:t>
      </w:r>
    </w:p>
    <w:p>
      <w:pPr>
        <w:spacing w:after="0" w:line="180" w:lineRule="exact"/>
        <w:rPr>
          <w:sz w:val="20"/>
          <w:szCs w:val="20"/>
          <w:color w:val="auto"/>
        </w:rPr>
      </w:pPr>
    </w:p>
    <w:p>
      <w:pPr>
        <w:ind w:left="520" w:right="240"/>
        <w:spacing w:after="0" w:line="258" w:lineRule="auto"/>
        <w:rPr>
          <w:sz w:val="20"/>
          <w:szCs w:val="20"/>
          <w:color w:val="auto"/>
        </w:rPr>
      </w:pPr>
      <w:r>
        <w:rPr>
          <w:rFonts w:ascii="Times New Roman" w:cs="Times New Roman" w:eastAsia="Times New Roman" w:hAnsi="Times New Roman"/>
          <w:sz w:val="18"/>
          <w:szCs w:val="18"/>
          <w:color w:val="auto"/>
        </w:rPr>
        <w:t>On February 1, 2019, GCE, Orbis Education, as guarantor, Bank of America, N.A, as administrative agent, and the other lenders named therein entered into a First Incremental Facility Amendment (the “First Incremental Facility Amendment”) to the Credit Agreement. Pursuant to the First Incremental Facility Amendment, GCE borrowed an incremental $56,250,000 principal amount of term loans and increased the aggregate revolving commitments by $18,750,000, thereby increasing the principal amount of the term loan borrowed to $243.75 million and the principal amount of the aggregate revolving commitments to $81.25 million. No other changes were made to the Credit Agreement.</w:t>
      </w:r>
    </w:p>
    <w:p>
      <w:pPr>
        <w:spacing w:after="0" w:line="18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equipment</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2,795,553</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1,506,644</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2,398,365</w:t>
            </w:r>
          </w:p>
        </w:tc>
        <w:tc>
          <w:tcPr>
            <w:tcW w:w="100" w:type="dxa"/>
            <w:vAlign w:val="bottom"/>
            <w:tcBorders>
              <w:bottom w:val="single" w:sz="8" w:color="CCEE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4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9,387,066</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(4,116,585)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5,270,481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720" w:type="dxa"/>
            <w:vAlign w:val="bottom"/>
            <w:vMerge w:val="restart"/>
          </w:tcPr>
          <w:p>
            <w:pPr>
              <w:jc w:val="right"/>
              <w:ind w:right="355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basis and accumulated amortization of recognized intangible assets at December 31, 2018 were:</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(7,322,206)</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4"/>
              </w:rPr>
              <w:t>3,193,794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Acquired learning objects</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319,000</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(319,000)</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learning products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3,394,019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(2,272,192)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1,121,827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14,229,019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(9,913,398)</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4"/>
              </w:rPr>
              <w:t>4,315,621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346,325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14,575,344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(9,913,398</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4"/>
              </w:rPr>
              <w:t>4,661,946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$1,486,107 for the year ended December 31, 2018. Estimated amortization expense for each of the following five years is: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60" w:type="dxa"/>
            <w:vAlign w:val="bottom"/>
            <w:shd w:val="clear" w:color="auto" w:fill="CCEEFF"/>
          </w:tcPr>
          <w:p>
            <w:pPr>
              <w:jc w:val="right"/>
              <w:ind w:right="4010"/>
              <w:spacing w:after="0"/>
              <w:rPr>
                <w:sz w:val="20"/>
                <w:szCs w:val="20"/>
                <w:color w:val="auto"/>
              </w:rPr>
            </w:pPr>
            <w:r>
              <w:rPr>
                <w:rFonts w:ascii="Times New Roman" w:cs="Times New Roman" w:eastAsia="Times New Roman" w:hAnsi="Times New Roman"/>
                <w:sz w:val="18"/>
                <w:szCs w:val="18"/>
                <w:color w:val="auto"/>
                <w:w w:val="94"/>
              </w:rPr>
              <w:t>2019</w:t>
            </w:r>
          </w:p>
        </w:tc>
        <w:tc>
          <w:tcPr>
            <w:tcW w:w="4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1,527,958</w:t>
            </w:r>
          </w:p>
        </w:tc>
      </w:tr>
      <w:tr>
        <w:trPr>
          <w:trHeight w:val="216"/>
        </w:trPr>
        <w:tc>
          <w:tcPr>
            <w:tcW w:w="446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w w:val="94"/>
              </w:rPr>
              <w:t>2020</w:t>
            </w:r>
          </w:p>
        </w:tc>
        <w:tc>
          <w:tcPr>
            <w:tcW w:w="4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1,181,830</w:t>
            </w:r>
          </w:p>
        </w:tc>
      </w:tr>
      <w:tr>
        <w:trPr>
          <w:trHeight w:val="216"/>
        </w:trPr>
        <w:tc>
          <w:tcPr>
            <w:tcW w:w="4460" w:type="dxa"/>
            <w:vAlign w:val="bottom"/>
            <w:shd w:val="clear" w:color="auto" w:fill="CCEEFF"/>
          </w:tcPr>
          <w:p>
            <w:pPr>
              <w:jc w:val="right"/>
              <w:ind w:right="4010"/>
              <w:spacing w:after="0"/>
              <w:rPr>
                <w:sz w:val="20"/>
                <w:szCs w:val="20"/>
                <w:color w:val="auto"/>
              </w:rPr>
            </w:pPr>
            <w:r>
              <w:rPr>
                <w:rFonts w:ascii="Times New Roman" w:cs="Times New Roman" w:eastAsia="Times New Roman" w:hAnsi="Times New Roman"/>
                <w:sz w:val="18"/>
                <w:szCs w:val="18"/>
                <w:color w:val="auto"/>
                <w:w w:val="94"/>
              </w:rPr>
              <w:t>2021</w:t>
            </w:r>
          </w:p>
        </w:tc>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549,777</w:t>
            </w:r>
          </w:p>
        </w:tc>
      </w:tr>
      <w:tr>
        <w:trPr>
          <w:trHeight w:val="216"/>
        </w:trPr>
        <w:tc>
          <w:tcPr>
            <w:tcW w:w="446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w w:val="94"/>
              </w:rPr>
              <w:t>2022</w:t>
            </w:r>
          </w:p>
        </w:tc>
        <w:tc>
          <w:tcPr>
            <w:tcW w:w="4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305,082</w:t>
            </w:r>
          </w:p>
        </w:tc>
      </w:tr>
      <w:tr>
        <w:trPr>
          <w:trHeight w:val="216"/>
        </w:trPr>
        <w:tc>
          <w:tcPr>
            <w:tcW w:w="4460" w:type="dxa"/>
            <w:vAlign w:val="bottom"/>
            <w:shd w:val="clear" w:color="auto" w:fill="CCEEFF"/>
          </w:tcPr>
          <w:p>
            <w:pPr>
              <w:jc w:val="right"/>
              <w:ind w:right="4010"/>
              <w:spacing w:after="0"/>
              <w:rPr>
                <w:sz w:val="20"/>
                <w:szCs w:val="20"/>
                <w:color w:val="auto"/>
              </w:rPr>
            </w:pPr>
            <w:r>
              <w:rPr>
                <w:rFonts w:ascii="Times New Roman" w:cs="Times New Roman" w:eastAsia="Times New Roman" w:hAnsi="Times New Roman"/>
                <w:sz w:val="18"/>
                <w:szCs w:val="18"/>
                <w:color w:val="auto"/>
                <w:w w:val="94"/>
              </w:rPr>
              <w:t>2023</w:t>
            </w:r>
          </w:p>
        </w:tc>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281,615</w:t>
            </w:r>
          </w:p>
        </w:tc>
      </w:tr>
    </w:tbl>
    <w:p>
      <w:pPr>
        <w:spacing w:after="0" w:line="19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Revolving Credit Facility</w:t>
      </w:r>
    </w:p>
    <w:p>
      <w:pPr>
        <w:spacing w:after="0" w:line="229"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facility that allows for total borrowings up to $32,500,000. The facility allows for borrowings up to $25,000,000 limited to a borrowing base formula as defined in the agreement. This portion of the credit facility bears interest at the greater of 2% above prime or</w:t>
      </w:r>
    </w:p>
    <w:p>
      <w:pPr>
        <w:ind w:left="520"/>
        <w:spacing w:after="0" w:line="261" w:lineRule="auto"/>
        <w:rPr>
          <w:sz w:val="20"/>
          <w:szCs w:val="20"/>
          <w:color w:val="auto"/>
        </w:rPr>
      </w:pPr>
      <w:r>
        <w:rPr>
          <w:rFonts w:ascii="Times New Roman" w:cs="Times New Roman" w:eastAsia="Times New Roman" w:hAnsi="Times New Roman"/>
          <w:sz w:val="18"/>
          <w:szCs w:val="18"/>
          <w:color w:val="auto"/>
        </w:rPr>
        <w:t>5.50%. The facility also allows for borrowings not limited to the borrowing base formula up to $7,500,000, which bear interest at the greater of 1.50% above prime or 5.0%. There was $17,517,500 borrowed against the revolving credit facility bearing interest at 7.50% at December 31, 2018.</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completion of the merger on January 22, 2019, all outstanding borrowings on the line of credit were paid in full.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LLR Equity Partners III, L.P., a related party through majority ownership, had guaranteed $7,500,000 of the revolving credit facility.</w:t>
      </w:r>
    </w:p>
    <w:p>
      <w:pPr>
        <w:spacing w:after="0" w:line="225" w:lineRule="exact"/>
        <w:rPr>
          <w:sz w:val="20"/>
          <w:szCs w:val="20"/>
          <w:color w:val="auto"/>
        </w:rPr>
      </w:pPr>
    </w:p>
    <w:p>
      <w:pPr>
        <w:jc w:val="both"/>
        <w:ind w:left="520" w:right="240"/>
        <w:spacing w:after="0" w:line="266" w:lineRule="auto"/>
        <w:rPr>
          <w:sz w:val="20"/>
          <w:szCs w:val="20"/>
          <w:color w:val="auto"/>
        </w:rPr>
      </w:pPr>
      <w:r>
        <w:rPr>
          <w:rFonts w:ascii="Times New Roman" w:cs="Times New Roman" w:eastAsia="Times New Roman" w:hAnsi="Times New Roman"/>
          <w:sz w:val="18"/>
          <w:szCs w:val="18"/>
          <w:color w:val="auto"/>
        </w:rPr>
        <w:t>The credit facility was secured by all personal property of the Company, including any intellectual property. Under the terms of the agreement, the Company was subject to certain financial covenants, including minimum cumulative EBITDA and minimum cumulative revenue, as well as certain negative covenants.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Additionally, the lease agreement for the Company’s Indianapolis corporate headquarters requires the Company to maintain a $300,000 letter of credit in favor of the landlord. The letter of credit expires in January 2020.</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Operating Leases</w:t>
      </w:r>
    </w:p>
    <w:p>
      <w:pPr>
        <w:spacing w:after="0" w:line="229" w:lineRule="exact"/>
        <w:rPr>
          <w:sz w:val="20"/>
          <w:szCs w:val="20"/>
          <w:color w:val="auto"/>
        </w:rPr>
      </w:pPr>
    </w:p>
    <w:p>
      <w:pPr>
        <w:ind w:left="520" w:right="140"/>
        <w:spacing w:after="0" w:line="261" w:lineRule="auto"/>
        <w:rPr>
          <w:sz w:val="20"/>
          <w:szCs w:val="20"/>
          <w:color w:val="auto"/>
        </w:rPr>
      </w:pPr>
      <w:r>
        <w:rPr>
          <w:rFonts w:ascii="Times New Roman" w:cs="Times New Roman" w:eastAsia="Times New Roman" w:hAnsi="Times New Roman"/>
          <w:sz w:val="18"/>
          <w:szCs w:val="18"/>
          <w:color w:val="auto"/>
        </w:rPr>
        <w:t>The Company leases substantially all of its facilities and also enters into lease agreements for equipment necessary to conduct business. Management evaluates all lease agreements to determine whether the lease is a capital lease or an operating lease. The leases expire in various years throughout 2026. Certain leases contain renewal options allowing for the term to be extended for five years after the initial term. Some leases contain escalating rent payments which the Company has expensed on a straight-line basis.</w:t>
      </w:r>
    </w:p>
    <w:p>
      <w:pPr>
        <w:spacing w:after="0" w:line="180"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or remaining lease terms in excess of one year) as of December 31, 2018 are as follows: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9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2,929,571</w:t>
            </w: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2,672,195</w:t>
            </w: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2,297,840</w:t>
            </w: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2,177,708</w:t>
            </w: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3,464,850</w:t>
            </w:r>
          </w:p>
        </w:tc>
        <w:tc>
          <w:tcPr>
            <w:tcW w:w="120" w:type="dxa"/>
            <w:vAlign w:val="bottom"/>
            <w:tcBorders>
              <w:bottom w:val="single" w:sz="8" w:color="CCEEFF"/>
            </w:tcBorders>
          </w:tcPr>
          <w:p>
            <w:pPr>
              <w:spacing w:after="0"/>
              <w:rPr>
                <w:sz w:val="18"/>
                <w:szCs w:val="18"/>
                <w:color w:val="auto"/>
              </w:rPr>
            </w:pPr>
          </w:p>
        </w:tc>
      </w:tr>
      <w:tr>
        <w:trPr>
          <w:trHeight w:val="210"/>
        </w:trPr>
        <w:tc>
          <w:tcPr>
            <w:tcW w:w="9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16,947,891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rent expense incurred for the year ended December 31, 2018 was approximately $3,991,826.</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Members’ Deficit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members’ deficit is represented by and divided into classes of units. At December 31, 2018, the units outstanding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3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0"/>
        </w:trPr>
        <w:tc>
          <w:tcPr>
            <w:tcW w:w="5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w:t>
            </w:r>
          </w:p>
        </w:tc>
        <w:tc>
          <w:tcPr>
            <w:tcW w:w="5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Series A-1 preferred</w:t>
            </w:r>
          </w:p>
        </w:tc>
        <w:tc>
          <w:tcPr>
            <w:tcW w:w="7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353,353</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w:t>
            </w:r>
          </w:p>
        </w:tc>
        <w:tc>
          <w:tcPr>
            <w:tcW w:w="7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544,564</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7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8,240,313</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preferred</w:t>
            </w:r>
          </w:p>
        </w:tc>
        <w:tc>
          <w:tcPr>
            <w:tcW w:w="7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1,983,815</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Class C incentive</w:t>
            </w:r>
          </w:p>
        </w:tc>
        <w:tc>
          <w:tcPr>
            <w:tcW w:w="7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2,532,173</w:t>
            </w:r>
          </w:p>
        </w:tc>
        <w:tc>
          <w:tcPr>
            <w:tcW w:w="2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incentive</w:t>
            </w:r>
          </w:p>
        </w:tc>
        <w:tc>
          <w:tcPr>
            <w:tcW w:w="7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1,544,506</w:t>
            </w:r>
          </w:p>
        </w:tc>
        <w:tc>
          <w:tcPr>
            <w:tcW w:w="2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7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1,880,147</w:t>
            </w:r>
          </w:p>
        </w:tc>
        <w:tc>
          <w:tcPr>
            <w:tcW w:w="22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980" w:type="dxa"/>
            <w:vAlign w:val="bottom"/>
          </w:tcPr>
          <w:p>
            <w:pPr>
              <w:jc w:val="right"/>
              <w:ind w:right="3892"/>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59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0" w:name="page21"/>
    <w:bookmarkEnd w:id="20"/>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260" w:right="180"/>
        <w:spacing w:after="0" w:line="282" w:lineRule="auto"/>
        <w:rPr>
          <w:sz w:val="20"/>
          <w:szCs w:val="20"/>
          <w:color w:val="auto"/>
        </w:rPr>
      </w:pPr>
      <w:r>
        <w:rPr>
          <w:rFonts w:ascii="Times New Roman" w:cs="Times New Roman" w:eastAsia="Times New Roman" w:hAnsi="Times New Roman"/>
          <w:sz w:val="18"/>
          <w:szCs w:val="18"/>
          <w:color w:val="auto"/>
        </w:rPr>
        <w:t>The holders of the common units are entitled to one vote for each common unit held. The holders of the preferred units are entitled to the number of votes equal to the number of whole common units into which the preferred units held are convertible.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Units</w:t>
      </w:r>
    </w:p>
    <w:p>
      <w:pPr>
        <w:spacing w:after="0" w:line="229" w:lineRule="exact"/>
        <w:rPr>
          <w:sz w:val="20"/>
          <w:szCs w:val="20"/>
          <w:color w:val="auto"/>
        </w:rPr>
      </w:pPr>
    </w:p>
    <w:p>
      <w:pPr>
        <w:jc w:val="both"/>
        <w:ind w:left="260" w:right="540"/>
        <w:spacing w:after="0" w:line="266" w:lineRule="auto"/>
        <w:rPr>
          <w:sz w:val="20"/>
          <w:szCs w:val="20"/>
          <w:color w:val="auto"/>
        </w:rPr>
      </w:pPr>
      <w:r>
        <w:rPr>
          <w:rFonts w:ascii="Times New Roman" w:cs="Times New Roman" w:eastAsia="Times New Roman" w:hAnsi="Times New Roman"/>
          <w:sz w:val="18"/>
          <w:szCs w:val="18"/>
          <w:color w:val="auto"/>
        </w:rPr>
        <w:t>Shares of the preferred units are automatically convertible into common units at the option of the preferred holder at any time. The number of common units to which a holder of preferred units shall be entitled upon conversion shall be the product obtained by multiplying the applicable conversion rate as defined in the limited liability company agreement by the number of units being converted.</w:t>
      </w:r>
    </w:p>
    <w:p>
      <w:pPr>
        <w:spacing w:after="0" w:line="176" w:lineRule="exact"/>
        <w:rPr>
          <w:sz w:val="20"/>
          <w:szCs w:val="20"/>
          <w:color w:val="auto"/>
        </w:rPr>
      </w:pPr>
    </w:p>
    <w:p>
      <w:pPr>
        <w:jc w:val="both"/>
        <w:ind w:left="260" w:right="140"/>
        <w:spacing w:after="0" w:line="266" w:lineRule="auto"/>
        <w:rPr>
          <w:sz w:val="20"/>
          <w:szCs w:val="20"/>
          <w:color w:val="auto"/>
        </w:rPr>
      </w:pPr>
      <w:r>
        <w:rPr>
          <w:rFonts w:ascii="Times New Roman" w:cs="Times New Roman" w:eastAsia="Times New Roman" w:hAnsi="Times New Roman"/>
          <w:sz w:val="18"/>
          <w:szCs w:val="18"/>
          <w:color w:val="auto"/>
        </w:rPr>
        <w:t>The Series C preferred units are redeemable if requested by a majority of the Series C preferred unit holders at any time after the fifth anniversary of the original issue date. The redemption is payable within 455 days after the receipt of the redemption request. The units shall be redeemed at a price equal to the greater of the then fair value of the Series C preferred units or the original issue price of $2.42 per unit.</w:t>
      </w:r>
    </w:p>
    <w:p>
      <w:pPr>
        <w:spacing w:after="0" w:line="176" w:lineRule="exact"/>
        <w:rPr>
          <w:sz w:val="20"/>
          <w:szCs w:val="20"/>
          <w:color w:val="auto"/>
        </w:rPr>
      </w:pPr>
    </w:p>
    <w:p>
      <w:pPr>
        <w:ind w:left="260" w:right="20"/>
        <w:spacing w:after="0" w:line="266" w:lineRule="auto"/>
        <w:rPr>
          <w:sz w:val="20"/>
          <w:szCs w:val="20"/>
          <w:color w:val="auto"/>
        </w:rPr>
      </w:pPr>
      <w:r>
        <w:rPr>
          <w:rFonts w:ascii="Times New Roman" w:cs="Times New Roman" w:eastAsia="Times New Roman" w:hAnsi="Times New Roman"/>
          <w:sz w:val="18"/>
          <w:szCs w:val="18"/>
          <w:color w:val="auto"/>
        </w:rPr>
        <w:t>Upon receipt of the Series C preferred unit redemption notice, all other preferred units shall be redeemed in the following preferential order: Series C-1, Series B, Series A-1 then Series A. The Series C-1 and Series A-1 preferred units shall be redeemed at a price equal to the greater of the then fair value of the units or the original issue price of $2.19 and $5.20 per unit, respectively.</w:t>
      </w:r>
    </w:p>
    <w:p>
      <w:pPr>
        <w:spacing w:after="0" w:line="176" w:lineRule="exact"/>
        <w:rPr>
          <w:sz w:val="20"/>
          <w:szCs w:val="20"/>
          <w:color w:val="auto"/>
        </w:rPr>
      </w:pPr>
    </w:p>
    <w:p>
      <w:pPr>
        <w:ind w:left="260" w:right="80"/>
        <w:spacing w:after="0" w:line="282" w:lineRule="auto"/>
        <w:rPr>
          <w:sz w:val="20"/>
          <w:szCs w:val="20"/>
          <w:color w:val="auto"/>
        </w:rPr>
      </w:pPr>
      <w:r>
        <w:rPr>
          <w:rFonts w:ascii="Times New Roman" w:cs="Times New Roman" w:eastAsia="Times New Roman" w:hAnsi="Times New Roman"/>
          <w:sz w:val="18"/>
          <w:szCs w:val="18"/>
          <w:color w:val="auto"/>
        </w:rPr>
        <w:t>The Series B units shall be redeemed at a price equal to the greater of the then fair value or $7.75 per Series B preferred unit. The Series A units shall be redeemed at a price equal to the greater of the then fair value or $9.14 per Series A preferred unit.</w:t>
      </w:r>
    </w:p>
    <w:p>
      <w:pPr>
        <w:spacing w:after="0" w:line="162" w:lineRule="exact"/>
        <w:rPr>
          <w:sz w:val="20"/>
          <w:szCs w:val="20"/>
          <w:color w:val="auto"/>
        </w:rPr>
      </w:pPr>
    </w:p>
    <w:p>
      <w:pPr>
        <w:ind w:left="260" w:right="520"/>
        <w:spacing w:after="0" w:line="282" w:lineRule="auto"/>
        <w:rPr>
          <w:sz w:val="20"/>
          <w:szCs w:val="20"/>
          <w:color w:val="auto"/>
        </w:rPr>
      </w:pPr>
      <w:r>
        <w:rPr>
          <w:rFonts w:ascii="Times New Roman" w:cs="Times New Roman" w:eastAsia="Times New Roman" w:hAnsi="Times New Roman"/>
          <w:sz w:val="18"/>
          <w:szCs w:val="18"/>
          <w:color w:val="auto"/>
        </w:rPr>
        <w:t>All redemption rights of the holders of the preferred units shall expire and terminate upon the effective date of the registration statement filed in connection with a Qualified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Equity by Class</w:t>
      </w:r>
    </w:p>
    <w:p>
      <w:pPr>
        <w:spacing w:after="0" w:line="229" w:lineRule="exact"/>
        <w:rPr>
          <w:sz w:val="20"/>
          <w:szCs w:val="20"/>
          <w:color w:val="auto"/>
        </w:rPr>
      </w:pPr>
    </w:p>
    <w:p>
      <w:pPr>
        <w:ind w:left="260" w:right="540"/>
        <w:spacing w:after="0" w:line="282" w:lineRule="auto"/>
        <w:rPr>
          <w:sz w:val="20"/>
          <w:szCs w:val="20"/>
          <w:color w:val="auto"/>
        </w:rPr>
      </w:pPr>
      <w:r>
        <w:rPr>
          <w:rFonts w:ascii="Times New Roman" w:cs="Times New Roman" w:eastAsia="Times New Roman" w:hAnsi="Times New Roman"/>
          <w:sz w:val="18"/>
          <w:szCs w:val="18"/>
          <w:color w:val="auto"/>
        </w:rPr>
        <w:t>In the event of a voluntary or involuntary liquidation event, the limited liability agreement defines the preferences of each series of units, and is summarized below:</w:t>
      </w:r>
    </w:p>
    <w:p>
      <w:pPr>
        <w:spacing w:after="0" w:line="162" w:lineRule="exact"/>
        <w:rPr>
          <w:sz w:val="20"/>
          <w:szCs w:val="20"/>
          <w:color w:val="auto"/>
        </w:rPr>
      </w:pPr>
    </w:p>
    <w:p>
      <w:pPr>
        <w:ind w:left="920" w:right="120" w:hanging="329"/>
        <w:spacing w:after="0" w:line="266" w:lineRule="auto"/>
        <w:tabs>
          <w:tab w:leader="none" w:pos="9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and C-1 holders shall be entitled, on a pari passu basis, to an amount equal to, (i) in the case of the Series C Preferred Units, an amount per Series C Preferred Unit equal to $2.42 and (ii) in the case of the Series C-1 Preferred Units, an amount per Series C-1 Preferred Unit equal to $2.19.</w:t>
      </w:r>
    </w:p>
    <w:p>
      <w:pPr>
        <w:spacing w:after="0" w:line="176" w:lineRule="exact"/>
        <w:rPr>
          <w:rFonts w:ascii="Times New Roman" w:cs="Times New Roman" w:eastAsia="Times New Roman" w:hAnsi="Times New Roman"/>
          <w:sz w:val="18"/>
          <w:szCs w:val="18"/>
          <w:color w:val="auto"/>
        </w:rPr>
      </w:pPr>
    </w:p>
    <w:p>
      <w:pPr>
        <w:ind w:left="920" w:hanging="32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 percent (60%) of the remaining assets shall be paid to holders of Series C units (including Class C incentive units) ratably.</w:t>
      </w:r>
    </w:p>
    <w:p>
      <w:pPr>
        <w:spacing w:after="0" w:line="225" w:lineRule="exact"/>
        <w:rPr>
          <w:rFonts w:ascii="Times New Roman" w:cs="Times New Roman" w:eastAsia="Times New Roman" w:hAnsi="Times New Roman"/>
          <w:sz w:val="18"/>
          <w:szCs w:val="18"/>
          <w:color w:val="auto"/>
        </w:rPr>
      </w:pPr>
    </w:p>
    <w:p>
      <w:pPr>
        <w:ind w:left="920" w:hanging="32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assets available for distribution shall be paid in the following order:</w:t>
      </w:r>
    </w:p>
    <w:p>
      <w:pPr>
        <w:spacing w:after="0" w:line="225" w:lineRule="exact"/>
        <w:rPr>
          <w:sz w:val="20"/>
          <w:szCs w:val="20"/>
          <w:color w:val="auto"/>
        </w:rPr>
      </w:pPr>
    </w:p>
    <w:p>
      <w:pPr>
        <w:ind w:left="1700" w:hanging="331"/>
        <w:spacing w:after="0" w:line="282" w:lineRule="auto"/>
        <w:tabs>
          <w:tab w:leader="none" w:pos="17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Series B and Series A-1 unit holders, in the amount of $7.75 ($1.385 per unit of which represents the amount of accrued and unpaid dividends) and $5.20 per unit, respectively, on a pari passu basis.</w:t>
      </w:r>
    </w:p>
    <w:p>
      <w:pPr>
        <w:spacing w:after="0" w:line="1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33" w:right="259" w:bottom="1440" w:gutter="0" w:footer="0" w:header="0"/>
        </w:sectPr>
      </w:pPr>
    </w:p>
    <w:bookmarkStart w:id="21" w:name="page22"/>
    <w:bookmarkEnd w:id="21"/>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1700" w:right="500" w:hanging="331"/>
        <w:spacing w:after="0" w:line="282" w:lineRule="auto"/>
        <w:tabs>
          <w:tab w:leader="none" w:pos="17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Series A unit holders, in the amount of $9.14 ($1.524 per unit of which represents the amount of declared and unpaid dividends) per unit.</w:t>
      </w:r>
    </w:p>
    <w:p>
      <w:pPr>
        <w:spacing w:after="0" w:line="161" w:lineRule="exact"/>
        <w:rPr>
          <w:rFonts w:ascii="Times New Roman" w:cs="Times New Roman" w:eastAsia="Times New Roman" w:hAnsi="Times New Roman"/>
          <w:sz w:val="18"/>
          <w:szCs w:val="18"/>
          <w:color w:val="auto"/>
        </w:rPr>
      </w:pPr>
    </w:p>
    <w:p>
      <w:pPr>
        <w:ind w:left="1700" w:right="280" w:hanging="331"/>
        <w:spacing w:after="0" w:line="266" w:lineRule="auto"/>
        <w:tabs>
          <w:tab w:leader="none" w:pos="17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the holders of common units (including common incentive units), Series B units and Series C-1 units (all on an as if converted to common units basis) until such time that the holders of the Series B units have received an aggregate amount per Series B unit equal to three times the Series B original issue price of $6.36 per unit.</w:t>
      </w:r>
    </w:p>
    <w:p>
      <w:pPr>
        <w:spacing w:after="0" w:line="176" w:lineRule="exact"/>
        <w:rPr>
          <w:rFonts w:ascii="Times New Roman" w:cs="Times New Roman" w:eastAsia="Times New Roman" w:hAnsi="Times New Roman"/>
          <w:sz w:val="18"/>
          <w:szCs w:val="18"/>
          <w:color w:val="auto"/>
        </w:rPr>
      </w:pPr>
    </w:p>
    <w:p>
      <w:pPr>
        <w:ind w:left="1700" w:hanging="33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the holders of the common units (including common incentive units) and Series C-1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260" w:right="16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various warrants outstanding, which entitle its holders to purchase security units. Outstanding warrants as of December 31, 2018 are summarized as follows:</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Unit</w:t>
            </w: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860" w:type="dxa"/>
            <w:vAlign w:val="bottom"/>
            <w:gridSpan w:val="2"/>
            <w:vMerge w:val="continue"/>
          </w:tcPr>
          <w:p>
            <w:pPr>
              <w:spacing w:after="0"/>
              <w:rPr>
                <w:sz w:val="15"/>
                <w:szCs w:val="15"/>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66,000</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3/31/2019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10,275</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6/4/2024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9,375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3/11/2026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59,483</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11/1/2026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12/8/2027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Preferred</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6,848</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6/4/2024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 Preferred</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9,493</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3/11/2026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 Preferred</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66,091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11/1/2026</w:t>
            </w: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 Preferred</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2,443</w:t>
            </w:r>
          </w:p>
        </w:tc>
        <w:tc>
          <w:tcPr>
            <w:tcW w:w="10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12/8/2027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8"/>
          <w:szCs w:val="18"/>
          <w:color w:val="auto"/>
        </w:rPr>
        <w:t>The Second Amended and Restated Orbis Education Services, Inc. 2004 Stock option plan as amended on August 31, 2012, (the 2004 Plan) provided for the grant of both Incentive Stock Options and Nonqualified Stock Options of common units. The aggregate number of units for which options may be granted under the plan shall not exceed 554,000. If an option granted under the Plan expires or terminates for any reason without being exercised, the unpurchased common units relating to those options shall be available for grant of other options under the 2004 Plan.</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33" w:right="259" w:bottom="1440" w:gutter="0" w:footer="0" w:header="0"/>
        </w:sectPr>
      </w:pPr>
    </w:p>
    <w:bookmarkStart w:id="22" w:name="page23"/>
    <w:bookmarkEnd w:id="22"/>
    <w:p>
      <w:pPr>
        <w:jc w:val="center"/>
        <w:ind w:left="3480"/>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related to the 2004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680910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 canceled or expired during 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68091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910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as of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2018</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49,504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2">
            <w:col w:w="6900" w:space="720"/>
            <w:col w:w="3260"/>
          </w:cols>
          <w:pgMar w:left="760" w:top="333" w:right="2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At December 31, 2018, the weighted-average remaining contractual life of the options outstanding were three years.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is no unrecognized compensation expense related to the options granted under the 2004 Plan as of December 31, 2018, as the options were deemed to have no value at date of grant.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2012, the Company adopted the “Orbis Education Services, LLC 2012 Profit Interest and Option Plan”. The plan allows the Company to grant profit interest in Class C incentive units or common incentive units. Additionally, the plan allows the Company to grant options to purchase common units. In 2016, the plan was amended to increase the common incentive units and options available for grant to 1,544,506 and increase the Class C incentive units available for grant to 2,532,173.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policy is to estimate forfeitures at the date of grant and recognize compensation cost based on the number of awards expected to vest.</w:t>
      </w:r>
    </w:p>
    <w:p>
      <w:pPr>
        <w:sectPr>
          <w:pgSz w:w="11900" w:h="16838" w:orient="portrait"/>
          <w:cols w:equalWidth="0" w:num="1">
            <w:col w:w="10880"/>
          </w:cols>
          <w:pgMar w:left="760" w:top="333" w:right="2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the profit interest outstanding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680910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910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during 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68091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910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as of December 31, 2018</w:t>
      </w:r>
    </w:p>
    <w:p>
      <w:pPr>
        <w:spacing w:after="0" w:line="2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7620</wp:posOffset>
            </wp:positionV>
            <wp:extent cx="1903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1240" w:type="dxa"/>
            <w:vAlign w:val="bottom"/>
          </w:tcPr>
          <w:p>
            <w:pPr>
              <w:jc w:val="center"/>
              <w:ind w:right="598"/>
              <w:spacing w:after="0" w:line="150"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8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49"/>
        </w:trPr>
        <w:tc>
          <w:tcPr>
            <w:tcW w:w="1240" w:type="dxa"/>
            <w:vAlign w:val="bottom"/>
          </w:tcPr>
          <w:p>
            <w:pPr>
              <w:jc w:val="center"/>
              <w:ind w:right="59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73"/>
        </w:trPr>
        <w:tc>
          <w:tcPr>
            <w:tcW w:w="1240" w:type="dxa"/>
            <w:vAlign w:val="bottom"/>
          </w:tcPr>
          <w:p>
            <w:pPr>
              <w:jc w:val="center"/>
              <w:ind w:right="5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91"/>
        </w:trPr>
        <w:tc>
          <w:tcPr>
            <w:tcW w:w="1240" w:type="dxa"/>
            <w:vAlign w:val="bottom"/>
          </w:tcPr>
          <w:p>
            <w:pPr>
              <w:jc w:val="right"/>
              <w:ind w:right="198"/>
              <w:spacing w:after="0" w:line="191" w:lineRule="exact"/>
              <w:rPr>
                <w:sz w:val="20"/>
                <w:szCs w:val="20"/>
                <w:color w:val="auto"/>
              </w:rPr>
            </w:pPr>
            <w:r>
              <w:rPr>
                <w:rFonts w:ascii="Times New Roman" w:cs="Times New Roman" w:eastAsia="Times New Roman" w:hAnsi="Times New Roman"/>
                <w:sz w:val="18"/>
                <w:szCs w:val="18"/>
                <w:color w:val="auto"/>
              </w:rPr>
              <w:t>1,544,506</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2,532,173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2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1,544,506</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2,532,173</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198"/>
              <w:spacing w:after="0"/>
              <w:rPr>
                <w:sz w:val="20"/>
                <w:szCs w:val="20"/>
                <w:color w:val="auto"/>
              </w:rPr>
            </w:pPr>
            <w:r>
              <w:rPr>
                <w:rFonts w:ascii="Times New Roman" w:cs="Times New Roman" w:eastAsia="Times New Roman" w:hAnsi="Times New Roman"/>
                <w:sz w:val="18"/>
                <w:szCs w:val="18"/>
                <w:color w:val="auto"/>
              </w:rPr>
              <w:t>862,517</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4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-156845</wp:posOffset>
            </wp:positionV>
            <wp:extent cx="8661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2">
            <w:col w:w="7740" w:space="280"/>
            <w:col w:w="2860"/>
          </w:cols>
          <w:pgMar w:left="760" w:top="333" w:right="25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The Company recorded $300,026 of compensation expense related to these units for the year ended December 31, 2018. All of the unvested profit interests vested upon completion of the merger as disclosed in Note 1.</w:t>
      </w:r>
    </w:p>
    <w:p>
      <w:pPr>
        <w:spacing w:after="0" w:line="162"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Distributions to incentive unit holders are limited to the holder’s share of the aggregate amount of profit and unrealized appreciation in all of the assets of the Company between the date of issuance of such Incentive Units and the date of such distribution.</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Fair Value Disclosures</w:t>
      </w:r>
    </w:p>
    <w:p>
      <w:pPr>
        <w:spacing w:after="0" w:line="229" w:lineRule="exact"/>
        <w:rPr>
          <w:sz w:val="20"/>
          <w:szCs w:val="20"/>
          <w:color w:val="auto"/>
        </w:rPr>
      </w:pPr>
    </w:p>
    <w:p>
      <w:pPr>
        <w:jc w:val="both"/>
        <w:ind w:left="520" w:right="10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 standard describes three levels of inputs that may be used to measure fair value:</w:t>
      </w:r>
    </w:p>
    <w:p>
      <w:pPr>
        <w:spacing w:after="0" w:line="172"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jc w:val="both"/>
        <w:ind w:left="1660" w:right="60" w:hanging="894"/>
        <w:spacing w:after="0" w:line="266" w:lineRule="auto"/>
        <w:tabs>
          <w:tab w:leader="none" w:pos="164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supported by little or no market activity and are significant to the fair value of the assets or liabilities</w:t>
      </w:r>
    </w:p>
    <w:p>
      <w:pPr>
        <w:spacing w:after="0" w:line="229"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and inputs used for instruments measured at fair value on a recurring basis and recognized in the accompanying consolidated balance sheet, as well as the general classification of such instruments pursuant to the valuation hierarchy.</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left="520" w:right="260"/>
        <w:spacing w:after="0" w:line="258" w:lineRule="auto"/>
        <w:rPr>
          <w:sz w:val="20"/>
          <w:szCs w:val="20"/>
          <w:color w:val="auto"/>
        </w:rPr>
      </w:pPr>
      <w:r>
        <w:rPr>
          <w:rFonts w:ascii="Times New Roman" w:cs="Times New Roman" w:eastAsia="Times New Roman" w:hAnsi="Times New Roman"/>
          <w:sz w:val="18"/>
          <w:szCs w:val="18"/>
          <w:color w:val="auto"/>
        </w:rPr>
        <w:t>Where quoted market prices are available in an active market, securities are classified within Level 1 of the valuation hierarchy. If quoted market prices are not available, then fair values are estimated by using pricing models, quoted prices of securities with similar characteristics or discounted cash flows and are classified as Level 2. In certain cases where Level 1 or Level 2 inputs are not available, items are classified as Level 3. Management challenges the reasonableness of the assumptions used and reviews the methodology to ensure the estimated fair value complies with accounting standards generally accepted in the United States.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 December 31, 2018, because of the merger agreement disclosed in Note 1, the warrants were valued at their cash value on January 22, 2019.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4" w:name="page25"/>
    <w:bookmarkEnd w:id="2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7"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measurements of assets recognized in the accompanying consolidated balance sheet measured at fair value on a recurring basis and the level within the fair value hierarchy in which the fair value measurements fall at December 31, 2018:</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December 31, 2018</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2,624,379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Level 3 Reconciliation</w:t>
      </w:r>
    </w:p>
    <w:p>
      <w:pPr>
        <w:spacing w:after="0" w:line="229"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of recurring fair value measurements recognized in the accompanying consolidated balance sheet using significant unobservable (Level 3) inputs: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10"/>
        </w:trPr>
        <w:tc>
          <w:tcPr>
            <w:tcW w:w="8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(747,679)</w:t>
            </w:r>
          </w:p>
        </w:tc>
      </w:tr>
      <w:tr>
        <w:trPr>
          <w:trHeight w:val="210"/>
        </w:trPr>
        <w:tc>
          <w:tcPr>
            <w:tcW w:w="9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20" w:right="6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identified a significant other observable input and transferred the fair value of the warrant liability from Level 3 to Level 2.</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Profit-Sharing Plan</w:t>
      </w:r>
    </w:p>
    <w:p>
      <w:pPr>
        <w:spacing w:after="0" w:line="229"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The Company has a 401(k) profit-sharing plan covering substantially all employees. The Company allows participants to defer a portion of their annual compensation on a pretax basis. In 2018, the Company’s matching contribution was 100% of salary deferral that make up the first 3% of total compensation and an additional 1/2% matching contribution for each additional 1% of total compensation that each participating employee defers up to a total of 5% of total compensation. Contributions to the plan were $561,127 for the year ended December 31, 2018.</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Deferred Compensation</w:t>
      </w:r>
    </w:p>
    <w:p>
      <w:pPr>
        <w:spacing w:after="0" w:line="22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 has a retention plan for certain individuals. The plan allows for certain payments to be made to these individuals upon the completion of four years of service or a change of control, whichever is first. There was $997,500 accrued related to this obligation as of December 31, 2018. Upon completion of the merger agreement in January 2019, the Company paid $1,787,500 related to this retention plan.</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Orbis Education Services,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Concentrations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22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had four major customers (defined as a customer providing 10% or more of total revenues). These customers represented approximately 59% of total revenue for the year ended December 31, 2018.</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Changes in Accounting Principles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2018, the Company had elected the alternative guidance for private companies that allowed goodwill to be amortized (ASU 2014-</w:t>
      </w:r>
    </w:p>
    <w:p>
      <w:pPr>
        <w:spacing w:after="0" w:line="27"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 xml:space="preserve">02, </w:t>
      </w:r>
      <w:r>
        <w:rPr>
          <w:rFonts w:ascii="Times New Roman" w:cs="Times New Roman" w:eastAsia="Times New Roman" w:hAnsi="Times New Roman"/>
          <w:sz w:val="18"/>
          <w:szCs w:val="18"/>
          <w:i w:val="1"/>
          <w:iCs w:val="1"/>
          <w:color w:val="auto"/>
        </w:rPr>
        <w:t>Intangibles-Goodwill and Other (Topic 350): Accounting for Goodwill).</w:t>
      </w:r>
      <w:r>
        <w:rPr>
          <w:rFonts w:ascii="Times New Roman" w:cs="Times New Roman" w:eastAsia="Times New Roman" w:hAnsi="Times New Roman"/>
          <w:sz w:val="18"/>
          <w:szCs w:val="18"/>
          <w:color w:val="auto"/>
        </w:rPr>
        <w:t xml:space="preserve"> As a result of sale of the business, as disclosed in Note 1, the Company is no longer considered a private company.</w:t>
      </w:r>
    </w:p>
    <w:p>
      <w:pPr>
        <w:spacing w:after="0" w:line="180"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Additionally, the Company changed its accounting for redeemable preferred stock. As a public business entity, the Company must account for its redeemable preferred stock at its redemption value and classify the redeemable preferred stock outside of permanent equity.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statement line items for fiscal year 2018 were affected by the changes in accounting principles.</w:t>
      </w:r>
    </w:p>
    <w:p>
      <w:pPr>
        <w:spacing w:after="0" w:line="219"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As Computed Under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ind w:right="395"/>
              <w:spacing w:after="0" w:line="118" w:lineRule="exact"/>
              <w:rPr>
                <w:sz w:val="20"/>
                <w:szCs w:val="20"/>
                <w:color w:val="auto"/>
              </w:rPr>
            </w:pPr>
            <w:r>
              <w:rPr>
                <w:rFonts w:ascii="Times New Roman" w:cs="Times New Roman" w:eastAsia="Times New Roman" w:hAnsi="Times New Roman"/>
                <w:sz w:val="13"/>
                <w:szCs w:val="13"/>
                <w:b w:val="1"/>
                <w:bCs w:val="1"/>
                <w:color w:val="auto"/>
              </w:rPr>
              <w:t>Effect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Previous Methods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Statement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3,075,225</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3,040,592</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346,325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 deficit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(17,184,379)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(50,918,920)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(33,734,541)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(6,451,025)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(6,416,392)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(34,633)</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 to reconcile net loss to net Cash used in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 Depreciation and amortization</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3,075,225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3,040,592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As a result of the accounting changes, the members’ deficit as of January 1, 2018 changed from $(11,033,380) as originally reported to $(44,802,554), which is a change of $(33,769,174). The change consists of a decrease to member’s deficit of $33,942,336, which was the difference between the carrying value of the redeemable preferred units and their redemption value at January 1, 2018. Additionally, member’s deficit increased by $173,162, which was the accumulated amortization of goodwill at January 1,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January 22, 2019, Grand Canyon Education, Inc. (the “Company” or “GCE”) acquired Orbis Education Services, LLC (“Orbis Education”) for $365.8 million in cash (inclusive of closing date adjustments). Orbis Education is an education services company that supports healthcare education programs for 17 universities across the United States. Concurrent with the closing of the acquisition, GCE entered into an amended and restated credit agreement dated January 22, 2019 and two related amendments dated January 31, 2019 and dated February 1, 2019, that together provided a credit facility of $325.0 million comprised of a term loan facility of $243.75 million and a revolving credit facility of $81.25 million,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 million drawn under the revolver and cash on hand, were used to pay the purchase price in the acquisition. Concurrent with the amendment of the credit agreement and acquisition, we repaid our existing term loan of $60.0 million and our cash collateral of $61.7 million was released. The foregoing actions (other than the credit facility amendments), which are referred to collectively herein as the “Orbis Acquisition,” were completed on January 22, 2019.</w:t>
      </w:r>
    </w:p>
    <w:p>
      <w:pPr>
        <w:spacing w:after="0" w:line="19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is based on the historical consolidated financial information of GCE and Orbis Education and has been prepared to illustrate the effect of the Orbis Acquisition that was completed on January 22, 2019.</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accounting and financial reporting in these unaudited pro formas is based on its preliminary assessment of the appropriate application of Generally Accepted Accounting Principles (“GAAP”) under the acquisition method of accounting in accordance with Financial Accounting Standards Board Accounting Standard Topic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treated as the acquirer. As of the date of this filing, the Company has not completed its final determination of the fair value of Orbis Education’s assets and liabilities, including intangible assets with both indefinite and finite lives. Accordingly, the final application of GAAP to the Acquisition may differ from what is presented in these unaudited pro formas.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balance sheet assumes that the Acquisition had occurred on December 31, 2018. The unaudited pro forma combined income statement is presented as if the Acquisition had occurred on January 1, 2018. The following unaudited pro forma combined financial statements should be read in conjunction with the Company’s historical consolidated financial statements and accompanying notes, which are included in the Company’s latest Annual Report on Form 10-K, filed with the Securities and Exchange Commission on February 20, 2019, and Orbis Education’s historical information included herein.</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on the best information available and assumptions that management believes are (a) directly attributable to the Acquisition, (b) are factually supportable and (c) with respect to the income statement, have a continuing impact on the consolidated results. The pro forma adjustments are described in the accompanying notes to the unaudited pro forma combined financial information.</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is provided herein for illustrative purposes only and is not necessarily indicative of the results of operations that would have occurred had the Acquisition occurred on January 1, 2018. The unaudited pro forma combined financial information does not reflect future events that may occur after the sale, including potential general and administrative cost savings or material non-recurring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60" w:type="dxa"/>
            <w:vAlign w:val="bottom"/>
          </w:tcPr>
          <w:p>
            <w:pPr>
              <w:spacing w:after="0"/>
              <w:rPr>
                <w:sz w:val="10"/>
                <w:szCs w:val="10"/>
                <w:color w:val="auto"/>
              </w:rPr>
            </w:pPr>
          </w:p>
        </w:tc>
        <w:tc>
          <w:tcPr>
            <w:tcW w:w="152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Grand Canyon</w:t>
            </w:r>
          </w:p>
        </w:tc>
        <w:tc>
          <w:tcPr>
            <w:tcW w:w="140" w:type="dxa"/>
            <w:vAlign w:val="bottom"/>
          </w:tcPr>
          <w:p>
            <w:pPr>
              <w:spacing w:after="0"/>
              <w:rPr>
                <w:sz w:val="10"/>
                <w:szCs w:val="10"/>
                <w:color w:val="auto"/>
              </w:rPr>
            </w:pPr>
          </w:p>
        </w:tc>
        <w:tc>
          <w:tcPr>
            <w:tcW w:w="15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Orbis Education</w:t>
            </w:r>
          </w:p>
        </w:tc>
        <w:tc>
          <w:tcPr>
            <w:tcW w:w="140" w:type="dxa"/>
            <w:vAlign w:val="bottom"/>
          </w:tcPr>
          <w:p>
            <w:pPr>
              <w:spacing w:after="0"/>
              <w:rPr>
                <w:sz w:val="10"/>
                <w:szCs w:val="10"/>
                <w:color w:val="auto"/>
              </w:rPr>
            </w:pPr>
          </w:p>
        </w:tc>
        <w:tc>
          <w:tcPr>
            <w:tcW w:w="128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Education, Inc.</w:t>
            </w:r>
          </w:p>
        </w:tc>
        <w:tc>
          <w:tcPr>
            <w:tcW w:w="14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Services, LLC</w:t>
            </w:r>
          </w:p>
        </w:tc>
        <w:tc>
          <w:tcPr>
            <w:tcW w:w="14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(1)</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(45,406) a, b, c, 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75,181</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61,667</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(61,667) 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69,002</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(69,002) b</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46,830</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receivable on Secured Note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4,650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6,963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8,722</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309,466</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(176,075)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111,039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116,309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4,316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200,084</w:t>
            </w:r>
          </w:p>
        </w:tc>
        <w:tc>
          <w:tcPr>
            <w:tcW w:w="6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204,400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166,113</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receivable, less current portion</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900,093</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900,093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1,324,017</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186,835</w:t>
            </w:r>
          </w:p>
        </w:tc>
        <w:tc>
          <w:tcPr>
            <w:tcW w:w="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1,522,825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80" w:type="dxa"/>
            <w:vAlign w:val="bottom"/>
            <w:gridSpan w:val="2"/>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15,427</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4,741</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8,907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5,442</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Student deposits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36,468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17,518</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(17,518)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36,468</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80,518</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3,520</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(2,624)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6,465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less current portion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23,437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213,437</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110,420</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173,940</w:t>
            </w: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Units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33,942</w:t>
            </w:r>
          </w:p>
        </w:tc>
        <w:tc>
          <w:tcPr>
            <w:tcW w:w="1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(33,942)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 shares issued and outstanding at March 31, 2018</w:t>
            </w:r>
          </w:p>
        </w:tc>
        <w:tc>
          <w:tcPr>
            <w:tcW w:w="16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52,496 shares issued and 48,217 shares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March 31, 2018</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4,279 shares of common stock at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2018</w:t>
            </w:r>
          </w:p>
        </w:tc>
        <w:tc>
          <w:tcPr>
            <w:tcW w:w="16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(125,452)</w:t>
            </w:r>
          </w:p>
        </w:tc>
        <w:tc>
          <w:tcPr>
            <w:tcW w:w="14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(125,452)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256,806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256,806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(50,919)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46,837</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1,078,087</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1,213,597</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1,324,017</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186,835</w:t>
            </w:r>
          </w:p>
        </w:tc>
        <w:tc>
          <w:tcPr>
            <w:tcW w:w="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pro forma adjustments assume that the Acquisition occurred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INCOME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Grand Canyon</w:t>
            </w:r>
          </w:p>
        </w:tc>
        <w:tc>
          <w:tcPr>
            <w:tcW w:w="180" w:type="dxa"/>
            <w:vAlign w:val="bottom"/>
          </w:tcPr>
          <w:p>
            <w:pPr>
              <w:spacing w:after="0"/>
              <w:rPr>
                <w:sz w:val="10"/>
                <w:szCs w:val="10"/>
                <w:color w:val="auto"/>
              </w:rPr>
            </w:pPr>
          </w:p>
        </w:tc>
        <w:tc>
          <w:tcPr>
            <w:tcW w:w="13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Orbis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Education, Inc.</w:t>
            </w:r>
          </w:p>
        </w:tc>
        <w:tc>
          <w:tcPr>
            <w:tcW w:w="18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Services, LLC</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University related revenue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845,501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43,574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(270) a, c</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117,420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29,968</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University related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60" w:type="dxa"/>
            <w:vAlign w:val="bottom"/>
          </w:tcPr>
          <w:p>
            <w:pPr>
              <w:spacing w:after="0"/>
              <w:rPr>
                <w:sz w:val="18"/>
                <w:szCs w:val="18"/>
                <w:color w:val="auto"/>
              </w:rPr>
            </w:pP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a, c</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Transaction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18,370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(1,716) b, c</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587,352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on Secured Note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26,947</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(6,968) d</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w w:val="99"/>
              </w:rPr>
              <w:t>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57,989</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4"/>
          </w:tcPr>
          <w:p>
            <w:pPr>
              <w:jc w:val="right"/>
              <w:ind w:right="355"/>
              <w:spacing w:after="0"/>
              <w:rPr>
                <w:sz w:val="20"/>
                <w:szCs w:val="20"/>
                <w:color w:val="auto"/>
              </w:rPr>
            </w:pPr>
            <w:r>
              <w:rPr>
                <w:rFonts w:ascii="Times New Roman" w:cs="Times New Roman" w:eastAsia="Times New Roman" w:hAnsi="Times New Roman"/>
                <w:sz w:val="18"/>
                <w:szCs w:val="18"/>
                <w:color w:val="auto"/>
              </w:rPr>
              <w:t>(3,097) f</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8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47,608</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47,608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48,414</w:t>
            </w:r>
          </w:p>
        </w:tc>
        <w:tc>
          <w:tcPr>
            <w:tcW w:w="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48,414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740" w:hanging="328"/>
        <w:spacing w:after="0" w:line="282" w:lineRule="auto"/>
        <w:tabs>
          <w:tab w:leader="none" w:pos="6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combined statements of income of the Company and Orbis Education for the year ended December 31, 2018 assume that the Acquisition occurred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INFORMATION</w:t>
      </w:r>
    </w:p>
    <w:p>
      <w:pPr>
        <w:spacing w:after="0" w:line="20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statements were prepared using the acquisition method of accounting and are based on the historical consolidated financial statements of the Company and Orbis Education. The acquisition method of accounting is based on ASC 805, and used the fair value concepts defined in Financial Accounting Standards Board Accounting Standard Topic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ASC 805 requires, among other things, that most assets acquired and liabilities assumed be recognized at their fair values as of the acquisition date.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ASC 805, the Company used its best estimates and assumptions to accurately assign fair value to tangible assets and liabilities to be acquired, identifiable intangible assets and the related income tax impacts. Goodwill is measured as the excess of purchase consideration over the fair value of tangible and intangible assets and liabilities.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are based on preliminary estimated fair value purchase consideration allocation, provided for illustrative purposes only and do not purport to represent what the combined income statement or the financial condition would have been had the acquisition occurred on the dates indicated. They also may not be useful in predicting the future financial condition and results of operations of the combined company. The actual results of operations may differ significantly from the pro forma amounts reflected herein. In addition, the unaudited pro forma combined financial information does not reflect any planned cost savings initiatives following the merger.</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Acquisition related transaction costs (e.g. investment banker, advisory, legal, valuation and other professional fees) and certain acquisition related charges have not been included as a component of consideration transferred, but instead must be expensed as incurred. The pro forma balance sheet reflects the $4.1 million of anticipated acquisition related transaction costs of the Company reflected in other accrued liabilities with a corresponding decrease in stockholders’ equity. The Company has not presented the acquisition costs incurred during 2018 in the pro forma statement of operations because they will not have a continuing impact on the results of the combined company.</w:t>
      </w:r>
    </w:p>
    <w:p>
      <w:pPr>
        <w:spacing w:after="0" w:line="1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order to prepare the pro forma financial statements, the Company performed a preliminary review of Orbis Education’s accounting policies to identify significant differences. Upon completion of the Acquisition, the Company will conduct an additional review of Orbis Education’s accounting policies to determine if differences in accounting policies require further adjustment or reclassification of Orbis Education’s results of operations, asset or liabilities to conform to the Company’s accounting policies and classifications. As a result of that review, the Company may identify additional differences between the accounting policies of the two companies that, when conformed, could have a material impact on the pro forma financial statements.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presents the pro forma financial statements for informational purposes only and the pro forma financial statements are not necessarily indicative of what the combined company’s financial position or results of operations would actually have been had the merger been completed on the dates indicated. In addition, the pro forma financial statements do not purport to project the future financial position or operating results of the combined company.</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derived from GAAP applicable to the Company as of and for all periods presented and does not reflect adjustments for any accounting pronouncements pending adoption as of January 1, 2019. Specifically, the pro forma combined financial information has been prepared in conformity with the revenue recognition accounting policies as disclosed in the Company’s Form 10K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0" w:name="page31"/>
    <w:bookmarkEnd w:id="30"/>
    <w:p>
      <w:pPr>
        <w:ind w:right="40"/>
        <w:spacing w:after="0" w:line="266" w:lineRule="auto"/>
        <w:rPr>
          <w:sz w:val="20"/>
          <w:szCs w:val="20"/>
          <w:color w:val="auto"/>
        </w:rPr>
      </w:pPr>
      <w:r>
        <w:rPr>
          <w:rFonts w:ascii="Times New Roman" w:cs="Times New Roman" w:eastAsia="Times New Roman" w:hAnsi="Times New Roman"/>
          <w:sz w:val="18"/>
          <w:szCs w:val="18"/>
          <w:color w:val="auto"/>
        </w:rPr>
        <w:t>ended December 31, 2018 and does not reflect any adjustment for the Company’s adoption of the new leasing standard, ASU 2016-02. The Company will adopt the new leasing standard on January 1, 2019 and will adopt the new leasing standard for Orbis Acquisition in its Acquisition and business combination accounting on January 22, 2019.</w:t>
      </w:r>
    </w:p>
    <w:p>
      <w:pPr>
        <w:spacing w:after="0" w:line="17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and Estimated Fair Value of Net Assets Acquired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balance sheet has been adjusted to reflect the preliminary estimate of the fair value of Orbis Education’s tangible assets, identifiable intangible assets to be acquired and liabilities to be assumed. The excess of the preliminary estimated purchase price over these fair values is recorded to goodwill. The following table provides a tabular depiction of the Company’s allocation of the $365.8 million cash purchase (inclusive of closing date adjustments) on January 22,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163,172</w:t>
            </w:r>
          </w:p>
        </w:tc>
        <w:tc>
          <w:tcPr>
            <w:tcW w:w="100" w:type="dxa"/>
            <w:vAlign w:val="bottom"/>
            <w:tcBorders>
              <w:bottom w:val="single" w:sz="8" w:color="CCEEFF"/>
            </w:tcBorders>
          </w:tcPr>
          <w:p>
            <w:pPr>
              <w:spacing w:after="0"/>
              <w:rPr>
                <w:sz w:val="18"/>
                <w:szCs w:val="18"/>
                <w:color w:val="auto"/>
              </w:rPr>
            </w:pPr>
          </w:p>
        </w:tc>
      </w:tr>
      <w:tr>
        <w:trPr>
          <w:trHeight w:val="210"/>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amount recorded related to the acquisition is subject to adjustment as the Company has not yet completed the final allocation of the purchase price. The Company has one year from the date of purchase to complete the allocation of the purchase price.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Orbis Education’s identifiable intangible assets include, customer relationships, trade names and other intangibles. These preliminary estimates of fair value and weighted average useful life may be different from the amounts included in the acquisition accounting upon the completion of purchase accounting, and the difference could have a material impact on the accompanying unaudited pro forma combined financial statements. The combined effect of any such changes could then also result in a significant increase or decrease to the Company’s estimate of associated amortization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2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1,120</w:t>
            </w:r>
          </w:p>
        </w:tc>
        <w:tc>
          <w:tcPr>
            <w:tcW w:w="23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18"/>
                <w:szCs w:val="18"/>
                <w:color w:val="auto"/>
              </w:rPr>
            </w:pP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intangibles subject to amortization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204,400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 Balance Sheet</w:t>
      </w:r>
    </w:p>
    <w:p>
      <w:pPr>
        <w:spacing w:after="0" w:line="229" w:lineRule="exact"/>
        <w:rPr>
          <w:sz w:val="20"/>
          <w:szCs w:val="20"/>
          <w:color w:val="auto"/>
        </w:rPr>
      </w:pPr>
    </w:p>
    <w:p>
      <w:pPr>
        <w:ind w:left="660" w:hanging="328"/>
        <w:spacing w:after="0" w:line="255"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loan increase of $190.0 million resulting from an amended and restated credit agreement on the purchase date, which resulted in an increase of the term and revolver loan to an aggregate of $250.0 million and the repayment of the $60.0 million term loan. In addition, the collateral of $61.7 million was released concurrently with the amended and restated credit agreement and that balance was reclassed to cash for the Orbis Acquisition.</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of the investment balances of $69.0 million, which were reclassed to cash for the Orbis Acquisition.</w:t>
      </w:r>
    </w:p>
    <w:p>
      <w:pPr>
        <w:spacing w:after="0" w:line="9" w:lineRule="exact"/>
        <w:rPr>
          <w:rFonts w:ascii="Times New Roman" w:cs="Times New Roman" w:eastAsia="Times New Roman" w:hAnsi="Times New Roman"/>
          <w:sz w:val="18"/>
          <w:szCs w:val="18"/>
          <w:color w:val="auto"/>
        </w:rPr>
      </w:pPr>
    </w:p>
    <w:p>
      <w:pPr>
        <w:ind w:left="660" w:right="440" w:hanging="328"/>
        <w:spacing w:after="0" w:line="261" w:lineRule="auto"/>
        <w:tabs>
          <w:tab w:leader="none" w:pos="6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$365.8 million cash purchase (inclusive of closing date adjustments) of Orbis Education. This adjustment records the preliminary estimated fair values as of December 31, 2018 of the 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1" w:name="page32"/>
    <w:bookmarkEnd w:id="31"/>
    <w:p>
      <w:pPr>
        <w:ind w:left="328" w:right="80"/>
        <w:spacing w:after="0" w:line="255" w:lineRule="auto"/>
        <w:rPr>
          <w:sz w:val="20"/>
          <w:szCs w:val="20"/>
          <w:color w:val="auto"/>
        </w:rPr>
      </w:pPr>
      <w:r>
        <w:rPr>
          <w:rFonts w:ascii="Times New Roman" w:cs="Times New Roman" w:eastAsia="Times New Roman" w:hAnsi="Times New Roman"/>
          <w:sz w:val="18"/>
          <w:szCs w:val="18"/>
          <w:color w:val="auto"/>
        </w:rPr>
        <w:t>assets acquired, liabilities assumed, identified intangible assets acquired, and estimated goodwill arising from the Orbis Acquisition, as described above. The Company is not expecting any changes to the assets acquired or liabilities assumed including property, plant and equipment as management believes the net book value of these assets approximate the fair market value of assets acquired with the exception of an increase in the assets and liabilities assumed due to the adoption of ASU 2016-02 as Orbis Education has leases at approximately 18 site locations.</w:t>
      </w:r>
    </w:p>
    <w:p>
      <w:pPr>
        <w:spacing w:after="0" w:line="3" w:lineRule="exact"/>
        <w:rPr>
          <w:sz w:val="20"/>
          <w:szCs w:val="20"/>
          <w:color w:val="auto"/>
        </w:rPr>
      </w:pPr>
    </w:p>
    <w:p>
      <w:pPr>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is to include estimated transaction costs that are not recognized in the historical consolidated balance sheets of the Company as these should be included on the pro forma balance sheet as they are transaction costs that are estimated to be incurred by the completion of the merger. The adjustment is for $4.1 million that would have been incurred and paid by the Company prior to December 31, 2018 as if the merger had occurred on December 31, 2018.</w:t>
      </w:r>
    </w:p>
    <w:p>
      <w:pPr>
        <w:spacing w:after="0" w:line="1" w:lineRule="exact"/>
        <w:rPr>
          <w:rFonts w:ascii="Times New Roman" w:cs="Times New Roman" w:eastAsia="Times New Roman" w:hAnsi="Times New Roman"/>
          <w:sz w:val="18"/>
          <w:szCs w:val="18"/>
          <w:color w:val="auto"/>
        </w:rPr>
      </w:pPr>
    </w:p>
    <w:p>
      <w:pPr>
        <w:ind w:left="328" w:right="700" w:hanging="328"/>
        <w:spacing w:after="0" w:line="261" w:lineRule="auto"/>
        <w:tabs>
          <w:tab w:leader="none" w:pos="3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entry eliminates the historical balances, including assets and liabilities not assumed in the Acquisition, Orbis Education’s goodwill and intangible assets, and various equity accounts on the Orbis Education’s historical balance sheet.</w:t>
      </w:r>
    </w:p>
    <w:p>
      <w:pPr>
        <w:spacing w:after="0" w:line="176"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 Income Statement</w:t>
      </w:r>
    </w:p>
    <w:p>
      <w:pPr>
        <w:spacing w:after="0" w:line="229" w:lineRule="exact"/>
        <w:rPr>
          <w:sz w:val="20"/>
          <w:szCs w:val="20"/>
          <w:color w:val="auto"/>
        </w:rPr>
      </w:pPr>
    </w:p>
    <w:p>
      <w:pPr>
        <w:jc w:val="both"/>
        <w:ind w:left="328" w:right="40" w:hanging="328"/>
        <w:spacing w:after="0" w:line="257" w:lineRule="auto"/>
        <w:tabs>
          <w:tab w:leader="none" w:pos="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adjustment reflects the estimated amortization expense related to the intangible assets to be acquired, and the removal of amortization recorded by Orbis Education related to its customer relationships and online learning products, which is included in technical and academic services. Orbis Education’s goodwill was fully amortized, so no amortization was removed.</w:t>
      </w:r>
    </w:p>
    <w:p>
      <w:pPr>
        <w:spacing w:after="0" w:line="1" w:lineRule="exact"/>
        <w:rPr>
          <w:rFonts w:ascii="Times New Roman" w:cs="Times New Roman" w:eastAsia="Times New Roman" w:hAnsi="Times New Roman"/>
          <w:sz w:val="18"/>
          <w:szCs w:val="18"/>
          <w:color w:val="auto"/>
        </w:rPr>
      </w:pPr>
    </w:p>
    <w:p>
      <w:pPr>
        <w:ind w:left="328" w:right="80"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removes transaction costs that were recognized as expenses in the Company and Orbis Education’s consolidated financial statement for the year ended December 31, 2018. The adjustment is for $0.8 million and $0.9 million that were incurred and paid by the Company and Orbis Education, respectively, during the year ended December 31, 2018.</w:t>
      </w:r>
    </w:p>
    <w:p>
      <w:pPr>
        <w:spacing w:after="0" w:line="1" w:lineRule="exact"/>
        <w:rPr>
          <w:rFonts w:ascii="Times New Roman" w:cs="Times New Roman" w:eastAsia="Times New Roman" w:hAnsi="Times New Roman"/>
          <w:sz w:val="18"/>
          <w:szCs w:val="18"/>
          <w:color w:val="auto"/>
        </w:rPr>
      </w:pPr>
    </w:p>
    <w:p>
      <w:pPr>
        <w:ind w:left="328" w:right="620" w:hanging="328"/>
        <w:spacing w:after="0" w:line="250" w:lineRule="auto"/>
        <w:tabs>
          <w:tab w:leader="none" w:pos="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Orbis Education operating expenses were reflected in the combined income statement to conform with the Company’s income statement classifications.</w:t>
      </w:r>
    </w:p>
    <w:p>
      <w:pPr>
        <w:ind w:left="328" w:right="40" w:hanging="328"/>
        <w:spacing w:after="0" w:line="250"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removed the interest expense recorded by the Company and Orbis Education for the year ended December 31, 2018. This adjustment then added interest expense for the $250.0 million drawn on the amended and restated credit agreement for the year ended December 31, 2018 at a rate of 30 Day LIBOR plus an applicable margin of 2%, which totals 4.5%. This adjustment assumes quarterly payments were made on the term loan for $12.2 million at each quarter ended commencing with June 30, 2018 for the year. This adjustment assumes the entire loan was considered a loan modification and that the lending costs of approximately $2.2 million are amortized over the five year maturity period. This adjustment includes the 25 basis point fee for the unused portion of the revolver for the entire year of $75 million. Also, this adjustment includes the third party costs of $0.2 million that were expensed at the time of the amended and restated credit agreement.</w:t>
      </w:r>
    </w:p>
    <w:p>
      <w:pPr>
        <w:spacing w:after="0" w:line="3" w:lineRule="exact"/>
        <w:rPr>
          <w:rFonts w:ascii="Times New Roman" w:cs="Times New Roman" w:eastAsia="Times New Roman" w:hAnsi="Times New Roman"/>
          <w:sz w:val="18"/>
          <w:szCs w:val="18"/>
          <w:color w:val="auto"/>
        </w:rPr>
      </w:pPr>
    </w:p>
    <w:p>
      <w:pPr>
        <w:ind w:left="328" w:right="140" w:hanging="328"/>
        <w:spacing w:after="0" w:line="250" w:lineRule="auto"/>
        <w:tabs>
          <w:tab w:leader="none" w:pos="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can be reflected in this pro forma for reduced interest and other income; however we used $115.8 million of cash and investments to complete the Orbis Acquisition, which would have resulted in significantly lower investment balances and returns on such investments.</w:t>
      </w:r>
    </w:p>
    <w:p>
      <w:pPr>
        <w:ind w:left="328" w:right="240" w:hanging="328"/>
        <w:spacing w:after="0" w:line="261" w:lineRule="auto"/>
        <w:tabs>
          <w:tab w:leader="none" w:pos="3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 of the pro forma adjustments at the statutory rate in effect during the periods for which the pro forma income statements are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192405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8"/>
          </w:cols>
          <w:pgMar w:left="572" w:top="337" w:right="239" w:bottom="1440" w:gutter="0" w:footer="0" w:header="0"/>
        </w:sectPr>
      </w:pPr>
    </w:p>
    <w:bookmarkStart w:id="32" w:name="page33"/>
    <w:bookmarkEnd w:id="32"/>
    <w:p>
      <w:pPr>
        <w:ind w:left="328" w:hanging="328"/>
        <w:spacing w:after="0"/>
        <w:tabs>
          <w:tab w:leader="none" w:pos="32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Earnings Per Share</w:t>
      </w:r>
    </w:p>
    <w:p>
      <w:pPr>
        <w:spacing w:after="0" w:line="229"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combined statements of income are based upon the pro forma combined net income and the Company’s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180975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8"/>
      </w:cols>
      <w:pgMar w:left="572" w:top="3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lvl w:ilvl="1">
      <w:lvlJc w:val="left"/>
      <w:lvlText w:val="(%2)"/>
      <w:numFmt w:val="lowerLetter"/>
      <w:start w:val="1"/>
    </w:lvl>
  </w:abstractNum>
  <w:abstractNum w:abstractNumId="1">
    <w:nsid w:val="7545E146"/>
    <w:multiLevelType w:val="hybridMultilevel"/>
    <w:lvl w:ilvl="0">
      <w:lvlJc w:val="left"/>
      <w:lvlText w:val="(%1)"/>
      <w:numFmt w:val="lowerLetter"/>
      <w:start w:val="4"/>
    </w:lvl>
    <w:lvl w:ilvl="1">
      <w:lvlJc w:val="left"/>
      <w:lvlText w:val="%2"/>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decimal"/>
      <w:start w:val="4"/>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2019-12-28T14:08:24Z</dcterms:created>
  <dcterms:modified xsi:type="dcterms:W3CDTF">2019-12-28T14:08:24Z</dcterms:modified>
</cp:coreProperties>
</file>