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60"/>
        <w:spacing w:after="0"/>
        <w:rPr>
          <w:sz w:val="20"/>
          <w:szCs w:val="20"/>
          <w:color w:val="auto"/>
        </w:rPr>
      </w:pPr>
      <w:r>
        <w:rPr>
          <w:rFonts w:ascii="Times New Roman" w:cs="Times New Roman" w:eastAsia="Times New Roman" w:hAnsi="Times New Roman"/>
          <w:sz w:val="22"/>
          <w:szCs w:val="22"/>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5441950</wp:posOffset>
            </wp:positionH>
            <wp:positionV relativeFrom="paragraph">
              <wp:posOffset>-151130</wp:posOffset>
            </wp:positionV>
            <wp:extent cx="180975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797560"/>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22"/>
          <w:szCs w:val="22"/>
          <w:color w:val="auto"/>
        </w:rPr>
        <w:t>OMB Number: 3235-0145</w:t>
      </w:r>
    </w:p>
    <w:p>
      <w:pPr>
        <w:ind w:left="8640"/>
        <w:spacing w:after="0" w:line="230" w:lineRule="auto"/>
        <w:rPr>
          <w:sz w:val="20"/>
          <w:szCs w:val="20"/>
          <w:color w:val="auto"/>
        </w:rPr>
      </w:pPr>
      <w:r>
        <w:rPr>
          <w:rFonts w:ascii="Times New Roman" w:cs="Times New Roman" w:eastAsia="Times New Roman" w:hAnsi="Times New Roman"/>
          <w:sz w:val="22"/>
          <w:szCs w:val="22"/>
          <w:color w:val="auto"/>
        </w:rPr>
        <w:t>Expires: February 28, 2009</w:t>
      </w:r>
    </w:p>
    <w:p>
      <w:pPr>
        <w:ind w:left="8640"/>
        <w:spacing w:after="0" w:line="231" w:lineRule="auto"/>
        <w:rPr>
          <w:sz w:val="20"/>
          <w:szCs w:val="20"/>
          <w:color w:val="auto"/>
        </w:rPr>
      </w:pPr>
      <w:r>
        <w:rPr>
          <w:rFonts w:ascii="Times New Roman" w:cs="Times New Roman" w:eastAsia="Times New Roman" w:hAnsi="Times New Roman"/>
          <w:sz w:val="22"/>
          <w:szCs w:val="22"/>
          <w:color w:val="auto"/>
        </w:rPr>
        <w:t>Estimated average burden</w:t>
      </w:r>
    </w:p>
    <w:p>
      <w:pPr>
        <w:ind w:left="8640"/>
        <w:spacing w:after="0"/>
        <w:rPr>
          <w:sz w:val="20"/>
          <w:szCs w:val="20"/>
          <w:color w:val="auto"/>
        </w:rPr>
      </w:pPr>
      <w:r>
        <w:rPr>
          <w:rFonts w:ascii="Times New Roman" w:cs="Times New Roman" w:eastAsia="Times New Roman" w:hAnsi="Times New Roman"/>
          <w:sz w:val="22"/>
          <w:szCs w:val="22"/>
          <w:color w:val="auto"/>
        </w:rPr>
        <w:t>hours per response.......11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4005580</wp:posOffset>
            </wp:positionH>
            <wp:positionV relativeFrom="paragraph">
              <wp:posOffset>-11430</wp:posOffset>
            </wp:positionV>
            <wp:extent cx="137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38526M 106</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2008</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660" w:hanging="436"/>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13d-l(b)</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13d-l(c)</w:t>
      </w:r>
    </w:p>
    <w:p>
      <w:pPr>
        <w:spacing w:after="0" w:line="131" w:lineRule="exact"/>
        <w:rPr>
          <w:sz w:val="24"/>
          <w:szCs w:val="24"/>
          <w:color w:val="auto"/>
        </w:rPr>
      </w:pPr>
    </w:p>
    <w:p>
      <w:pPr>
        <w:ind w:left="660" w:hanging="436"/>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13d-l(d)</w:t>
      </w:r>
    </w:p>
    <w:p>
      <w:pPr>
        <w:spacing w:after="0" w:line="117" w:lineRule="exact"/>
        <w:rPr>
          <w:rFonts w:ascii="MS PGothic" w:cs="MS PGothic" w:eastAsia="MS PGothic" w:hAnsi="MS PGothic"/>
          <w:sz w:val="18"/>
          <w:szCs w:val="18"/>
          <w:color w:val="auto"/>
        </w:rPr>
      </w:pPr>
    </w:p>
    <w:p>
      <w:pPr>
        <w:ind w:right="1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532765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38526M 106</w:t>
            </w:r>
          </w:p>
        </w:tc>
        <w:tc>
          <w:tcPr>
            <w:tcW w:w="2340" w:type="dxa"/>
            <w:vAlign w:val="bottom"/>
          </w:tcPr>
          <w:p>
            <w:pPr>
              <w:spacing w:after="0"/>
              <w:rPr>
                <w:sz w:val="19"/>
                <w:szCs w:val="19"/>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13G</w:t>
            </w:r>
          </w:p>
        </w:tc>
        <w:tc>
          <w:tcPr>
            <w:tcW w:w="10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50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4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40" w:type="dxa"/>
            <w:vAlign w:val="bottom"/>
            <w:tcBorders>
              <w:right w:val="single" w:sz="8" w:color="auto"/>
            </w:tcBorders>
          </w:tcPr>
          <w:p>
            <w:pPr>
              <w:spacing w:after="0"/>
              <w:rPr>
                <w:sz w:val="23"/>
                <w:szCs w:val="23"/>
                <w:color w:val="auto"/>
              </w:rPr>
            </w:pP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6"/>
              </w:rPr>
              <w:t>SEC USE ONLY</w:t>
            </w: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3500" w:type="dxa"/>
            <w:vAlign w:val="bottom"/>
            <w:tcBorders>
              <w:bottom w:val="single" w:sz="8" w:color="auto"/>
            </w:tcBorders>
            <w:gridSpan w:val="3"/>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32"/>
                <w:szCs w:val="32"/>
                <w:b w:val="1"/>
                <w:bCs w:val="1"/>
                <w:color w:val="auto"/>
              </w:rPr>
              <w:t>5</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2"/>
                <w:szCs w:val="32"/>
                <w:b w:val="1"/>
                <w:bCs w:val="1"/>
                <w:color w:val="auto"/>
              </w:rPr>
              <w:t>6</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4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BY 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8,524,824</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2"/>
                <w:szCs w:val="32"/>
                <w:b w:val="1"/>
                <w:bCs w:val="1"/>
                <w:color w:val="auto"/>
              </w:rPr>
              <w:t>7</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14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40" w:type="dxa"/>
            <w:vAlign w:val="bottom"/>
            <w:gridSpan w:val="3"/>
          </w:tcPr>
          <w:p>
            <w:pPr>
              <w:jc w:val="center"/>
              <w:ind w:left="156"/>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32"/>
                <w:szCs w:val="32"/>
                <w:b w:val="1"/>
                <w:bCs w:val="1"/>
                <w:color w:val="auto"/>
              </w:rPr>
              <w:t>8</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8,524,824</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w w:val="99"/>
              </w:rPr>
              <w:t>8,524,824</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87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18.75% *</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-6064250</wp:posOffset>
            </wp:positionV>
            <wp:extent cx="7267575" cy="6219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6219825"/>
                    </a:xfrm>
                    <a:prstGeom prst="rect">
                      <a:avLst/>
                    </a:prstGeom>
                    <a:noFill/>
                  </pic:spPr>
                </pic:pic>
              </a:graphicData>
            </a:graphic>
          </wp:anchor>
        </w:drawing>
      </w: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Based on 45,465,160 shares of Grand Canyon Education, Inc. common stock, par value $0.01 per share, outstanding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38526M 106</w:t>
            </w:r>
          </w:p>
        </w:tc>
        <w:tc>
          <w:tcPr>
            <w:tcW w:w="2340" w:type="dxa"/>
            <w:vAlign w:val="bottom"/>
          </w:tcPr>
          <w:p>
            <w:pPr>
              <w:spacing w:after="0"/>
              <w:rPr>
                <w:sz w:val="19"/>
                <w:szCs w:val="19"/>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13G</w:t>
            </w:r>
          </w:p>
        </w:tc>
        <w:tc>
          <w:tcPr>
            <w:tcW w:w="10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50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4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40" w:type="dxa"/>
            <w:vAlign w:val="bottom"/>
            <w:tcBorders>
              <w:right w:val="single" w:sz="8" w:color="auto"/>
            </w:tcBorders>
          </w:tcPr>
          <w:p>
            <w:pPr>
              <w:spacing w:after="0"/>
              <w:rPr>
                <w:sz w:val="23"/>
                <w:szCs w:val="23"/>
                <w:color w:val="auto"/>
              </w:rPr>
            </w:pP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6"/>
              </w:rPr>
              <w:t>SEC USE ONLY</w:t>
            </w: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3500" w:type="dxa"/>
            <w:vAlign w:val="bottom"/>
            <w:tcBorders>
              <w:bottom w:val="single" w:sz="8" w:color="auto"/>
            </w:tcBorders>
            <w:gridSpan w:val="3"/>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32"/>
                <w:szCs w:val="32"/>
                <w:b w:val="1"/>
                <w:bCs w:val="1"/>
                <w:color w:val="auto"/>
              </w:rPr>
              <w:t>5</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32"/>
                <w:szCs w:val="32"/>
                <w:b w:val="1"/>
                <w:bCs w:val="1"/>
                <w:color w:val="auto"/>
              </w:rPr>
              <w:t>6</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2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BY 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522,115</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32"/>
                <w:szCs w:val="32"/>
                <w:b w:val="1"/>
                <w:bCs w:val="1"/>
                <w:color w:val="auto"/>
              </w:rPr>
              <w:t>7</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12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40" w:type="dxa"/>
            <w:vAlign w:val="bottom"/>
            <w:gridSpan w:val="3"/>
          </w:tcPr>
          <w:p>
            <w:pPr>
              <w:jc w:val="center"/>
              <w:ind w:left="156"/>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32"/>
                <w:szCs w:val="32"/>
                <w:b w:val="1"/>
                <w:bCs w:val="1"/>
                <w:color w:val="auto"/>
              </w:rPr>
              <w:t>8</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522,115</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5"/>
              </w:rPr>
              <w:t>522,115</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87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-6064250</wp:posOffset>
            </wp:positionV>
            <wp:extent cx="7267575" cy="6084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6084570"/>
                    </a:xfrm>
                    <a:prstGeom prst="rect">
                      <a:avLst/>
                    </a:prstGeom>
                    <a:noFill/>
                  </pic:spPr>
                </pic:pic>
              </a:graphicData>
            </a:graphic>
          </wp:anchor>
        </w:drawing>
      </w:r>
    </w:p>
    <w:p>
      <w:pPr>
        <w:ind w:left="240" w:right="680" w:hanging="232"/>
        <w:spacing w:after="0" w:line="258"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45,465,160 shares of Grand Canyon Education, Inc. common stock, par value $0.01 per share, outstanding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38526M 106</w:t>
            </w:r>
          </w:p>
        </w:tc>
        <w:tc>
          <w:tcPr>
            <w:tcW w:w="2340" w:type="dxa"/>
            <w:vAlign w:val="bottom"/>
          </w:tcPr>
          <w:p>
            <w:pPr>
              <w:spacing w:after="0"/>
              <w:rPr>
                <w:sz w:val="19"/>
                <w:szCs w:val="19"/>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13G</w:t>
            </w:r>
          </w:p>
        </w:tc>
        <w:tc>
          <w:tcPr>
            <w:tcW w:w="10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50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4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40" w:type="dxa"/>
            <w:vAlign w:val="bottom"/>
            <w:tcBorders>
              <w:right w:val="single" w:sz="8" w:color="auto"/>
            </w:tcBorders>
          </w:tcPr>
          <w:p>
            <w:pPr>
              <w:spacing w:after="0"/>
              <w:rPr>
                <w:sz w:val="23"/>
                <w:szCs w:val="23"/>
                <w:color w:val="auto"/>
              </w:rPr>
            </w:pP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6"/>
              </w:rPr>
              <w:t>SEC USE ONLY</w:t>
            </w: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3500" w:type="dxa"/>
            <w:vAlign w:val="bottom"/>
            <w:tcBorders>
              <w:bottom w:val="single" w:sz="8" w:color="auto"/>
            </w:tcBorders>
            <w:gridSpan w:val="3"/>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32"/>
                <w:szCs w:val="32"/>
                <w:b w:val="1"/>
                <w:bCs w:val="1"/>
                <w:color w:val="auto"/>
              </w:rPr>
              <w:t>5</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32"/>
                <w:szCs w:val="32"/>
                <w:b w:val="1"/>
                <w:bCs w:val="1"/>
                <w:color w:val="auto"/>
              </w:rPr>
              <w:t>6</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2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BY 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965,199</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32"/>
                <w:szCs w:val="32"/>
                <w:b w:val="1"/>
                <w:bCs w:val="1"/>
                <w:color w:val="auto"/>
              </w:rPr>
              <w:t>7</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12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40" w:type="dxa"/>
            <w:vAlign w:val="bottom"/>
            <w:gridSpan w:val="3"/>
          </w:tcPr>
          <w:p>
            <w:pPr>
              <w:jc w:val="center"/>
              <w:ind w:left="156"/>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32"/>
                <w:szCs w:val="32"/>
                <w:b w:val="1"/>
                <w:bCs w:val="1"/>
                <w:color w:val="auto"/>
              </w:rPr>
              <w:t>8</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965,199</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5"/>
              </w:rPr>
              <w:t>965,199</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87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2.12% *</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-6064250</wp:posOffset>
            </wp:positionV>
            <wp:extent cx="7267575" cy="6084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6084570"/>
                    </a:xfrm>
                    <a:prstGeom prst="rect">
                      <a:avLst/>
                    </a:prstGeom>
                    <a:noFill/>
                  </pic:spPr>
                </pic:pic>
              </a:graphicData>
            </a:graphic>
          </wp:anchor>
        </w:drawing>
      </w:r>
    </w:p>
    <w:p>
      <w:pPr>
        <w:ind w:left="240" w:right="680" w:hanging="232"/>
        <w:spacing w:after="0" w:line="258" w:lineRule="auto"/>
        <w:tabs>
          <w:tab w:leader="none" w:pos="2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45,465,160 shares of Grand Canyon Education, Inc. common stock, par value $0.01 per share, outstanding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38526M 106</w:t>
            </w:r>
          </w:p>
        </w:tc>
        <w:tc>
          <w:tcPr>
            <w:tcW w:w="2340" w:type="dxa"/>
            <w:vAlign w:val="bottom"/>
          </w:tcPr>
          <w:p>
            <w:pPr>
              <w:spacing w:after="0"/>
              <w:rPr>
                <w:sz w:val="19"/>
                <w:szCs w:val="19"/>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13G</w:t>
            </w:r>
          </w:p>
        </w:tc>
        <w:tc>
          <w:tcPr>
            <w:tcW w:w="10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50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4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Endeavour Capital IV, LLC</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40" w:type="dxa"/>
            <w:vAlign w:val="bottom"/>
            <w:tcBorders>
              <w:right w:val="single" w:sz="8" w:color="auto"/>
            </w:tcBorders>
          </w:tcPr>
          <w:p>
            <w:pPr>
              <w:spacing w:after="0"/>
              <w:rPr>
                <w:sz w:val="23"/>
                <w:szCs w:val="23"/>
                <w:color w:val="auto"/>
              </w:rPr>
            </w:pP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6"/>
              </w:rPr>
              <w:t>SEC USE ONLY</w:t>
            </w: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3500" w:type="dxa"/>
            <w:vAlign w:val="bottom"/>
            <w:tcBorders>
              <w:bottom w:val="single" w:sz="8" w:color="auto"/>
            </w:tcBorders>
            <w:gridSpan w:val="3"/>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32"/>
                <w:szCs w:val="32"/>
                <w:b w:val="1"/>
                <w:bCs w:val="1"/>
                <w:color w:val="auto"/>
              </w:rPr>
              <w:t>5</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32"/>
                <w:szCs w:val="32"/>
                <w:b w:val="1"/>
                <w:bCs w:val="1"/>
                <w:color w:val="auto"/>
              </w:rPr>
              <w:t>6</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2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BY 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10,012,138 *</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32"/>
                <w:szCs w:val="32"/>
                <w:b w:val="1"/>
                <w:bCs w:val="1"/>
                <w:color w:val="auto"/>
              </w:rPr>
              <w:t>7</w:t>
            </w:r>
          </w:p>
        </w:tc>
        <w:tc>
          <w:tcPr>
            <w:tcW w:w="100" w:type="dxa"/>
            <w:vAlign w:val="bottom"/>
          </w:tcPr>
          <w:p>
            <w:pPr>
              <w:spacing w:after="0"/>
              <w:rPr>
                <w:sz w:val="23"/>
                <w:szCs w:val="23"/>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12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40" w:type="dxa"/>
            <w:vAlign w:val="bottom"/>
            <w:gridSpan w:val="3"/>
          </w:tcPr>
          <w:p>
            <w:pPr>
              <w:jc w:val="center"/>
              <w:ind w:left="156"/>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32"/>
                <w:szCs w:val="32"/>
                <w:b w:val="1"/>
                <w:bCs w:val="1"/>
                <w:color w:val="auto"/>
              </w:rPr>
              <w:t>8</w:t>
            </w:r>
          </w:p>
        </w:tc>
        <w:tc>
          <w:tcPr>
            <w:tcW w:w="10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10,012,138 *</w:t>
            </w: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8"/>
                <w:szCs w:val="18"/>
                <w:color w:val="auto"/>
              </w:rPr>
              <w:t>10,012,138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87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74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22.02%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OO (Limited Liability Company)</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-6064250</wp:posOffset>
            </wp:positionV>
            <wp:extent cx="7267575" cy="6084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6084570"/>
                    </a:xfrm>
                    <a:prstGeom prst="rect">
                      <a:avLst/>
                    </a:prstGeom>
                    <a:noFill/>
                  </pic:spPr>
                </pic:pic>
              </a:graphicData>
            </a:graphic>
          </wp:anchor>
        </w:drawing>
      </w:r>
    </w:p>
    <w:p>
      <w:pPr>
        <w:ind w:left="320" w:right="200" w:hanging="312"/>
        <w:spacing w:after="0" w:line="244" w:lineRule="auto"/>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25" w:lineRule="exact"/>
        <w:rPr>
          <w:sz w:val="20"/>
          <w:szCs w:val="20"/>
          <w:color w:val="auto"/>
        </w:rPr>
      </w:pPr>
    </w:p>
    <w:p>
      <w:pPr>
        <w:ind w:left="320" w:right="600" w:hanging="312"/>
        <w:spacing w:after="0" w:line="258"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45,465,160 shares of Grand Canyon Education, Inc. common stock, par value $0.01 per share, outstanding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 Name of Issuer:</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3300 West Camelback Road</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Phoenix, Arizona 85017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 Name of Person Filing:</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Endeavour Capital Fund IV, L.P.</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Endeavour Associates Fund IV,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Endeavour Capital Parallel Fund IV, L.P.</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Endeavour Capital IV, LLC</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 Address of Principal Business Office or, if none, Residence:</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920 SW Sixth Avenue, Suite 1400</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Portland, Oregon 97204</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 Citizenship: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 Title of Class of Securities: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 CUSIP:</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38526M 106</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is filing as a:</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Amount beneficially owned:</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10,012,138</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 Percent of class:*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45,465,160 shares of Grand Canyon Education, Inc. common stock, par value $0.01 per share, outstanding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10,012,138</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Associates Fund IV, L.P.</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Endeavour Capital Parallel Fund IV, L.P.</w:t>
            </w:r>
          </w:p>
        </w:tc>
        <w:tc>
          <w:tcPr>
            <w:tcW w:w="3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c>
          <w:tcPr>
            <w:tcW w:w="3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10,012,138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220"/>
        <w:spacing w:after="0" w:line="313" w:lineRule="auto"/>
        <w:rPr>
          <w:sz w:val="20"/>
          <w:szCs w:val="20"/>
          <w:color w:val="auto"/>
        </w:rPr>
      </w:pPr>
      <w:r>
        <w:rPr>
          <w:rFonts w:ascii="Times New Roman" w:cs="Times New Roman" w:eastAsia="Times New Roman" w:hAnsi="Times New Roman"/>
          <w:sz w:val="17"/>
          <w:szCs w:val="17"/>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right="42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Schedule 13G is filed pursuant to Rule 13d-1(d). For the agreement of the group members to a joint filing, see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for Joint Filing</w:t>
      </w:r>
    </w:p>
    <w:p>
      <w:pPr>
        <w:spacing w:after="0" w:line="121"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Endeavour Capital Fund IV, L.P., Endeavour Associates Fund IV, L.P. and Endeavour Capital Parallel Fund IV, L.P. hereby agree that Endeavour Capital IV, LLC shall file with the Securities and Exchange Commission a joint schedule 13G on behalf of the above-named parties concerning their beneficial ownership of Grand Canyon Education, Inc.</w:t>
      </w:r>
    </w:p>
    <w:p>
      <w:pPr>
        <w:spacing w:after="0" w:line="17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Date: February 13, 2009</w:t>
      </w:r>
    </w:p>
    <w:p>
      <w:pPr>
        <w:spacing w:after="0" w:line="22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ENDEAVOUR CAPITAL FUND IV, L.P.</w:t>
      </w:r>
    </w:p>
    <w:p>
      <w:pPr>
        <w:spacing w:after="0" w:line="229" w:lineRule="exact"/>
        <w:rPr>
          <w:sz w:val="20"/>
          <w:szCs w:val="20"/>
          <w:color w:val="auto"/>
        </w:rPr>
      </w:pPr>
    </w:p>
    <w:tbl>
      <w:tblPr>
        <w:tblLayout w:type="fixed"/>
        <w:tblInd w:w="62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Endeavour Capital IV, LLC</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D. Mark Dorman</w:t>
            </w: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600" w:type="dxa"/>
            <w:vAlign w:val="bottom"/>
            <w:tcBorders>
              <w:top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D. Mark Dorman</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w:t>
            </w:r>
          </w:p>
        </w:tc>
      </w:tr>
    </w:tbl>
    <w:p>
      <w:pPr>
        <w:spacing w:after="0" w:line="19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ENDEAVOUR ASSOCIATES FUND IV, L.P.</w:t>
      </w:r>
    </w:p>
    <w:p>
      <w:pPr>
        <w:spacing w:after="0" w:line="229" w:lineRule="exact"/>
        <w:rPr>
          <w:sz w:val="20"/>
          <w:szCs w:val="20"/>
          <w:color w:val="auto"/>
        </w:rPr>
      </w:pPr>
    </w:p>
    <w:tbl>
      <w:tblPr>
        <w:tblLayout w:type="fixed"/>
        <w:tblInd w:w="62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Mark Dorman</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 Mark Dorman</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r>
    </w:tbl>
    <w:p>
      <w:pPr>
        <w:spacing w:after="0" w:line="19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ENDEAVOUR CAPITAL PARALLEL FUND IV, L.P.</w:t>
      </w:r>
    </w:p>
    <w:p>
      <w:pPr>
        <w:spacing w:after="0" w:line="229" w:lineRule="exact"/>
        <w:rPr>
          <w:sz w:val="20"/>
          <w:szCs w:val="20"/>
          <w:color w:val="auto"/>
        </w:rPr>
      </w:pPr>
    </w:p>
    <w:tbl>
      <w:tblPr>
        <w:tblLayout w:type="fixed"/>
        <w:tblInd w:w="62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IV, LLC</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Mark Dorman</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 Mark Dorman</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r>
    </w:tbl>
    <w:p>
      <w:pPr>
        <w:spacing w:after="0" w:line="19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ENDEAVOUR CAPITAL IV, LLC</w:t>
      </w:r>
    </w:p>
    <w:p>
      <w:pPr>
        <w:spacing w:after="0" w:line="229" w:lineRule="exact"/>
        <w:rPr>
          <w:sz w:val="20"/>
          <w:szCs w:val="20"/>
          <w:color w:val="auto"/>
        </w:rPr>
      </w:pPr>
    </w:p>
    <w:p>
      <w:pPr>
        <w:ind w:left="622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 Mark Dorman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17145</wp:posOffset>
            </wp:positionV>
            <wp:extent cx="2924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  D. Mark Dorman</w:t>
      </w:r>
    </w:p>
    <w:p>
      <w:pPr>
        <w:spacing w:after="0" w:line="27" w:lineRule="exact"/>
        <w:rPr>
          <w:sz w:val="20"/>
          <w:szCs w:val="20"/>
          <w:color w:val="auto"/>
        </w:rPr>
      </w:pPr>
    </w:p>
    <w:p>
      <w:pPr>
        <w:ind w:left="6220"/>
        <w:spacing w:after="0"/>
        <w:tabs>
          <w:tab w:leader="none" w:pos="68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Principal</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2019-12-15T17:19:45Z</dcterms:created>
  <dcterms:modified xsi:type="dcterms:W3CDTF">2019-12-15T17:19:45Z</dcterms:modified>
</cp:coreProperties>
</file>