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135255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Amendment No.1 to Form 10-Q</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500" w:right="379" w:hanging="918"/>
        <w:spacing w:after="0" w:line="243"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137795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88"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000" w:type="dxa"/>
            <w:vAlign w:val="bottom"/>
          </w:tcPr>
          <w:p>
            <w:pPr>
              <w:jc w:val="center"/>
              <w:ind w:left="153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7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jc w:val="both"/>
        <w:ind w:left="340" w:right="15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59" w:firstLine="38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Large accelerated filer</w:t>
      </w:r>
    </w:p>
    <w:p>
      <w:pPr>
        <w:spacing w:after="0" w:line="41" w:lineRule="exact"/>
        <w:rPr>
          <w:sz w:val="20"/>
          <w:szCs w:val="20"/>
          <w:color w:val="auto"/>
        </w:rPr>
      </w:pPr>
    </w:p>
    <w:p>
      <w:pPr>
        <w:jc w:val="center"/>
        <w:ind w:left="4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20" w:space="520"/>
            <w:col w:w="1340" w:space="460"/>
            <w:col w:w="3340" w:space="260"/>
            <w:col w:w="2279"/>
          </w:cols>
          <w:pgMar w:left="240" w:top="122" w:right="1440"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total number of shares of common stock outstanding as of November 1, 2011, was 44,331,047.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135255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152400</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02"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This Amendment No. 1 to Form 10-Q (the “Form 10-Q/A”) is being filed by Grand Canyon Education, Inc. (the “University”) to amend and restate its Quarterly Report on Form 10-Q for the three months ended March 31, 2011 filed with the United States Securities and Exchange Commission (“SEC”) on May 9, 2011 (the “Original Form 10-Q”). The purpose of this Quarterly Report on Form 10-Q/A is to amend and restate our condensed financial statements, financial data and related disclosures to reflect a correction in methodology relating to the manner in which the University estimates its allowance for doubtful accounts, as discussed in Note 2 to the accompanying restated financial statements. This correction, which is described below, requires the University to restate its audited financial statements for the year ended December 31, 2010 and its unaudited interim financial statements for the quarters ended June 30, 2010, September 30, 2010, March 31, 2011 and June 30, 2011. The University has filed an Amended Annual Report on Form 10-K/A for the year ended December 31, 2010 with the SEC on November 14, 2011 immediately preceding the filing of this report.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We are filing this Form 10-Q/A as a result of the correction of an error in our methodology relating to the manner in which we estimate our allowance for doubtful accounts, which requires us to restate our financial statements for the year ended December 31, 2010 and our unaudited interim financial statements for the quarter ended March 31, 2011.</w:t>
      </w:r>
    </w:p>
    <w:p>
      <w:pPr>
        <w:spacing w:after="0" w:line="154"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In recent periods, we experienced a significant change in the composition of our receivable balances since our transition to the borrower-based financial aid model in the second quarter of 2010 in which the receivables due from former students had grown as a percentage of the total amount outstanding. However, our historical process for estimating the allowance for doubtful accounts did not consider the disaggregation of receivable balances by student based on enrollment status. As a result, the growth in the inactive student receivables was not evident when making our allowance estimate in prior periods. As our collection experience indicates that receivables from former students carry a higher risk, this disaggregated information should have been considered in determining the probability of loss within our receivables. If such information had been evaluated, we would have increased the allowance for doubtful accounts to reflect the increased risk profile of the receivables in prior periods. Accordingly, the Audit Committee of the Board of Directors, together with management and in consultation with Ernst &amp; Young LLP, our independent registered public accounting firm,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2011 should be restated to correct the allowance for doubtful accounts.</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As a result, the University concluded that it understated bad debt expense and overstated operating income and net income, by approximately $3.0 million, $3.0 million, and $1.8 million, respectively, for the three months ended March 31, 2011. Accordingly, we have restated:</w:t>
      </w:r>
    </w:p>
    <w:p>
      <w:pPr>
        <w:spacing w:after="0" w:line="154" w:lineRule="exact"/>
        <w:rPr>
          <w:sz w:val="20"/>
          <w:szCs w:val="20"/>
          <w:color w:val="auto"/>
        </w:rPr>
      </w:pPr>
    </w:p>
    <w:p>
      <w:pPr>
        <w:ind w:left="1480" w:hanging="378"/>
        <w:spacing w:after="0"/>
        <w:tabs>
          <w:tab w:leader="none" w:pos="14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balance sheet as of March 31, 2011 by increasing our allowance for doubtful accounts by $3.0 million; and</w:t>
      </w:r>
    </w:p>
    <w:p>
      <w:pPr>
        <w:spacing w:after="0" w:line="169" w:lineRule="exact"/>
        <w:rPr>
          <w:rFonts w:ascii="Arial" w:cs="Arial" w:eastAsia="Arial" w:hAnsi="Arial"/>
          <w:sz w:val="17"/>
          <w:szCs w:val="17"/>
          <w:b w:val="1"/>
          <w:bCs w:val="1"/>
          <w:color w:val="auto"/>
        </w:rPr>
      </w:pPr>
    </w:p>
    <w:p>
      <w:pPr>
        <w:jc w:val="both"/>
        <w:ind w:left="1480" w:right="179" w:hanging="378"/>
        <w:spacing w:after="0" w:line="264"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income statement for the three months ended March 31, 2011 by increasing instructional costs and services expense by $3.0 million and decreasing operating income and net income by $3.0 million and $1.8 million, respectively.</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a result of this restatement, amounts in our statements of cash flows and stockholders’ equity for the three months ended March 31, 2011 have also been restated. Our total cash flows from operations for the three months ended March 31, 2011 remains unchanged. A summary of the effects of this restatement to our financial statements included within this Form 10-Q/A is presented in Note 2 in the accompanying notes to financial statements.</w:t>
      </w:r>
    </w:p>
    <w:p>
      <w:pPr>
        <w:spacing w:after="0" w:line="146"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This Form 10-Q/A includes changes in Part I, Item 4 — Controls and Procedures and reflects management’s restated assessment of our disclosure controls and procedures (as defined in Rules 13a-15(e) and 15d-15(e) under the Exchange Act) as of March 31, 2011. This restatement of management’s assessment regarding disclosure controls and procedures results from a material weakness in our internal control over financial reporting relating to the above described restatements. The information required in this restatement was previously omitted and should have been reported in our Original Form 10-Q. As of the date of this filing, we have implemented certain changes in our internal controls to address this material weakness. See Part I, Item 4 — Controls and Procedures.</w:t>
      </w:r>
    </w:p>
    <w:p>
      <w:pPr>
        <w:spacing w:after="0" w:line="13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For the convenience of the reader, this Form 10-Q/A sets forth the Original Form 10-Q in its entirety, as modified and superseded where necessary to reflect the restatement. The following items have been amended principally as a result of, and to reflect, the restatement:</w:t>
      </w:r>
    </w:p>
    <w:p>
      <w:pPr>
        <w:spacing w:after="0" w:line="141" w:lineRule="exact"/>
        <w:rPr>
          <w:sz w:val="20"/>
          <w:szCs w:val="20"/>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 — Item 1. Financial Statements;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 — Item 2. Management’s Discussion and Analysis of Financial Condition and Results of Operations;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 — Item 4. Controls and Procedures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II — Item 6. Exhibits.</w:t>
      </w:r>
    </w:p>
    <w:p>
      <w:pPr>
        <w:spacing w:after="0" w:line="185"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In accordance with applicable SEC rules, this Form 10-Q/A includes certifications from our Principal Executive Officer and Principal Financial Officer dated as of the date of this filing.</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660" w:type="dxa"/>
            <w:vAlign w:val="bottom"/>
            <w:gridSpan w:val="19"/>
          </w:tcPr>
          <w:p>
            <w:pPr>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7"/>
                <w:szCs w:val="17"/>
                <w:color w:val="auto"/>
              </w:rPr>
            </w:pPr>
          </w:p>
        </w:tc>
      </w:tr>
      <w:tr>
        <w:trPr>
          <w:trHeight w:val="407"/>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GRAND CANYON EDUCATION, INC.</w:t>
            </w:r>
          </w:p>
        </w:tc>
        <w:tc>
          <w:tcPr>
            <w:tcW w:w="9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385"/>
        </w:trPr>
        <w:tc>
          <w:tcPr>
            <w:tcW w:w="324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 FINANCIAL INFORMATION</w:t>
              </w:r>
            </w:hyperlink>
          </w:p>
        </w:tc>
        <w:tc>
          <w:tcPr>
            <w:tcW w:w="542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86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86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48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4 Controls and Procedures</w:t>
              </w:r>
            </w:hyperlink>
          </w:p>
        </w:tc>
        <w:tc>
          <w:tcPr>
            <w:tcW w:w="638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628"/>
        </w:trPr>
        <w:tc>
          <w:tcPr>
            <w:tcW w:w="294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572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1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82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1A Risk Factors</w:t>
              </w:r>
            </w:hyperlink>
          </w:p>
        </w:tc>
        <w:tc>
          <w:tcPr>
            <w:tcW w:w="71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4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38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86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4 Reserved</w:t>
              </w:r>
            </w:hyperlink>
          </w:p>
        </w:tc>
        <w:tc>
          <w:tcPr>
            <w:tcW w:w="1640" w:type="dxa"/>
            <w:vAlign w:val="bottom"/>
            <w:tcBorders>
              <w:top w:val="single" w:sz="8" w:color="0000EE"/>
            </w:tcBorders>
            <w:gridSpan w:val="8"/>
          </w:tcPr>
          <w:p>
            <w:pPr>
              <w:spacing w:after="0"/>
              <w:rPr>
                <w:sz w:val="24"/>
                <w:szCs w:val="24"/>
                <w:color w:val="auto"/>
              </w:rPr>
            </w:pPr>
          </w:p>
        </w:tc>
        <w:tc>
          <w:tcPr>
            <w:tcW w:w="58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5 Other Information</w:t>
              </w:r>
            </w:hyperlink>
          </w:p>
        </w:tc>
        <w:tc>
          <w:tcPr>
            <w:tcW w:w="684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Item 6 Exhibits</w:t>
              </w:r>
            </w:hyperlink>
          </w:p>
        </w:tc>
        <w:tc>
          <w:tcPr>
            <w:tcW w:w="754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SIGNATURES</w:t>
              </w:r>
            </w:hyperlink>
          </w:p>
        </w:tc>
        <w:tc>
          <w:tcPr>
            <w:tcW w:w="756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40" w:type="dxa"/>
            <w:vAlign w:val="bottom"/>
          </w:tcPr>
          <w:p>
            <w:pPr>
              <w:spacing w:after="0"/>
              <w:rPr>
                <w:sz w:val="24"/>
                <w:szCs w:val="24"/>
                <w:color w:val="auto"/>
              </w:rPr>
            </w:pPr>
          </w:p>
        </w:tc>
        <w:tc>
          <w:tcPr>
            <w:tcW w:w="8620" w:type="dxa"/>
            <w:vAlign w:val="bottom"/>
            <w:gridSpan w:val="18"/>
          </w:tcPr>
          <w:p>
            <w:pPr>
              <w:spacing w:after="0"/>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8"/>
          </w:tcPr>
          <w:p>
            <w:pPr>
              <w:spacing w:after="0" w:line="196" w:lineRule="exact"/>
              <w:rPr>
                <w:sz w:val="20"/>
                <w:szCs w:val="20"/>
                <w:color w:val="auto"/>
              </w:rPr>
            </w:pPr>
            <w:r>
              <w:rPr>
                <w:rFonts w:ascii="Arial" w:cs="Arial" w:eastAsia="Arial" w:hAnsi="Arial"/>
                <w:sz w:val="18"/>
                <w:szCs w:val="18"/>
                <w:color w:val="0000EE"/>
              </w:rPr>
              <w:t>EX-101 INSTANCE DOCUMENT</w:t>
            </w:r>
          </w:p>
        </w:tc>
        <w:tc>
          <w:tcPr>
            <w:tcW w:w="9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Income Statements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Restated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48,875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1"/>
              </w:rPr>
              <w:t>Selling and promotional, including $401 and $2,347 to related parties for March 31, 2011 and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2010, respectively</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29,832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 income per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 income per share</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 weighted average shares outstanding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 weighted average shares outstanding</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Statements of Comprehensive Income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Restated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gains (losses) on hedging derivatives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Unrealized losses on available for sale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Realized gains on available for sale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rPr>
              <w:t>GRAND CANYON EDUCATION,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w w:val="85"/>
              </w:rPr>
              <w:t>Balance Sheets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par value)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Restated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30,243</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$31,366 (Restated) and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$30,112 at March 31, 2011 and December 31, 2010, respectively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13,972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16,563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275,487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27,072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7,453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litigation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Student deposits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46,127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21,432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w w:val="91"/>
              </w:rPr>
              <w:t>Preferred stock, $0.01 par value, 10,000 shares authorized; 0 shares issued and outstanding at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March 31, 2011 and December 31, 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45,812 and 45,811 shares issued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and 44,817 and 45,761 shares outstanding at March 31, 2011 and December 31, 2010,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Treasury stock, at cost, 995 and 50 shares of common stock at March 31, 2011 and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December 31, 2010, respectively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(14,993)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275,487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6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12"/>
          </w:tcPr>
          <w:p>
            <w:pPr>
              <w:jc w:val="center"/>
              <w:ind w:right="50"/>
              <w:spacing w:after="0"/>
              <w:rPr>
                <w:sz w:val="20"/>
                <w:szCs w:val="20"/>
                <w:color w:val="auto"/>
              </w:rPr>
            </w:pPr>
            <w:r>
              <w:rPr>
                <w:rFonts w:ascii="Arial" w:cs="Arial" w:eastAsia="Arial" w:hAnsi="Arial"/>
                <w:sz w:val="18"/>
                <w:szCs w:val="18"/>
                <w:b w:val="1"/>
                <w:bCs w:val="1"/>
                <w:color w:val="auto"/>
              </w:rPr>
              <w:t>GRAND CANYON EDUCATION, INC.</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Statement of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5"/>
            <w:vMerge w:val="restart"/>
          </w:tcPr>
          <w:p>
            <w:pPr>
              <w:jc w:val="right"/>
              <w:ind w:right="2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9"/>
                <w:szCs w:val="19"/>
                <w:color w:val="auto"/>
              </w:rPr>
            </w:pPr>
          </w:p>
        </w:tc>
        <w:tc>
          <w:tcPr>
            <w:tcW w:w="188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rPr>
              <w:t>Treasury Stock</w:t>
            </w:r>
          </w:p>
        </w:tc>
        <w:tc>
          <w:tcPr>
            <w:tcW w:w="94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87"/>
              </w:rPr>
              <w:t>Par Value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6"/>
              </w:rPr>
              <w:t>Shares</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Stated Value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Earnings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5"/>
              </w:rPr>
              <w:t>Restated</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Restated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December 31, 2010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45,811</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50,821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$127,501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9,481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hedging derivative,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taxes of $21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purchased for</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treasury</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Excess tax benefits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from share-based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Balance at March 31,</w:t>
            </w: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540"/>
              <w:spacing w:after="0"/>
              <w:rPr>
                <w:sz w:val="20"/>
                <w:szCs w:val="20"/>
                <w:color w:val="auto"/>
              </w:rPr>
            </w:pPr>
            <w:r>
              <w:rPr>
                <w:rFonts w:ascii="Arial" w:cs="Arial" w:eastAsia="Arial" w:hAnsi="Arial"/>
                <w:sz w:val="18"/>
                <w:szCs w:val="18"/>
                <w:color w:val="auto"/>
              </w:rPr>
              <w:t>2011</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45,812</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(14,993)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78,961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60,302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124,336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540" w:type="dxa"/>
            <w:vAlign w:val="bottom"/>
            <w:gridSpan w:val="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8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rPr>
              <w:t>GRAND CANYON EDUCATION, INC.</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88"/>
              </w:rPr>
              <w:t>Statements of Cash Flows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1"/>
              </w:rPr>
              <w:t>Restated</w:t>
            </w: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9,481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5,748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Income taxes receivable/payable</w:t>
            </w: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6,665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Student deposits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40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20,168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(11,915)</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33,637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5,631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Grand Canyon Education, Inc. (the “University”) is a regionally accredited provider of postsecondary education services focused on offering graduate and undergraduate degree programs in its core disciplines of education, business, healthcare, and liberal arts. The University offers courses online, at its approximately 100 acre traditional ground campus in Phoenix, Arizona and onsite at the facilities of employers. The University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Restatement of Financial Statements</w:t>
      </w:r>
    </w:p>
    <w:p>
      <w:pPr>
        <w:spacing w:after="0" w:line="202"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On November 3, 2011, the University determined that there was an error in the methodology it used to estimate its allowance for doubtful accounts and that its financial statements for the three months ended March 31, 2011 needed to be restated.</w:t>
      </w:r>
    </w:p>
    <w:p>
      <w:pPr>
        <w:spacing w:after="0" w:line="83"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In recent periods, the University experienced a significant change in the composition of its receivable balances since its transition to the borrower-based financial aid model in the second quarter of 2010 in which the receivables due from former students had grown as a percentage of the total amount outstanding. However, the University’s historical process for estimating the allowance for doubtful accounts did not consider the disaggregation of receivable balances by student based on enrollment status. As a result, the growth in the inactive student receivables was not evident when making the allowance estimate in prior periods. As the University’s collection experience indicates that receivables from former students carry a higher risk, this disaggregated information should have been considered in determining the probability of loss within the University’s receivables. If such information had been evaluated, management would have increased the allowance for doubtful accounts to reflect the increased risk profile of the receivables in prior periods. Accordingly, the Audit Committee of the Board of Directors together with management,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2011 should be restated to correct the allowance for doubtful accounts.</w:t>
      </w:r>
    </w:p>
    <w:p>
      <w:pPr>
        <w:spacing w:after="0" w:line="147"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as originally reported and as restated for the three months ended March 31, 2011.</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2011</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7"/>
              </w:rPr>
              <w:t>First Quarter</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First Quarter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As Reported</w:t>
            </w:r>
          </w:p>
        </w:tc>
        <w:tc>
          <w:tcPr>
            <w:tcW w:w="8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As Restated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101,709</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101,709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45,830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16"/>
        </w:trPr>
        <w:tc>
          <w:tcPr>
            <w:tcW w:w="484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29,832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6,832</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1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82,494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19,215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interest expense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share(1)</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Diluted income per share(1)</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45,590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2619" w:hanging="388"/>
        <w:spacing w:after="0" w:line="511" w:lineRule="auto"/>
        <w:tabs>
          <w:tab w:leader="none" w:pos="72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sum of quarterly income per share may not equal annual income per share due to rounding. The following is a summary of the changes on the University’s balance sheet.</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4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As of March 31, 2011</w:t>
            </w:r>
          </w:p>
        </w:tc>
      </w:tr>
      <w:tr>
        <w:trPr>
          <w:trHeight w:val="210"/>
        </w:trPr>
        <w:tc>
          <w:tcPr>
            <w:tcW w:w="730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9"/>
              </w:rPr>
              <w:t>As Reported</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195"/>
        </w:trPr>
        <w:tc>
          <w:tcPr>
            <w:tcW w:w="7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Accounts receivable, net of allowance for doubtful accounts of $13,169 (As Reported) and</w:t>
            </w:r>
          </w:p>
        </w:tc>
        <w:tc>
          <w:tcPr>
            <w:tcW w:w="98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$31,366 (As Restated)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32,369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9,143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16,563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128,286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117,309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286,464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275,487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71,278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60,302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135,313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124,336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286,464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275,487</w:t>
            </w:r>
          </w:p>
        </w:tc>
      </w:tr>
    </w:tbl>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is a summary of the changes on the University’s statement of cash flows.</w:t>
      </w:r>
    </w:p>
    <w:p>
      <w:pPr>
        <w:sectPr>
          <w:pgSz w:w="11900" w:h="16838" w:orient="portrait"/>
          <w:cols w:equalWidth="0" w:num="1">
            <w:col w:w="10219"/>
          </w:cols>
          <w:pgMar w:left="240" w:top="419"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4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300" w:type="dxa"/>
            <w:vAlign w:val="bottom"/>
          </w:tcPr>
          <w:p>
            <w:pPr>
              <w:spacing w:after="0"/>
              <w:rPr>
                <w:sz w:val="20"/>
                <w:szCs w:val="20"/>
                <w:color w:val="auto"/>
              </w:rPr>
            </w:pPr>
          </w:p>
        </w:tc>
        <w:tc>
          <w:tcPr>
            <w:tcW w:w="24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March 31, 2011</w:t>
            </w:r>
          </w:p>
        </w:tc>
      </w:tr>
      <w:tr>
        <w:trPr>
          <w:trHeight w:val="210"/>
        </w:trPr>
        <w:tc>
          <w:tcPr>
            <w:tcW w:w="730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11,298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6,988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10,034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23,413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23,413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jc w:val="both"/>
        <w:ind w:right="159" w:firstLine="389"/>
        <w:spacing w:after="0" w:line="290" w:lineRule="auto"/>
        <w:rPr>
          <w:sz w:val="20"/>
          <w:szCs w:val="20"/>
          <w:color w:val="auto"/>
        </w:rPr>
      </w:pPr>
      <w:r>
        <w:rPr>
          <w:rFonts w:ascii="Arial" w:cs="Arial" w:eastAsia="Arial" w:hAnsi="Arial"/>
          <w:sz w:val="16"/>
          <w:szCs w:val="16"/>
          <w:color w:val="auto"/>
        </w:rPr>
        <w:t>The accompanying unaudited interim financial statements of the University have been prepared in accordance with U.S. generally accepted accounting principles, consistent in all material respects with those applied in its financial statements included in its Annual Report on Form 10-K/A for the fiscal year ended December 31, 2010.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10-Q/A should be read in conjunction with the University’s audited financial statements and footnotes included in its Annual Report on Form 10-K/A for the fiscal year ended December 31, 2010 from which the December 31, 2010 balance sheet information was derived.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98" w:lineRule="exact"/>
        <w:rPr>
          <w:sz w:val="20"/>
          <w:szCs w:val="20"/>
          <w:color w:val="auto"/>
        </w:rPr>
      </w:pPr>
    </w:p>
    <w:p>
      <w:pPr>
        <w:jc w:val="both"/>
        <w:ind w:right="159" w:firstLine="389"/>
        <w:spacing w:after="0" w:line="270" w:lineRule="auto"/>
        <w:rPr>
          <w:sz w:val="20"/>
          <w:szCs w:val="20"/>
          <w:color w:val="auto"/>
        </w:rPr>
      </w:pPr>
      <w:r>
        <w:rPr>
          <w:rFonts w:ascii="Arial" w:cs="Arial" w:eastAsia="Arial" w:hAnsi="Arial"/>
          <w:sz w:val="17"/>
          <w:szCs w:val="17"/>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These funds are received subsequent to the completion of the authorization and disbursement process for the benefit of the student. The U.S. Department of Education requires Title IV funds collected in advance of student billings to be segregated in a separate cash or cash equivalent account until the students are billed for their portion. The University also classifies the $5,200 that it agreed to pay to settle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as restricted cash, subject to the distribution of the settlement amount from escrow in accordance with the terms of the settlement agreement. The University records all of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137" w:lineRule="exact"/>
        <w:rPr>
          <w:sz w:val="20"/>
          <w:szCs w:val="20"/>
          <w:color w:val="auto"/>
        </w:rPr>
      </w:pPr>
    </w:p>
    <w:p>
      <w:pPr>
        <w:jc w:val="both"/>
        <w:ind w:right="159" w:firstLine="389"/>
        <w:spacing w:after="0" w:line="342" w:lineRule="auto"/>
        <w:rPr>
          <w:sz w:val="20"/>
          <w:szCs w:val="20"/>
          <w:color w:val="auto"/>
        </w:rPr>
      </w:pPr>
      <w:r>
        <w:rPr>
          <w:rFonts w:ascii="Arial" w:cs="Arial" w:eastAsia="Arial" w:hAnsi="Arial"/>
          <w:sz w:val="16"/>
          <w:szCs w:val="16"/>
          <w:color w:val="auto"/>
        </w:rPr>
        <w:t>In the fourth quarter of 2010, the counterparty to the University’s interest rate swap made a collateral call and the University posted $760 of pledged collateral as noncurrent restricted cash. The pledged collateral was reduced to $445 as of March 31, 2011.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8"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8" w:lineRule="exact"/>
        <w:rPr>
          <w:sz w:val="20"/>
          <w:szCs w:val="20"/>
          <w:color w:val="auto"/>
        </w:rPr>
      </w:pPr>
    </w:p>
    <w:p>
      <w:pPr>
        <w:jc w:val="both"/>
        <w:ind w:right="159" w:firstLine="389"/>
        <w:spacing w:after="0" w:line="253" w:lineRule="auto"/>
        <w:rPr>
          <w:sz w:val="20"/>
          <w:szCs w:val="20"/>
          <w:color w:val="auto"/>
        </w:rPr>
      </w:pPr>
      <w:r>
        <w:rPr>
          <w:rFonts w:ascii="Arial" w:cs="Arial" w:eastAsia="Arial" w:hAnsi="Arial"/>
          <w:sz w:val="18"/>
          <w:szCs w:val="18"/>
          <w:color w:val="auto"/>
        </w:rPr>
        <w:t>On June 30, 2009, the University entered into an interest rate corridor instrument and an interest rate swap to manage its 30 Day LIBOR interest exposure related to its variable rate debt, which commenced in April 2009 and matures in April 2014. The fair value of the interest rate corridor instrument as of March 31, 2011 and December 31, 2010 was $25 and $27, respectively, which is included in other assets. The fair value of the interest rate swap is a liability of $583 and $686 as of March 31, 2011 and December 31, 2010, respectively, which is included in other noncurrent liabilities. The fair values of each derivative instrument were determined using a hypothetical derivative transaction and Level 2 of the hierarchy of valuation inputs. These derivative instruments were designated as cash flow hedges of variable rate debt obligations. The adjustment of $74 and $245 in the first three months of 2011 and 2010, respectively, for the effective portion of the loss on the derivatives is included as a component of other comprehensive income, net of taxes.</w:t>
      </w:r>
    </w:p>
    <w:p>
      <w:pPr>
        <w:spacing w:after="0" w:line="170"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The interest rate corridor instrument hedges variable interest rate risk starting July 1, 2009 through April 30, 2014 with a notional amount of $11,268 as of March 31, 2011. The corridor instrument permits the University to hedge its interest rate risk at several thresholds; the University will pay variable interest rates based on the 30 Day LIBOR rates monthly until that index reaches 4%. If 30 Day LIBOR is equal to 4% through 6%, the University will pay 4%. If 30 Day LIBOR exceeds 6%, the University will pay actual 30 Day LIBOR less 2%. This reduces the University’s exposure to potential increases in interest rates.</w:t>
      </w:r>
    </w:p>
    <w:p>
      <w:pPr>
        <w:spacing w:after="0" w:line="132"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$11,268 as of March 31, 2011. The University will receive 30 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March 31, 2011 and December 31, 2010 in the amount of $445 and $760, respectively.</w:t>
      </w:r>
    </w:p>
    <w:p>
      <w:pPr>
        <w:spacing w:after="0" w:line="118"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As of March 31, 2011 no derivative ineffectiveness was identified. Any ineffectiveness in the University’s derivative instruments designated as hedges would be reported in interest expense in the income statement. For the three months ended March 31, 2011 $8 of credit risk was recorded in interest expense on the derivatives. At March 31, 2011, the University is not expected to reclassify gains or losses on derivative instruments from accumulated other comprehensive (loss) income into earnings during the next 12 months.</w:t>
      </w:r>
    </w:p>
    <w:p>
      <w:pPr>
        <w:sectPr>
          <w:pgSz w:w="11900" w:h="16838" w:orient="portrait"/>
          <w:cols w:equalWidth="0" w:num="1">
            <w:col w:w="9879"/>
          </w:cols>
          <w:pgMar w:left="580" w:top="121" w:right="1440" w:bottom="0" w:gutter="0" w:footer="0" w:header="0"/>
        </w:sectPr>
      </w:pPr>
    </w:p>
    <w:bookmarkStart w:id="12" w:name="page13"/>
    <w:bookmarkEnd w:id="12"/>
    <w:p>
      <w:pPr>
        <w:ind w:left="39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March 31, 2011,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100 acre traditional campus in Phoenix, Arizona, and onsite at the facilities of employers, as well as from related educational resources such as access to online materials. Tuition revenue and most fees and related educational resources are recognized pro-rata over the applicable period of instruction, net of scholarships provided by the University. For the three months ended March 31, 2011 and 2010, the University’s revenue was reduced by approximately $19,769 and $13,771,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The University’s change in April 2010 to a non-term borrower-based institution from a term based institution for federal student financial aid funding purposes does not have any impact on the timing and recognition of 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royalty to former owner, rent, and occupancy costs attributable to the provision of educational services, primarily at the University’s Phoenix, Arizona campus.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Through December 2010, the University was a party to a revenue sharing arrangement (the Collaboration Agreement) with Mind Streams, L.L.C. (Mind Streams), a related party pursuant to which it paid a percentage of the net revenue that it actually received from applicants recruited by those entities that matriculated at Grand Canyon University. Mind Streams bore all costs associated with the recruitment of these applicants.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As a result of new rules adopted by the U.S. Department of Education and effective July 1, 2011, the University determined that revenue sharing arrangements like the Collaboration Agreement, and the manner in which it pays amounts under the Collaboration Agreement, will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such Mind Streams identified students commencing University courses prior to November 1, 2010. In return, Mind Streams agreed to</w:t>
      </w:r>
    </w:p>
    <w:p>
      <w:pPr>
        <w:spacing w:after="0" w:line="5" w:lineRule="exact"/>
        <w:rPr>
          <w:sz w:val="20"/>
          <w:szCs w:val="20"/>
          <w:color w:val="auto"/>
        </w:rPr>
      </w:pPr>
    </w:p>
    <w:p>
      <w:pPr>
        <w:jc w:val="both"/>
        <w:ind w:left="340" w:right="159" w:hanging="8"/>
        <w:spacing w:after="0" w:line="268" w:lineRule="auto"/>
        <w:tabs>
          <w:tab w:leader="none" w:pos="599"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accept such amounts in full and complete satisfaction of all amounts owed by the University to Mind Streams under the Collaboration Agreement, and (ii) transfer to the University a proprietary database of potential student leads. A payment of $8,500 was made in January 2011 in conjunction with this agreement. Additionally in 2010, Gail Richardson, the father of Brent D. Richardson, the University’s Executive Chairman, and Christopher C. Richardson, the University’s General Counsel and a director, formed a new entity, Lifetime Learning, which plans to generate and sell leads to the University and other entities in the education sector. For the three months ended March 31, 2011 and 2010, the University expensed approximately $401 and $2,347, respectively, pursuant to these arrangements, exclusive of the settlement arrangement discussed above. As of March 31, 2011 and December 31, 2010 $564, and $9,367, respectively, were due to these related parties.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November 2009, the University finalized a plan to centralize its student services operations in Arizona and, as a result, closed its student services facility in Utah. The exit costs incurred in connection with this decision have been expensed and are presented separately on the income statement. The costs incurred included severance payments; relocation expenses; future lease payments, net of estimated sublease rentals; and the write off of leasehold improvements associated with this leased space. The following is a summary of the University’s exit activities: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Accrued Exit Costs</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at</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Accrued Exit</w:t>
            </w: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Costs at</w:t>
            </w:r>
          </w:p>
        </w:tc>
      </w:t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Payments in 2011</w:t>
            </w: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2011</w:t>
            </w:r>
          </w:p>
        </w:tc>
      </w:tr>
      <w:tr>
        <w:trPr>
          <w:trHeight w:val="210"/>
        </w:trPr>
        <w:tc>
          <w:tcPr>
            <w:tcW w:w="3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exit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University has reviewed and evaluated all recent accounting pronouncements and believes there are none that could potentially have a material impact on the University’s financial condition, results of operations, or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Net Income Per Common Share</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6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ectPr>
          <w:pgSz w:w="11900" w:h="16838" w:orient="portrait"/>
          <w:cols w:equalWidth="0" w:num="1">
            <w:col w:w="10219"/>
          </w:cols>
          <w:pgMar w:left="240" w:top="419"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2"/>
              </w:rPr>
              <w:t>Three Months Ended March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4280" w:type="dxa"/>
            <w:vAlign w:val="bottom"/>
            <w:gridSpan w:val="3"/>
          </w:tcPr>
          <w:p>
            <w:pPr>
              <w:jc w:val="right"/>
              <w:ind w:right="380"/>
              <w:spacing w:after="0"/>
              <w:rPr>
                <w:sz w:val="20"/>
                <w:szCs w:val="20"/>
                <w:color w:val="auto"/>
              </w:rPr>
            </w:pPr>
            <w:r>
              <w:rPr>
                <w:rFonts w:ascii="Arial" w:cs="Arial" w:eastAsia="Arial" w:hAnsi="Arial"/>
                <w:sz w:val="18"/>
                <w:szCs w:val="18"/>
                <w:color w:val="auto"/>
              </w:rPr>
              <w:t>45,590,195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45,673,917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4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498,720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28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46,088,915</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46,324,773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80" w:type="dxa"/>
            <w:vAlign w:val="bottom"/>
            <w:vMerge w:val="restart"/>
          </w:tcPr>
          <w:p>
            <w:pPr>
              <w:jc w:val="right"/>
              <w:ind w:right="217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three months ended March 31, 2011 and 2010, approximately 2,244,541 and 506,868, respectively, of the University’s stock options outstanding were excluded from the calculation of diluted earnings per share as their inclusion would have been anti-dilutive. These options could be dilutive in the future.</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Balance at</w:t>
            </w:r>
          </w:p>
        </w:tc>
      </w:tr>
      <w:tr>
        <w:trPr>
          <w:trHeight w:val="216"/>
        </w:trPr>
        <w:tc>
          <w:tcPr>
            <w:tcW w:w="4000" w:type="dxa"/>
            <w:vAlign w:val="bottom"/>
          </w:tcPr>
          <w:p>
            <w:pPr>
              <w:spacing w:after="0"/>
              <w:rPr>
                <w:sz w:val="18"/>
                <w:szCs w:val="18"/>
                <w:color w:val="auto"/>
              </w:rPr>
            </w:pPr>
          </w:p>
        </w:tc>
        <w:tc>
          <w:tcPr>
            <w:tcW w:w="1920" w:type="dxa"/>
            <w:vAlign w:val="bottom"/>
            <w:gridSpan w:val="4"/>
          </w:tcPr>
          <w:p>
            <w:pPr>
              <w:ind w:left="580"/>
              <w:spacing w:after="0"/>
              <w:rPr>
                <w:sz w:val="20"/>
                <w:szCs w:val="20"/>
                <w:color w:val="auto"/>
              </w:rPr>
            </w:pPr>
            <w:r>
              <w:rPr>
                <w:rFonts w:ascii="Arial" w:cs="Arial" w:eastAsia="Arial" w:hAnsi="Arial"/>
                <w:sz w:val="18"/>
                <w:szCs w:val="18"/>
                <w:b w:val="1"/>
                <w:bCs w:val="1"/>
                <w:color w:val="auto"/>
              </w:rPr>
              <w:t>Beginning of</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Charged to</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End of</w:t>
            </w:r>
          </w:p>
        </w:tc>
      </w:tr>
      <w:tr>
        <w:trPr>
          <w:trHeight w:val="234"/>
        </w:trPr>
        <w:tc>
          <w:tcPr>
            <w:tcW w:w="4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Period</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Expense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6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Period</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Three months ended March 31, 2011 (Restated)</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30,112</w:t>
            </w: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10,034</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(8,780)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31,366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7,848</w:t>
            </w:r>
          </w:p>
        </w:tc>
      </w:tr>
    </w:tbl>
    <w:p>
      <w:pPr>
        <w:spacing w:after="0" w:line="175"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58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w:t>
            </w:r>
          </w:p>
        </w:tc>
      </w:tr>
      <w:tr>
        <w:trPr>
          <w:trHeight w:val="216"/>
        </w:trPr>
        <w:tc>
          <w:tcPr>
            <w:tcW w:w="5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As of March</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Land improvements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 equipment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38,796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36,390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r>
      <w:tr>
        <w:trPr>
          <w:trHeight w:val="27"/>
        </w:trPr>
        <w:tc>
          <w:tcPr>
            <w:tcW w:w="5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(28,070)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(24,427)</w:t>
            </w:r>
          </w:p>
        </w:tc>
      </w:tr>
      <w:tr>
        <w:trPr>
          <w:trHeight w:val="27"/>
        </w:trPr>
        <w:tc>
          <w:tcPr>
            <w:tcW w:w="5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140,655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r>
      <w:tr>
        <w:trPr>
          <w:trHeight w:val="20"/>
        </w:trPr>
        <w:tc>
          <w:tcPr>
            <w:tcW w:w="5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University leases certain land, buildings and equipment under non-cancelable operating leases expiring at various dates through 2023. Future minimum lease payments under operating leases due each year are as follows at March 31, 2011:</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6,243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6,640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24,188</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53,600</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2011 and 2010 were $1,593 and $1,084,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7"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 xml:space="preserve">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the University in August 2007 in the United States District Court for the District of Arizona (the “Court”) by a then-current employee on behalf of the federal government, and in connection with the related settlement agreement approved by the Court in August 2010, the University continues to maintain a $5,200 accrued</w:t>
      </w:r>
    </w:p>
    <w:p>
      <w:pPr>
        <w:sectPr>
          <w:pgSz w:w="11900" w:h="16838" w:orient="portrait"/>
          <w:cols w:equalWidth="0" w:num="1">
            <w:col w:w="10219"/>
          </w:cols>
          <w:pgMar w:left="240" w:top="419" w:right="1440" w:bottom="0" w:gutter="0" w:footer="0" w:header="0"/>
        </w:sectPr>
      </w:pPr>
    </w:p>
    <w:bookmarkStart w:id="17" w:name="page18"/>
    <w:bookmarkEnd w:id="17"/>
    <w:p>
      <w:pPr>
        <w:jc w:val="both"/>
        <w:ind w:right="159"/>
        <w:spacing w:after="0" w:line="259" w:lineRule="auto"/>
        <w:rPr>
          <w:sz w:val="20"/>
          <w:szCs w:val="20"/>
          <w:color w:val="auto"/>
        </w:rPr>
      </w:pPr>
      <w:r>
        <w:rPr>
          <w:rFonts w:ascii="Arial" w:cs="Arial" w:eastAsia="Arial" w:hAnsi="Arial"/>
          <w:sz w:val="18"/>
          <w:szCs w:val="18"/>
          <w:color w:val="auto"/>
        </w:rPr>
        <w:t>litigation loss and a commensurate amount of restricted cash of $5,200 in an interest-bearing segregated account controlled by the University, for payment to the United States and the relator in accordance with the terms of the settlement agreement on the earlier of September 1, 2011 or the issuance by the Department of Education to the University of a full three-year Title IV program participation agreement.</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From time to time the University has exposure to various non-income tax related matters that arise in the ordinary course of business. At March 31, 2011 and December 31, 2010, the University had reserved approximately $83 and $92, respectively, for tax matters where its ultimate exposure is considered probable and the potential loss can be reasonably estimated.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University’s uncertain tax positions are related to tax years that remain subject to examination by tax authorities. As of March 31, 2011, the earliest tax year still subject to examination for federal and state purposes is 2007 and 2005, respectively.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4,199,937 shares of the University’s common stock were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the previous December 31, raising the total number of shares of common stock authorized for issuance under the Incentive Plan to 7,622,034 shares. Although the ESPP has not yet been implemented, a total of 1,049,984 shares of the University’s common stock have been authorized for sale under the ESPP.</w:t>
      </w:r>
    </w:p>
    <w:p>
      <w:pPr>
        <w:spacing w:after="0" w:line="137"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2010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Summary of Stock 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 per</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(Years)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4,026,172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14.24</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18"/>
                <w:szCs w:val="18"/>
                <w:color w:val="auto"/>
              </w:rPr>
              <w:t>15.34</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1,226,250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(29,208)</w:t>
            </w:r>
          </w:p>
        </w:tc>
        <w:tc>
          <w:tcPr>
            <w:tcW w:w="1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18.22</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5,222,060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14.47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March 31, 2011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1,671,032</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4"/>
              </w:rPr>
              <w:t>12.95</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1,978,459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right="15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2011 ($14.50) in excess of the exercise price multiplied by the number of options outstanding or exercisable.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table below outlines share-based compensation expense for the quarter ended March 31, 2011 and 2010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ectPr>
          <w:pgSz w:w="11900" w:h="16838" w:orient="portrait"/>
          <w:cols w:equalWidth="0" w:num="1">
            <w:col w:w="10219"/>
          </w:cols>
          <w:pgMar w:left="240" w:top="419" w:right="1440" w:bottom="252" w:gutter="0" w:footer="0" w:header="0"/>
        </w:sectPr>
      </w:pPr>
    </w:p>
    <w:bookmarkStart w:id="19" w:name="page20"/>
    <w:bookmarkEnd w:id="19"/>
    <w:p>
      <w:pPr>
        <w:ind w:left="39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had been automatically extended thereafter on a month-to-month basis pending the Department of Education’s decision. While this decision remained pending, on January 12, 2011, the University disclosed the termination of certain voting agreements that had the effect of triggering a change in control under Department of Education regulations because it caused the University’s largest stockholder group to own and control less than 25% of the outstanding voting stock. On April 8, 2011, following the completion of the Department of Education’s review of the information that the University provided in connection with the termination of the voting agreements, the Department of Education notified the University that it approved its application for a change of ownership and issued to the University a new, provisional program participation agreement to participate in the Title IV programs. While this certification is provisional, it does remove the University from month-to-month status, provides for the University’s continued participation in Title IV programs through December 31, 2013, and does not impose any conditions (such as any letter of credit requirement) or other restrictions on the University during the provisional period other than the standard restrictions applicable to a provisional certification. In accordance with the terms of the provisional certification, the University may apply for recertification on a full basis by submitting a complete application by no later than September 30, 2013.</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3"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While the University has not yet received notification of the timing of its exit interview or the Department of Education’s preliminary program review report or final determination letter, following the conclusion of the site visit the University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while it believes that the University’s compensation policies and practices at issue in the program review were not based on success in enrolling students in violation of applicable law, the Department of Education’s regulations and interpretations of the incentive compensation law do not establish clear criteria for compliance in all circumstances and some of the University’s practices in prior years were not within the scope of any of the specific “safe harbors” provided in the compensation regulations and applicable during that period.</w:t>
      </w:r>
    </w:p>
    <w:p>
      <w:pPr>
        <w:spacing w:after="0" w:line="14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site visit,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ectPr>
          <w:pgSz w:w="11900" w:h="16838" w:orient="portrait"/>
          <w:cols w:equalWidth="0" w:num="1">
            <w:col w:w="10219"/>
          </w:cols>
          <w:pgMar w:left="240" w:top="419" w:right="1440" w:bottom="124" w:gutter="0" w:footer="0" w:header="0"/>
        </w:sectPr>
      </w:pPr>
    </w:p>
    <w:bookmarkStart w:id="21" w:name="page22"/>
    <w:bookmarkEnd w:id="21"/>
    <w:p>
      <w:pPr>
        <w:ind w:left="39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University’s policies and procedures are planned and implemented to comply with the applicable standards and regulations under Title IV. If and to the extent the Department of Education’s final determination letter identifies any compliance issues, the 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While the University cannot currently predict the outcome of the Department of Education review, any adverse finding could damage the University’s reputation in the industry and have a material adverse effect on the University’s business, results of operations, cash flows and financial position.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Treasury Stock</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the share repurchase plan, the University has purchased 995,200 shares of common stock shares at an aggregate cost of $14,993 which includes 945,200 shares of common stock at an aggregate cost of $14,211 during the three months ended March 31, 2011, which are recorded at cost in the accompanying balance sheets and statement of stockholders’ equity.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Subsequent Events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$50,000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line="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has been restated to reflect the restatement of the balance sheet and statements of income, stockholders’ equity and cash flows for the quarter ended March 31, 2011 and should be read in conjunction with our financial statements and related notes that appear elsewhere in this report.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 xml:space="preserve">This Quarterly Report on Form 10-Q/A,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3" w:lineRule="exact"/>
        <w:rPr>
          <w:sz w:val="20"/>
          <w:szCs w:val="20"/>
          <w:color w:val="auto"/>
        </w:rPr>
      </w:pPr>
    </w:p>
    <w:p>
      <w:pPr>
        <w:jc w:val="both"/>
        <w:ind w:left="1480" w:right="15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480" w:right="179" w:hanging="378"/>
        <w:spacing w:after="0" w:line="308" w:lineRule="auto"/>
        <w:tabs>
          <w:tab w:leader="none" w:pos="14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being conducted by the Department of Education of our compliance with Title IV program requirements, and possible fines or other administrative sanctions resulting therefrom;</w:t>
      </w:r>
    </w:p>
    <w:p>
      <w:pPr>
        <w:spacing w:after="0" w:line="119" w:lineRule="exact"/>
        <w:rPr>
          <w:rFonts w:ascii="Arial" w:cs="Arial" w:eastAsia="Arial" w:hAnsi="Arial"/>
          <w:sz w:val="17"/>
          <w:szCs w:val="17"/>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84" w:lineRule="exact"/>
        <w:rPr>
          <w:rFonts w:ascii="Arial" w:cs="Arial" w:eastAsia="Arial" w:hAnsi="Arial"/>
          <w:sz w:val="18"/>
          <w:szCs w:val="18"/>
          <w:b w:val="1"/>
          <w:bCs w:val="1"/>
          <w:color w:val="auto"/>
        </w:rPr>
      </w:pPr>
    </w:p>
    <w:p>
      <w:pPr>
        <w:jc w:val="both"/>
        <w:ind w:left="1480" w:right="15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0" w:lineRule="exact"/>
        <w:rPr>
          <w:rFonts w:ascii="Arial" w:cs="Arial" w:eastAsia="Arial" w:hAnsi="Arial"/>
          <w:sz w:val="18"/>
          <w:szCs w:val="18"/>
          <w:b w:val="1"/>
          <w:bCs w:val="1"/>
          <w:color w:val="auto"/>
        </w:rPr>
      </w:pPr>
    </w:p>
    <w:p>
      <w:pPr>
        <w:ind w:left="1480" w:right="159" w:hanging="378"/>
        <w:spacing w:after="0" w:line="277"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143"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98" w:lineRule="exact"/>
        <w:rPr>
          <w:rFonts w:ascii="Arial" w:cs="Arial" w:eastAsia="Arial" w:hAnsi="Arial"/>
          <w:sz w:val="18"/>
          <w:szCs w:val="18"/>
          <w:b w:val="1"/>
          <w:bCs w:val="1"/>
          <w:color w:val="auto"/>
        </w:rPr>
      </w:pPr>
    </w:p>
    <w:p>
      <w:pPr>
        <w:ind w:left="1480" w:right="179" w:hanging="378"/>
        <w:spacing w:after="0" w:line="277"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failure on our part to keep up with advances in technology that could enhance the online experience for our students;</w:t>
      </w:r>
    </w:p>
    <w:p>
      <w:pPr>
        <w:spacing w:after="0" w:line="207" w:lineRule="exact"/>
        <w:rPr>
          <w:rFonts w:ascii="Arial" w:cs="Arial" w:eastAsia="Arial" w:hAnsi="Arial"/>
          <w:sz w:val="16"/>
          <w:szCs w:val="16"/>
          <w:b w:val="1"/>
          <w:bCs w:val="1"/>
          <w:color w:val="auto"/>
        </w:rPr>
      </w:pPr>
    </w:p>
    <w:p>
      <w:pPr>
        <w:jc w:val="both"/>
        <w:ind w:left="1480" w:right="15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40" w:lineRule="exact"/>
        <w:rPr>
          <w:rFonts w:ascii="Arial" w:cs="Arial" w:eastAsia="Arial" w:hAnsi="Arial"/>
          <w:sz w:val="18"/>
          <w:szCs w:val="18"/>
          <w:b w:val="1"/>
          <w:bCs w:val="1"/>
          <w:color w:val="auto"/>
        </w:rPr>
      </w:pPr>
    </w:p>
    <w:p>
      <w:pPr>
        <w:jc w:val="both"/>
        <w:ind w:left="1480" w:right="17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5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general adverse economic conditions or other developments that affect job prospects in our core disciplines.</w:t>
      </w:r>
    </w:p>
    <w:p>
      <w:pPr>
        <w:spacing w:after="0" w:line="19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10-K/A for the fiscal year ended December 31, 2010, as updated in our subsequent reports filed with the Securities and Exchange Commission (“SEC”), including any updates found in Part II, Item 1A of this Quarterly Report on Form 10-Q/A or our other reports on Form 10-Q or 10-Q/A.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w:t>
      </w:r>
    </w:p>
    <w:p>
      <w:pPr>
        <w:sectPr>
          <w:pgSz w:w="11900" w:h="16851" w:orient="portrait"/>
          <w:cols w:equalWidth="0" w:num="1">
            <w:col w:w="10219"/>
          </w:cols>
          <w:pgMar w:left="240" w:top="419" w:right="1440" w:bottom="0" w:gutter="0" w:footer="0" w:header="0"/>
        </w:sectPr>
      </w:pPr>
    </w:p>
    <w:bookmarkStart w:id="24" w:name="page25"/>
    <w:bookmarkEnd w:id="24"/>
    <w:p>
      <w:pPr>
        <w:jc w:val="both"/>
        <w:ind w:right="159"/>
        <w:spacing w:after="0" w:line="264" w:lineRule="auto"/>
        <w:rPr>
          <w:sz w:val="20"/>
          <w:szCs w:val="20"/>
          <w:color w:val="auto"/>
        </w:rPr>
      </w:pPr>
      <w:r>
        <w:rPr>
          <w:rFonts w:ascii="Arial" w:cs="Arial" w:eastAsia="Arial" w:hAnsi="Arial"/>
          <w:sz w:val="18"/>
          <w:szCs w:val="18"/>
          <w:color w:val="auto"/>
        </w:rPr>
        <w:t>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Restatement of Financial Statements</w:t>
      </w:r>
    </w:p>
    <w:p>
      <w:pPr>
        <w:spacing w:after="0" w:line="20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University is filing this Form 10-Q/A as a result of the correction of an error in the University’s methodology relating to the manner in which the University estimates its allowance for doubtful accounts, which requires the University to restate its financial statements for the year ended December 31, 2010 and its unaudited interim financial statements for the quarter ended March 31, 2011.</w:t>
      </w:r>
    </w:p>
    <w:p>
      <w:pPr>
        <w:spacing w:after="0" w:line="10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In recent periods, the University experienced a significant change in the composition of its receivable balances since its transition to the borrower-based financial aid model in the second quarter of 2010 in which the receivables due from former students had grown as a percentage of the total amount outstanding. However, the University’s historical process for estimating the allowance for doubtful accounts did not consider the disaggregation of receivable balances by student based on enrollment status. As a result, the growth in the inactive student receivables was not evident when making the allowance estimate in prior periods. As the University’s collection experience indicates that receivables from former students carry a higher risk, this disaggregated information should have been considered in determining the probability of loss within the University’s receivables. If such information had been evaluated, management would have increased the allowance for doubtful accounts to reflect the increased risk profile of the receivables in prior periods. Accordingly, the Audit Committee of the Board of Directors, together with management and in consultation with Ernst &amp; Young LLP, the University’s independent registered public accounting firm,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2011 should be restated to correct the allowance for doubtful accounts.</w:t>
      </w:r>
    </w:p>
    <w:p>
      <w:pPr>
        <w:spacing w:after="0" w:line="13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As a result, the University concluded that it understated bad debt expense and overstated operating income and net income, by approximately $3.0 million, $3.0 million, and $1.8 million, respectively, for the three months ended March 31, 2011. Accordingly, we have restated:</w:t>
      </w:r>
    </w:p>
    <w:p>
      <w:pPr>
        <w:spacing w:after="0" w:line="154" w:lineRule="exact"/>
        <w:rPr>
          <w:sz w:val="20"/>
          <w:szCs w:val="20"/>
          <w:color w:val="auto"/>
        </w:rPr>
      </w:pPr>
    </w:p>
    <w:p>
      <w:pPr>
        <w:ind w:left="1480" w:hanging="378"/>
        <w:spacing w:after="0"/>
        <w:tabs>
          <w:tab w:leader="none" w:pos="14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Our balance sheet as of March 31, 2011 by increasing our allowance for doubtful accounts by $3.0 million; and</w:t>
      </w:r>
    </w:p>
    <w:p>
      <w:pPr>
        <w:spacing w:after="0" w:line="169" w:lineRule="exact"/>
        <w:rPr>
          <w:rFonts w:ascii="Arial" w:cs="Arial" w:eastAsia="Arial" w:hAnsi="Arial"/>
          <w:sz w:val="17"/>
          <w:szCs w:val="17"/>
          <w:b w:val="1"/>
          <w:bCs w:val="1"/>
          <w:color w:val="auto"/>
        </w:rPr>
      </w:pPr>
    </w:p>
    <w:p>
      <w:pPr>
        <w:jc w:val="both"/>
        <w:ind w:left="1480" w:right="179" w:hanging="378"/>
        <w:spacing w:after="0" w:line="264"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income statement for the three months ended March 31, 2011 by increasing instructional costs and services expense by $3.0 million and decreasing operating income and net income by $3.0 million and $1.8 million, respectively.</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a result of this restatement, amounts in our statements of cash flows and stockholders’ equity for the three months ended March 31, 2011 have also been restated. Our total cash flows from operations for the three months ended March 31, 2011 remains unchanged. A summary of the effects of this restatement to our financial statements included within this Form 10-Q/A is presented in Note 2 in the accompanying notes to financial statements.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 acre traditional campus in Phoenix, Arizona and onsite at the facilities of employers.</w:t>
      </w:r>
    </w:p>
    <w:p>
      <w:pPr>
        <w:spacing w:after="0" w:line="106"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At March 31, 2011, we had approximately 42,500 students, an increase of 9.4% over the approximately 38,900 students we had at March 31, 2010. At March 31, 2011, 90.9% of our students were enrolled in our online programs, and 45.8% of our online students were pursuing master’s or doctoral degrees. In addition, revenue per student increased between periods as we increased tuition prices for students in our online and professional studies programs by 0.0% to 5.7%, depending on the program, with an estimated blended rate increase of 3.5% for our 2010-11 academic year, as compared to tuition price increases for students in our online and professional studies programs of 2.3% to 15.5% for our 2009-10 academic year, depending on the program, with an estimated blended rate increase of 5.0% for the prior academic year. Tuition for our traditional ground programs had no increase for our 2010-11 academic year, as compared to an increase of 6.6% for the prior academic year. In addition, we experienced an increase in the number of students taking four credit courses between years. Operating income was $16.2 million for the three months ended March 31, 2011, a decrease of $3.4 million over the $19.6 million in operating income for the three months ended March 31, 2010.</w:t>
      </w:r>
    </w:p>
    <w:p>
      <w:pPr>
        <w:spacing w:after="0" w:line="12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is a summary of our student enrollment at March 31, 2011 and 2010 (which included less than 525 students pursuing non-degree certificates in each period) by degree type and by instructional delivery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18,438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16,213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24,067</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22,641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38,854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38,655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35,796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3,058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38,854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720" w:right="159" w:hanging="388"/>
        <w:spacing w:after="0" w:line="264"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Enrollment at March 31, 2011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2" w:lineRule="exact"/>
        <w:rPr>
          <w:rFonts w:ascii="Arial" w:cs="Arial" w:eastAsia="Arial" w:hAnsi="Arial"/>
          <w:sz w:val="15"/>
          <w:szCs w:val="15"/>
          <w:color w:val="auto"/>
        </w:rPr>
      </w:pPr>
    </w:p>
    <w:p>
      <w:pPr>
        <w:ind w:left="720" w:hanging="38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1,301 and 615 students pursuing doctoral degrees at March 31, 2011 and 2010, respectively.</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1"/>
        </w:numPr>
        <w:rPr>
          <w:rFonts w:ascii="Arial" w:cs="Arial" w:eastAsia="Arial" w:hAnsi="Arial"/>
          <w:sz w:val="14"/>
          <w:szCs w:val="14"/>
          <w:color w:val="auto"/>
        </w:rPr>
      </w:pPr>
      <w:r>
        <w:rPr>
          <w:rFonts w:ascii="Arial" w:cs="Arial" w:eastAsia="Arial" w:hAnsi="Arial"/>
          <w:sz w:val="17"/>
          <w:szCs w:val="17"/>
          <w:color w:val="auto"/>
        </w:rPr>
        <w:t>As of March 31, 2011 and 2010, 45.8% and 43.4%, respectively, of our online students are pursuing graduate degrees.</w:t>
      </w:r>
    </w:p>
    <w:p>
      <w:pPr>
        <w:spacing w:after="0" w:line="88" w:lineRule="exact"/>
        <w:rPr>
          <w:rFonts w:ascii="Arial" w:cs="Arial" w:eastAsia="Arial" w:hAnsi="Arial"/>
          <w:sz w:val="14"/>
          <w:szCs w:val="14"/>
          <w:color w:val="auto"/>
        </w:rPr>
      </w:pPr>
    </w:p>
    <w:p>
      <w:pPr>
        <w:ind w:left="720" w:hanging="38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Our critical accounting policies are disclosed in our Annual Report on Form 10-K/A for the fiscal year ended December 31, 2010. During the three months ended March 31, 2011, there have been no significant changes in our critical accounting policies.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20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Our key trends, developments and challenges are disclosed in our Annual Report on Form 10-K/A for the fiscal year ended December 31, 2010. During the three months ended March 31, 2011, there have been no significant changes in these trends. See Item 7, “Management’s Discussion and Analysis of Financial Condition and Results of Operations — Key Trends, Developments and Challenges” in our Annual Report on Form 10-K/A for our fiscal year ended December 31, 2010, which is incorporated herein by reference.</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line="5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70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r>
      <w:tr>
        <w:trPr>
          <w:trHeight w:val="216"/>
        </w:trPr>
        <w:tc>
          <w:tcPr>
            <w:tcW w:w="706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29.3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r>
      <w:tr>
        <w:trPr>
          <w:trHeight w:val="216"/>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706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70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70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r>
      <w:tr>
        <w:trPr>
          <w:trHeight w:val="27"/>
        </w:trPr>
        <w:tc>
          <w:tcPr>
            <w:tcW w:w="70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r>
      <w:tr>
        <w:trPr>
          <w:trHeight w:val="20"/>
        </w:trPr>
        <w:tc>
          <w:tcPr>
            <w:tcW w:w="7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2011 Compared to Three Months Ended March 31, 2010</w:t>
      </w:r>
    </w:p>
    <w:p>
      <w:pPr>
        <w:spacing w:after="0" w:line="185"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Our net revenue for the quarter ended March 31, 2011 was $101.7 million, an increase of $12.4 million, or 13.9%,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net revenue of $89.3 million for the quarter ended March 31, 2010. This increase was primarily due to an increase in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a borrower-based, non-term financial aid system (“BBAY”) from a term-based financial aid system. End-of-period enrollment increased to approximately 42,500,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70"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quarter ended March 31, 2011</w:t>
      </w:r>
      <w:r>
        <w:rPr>
          <w:rFonts w:ascii="Arial" w:cs="Arial" w:eastAsia="Arial" w:hAnsi="Arial"/>
          <w:sz w:val="17"/>
          <w:szCs w:val="17"/>
          <w:i w:val="1"/>
          <w:iCs w:val="1"/>
          <w:color w:val="auto"/>
        </w:rPr>
        <w:t xml:space="preserve"> </w:t>
      </w:r>
      <w:r>
        <w:rPr>
          <w:rFonts w:ascii="Arial" w:cs="Arial" w:eastAsia="Arial" w:hAnsi="Arial"/>
          <w:sz w:val="17"/>
          <w:szCs w:val="17"/>
          <w:color w:val="auto"/>
        </w:rPr>
        <w:t>were $48.9 million, an increase of $12.2 million, or 33.3%, as compared to instructional costs and services expenses of $36.7 million for the quarter ended March 31, 2010. This increase was primarily due to increases in instructional compensation and related expenses, faculty compensation, bad debt expense, depreciation and amortization, and instructional supplies of $3.3 million, $2.6 million, $5.3 million, $0.9 million, and $0.8 million, respectively, partially offset by a decrease in other miscellaneous instructional costs and services of $0.7 million. These increases are primarily attributable to the increased headcount (both staff and faculty) needed to provide student instruction and support services, including increased occupancy and equipment costs for the increased headcount, to support the increase in enrollments. Our instructional costs and services expenses as a percentage of net revenue increased by 7.1% to 48.1% for the quarter ended March 31, 2011, as compared to 41.0% for the quarter ended March 31, 2010 primarily due to an increase in faculty compensation as a percentage of revenue as we have seen decreases in class size as the result of increasing the number of starts, an increase in employee compensation and related expenses as a percentage of revenue, and increased instructional supplies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 In addition, bad debt expense increased to $10.0 million or 9.9% of net revenues in the first quarter of 2011 from $4.8 million or 5.3% of revenues in the first quarter of 2010 as a result of an increase in aged receivables between periods primarily due to the current economic conditions and the conversion to BBAY.</w:t>
      </w:r>
    </w:p>
    <w:p>
      <w:pPr>
        <w:spacing w:after="0" w:line="15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quarter ended March 31, 2011 were</w:t>
      </w:r>
      <w:r>
        <w:rPr>
          <w:rFonts w:ascii="Arial" w:cs="Arial" w:eastAsia="Arial" w:hAnsi="Arial"/>
          <w:sz w:val="16"/>
          <w:szCs w:val="16"/>
          <w:i w:val="1"/>
          <w:iCs w:val="1"/>
          <w:color w:val="auto"/>
        </w:rPr>
        <w:t xml:space="preserve"> </w:t>
      </w:r>
      <w:r>
        <w:rPr>
          <w:rFonts w:ascii="Arial" w:cs="Arial" w:eastAsia="Arial" w:hAnsi="Arial"/>
          <w:sz w:val="16"/>
          <w:szCs w:val="16"/>
          <w:color w:val="auto"/>
        </w:rPr>
        <w:t>$29.8 million, an increase of $2.9 million, or 11.0%, as compared to selling and promotional expenses of $26.9 million for the quarter ended March 31, 2010. This increase was primarily due to increases in employee compensation and related expenses, other selling and promotional expense, and advertising of $1.4 million, $0.9 million and $0.6 million, respectively. These increases were driven by a continued expansion in our marketing efforts, which resulted in an increase in recruitment, marketing, and staffing. Our selling and promotional expenses as a percentage of net revenue decreased by 0.8% to 29.3% for the quarter ended March 31, 2011, from 30.1% for the quarter ended March 31, 2010. This decrease occurred as a result of slowing the growth of our enrollment counselor hiring such that our new enrollment counselors as a percentage of total enrollment counselors is less in 2011 than in 2010.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 In addition, we terminated our revenue sharing arrangement with MindStreams, L.L.C. in December 2010. As a result, our advertising as a percentage of revenue decreased between years.</w:t>
      </w:r>
    </w:p>
    <w:p>
      <w:pPr>
        <w:spacing w:after="0" w:line="13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quarter ended March 31, 2011 were</w:t>
      </w:r>
      <w:r>
        <w:rPr>
          <w:rFonts w:ascii="Arial" w:cs="Arial" w:eastAsia="Arial" w:hAnsi="Arial"/>
          <w:sz w:val="18"/>
          <w:szCs w:val="18"/>
          <w:i w:val="1"/>
          <w:iCs w:val="1"/>
          <w:color w:val="auto"/>
        </w:rPr>
        <w:t xml:space="preserve"> </w:t>
      </w:r>
      <w:r>
        <w:rPr>
          <w:rFonts w:ascii="Arial" w:cs="Arial" w:eastAsia="Arial" w:hAnsi="Arial"/>
          <w:sz w:val="18"/>
          <w:szCs w:val="18"/>
          <w:color w:val="auto"/>
        </w:rPr>
        <w:t>$6.8 million, an increase of $0.7 million, or 11.9%, as compared to general and administrative expenses of $6.1 million for the quarter ended March 31, 2010. This increase was primarily due to increases in other general and administrative expenses of $0.7 million. Our general and administrative expenses as a percentage of net revenue decreased by 0.1% to 6.7% for the quarter ended March 31, 2011, from 6.8% for the quarter ended March 31, 2010.</w:t>
      </w:r>
    </w:p>
    <w:p>
      <w:pPr>
        <w:spacing w:after="0" w:line="16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March 31, 2011 was $0.1 million, a decrease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quarter ended March 31, 2010, as the average interest rates were lowered as a result of the loan amendment to reduce the interest rate beginning in the third quarter of 2010.</w:t>
      </w:r>
    </w:p>
    <w:p>
      <w:pPr>
        <w:sectPr>
          <w:pgSz w:w="11900" w:h="16891" w:orient="portrait"/>
          <w:cols w:equalWidth="0" w:num="1">
            <w:col w:w="10219"/>
          </w:cols>
          <w:pgMar w:left="240" w:top="419" w:right="1440" w:bottom="0" w:gutter="0" w:footer="0" w:header="0"/>
        </w:sectPr>
      </w:pPr>
    </w:p>
    <w:bookmarkStart w:id="28" w:name="page29"/>
    <w:bookmarkEnd w:id="28"/>
    <w:p>
      <w:pPr>
        <w:jc w:val="both"/>
        <w:ind w:right="159" w:firstLine="389"/>
        <w:spacing w:after="0" w:line="273"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quarters ended March 31, 2011 and 2010 were $6.6 million and $7.8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 the first quarter of 2011, legislation was enacted by the state of Arizona implementing a gradual reduction in the corporate tax rate beginning in 2014 that will be fully phased in by 2017. As a result of this legislation we were required to adjust our deferred tax balances to account for the effect of the new state tax rate, which resulted in higher state income taxes for the first quarter of 2011. Excluding the state tax rate adjustment for our deferred balances, our effective tax rate was 40.0% during the first quarter of 2011 compared to 40.6% during the first quarter of 2010.</w:t>
      </w:r>
    </w:p>
    <w:p>
      <w:pPr>
        <w:spacing w:after="0" w:line="138"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March 31, 2011 was $9.5 million, a decrease of $2.0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$11.5 million for the quarter ended March 31, 2010, due to the factors discussed above.</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9" w:name="page30"/>
    <w:bookmarkEnd w:id="29"/>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one of our current focuses is to accelerate the growth of our ground student enrollment. Thus, it is likely that this seasonal effect could be more pronounced in the future.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three months ended March 31, 2011 and 2010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cash provided by operating activities. Our unrestricted cash and cash equivalents were $30.2 million and $33.6 million at March 31, 2011 and December 31, 2010, respectively. Our restricted cash and cash equivalents at March 31, 2011 and December 31, 2010 were $50.2 million and $52.9 million, respectively.</w:t>
      </w:r>
    </w:p>
    <w:p>
      <w:pPr>
        <w:spacing w:after="0" w:line="16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 million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pacing w:after="0" w:line="137"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three months ended March 31, 2011 was $23.4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$49.1 million for the three months ended March 31, 2010. Cash provided by operating activities in the three months ended March 31, 2011 and 2010 resulted from our net income plus non cash charges for bad debts, depreciation and amortization, and share-based compensation.</w:t>
      </w:r>
    </w:p>
    <w:p>
      <w:pPr>
        <w:spacing w:after="0" w:line="146" w:lineRule="exact"/>
        <w:rPr>
          <w:sz w:val="20"/>
          <w:szCs w:val="20"/>
          <w:color w:val="auto"/>
        </w:rPr>
      </w:pPr>
    </w:p>
    <w:p>
      <w:pPr>
        <w:jc w:val="both"/>
        <w:ind w:left="340" w:right="179" w:firstLine="389"/>
        <w:spacing w:after="0" w:line="25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$11.9 million and $14.0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2011 and 2010, respectively. Capital expenditures were $14.7 million and $11.6 million for the three months ended March 31, 2011 and 2010, respectively. In 2011, capital expenditures primarily consisted of ground campus building projects such as a new dormitory and events arena to support our increasing traditional ground student enrollment as well as purchases of computer equipment, other internal use software projects and furniture and equipment. In 2010, cash used in investing activities primarily consisted of ground campus building projects, purchases of computer equipment, and software costs to complete our transition from Datatel to CampusVue and Great Plains, other internal use software projects, furniture and equipment to support our increasing student enrollment.</w:t>
      </w:r>
    </w:p>
    <w:p>
      <w:pPr>
        <w:spacing w:after="0" w:line="152"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$14.9 million and provided by financing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in the three months ended March 31, 2011 and 2010, respectively. During the first three months of 2011, $14.2 million was used to purchase treasury stock in accordance with the University’s share repurchase program. During the first three months of 2010 proceeds from the exercise of stock options and the excess tax benefits from share-based compensation were partially offset by principal payments on notes payable and capital lease obligations.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sets forth, as of March 31, 2011,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Payments Due by Period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 xml:space="preserve">1 Year </w:t>
            </w:r>
            <w:r>
              <w:rPr>
                <w:rFonts w:ascii="Arial" w:cs="Arial" w:eastAsia="Arial" w:hAnsi="Arial"/>
                <w:sz w:val="18"/>
                <w:szCs w:val="18"/>
                <w:color w:val="auto"/>
                <w:w w:val="91"/>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4-5 Years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43" w:orient="portrait"/>
          <w:cols w:equalWidth="0" w:num="1">
            <w:col w:w="10219"/>
          </w:cols>
          <w:pgMar w:left="240" w:top="419" w:right="1440" w:bottom="0" w:gutter="0" w:footer="0" w:header="0"/>
        </w:sectPr>
      </w:pPr>
    </w:p>
    <w:bookmarkStart w:id="30" w:name="page31"/>
    <w:bookmarkEnd w:id="30"/>
    <w:p>
      <w:pPr>
        <w:ind w:left="388" w:hanging="388"/>
        <w:spacing w:after="0"/>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April 1, 2011 through December 31, 2011.</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purchase obligation amounts include expected spending by period under contracts that were in effect at March 31, 2011.</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8" w:right="179" w:firstLine="389"/>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3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314"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2011 or 2010. There can be no assurance that future inflation will not have an adverse impact on our operating results and financial condition.</w:t>
      </w:r>
    </w:p>
    <w:p>
      <w:pPr>
        <w:spacing w:after="0" w:line="141" w:lineRule="exact"/>
        <w:rPr>
          <w:sz w:val="20"/>
          <w:szCs w:val="20"/>
          <w:color w:val="auto"/>
        </w:rPr>
      </w:pPr>
    </w:p>
    <w:p>
      <w:pPr>
        <w:jc w:val="both"/>
        <w:ind w:left="340" w:right="179" w:firstLine="389"/>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variable rate debt we incurred in connection with the repurchase of shares of our common stock and the land and buildings that comprise our ground campus, which debt matures in April 2014. The corridor instrument, which hedges variable interest rate risk starting July 1, 2009 through April 30, 2014 with a notional amount of $11.3 million as of March 31, 2011,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$11.3 million as of March 31, 2011. Under this arrangement, we will receive 30 Day LIBOR and pay 3.245% fixed rate on the amortizing notional amount plus the credit spread.</w:t>
      </w:r>
    </w:p>
    <w:p>
      <w:pPr>
        <w:spacing w:after="0" w:line="12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2011, a 10% increase or decrease in interest rates would not have a material impact on our future earnings, fair values, or cash flows. For information regarding our variable rate debt, see “Market risk” above.</w:t>
      </w:r>
    </w:p>
    <w:p>
      <w:pPr>
        <w:spacing w:after="0" w:line="14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that are designed to ensure that information required to be disclosed in reports filed by us under the Exchange Act is recorded, processed, summarized and reported within the time periods specified in the SEC's rules and forms and that such information is accumulated and communicated to management, including our Principal Executive Officer and Principal Financial Officer, as appropriate, to allow for timely decisions regarding required disclosure. In connection with the restatement discussed in the Explanatory Note to this Form 10-Q/A and in Note 2 to our condensed financial statements, under the direction of our Principal Executive Officer and Principal Financial Officer, management conducted a reevaluation of the effectiveness of our internal control over financial reporting as of March 31, 2011. The framework on which such evaluation was based is contained in the report entitled “Internal Control - Integrated Framework” issued by the Committee of Sponsoring Organizations of the Treadway Commission (the “COSO ReporReport”). Based on the evaluation and the criteria set forth in the COSO Report, management identified a material weakness in internal control over financial reporting described in the management’s report on internal control over financial reporting included in Item 9A to our 2010 Form 10-K/A related to our calculation of the allowance for doubtful accounts that continued to exist as of March 31, 2011. Under Audit Standard No. 5, a material weakness is a control deficiency, or combination of control deficiencies, that results in more than a remote likelihood that a material misstatement of the annual or interim financial statements will not be prevented or detected.</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Based on its reevaluation, including consideration of the aforementioned material weakness, and the criteria discussed above, management has restated its conclusion relative to the effectiveness of our internal control over financial reporting as of March 31, 2011. Accordingly, management now concludes that our internal control over financial reporting was not effective at a reasonable assurance level as of March 31, 2011.</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Remediation Steps to Address Material Weakness</w:t>
      </w:r>
    </w:p>
    <w:p>
      <w:pPr>
        <w:spacing w:after="0" w:line="19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Management has dedicated significant resources to correct the methodology relating to the calculation of our allowance for doubtful accounts and to ensure that we take proper steps to improve our internal controls and remedy our material weakness in our internal control over financial reporting and disclosure controls. Management has implemented effective control policies and procedures and remediated the underlying control deficiencies by taking the following actions:</w:t>
      </w:r>
    </w:p>
    <w:p>
      <w:pPr>
        <w:spacing w:after="0" w:line="131" w:lineRule="exact"/>
        <w:rPr>
          <w:sz w:val="20"/>
          <w:szCs w:val="20"/>
          <w:color w:val="auto"/>
        </w:rPr>
      </w:pPr>
    </w:p>
    <w:p>
      <w:pPr>
        <w:ind w:left="1080" w:hanging="370"/>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conducted a full review of our methodology for estimating the allowance for doubtful accounts</w:t>
      </w:r>
    </w:p>
    <w:p>
      <w:pPr>
        <w:spacing w:after="0" w:line="23" w:lineRule="exact"/>
        <w:rPr>
          <w:rFonts w:ascii="Arial" w:cs="Arial" w:eastAsia="Arial" w:hAnsi="Arial"/>
          <w:sz w:val="18"/>
          <w:szCs w:val="18"/>
          <w:color w:val="auto"/>
        </w:rPr>
      </w:pPr>
    </w:p>
    <w:p>
      <w:pPr>
        <w:ind w:left="1080" w:hanging="37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established controls and procedures adequate to timely identify changes to the composition of our accounts receivable</w:t>
      </w:r>
    </w:p>
    <w:p>
      <w:pPr>
        <w:spacing w:after="0" w:line="20" w:lineRule="exact"/>
        <w:rPr>
          <w:rFonts w:ascii="Arial" w:cs="Arial" w:eastAsia="Arial" w:hAnsi="Arial"/>
          <w:sz w:val="17"/>
          <w:szCs w:val="17"/>
          <w:color w:val="auto"/>
        </w:rPr>
      </w:pPr>
    </w:p>
    <w:p>
      <w:pPr>
        <w:ind w:left="1080" w:hanging="370"/>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controls and procedures to enhance our ability to monitor collection trends.</w:t>
      </w:r>
    </w:p>
    <w:p>
      <w:pPr>
        <w:spacing w:after="0" w:line="17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Management believes that the actions described above have remediated the identified material weakness and strengthened our internal control over financial reporting as of the date of this filing.</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Except as noted above,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ectPr>
          <w:pgSz w:w="11900" w:h="16838" w:orient="portrait"/>
          <w:cols w:equalWidth="0" w:num="1">
            <w:col w:w="10219"/>
          </w:cols>
          <w:pgMar w:left="240" w:top="419" w:right="1440" w:bottom="0" w:gutter="0" w:footer="0" w:header="0"/>
        </w:sectPr>
      </w:pPr>
    </w:p>
    <w:bookmarkStart w:id="32" w:name="page33"/>
    <w:bookmarkEnd w:id="32"/>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10-K/A for the year ended December 31, 2010.</w:t>
      </w:r>
    </w:p>
    <w:p>
      <w:pPr>
        <w:spacing w:after="0" w:line="126" w:lineRule="exact"/>
        <w:rPr>
          <w:sz w:val="20"/>
          <w:szCs w:val="20"/>
          <w:color w:val="auto"/>
        </w:rPr>
      </w:pPr>
    </w:p>
    <w:p>
      <w:pPr>
        <w:ind w:right="4539"/>
        <w:spacing w:after="0" w:line="46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Recent Sales of Unregistered Securities</w:t>
      </w:r>
    </w:p>
    <w:p>
      <w:pPr>
        <w:ind w:left="38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On August 16,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March 31, 2011, we purchased 945,200 shares of common stock at an aggregate cost of $14.2 million and for an average price of $15.03 per share. At March 31, 2011, there remains $10.0 million available under our current share repurchase authorization.</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3" w:name="page34"/>
    <w:bookmarkEnd w:id="33"/>
    <w:p>
      <w:pPr>
        <w:spacing w:after="0" w:line="13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first quarter of fiscal 2011: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Total Number of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Be Purchased Under that</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Shares Purchased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Per Share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Programs</w:t>
            </w:r>
          </w:p>
        </w:tc>
      </w:tr>
      <w:tr>
        <w:trPr>
          <w:trHeight w:val="195"/>
        </w:trPr>
        <w:tc>
          <w:tcPr>
            <w:tcW w:w="2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January 1, 2011 — January 31,</w:t>
            </w:r>
          </w:p>
        </w:tc>
        <w:tc>
          <w:tcPr>
            <w:tcW w:w="16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24,218,000</w:t>
            </w: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w w:val="92"/>
              </w:rPr>
              <w:t>February 1, 2011 — February 28,</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2011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15.78</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22,640,000</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1"/>
              </w:rPr>
              <w:t>March 1, 2011 — March 31, 2011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845,200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14.95</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845,200</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10,007,000</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945,200</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15.03</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945,200</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10,007,000</w:t>
            </w:r>
          </w:p>
        </w:tc>
      </w:tr>
    </w:tbl>
    <w:p>
      <w:pPr>
        <w:spacing w:after="0" w:line="15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58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92"/>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05"/>
        </w:trPr>
        <w:tc>
          <w:tcPr>
            <w:tcW w:w="1580" w:type="dxa"/>
            <w:vAlign w:val="bottom"/>
            <w:gridSpan w:val="2"/>
          </w:tcPr>
          <w:p>
            <w:pPr>
              <w:ind w:left="380"/>
              <w:spacing w:after="0"/>
              <w:rPr>
                <w:sz w:val="20"/>
                <w:szCs w:val="20"/>
                <w:color w:val="auto"/>
              </w:rPr>
            </w:pPr>
            <w:r>
              <w:rPr>
                <w:rFonts w:ascii="Arial" w:cs="Arial" w:eastAsia="Arial" w:hAnsi="Arial"/>
                <w:sz w:val="18"/>
                <w:szCs w:val="18"/>
                <w:color w:val="auto"/>
              </w:rPr>
              <w:t>(a) Exhibits</w:t>
            </w: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49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2960" w:type="dxa"/>
            <w:vAlign w:val="bottom"/>
          </w:tcPr>
          <w:p>
            <w:pPr>
              <w:ind w:left="84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72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 Incorporation.</w:t>
            </w:r>
          </w:p>
        </w:tc>
        <w:tc>
          <w:tcPr>
            <w:tcW w:w="28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Incorporated by reference to Exhibit 3.1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4"/>
              </w:rPr>
              <w:t>to Amendment No. 6 to the University’s</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Registration Statement on Form S-1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filed with the SEC on November 12,</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2008.</w:t>
            </w:r>
          </w:p>
        </w:tc>
      </w:tr>
      <w:tr>
        <w:trPr>
          <w:trHeight w:val="418"/>
        </w:trPr>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490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3"/>
              </w:rPr>
              <w:t>Incorporated by reference to Exhibit 3.1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to the University’s Current Report on</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5"/>
              </w:rPr>
              <w:t>Form 8-K filed with the SEC on August</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2, 2010.</w:t>
            </w:r>
          </w:p>
        </w:tc>
      </w:tr>
      <w:tr>
        <w:trPr>
          <w:trHeight w:val="418"/>
        </w:trPr>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4.1</w:t>
            </w:r>
          </w:p>
        </w:tc>
        <w:tc>
          <w:tcPr>
            <w:tcW w:w="490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3"/>
              </w:rPr>
              <w:t>Incorporated by reference to Exhibit 4.1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4"/>
              </w:rPr>
              <w:t>to Amendment No. 2 to the University’s</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Registration Statement on Form S-1</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filed with the SEC on September 29,</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2008.</w:t>
            </w:r>
          </w:p>
        </w:tc>
      </w:tr>
    </w:tbl>
    <w:p>
      <w:pPr>
        <w:spacing w:after="0" w:line="200" w:lineRule="exact"/>
        <w:rPr>
          <w:sz w:val="20"/>
          <w:szCs w:val="20"/>
          <w:color w:val="auto"/>
        </w:rPr>
      </w:pPr>
    </w:p>
    <w:p>
      <w:pPr>
        <w:sectPr>
          <w:pgSz w:w="11900" w:h="16975" w:orient="portrait"/>
          <w:cols w:equalWidth="0" w:num="1">
            <w:col w:w="10219"/>
          </w:cols>
          <w:pgMar w:left="240" w:top="419" w:right="1440" w:bottom="0" w:gutter="0" w:footer="0" w:header="0"/>
        </w:sectPr>
      </w:pPr>
    </w:p>
    <w:p>
      <w:pPr>
        <w:spacing w:after="0" w:line="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4.2</w:t>
            </w:r>
          </w:p>
        </w:tc>
        <w:tc>
          <w:tcPr>
            <w:tcW w:w="5160" w:type="dxa"/>
            <w:vAlign w:val="bottom"/>
          </w:tcPr>
          <w:p>
            <w:pPr>
              <w:ind w:left="360"/>
              <w:spacing w:after="0"/>
              <w:rPr>
                <w:sz w:val="20"/>
                <w:szCs w:val="20"/>
                <w:color w:val="auto"/>
              </w:rPr>
            </w:pPr>
            <w:r>
              <w:rPr>
                <w:rFonts w:ascii="Arial" w:cs="Arial" w:eastAsia="Arial" w:hAnsi="Arial"/>
                <w:sz w:val="18"/>
                <w:szCs w:val="18"/>
                <w:color w:val="auto"/>
              </w:rPr>
              <w:t>Amended and Restated Investor Rights Agreement, dated</w:t>
            </w:r>
          </w:p>
        </w:tc>
      </w:tr>
      <w:tr>
        <w:trPr>
          <w:trHeight w:val="216"/>
        </w:trPr>
        <w:tc>
          <w:tcPr>
            <w:tcW w:w="5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w w:val="89"/>
              </w:rPr>
              <w:t>September 17, 2008, by and among Grand Canyon Education, Inc.</w:t>
            </w:r>
          </w:p>
        </w:tc>
      </w:tr>
      <w:tr>
        <w:trPr>
          <w:trHeight w:val="230"/>
        </w:trPr>
        <w:tc>
          <w:tcPr>
            <w:tcW w:w="5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the other parties named therein.</w:t>
            </w:r>
          </w:p>
        </w:tc>
      </w:tr>
    </w:tbl>
    <w:p>
      <w:pPr>
        <w:spacing w:after="0" w:line="20" w:lineRule="exact"/>
        <w:rPr>
          <w:sz w:val="20"/>
          <w:szCs w:val="20"/>
          <w:color w:val="auto"/>
        </w:rPr>
      </w:pPr>
      <w:r>
        <w:rPr>
          <w:sz w:val="20"/>
          <w:szCs w:val="20"/>
          <w:color w:val="auto"/>
        </w:rPr>
        <w:br w:type="column"/>
      </w:r>
    </w:p>
    <w:p>
      <w:pPr>
        <w:ind w:right="239"/>
        <w:spacing w:after="0" w:line="257"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8" w:lineRule="exact"/>
        <w:rPr>
          <w:sz w:val="20"/>
          <w:szCs w:val="20"/>
          <w:color w:val="auto"/>
        </w:rPr>
      </w:pPr>
    </w:p>
    <w:p>
      <w:pPr>
        <w:sectPr>
          <w:pgSz w:w="11900" w:h="16975" w:orient="portrait"/>
          <w:cols w:equalWidth="0" w:num="2">
            <w:col w:w="6720" w:space="380"/>
            <w:col w:w="3119"/>
          </w:cols>
          <w:pgMar w:left="240" w:top="419" w:right="1440" w:bottom="0" w:gutter="0" w:footer="0" w:header="0"/>
          <w:type w:val="continuous"/>
        </w:sect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5000" w:type="dxa"/>
            <w:vAlign w:val="bottom"/>
          </w:tcPr>
          <w:p>
            <w:pPr>
              <w:ind w:left="360"/>
              <w:spacing w:after="0"/>
              <w:rPr>
                <w:sz w:val="20"/>
                <w:szCs w:val="20"/>
                <w:color w:val="auto"/>
              </w:rPr>
            </w:pPr>
            <w:r>
              <w:rPr>
                <w:rFonts w:ascii="Arial" w:cs="Arial" w:eastAsia="Arial" w:hAnsi="Arial"/>
                <w:sz w:val="18"/>
                <w:szCs w:val="18"/>
                <w:color w:val="auto"/>
                <w:w w:val="90"/>
              </w:rPr>
              <w:t>Amended and Restated Loan Agreement, dated April 8, 2011 by</w:t>
            </w:r>
          </w:p>
        </w:tc>
      </w:tr>
      <w:tr>
        <w:trPr>
          <w:trHeight w:val="230"/>
        </w:trPr>
        <w:tc>
          <w:tcPr>
            <w:tcW w:w="680" w:type="dxa"/>
            <w:vAlign w:val="bottom"/>
          </w:tcPr>
          <w:p>
            <w:pPr>
              <w:spacing w:after="0"/>
              <w:rPr>
                <w:sz w:val="20"/>
                <w:szCs w:val="20"/>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and between the University and Bank of America, N.A.</w:t>
            </w:r>
          </w:p>
        </w:tc>
      </w:tr>
    </w:tbl>
    <w:p>
      <w:pPr>
        <w:spacing w:after="0" w:line="20" w:lineRule="exact"/>
        <w:rPr>
          <w:sz w:val="20"/>
          <w:szCs w:val="20"/>
          <w:color w:val="auto"/>
        </w:rPr>
      </w:pPr>
      <w:r>
        <w:rPr>
          <w:sz w:val="20"/>
          <w:szCs w:val="20"/>
          <w:color w:val="auto"/>
        </w:rPr>
        <w:br w:type="column"/>
      </w:r>
    </w:p>
    <w:p>
      <w:pPr>
        <w:ind w:right="439"/>
        <w:spacing w:after="0" w:line="279"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May 9, 2011.</w:t>
      </w:r>
    </w:p>
    <w:p>
      <w:pPr>
        <w:spacing w:after="0" w:line="171" w:lineRule="exact"/>
        <w:rPr>
          <w:sz w:val="20"/>
          <w:szCs w:val="20"/>
          <w:color w:val="auto"/>
        </w:rPr>
      </w:pPr>
    </w:p>
    <w:p>
      <w:pPr>
        <w:sectPr>
          <w:pgSz w:w="11900" w:h="16975" w:orient="portrait"/>
          <w:cols w:equalWidth="0" w:num="2">
            <w:col w:w="6560" w:space="540"/>
            <w:col w:w="3119"/>
          </w:cols>
          <w:pgMar w:left="240" w:top="419" w:right="1440" w:bottom="0" w:gutter="0" w:footer="0" w:header="0"/>
          <w:type w:val="continuous"/>
        </w:sect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Rules 13a-</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9"/>
              </w:rPr>
              <w:t>14(a) and 15d-14(a), as adopted pursuant to Section 302 of the</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5380" w:type="dxa"/>
            <w:vAlign w:val="bottom"/>
          </w:tcPr>
          <w:p>
            <w:pPr>
              <w:ind w:left="360"/>
              <w:spacing w:after="0"/>
              <w:rPr>
                <w:sz w:val="20"/>
                <w:szCs w:val="20"/>
                <w:color w:val="auto"/>
              </w:rPr>
            </w:pPr>
            <w:r>
              <w:rPr>
                <w:rFonts w:ascii="Arial" w:cs="Arial" w:eastAsia="Arial" w:hAnsi="Arial"/>
                <w:sz w:val="18"/>
                <w:szCs w:val="18"/>
                <w:color w:val="auto"/>
                <w:w w:val="95"/>
              </w:rPr>
              <w:t>Certification of Chief Financial Officer pursuant to Rules 13a-14(a)</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1"/>
              </w:rPr>
              <w:t>and 15d-14(a), as adopted pursuant to Section 302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bl>
    <w:p>
      <w:pPr>
        <w:spacing w:after="0" w:line="175" w:lineRule="exact"/>
        <w:rPr>
          <w:sz w:val="20"/>
          <w:szCs w:val="20"/>
          <w:color w:val="auto"/>
        </w:rPr>
      </w:pPr>
    </w:p>
    <w:p>
      <w:pPr>
        <w:jc w:val="both"/>
        <w:ind w:left="720" w:right="159" w:hanging="388"/>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w:t>
      </w:r>
    </w:p>
    <w:p>
      <w:pPr>
        <w:sectPr>
          <w:pgSz w:w="11900" w:h="16975" w:orient="portrait"/>
          <w:cols w:equalWidth="0" w:num="1">
            <w:col w:w="10219"/>
          </w:cols>
          <w:pgMar w:left="240" w:top="419" w:right="1440" w:bottom="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whether made before or after the date hereof, regardless of any general incorporation language in such filing.</w:t>
      </w:r>
    </w:p>
    <w:p>
      <w:pPr>
        <w:sectPr>
          <w:pgSz w:w="11900" w:h="16838" w:orient="portrait"/>
          <w:cols w:equalWidth="0" w:num="1">
            <w:col w:w="9499"/>
          </w:cols>
          <w:pgMar w:left="960" w:top="125"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125"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420" w:type="dxa"/>
            <w:vAlign w:val="bottom"/>
            <w:gridSpan w:val="2"/>
          </w:tcPr>
          <w:p>
            <w:pPr>
              <w:ind w:left="134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November 14, 2011</w:t>
            </w:r>
          </w:p>
        </w:tc>
        <w:tc>
          <w:tcPr>
            <w:tcW w:w="6420" w:type="dxa"/>
            <w:vAlign w:val="bottom"/>
            <w:gridSpan w:val="2"/>
          </w:tcPr>
          <w:p>
            <w:pPr>
              <w:ind w:left="1340"/>
              <w:spacing w:after="0"/>
              <w:rPr>
                <w:sz w:val="20"/>
                <w:szCs w:val="20"/>
                <w:color w:val="auto"/>
              </w:rPr>
            </w:pPr>
            <w:r>
              <w:rPr>
                <w:rFonts w:ascii="Arial" w:cs="Arial" w:eastAsia="Arial" w:hAnsi="Arial"/>
                <w:sz w:val="18"/>
                <w:szCs w:val="18"/>
                <w:color w:val="auto"/>
              </w:rPr>
              <w:t>By: /s/ Daniel E. Bachus</w:t>
            </w:r>
          </w:p>
        </w:tc>
      </w:tr>
      <w:tr>
        <w:trPr>
          <w:trHeight w:val="195"/>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920" w:type="dxa"/>
            <w:vAlign w:val="bottom"/>
            <w:gridSpan w:val="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auto"/>
              </w:rPr>
              <w:t>EXHIBIT INDEX</w:t>
            </w: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w:t>
            </w:r>
          </w:p>
        </w:tc>
        <w:tc>
          <w:tcPr>
            <w:tcW w:w="49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2960" w:type="dxa"/>
            <w:vAlign w:val="bottom"/>
          </w:tcPr>
          <w:p>
            <w:pPr>
              <w:ind w:left="84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 Incorporation.</w:t>
            </w:r>
          </w:p>
        </w:tc>
        <w:tc>
          <w:tcPr>
            <w:tcW w:w="28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Incorporated by reference to Exhibit 3.1</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4"/>
              </w:rPr>
              <w:t>to Amendment No. 6 to the University’s</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Registration Statement on Form S-1</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filed with the SEC on November 12,</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2008.</w:t>
            </w:r>
          </w:p>
        </w:tc>
      </w:tr>
      <w:tr>
        <w:trPr>
          <w:trHeight w:val="418"/>
        </w:trPr>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3"/>
              </w:rPr>
              <w:t>Incorporated by reference to Exhibit 3.1</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to the University’s Current Report on</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5"/>
              </w:rPr>
              <w:t>Form 8-K filed with the SEC on August</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rPr>
              <w:t>2, 2010.</w:t>
            </w:r>
          </w:p>
        </w:tc>
      </w:tr>
      <w:tr>
        <w:trPr>
          <w:trHeight w:val="418"/>
        </w:trPr>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3"/>
              </w:rPr>
              <w:t>Incorporated by reference to Exhibit 4.1</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40" w:type="dxa"/>
            <w:vAlign w:val="bottom"/>
            <w:gridSpan w:val="2"/>
          </w:tcPr>
          <w:p>
            <w:pPr>
              <w:ind w:left="280"/>
              <w:spacing w:after="0"/>
              <w:rPr>
                <w:sz w:val="20"/>
                <w:szCs w:val="20"/>
                <w:color w:val="auto"/>
              </w:rPr>
            </w:pPr>
            <w:r>
              <w:rPr>
                <w:rFonts w:ascii="Arial" w:cs="Arial" w:eastAsia="Arial" w:hAnsi="Arial"/>
                <w:sz w:val="18"/>
                <w:szCs w:val="18"/>
                <w:color w:val="auto"/>
                <w:w w:val="94"/>
              </w:rPr>
              <w:t>to Amendment No. 2 to the University’s</w:t>
            </w:r>
          </w:p>
        </w:tc>
      </w:tr>
    </w:tbl>
    <w:p>
      <w:pPr>
        <w:ind w:left="710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filed with the SEC on September 29,</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2008.</w:t>
      </w:r>
    </w:p>
    <w:p>
      <w:pPr>
        <w:sectPr>
          <w:pgSz w:w="11900" w:h="16838" w:orient="portrait"/>
          <w:cols w:equalWidth="0" w:num="1">
            <w:col w:w="10219"/>
          </w:cols>
          <w:pgMar w:left="240" w:top="405" w:right="1440" w:bottom="1440" w:gutter="0" w:footer="0" w:header="0"/>
        </w:sect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5160" w:type="dxa"/>
            <w:vAlign w:val="bottom"/>
          </w:tcPr>
          <w:p>
            <w:pPr>
              <w:ind w:left="360"/>
              <w:spacing w:after="0"/>
              <w:rPr>
                <w:sz w:val="20"/>
                <w:szCs w:val="20"/>
                <w:color w:val="auto"/>
              </w:rPr>
            </w:pPr>
            <w:r>
              <w:rPr>
                <w:rFonts w:ascii="Arial" w:cs="Arial" w:eastAsia="Arial" w:hAnsi="Arial"/>
                <w:sz w:val="18"/>
                <w:szCs w:val="18"/>
                <w:color w:val="auto"/>
              </w:rPr>
              <w:t>Amended and Restated Investor Rights Agreement, dated</w:t>
            </w:r>
          </w:p>
        </w:tc>
      </w:tr>
      <w:tr>
        <w:trPr>
          <w:trHeight w:val="216"/>
        </w:trPr>
        <w:tc>
          <w:tcPr>
            <w:tcW w:w="6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w w:val="89"/>
              </w:rPr>
              <w:t>September 17, 2008, by and among Grand Canyon Education, Inc.</w:t>
            </w:r>
          </w:p>
        </w:tc>
      </w:tr>
      <w:tr>
        <w:trPr>
          <w:trHeight w:val="230"/>
        </w:trPr>
        <w:tc>
          <w:tcPr>
            <w:tcW w:w="6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the other parties named therein.</w:t>
            </w:r>
          </w:p>
        </w:tc>
      </w:tr>
      <w:tr>
        <w:trPr>
          <w:trHeight w:val="85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5160" w:type="dxa"/>
            <w:vAlign w:val="bottom"/>
          </w:tcPr>
          <w:p>
            <w:pPr>
              <w:ind w:left="360"/>
              <w:spacing w:after="0"/>
              <w:rPr>
                <w:sz w:val="20"/>
                <w:szCs w:val="20"/>
                <w:color w:val="auto"/>
              </w:rPr>
            </w:pPr>
            <w:r>
              <w:rPr>
                <w:rFonts w:ascii="Arial" w:cs="Arial" w:eastAsia="Arial" w:hAnsi="Arial"/>
                <w:sz w:val="18"/>
                <w:szCs w:val="18"/>
                <w:color w:val="auto"/>
                <w:w w:val="93"/>
              </w:rPr>
              <w:t>Amended and Restated Loan Agreement, dated April 8, 2011 by</w:t>
            </w:r>
          </w:p>
        </w:tc>
      </w:tr>
      <w:tr>
        <w:trPr>
          <w:trHeight w:val="230"/>
        </w:trPr>
        <w:tc>
          <w:tcPr>
            <w:tcW w:w="6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between the University and Bank of America, N.A.</w:t>
            </w:r>
          </w:p>
        </w:tc>
      </w:tr>
      <w:tr>
        <w:trPr>
          <w:trHeight w:val="85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5160" w:type="dxa"/>
            <w:vAlign w:val="bottom"/>
          </w:tcPr>
          <w:p>
            <w:pPr>
              <w:ind w:left="360"/>
              <w:spacing w:after="0"/>
              <w:rPr>
                <w:sz w:val="20"/>
                <w:szCs w:val="20"/>
                <w:color w:val="auto"/>
              </w:rPr>
            </w:pPr>
            <w:r>
              <w:rPr>
                <w:rFonts w:ascii="Arial" w:cs="Arial" w:eastAsia="Arial" w:hAnsi="Arial"/>
                <w:sz w:val="18"/>
                <w:szCs w:val="18"/>
                <w:color w:val="auto"/>
                <w:w w:val="97"/>
              </w:rPr>
              <w:t>Certification of Chief Executive Officer pursuant to Rules 13a-</w:t>
            </w:r>
          </w:p>
        </w:tc>
      </w:tr>
      <w:tr>
        <w:trPr>
          <w:trHeight w:val="216"/>
        </w:trPr>
        <w:tc>
          <w:tcPr>
            <w:tcW w:w="6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w w:val="94"/>
              </w:rPr>
              <w:t>14(a) and 15d-14(a), as adopted pursuant to Section 302 of the</w:t>
            </w:r>
          </w:p>
        </w:tc>
      </w:tr>
      <w:tr>
        <w:trPr>
          <w:trHeight w:val="230"/>
        </w:trPr>
        <w:tc>
          <w:tcPr>
            <w:tcW w:w="68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39"/>
        <w:spacing w:after="0" w:line="257"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8" w:lineRule="exact"/>
        <w:rPr>
          <w:sz w:val="20"/>
          <w:szCs w:val="20"/>
          <w:color w:val="auto"/>
        </w:rPr>
      </w:pPr>
    </w:p>
    <w:p>
      <w:pPr>
        <w:ind w:right="439"/>
        <w:spacing w:after="0" w:line="279"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May 9,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720" w:space="380"/>
            <w:col w:w="3119"/>
          </w:cols>
          <w:pgMar w:left="240" w:top="405" w:right="1440" w:bottom="1440" w:gutter="0" w:footer="0" w:header="0"/>
          <w:type w:val="continuous"/>
        </w:sectPr>
      </w:pPr>
    </w:p>
    <w:p>
      <w:pPr>
        <w:spacing w:after="0" w:line="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5380" w:type="dxa"/>
            <w:vAlign w:val="bottom"/>
          </w:tcPr>
          <w:p>
            <w:pPr>
              <w:ind w:left="360"/>
              <w:spacing w:after="0"/>
              <w:rPr>
                <w:sz w:val="20"/>
                <w:szCs w:val="20"/>
                <w:color w:val="auto"/>
              </w:rPr>
            </w:pPr>
            <w:r>
              <w:rPr>
                <w:rFonts w:ascii="Arial" w:cs="Arial" w:eastAsia="Arial" w:hAnsi="Arial"/>
                <w:sz w:val="18"/>
                <w:szCs w:val="18"/>
                <w:color w:val="auto"/>
                <w:w w:val="95"/>
              </w:rPr>
              <w:t>Certification of Chief Financial Officer pursuant to Rules 13a-14(a)</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1"/>
              </w:rPr>
              <w:t>and 15d-14(a), as adopted pursuant to Section 302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538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18 U.S.C.</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w w:val="93"/>
              </w:rPr>
              <w:t>Section 1350, as adopted pursuant to Section 906 of the Sarbanes-</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Oxley Act of 2002. †</w:t>
            </w:r>
          </w:p>
        </w:tc>
        <w:tc>
          <w:tcPr>
            <w:tcW w:w="1240" w:type="dxa"/>
            <w:vAlign w:val="bottom"/>
          </w:tcPr>
          <w:p>
            <w:pPr>
              <w:spacing w:after="0"/>
              <w:rPr>
                <w:sz w:val="20"/>
                <w:szCs w:val="20"/>
                <w:color w:val="auto"/>
              </w:rPr>
            </w:pPr>
          </w:p>
        </w:tc>
      </w:tr>
    </w:tbl>
    <w:p>
      <w:pPr>
        <w:spacing w:after="0" w:line="175" w:lineRule="exact"/>
        <w:rPr>
          <w:sz w:val="20"/>
          <w:szCs w:val="20"/>
          <w:color w:val="auto"/>
        </w:rPr>
      </w:pPr>
    </w:p>
    <w:p>
      <w:pPr>
        <w:jc w:val="both"/>
        <w:ind w:left="720" w:right="159" w:hanging="388"/>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05" w:right="1440" w:bottom="1440" w:gutter="0" w:footer="0" w:header="0"/>
          <w:type w:val="continuous"/>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560" w:hanging="179"/>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March 31,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14,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560" w:hanging="179"/>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March 31,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14, 2011</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6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6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March 31, 2011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March 31, 2011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0220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2019-12-11T06:37:44Z</dcterms:created>
  <dcterms:modified xsi:type="dcterms:W3CDTF">2019-12-11T06:37:44Z</dcterms:modified>
</cp:coreProperties>
</file>