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2222500</wp:posOffset>
            </wp:positionH>
            <wp:positionV relativeFrom="page">
              <wp:posOffset>431800</wp:posOffset>
            </wp:positionV>
            <wp:extent cx="3103245" cy="1080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103245" cy="10801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September 9, 2022</w:t>
      </w:r>
    </w:p>
    <w:p>
      <w:pPr>
        <w:spacing w:after="0" w:line="200" w:lineRule="exact"/>
        <w:rPr>
          <w:sz w:val="24"/>
          <w:szCs w:val="24"/>
          <w:color w:val="auto"/>
        </w:rPr>
      </w:pPr>
    </w:p>
    <w:p>
      <w:pPr>
        <w:spacing w:after="0" w:line="23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Mr. Patrick Kuhn</w:t>
      </w:r>
    </w:p>
    <w:p>
      <w:pPr>
        <w:spacing w:after="0" w:line="2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Office of Trade &amp; Services</w:t>
      </w:r>
    </w:p>
    <w:p>
      <w:pPr>
        <w:ind w:left="60"/>
        <w:spacing w:after="0"/>
        <w:rPr>
          <w:sz w:val="20"/>
          <w:szCs w:val="20"/>
          <w:color w:val="auto"/>
        </w:rPr>
      </w:pPr>
      <w:r>
        <w:rPr>
          <w:rFonts w:ascii="Times New Roman" w:cs="Times New Roman" w:eastAsia="Times New Roman" w:hAnsi="Times New Roman"/>
          <w:sz w:val="19"/>
          <w:szCs w:val="19"/>
          <w:color w:val="auto"/>
        </w:rPr>
        <w:t>United States Securities and Exchange Commission</w:t>
      </w:r>
    </w:p>
    <w:p>
      <w:pPr>
        <w:spacing w:after="0" w:line="1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100 F Street, N.E.</w:t>
      </w:r>
    </w:p>
    <w:p>
      <w:pPr>
        <w:ind w:left="60"/>
        <w:spacing w:after="0"/>
        <w:rPr>
          <w:sz w:val="20"/>
          <w:szCs w:val="20"/>
          <w:color w:val="auto"/>
        </w:rPr>
      </w:pPr>
      <w:r>
        <w:rPr>
          <w:rFonts w:ascii="Times New Roman" w:cs="Times New Roman" w:eastAsia="Times New Roman" w:hAnsi="Times New Roman"/>
          <w:sz w:val="20"/>
          <w:szCs w:val="20"/>
          <w:color w:val="auto"/>
        </w:rPr>
        <w:t>Washington, D.C. 20549</w:t>
      </w:r>
    </w:p>
    <w:p>
      <w:pPr>
        <w:sectPr>
          <w:pgSz w:w="11900" w:h="16838" w:orient="portrait"/>
          <w:cols w:equalWidth="0" w:num="1">
            <w:col w:w="9019"/>
          </w:cols>
          <w:pgMar w:left="1440" w:top="1440" w:right="1440" w:bottom="1440" w:gutter="0" w:footer="0" w:header="0"/>
        </w:sectPr>
      </w:pPr>
    </w:p>
    <w:p>
      <w:pPr>
        <w:spacing w:after="0" w:line="19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0"/>
          <w:szCs w:val="20"/>
          <w:b w:val="1"/>
          <w:bCs w:val="1"/>
          <w:color w:val="auto"/>
        </w:rPr>
        <w:t>Re: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Grand Canyon Education, Inc.</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Form 10K for the fiscal year Ended December 31, 2021</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Filed February 16, 2022</w:t>
      </w:r>
    </w:p>
    <w:p>
      <w:pPr>
        <w:spacing w:after="0"/>
        <w:rPr>
          <w:sz w:val="20"/>
          <w:szCs w:val="20"/>
          <w:color w:val="auto"/>
        </w:rPr>
      </w:pPr>
      <w:r>
        <w:rPr>
          <w:rFonts w:ascii="Times New Roman" w:cs="Times New Roman" w:eastAsia="Times New Roman" w:hAnsi="Times New Roman"/>
          <w:sz w:val="20"/>
          <w:szCs w:val="20"/>
          <w:b w:val="1"/>
          <w:bCs w:val="1"/>
          <w:color w:val="auto"/>
        </w:rPr>
        <w:t>Form 8-K Furnished August 4, 2022</w:t>
      </w:r>
    </w:p>
    <w:p>
      <w:pPr>
        <w:spacing w:after="0"/>
        <w:rPr>
          <w:sz w:val="20"/>
          <w:szCs w:val="20"/>
          <w:color w:val="auto"/>
        </w:rPr>
      </w:pPr>
      <w:r>
        <w:rPr>
          <w:rFonts w:ascii="Times New Roman" w:cs="Times New Roman" w:eastAsia="Times New Roman" w:hAnsi="Times New Roman"/>
          <w:sz w:val="20"/>
          <w:szCs w:val="20"/>
          <w:b w:val="1"/>
          <w:bCs w:val="1"/>
          <w:color w:val="auto"/>
        </w:rPr>
        <w:t>File No. 001-34211</w:t>
      </w:r>
    </w:p>
    <w:p>
      <w:pPr>
        <w:spacing w:after="0" w:line="194" w:lineRule="exact"/>
        <w:rPr>
          <w:sz w:val="24"/>
          <w:szCs w:val="24"/>
          <w:color w:val="auto"/>
        </w:rPr>
      </w:pPr>
    </w:p>
    <w:p>
      <w:pPr>
        <w:sectPr>
          <w:pgSz w:w="11900" w:h="16838" w:orient="portrait"/>
          <w:cols w:equalWidth="0" w:num="2">
            <w:col w:w="1000" w:space="340"/>
            <w:col w:w="7679"/>
          </w:cols>
          <w:pgMar w:left="1440" w:top="1440"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20"/>
          <w:szCs w:val="20"/>
          <w:color w:val="auto"/>
        </w:rPr>
        <w:t>Dear Mr. Kuhn</w:t>
      </w:r>
    </w:p>
    <w:p>
      <w:pPr>
        <w:spacing w:after="0" w:line="216" w:lineRule="exact"/>
        <w:rPr>
          <w:sz w:val="24"/>
          <w:szCs w:val="24"/>
          <w:color w:val="auto"/>
        </w:rPr>
      </w:pPr>
    </w:p>
    <w:p>
      <w:pPr>
        <w:ind w:left="60" w:right="119" w:firstLine="648"/>
        <w:spacing w:after="0" w:line="246" w:lineRule="auto"/>
        <w:rPr>
          <w:sz w:val="20"/>
          <w:szCs w:val="20"/>
          <w:color w:val="auto"/>
        </w:rPr>
      </w:pPr>
      <w:r>
        <w:rPr>
          <w:rFonts w:ascii="Times New Roman" w:cs="Times New Roman" w:eastAsia="Times New Roman" w:hAnsi="Times New Roman"/>
          <w:sz w:val="20"/>
          <w:szCs w:val="20"/>
          <w:color w:val="auto"/>
        </w:rPr>
        <w:t>This letter responds to the letter of the staff of the Securities and Exchange Commission (the “</w:t>
      </w:r>
      <w:r>
        <w:rPr>
          <w:rFonts w:ascii="Times New Roman" w:cs="Times New Roman" w:eastAsia="Times New Roman" w:hAnsi="Times New Roman"/>
          <w:sz w:val="20"/>
          <w:szCs w:val="20"/>
          <w:u w:val="single" w:color="auto"/>
          <w:color w:val="auto"/>
        </w:rPr>
        <w:t>Staff</w:t>
      </w:r>
      <w:r>
        <w:rPr>
          <w:rFonts w:ascii="Times New Roman" w:cs="Times New Roman" w:eastAsia="Times New Roman" w:hAnsi="Times New Roman"/>
          <w:sz w:val="20"/>
          <w:szCs w:val="20"/>
          <w:color w:val="auto"/>
        </w:rPr>
        <w:t>”), dated August 26, 2022, to Mr. Daniel E. Bachus, Chief Financial Officer of Grand Canyon Education, Inc. (the “Company”), regarding the Company’s Annual Report on Form 10-K for the fiscal year ended December 31, 2021, filed on February 16, 2022 (the “</w:t>
      </w:r>
      <w:r>
        <w:rPr>
          <w:rFonts w:ascii="Times New Roman" w:cs="Times New Roman" w:eastAsia="Times New Roman" w:hAnsi="Times New Roman"/>
          <w:sz w:val="20"/>
          <w:szCs w:val="20"/>
          <w:u w:val="single" w:color="auto"/>
          <w:color w:val="auto"/>
        </w:rPr>
        <w:t>2021 10-K</w:t>
      </w:r>
      <w:r>
        <w:rPr>
          <w:rFonts w:ascii="Times New Roman" w:cs="Times New Roman" w:eastAsia="Times New Roman" w:hAnsi="Times New Roman"/>
          <w:sz w:val="20"/>
          <w:szCs w:val="20"/>
          <w:color w:val="auto"/>
        </w:rPr>
        <w:t>”) and the Company’s Current Report on Form 8-K Furnished August 4, 2022 (the “</w:t>
      </w:r>
      <w:r>
        <w:rPr>
          <w:rFonts w:ascii="Times New Roman" w:cs="Times New Roman" w:eastAsia="Times New Roman" w:hAnsi="Times New Roman"/>
          <w:sz w:val="20"/>
          <w:szCs w:val="20"/>
          <w:u w:val="single" w:color="auto"/>
          <w:color w:val="auto"/>
        </w:rPr>
        <w:t>8-K</w:t>
      </w:r>
      <w:r>
        <w:rPr>
          <w:rFonts w:ascii="Times New Roman" w:cs="Times New Roman" w:eastAsia="Times New Roman" w:hAnsi="Times New Roman"/>
          <w:sz w:val="20"/>
          <w:szCs w:val="20"/>
          <w:color w:val="auto"/>
        </w:rPr>
        <w:t>”).</w:t>
      </w:r>
    </w:p>
    <w:p>
      <w:pPr>
        <w:spacing w:after="0" w:line="185" w:lineRule="exact"/>
        <w:rPr>
          <w:sz w:val="24"/>
          <w:szCs w:val="24"/>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20"/>
          <w:szCs w:val="20"/>
          <w:color w:val="auto"/>
        </w:rPr>
        <w:t>This letter sets forth each comment of the Staff in the comment letter (numbered in accordance with the comment letter) and, following each comment, sets forth the Company’s response. Page references are to the page numbers of the applicable filings, as they appear on EDGAR.</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Form 8-K Furnished August 4, 2022</w:t>
      </w:r>
    </w:p>
    <w:p>
      <w:pPr>
        <w:spacing w:after="0" w:line="21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2022 Outlook, page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-24765</wp:posOffset>
            </wp:positionV>
            <wp:extent cx="1130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17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Staff’s Comment:</w:t>
      </w:r>
    </w:p>
    <w:p>
      <w:pPr>
        <w:spacing w:after="0" w:line="216" w:lineRule="exact"/>
        <w:rPr>
          <w:sz w:val="24"/>
          <w:szCs w:val="24"/>
          <w:color w:val="auto"/>
        </w:rPr>
      </w:pPr>
    </w:p>
    <w:p>
      <w:pPr>
        <w:ind w:left="700" w:right="99" w:hanging="650"/>
        <w:spacing w:after="0" w:line="245" w:lineRule="auto"/>
        <w:tabs>
          <w:tab w:leader="none" w:pos="700" w:val="left"/>
        </w:tabs>
        <w:numPr>
          <w:ilvl w:val="0"/>
          <w:numId w:val="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Please present with equal or greater prominence the respective comparable outlook GAAP measures to the apparent non-GAAP measures “as adjusted operating margin” and “as adjusted diluted EPS,” with reconciliations between the GAAP and non-GAAP measures as appropriate. In regards to “as adjusted diluted EPS,” it appears you need to present the non- GAAP basis for the measure, the comparable GAAP measure to the non-GAAP basis and reconciliated between these two measures. Refer to Item 10€(1)(i)(A) and (b) of Regulation S-K and Question 102.10 of the staff’s “Non-GAAP Financial Measures” Compliance and Disclosure Interpretations.</w:t>
      </w:r>
    </w:p>
    <w:p>
      <w:pPr>
        <w:spacing w:after="0" w:line="179" w:lineRule="exact"/>
        <w:rPr>
          <w:rFonts w:ascii="Times New Roman" w:cs="Times New Roman" w:eastAsia="Times New Roman" w:hAnsi="Times New Roman"/>
          <w:sz w:val="20"/>
          <w:szCs w:val="20"/>
          <w:b w:val="1"/>
          <w:bCs w:val="1"/>
          <w:i w:val="1"/>
          <w:iCs w:val="1"/>
          <w:color w:val="auto"/>
        </w:rPr>
      </w:pPr>
    </w:p>
    <w:p>
      <w:pPr>
        <w:ind w:left="700"/>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Company’s Response:</w:t>
      </w:r>
    </w:p>
    <w:p>
      <w:pPr>
        <w:spacing w:after="0" w:line="220" w:lineRule="exact"/>
        <w:rPr>
          <w:sz w:val="24"/>
          <w:szCs w:val="24"/>
          <w:color w:val="auto"/>
        </w:rPr>
      </w:pPr>
    </w:p>
    <w:p>
      <w:pPr>
        <w:ind w:left="60" w:right="319" w:firstLine="648"/>
        <w:spacing w:after="0" w:line="269" w:lineRule="auto"/>
        <w:rPr>
          <w:sz w:val="20"/>
          <w:szCs w:val="20"/>
          <w:color w:val="auto"/>
        </w:rPr>
      </w:pPr>
      <w:r>
        <w:rPr>
          <w:rFonts w:ascii="Times New Roman" w:cs="Times New Roman" w:eastAsia="Times New Roman" w:hAnsi="Times New Roman"/>
          <w:sz w:val="20"/>
          <w:szCs w:val="20"/>
          <w:color w:val="auto"/>
        </w:rPr>
        <w:t>The Company acknowledges the Staff’s comment and will include in its future Form 8-K’s enhanced disclosures regarding the matters identified above substantially similar to the following: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321310</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22"/>
          <w:szCs w:val="22"/>
          <w:color w:val="auto"/>
        </w:rPr>
        <w:t>Mr. Patrick Kuhn</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ind w:left="60"/>
        <w:spacing w:after="0" w:line="230" w:lineRule="auto"/>
        <w:rPr>
          <w:sz w:val="20"/>
          <w:szCs w:val="20"/>
          <w:color w:val="auto"/>
        </w:rPr>
      </w:pPr>
      <w:r>
        <w:rPr>
          <w:rFonts w:ascii="Times New Roman" w:cs="Times New Roman" w:eastAsia="Times New Roman" w:hAnsi="Times New Roman"/>
          <w:sz w:val="22"/>
          <w:szCs w:val="22"/>
          <w:color w:val="auto"/>
        </w:rPr>
        <w:t>September 9, 2022</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2022 Outlook</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Q3 2022:</w:t>
      </w:r>
    </w:p>
    <w:p>
      <w:pPr>
        <w:spacing w:after="0" w:line="220" w:lineRule="exact"/>
        <w:rPr>
          <w:sz w:val="20"/>
          <w:szCs w:val="20"/>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Service revenue of between $207.3 million and $209.3 million;</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Operating margin of between 15.1% and 15.3%;</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adjusted” operating margin of between 16.1% and 16.3%;</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Effective tax rate of 18.4%;</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Diluted EPS of between $0.81 and $0.83;</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adjusted” diluted EPS of between $0.86 and $0.88; and</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31.6 million diluted shares.</w:t>
      </w:r>
    </w:p>
    <w:p>
      <w:pPr>
        <w:spacing w:after="0" w:line="216" w:lineRule="exact"/>
        <w:rPr>
          <w:sz w:val="20"/>
          <w:szCs w:val="20"/>
          <w:color w:val="auto"/>
        </w:rPr>
      </w:pPr>
    </w:p>
    <w:p>
      <w:pPr>
        <w:ind w:left="60" w:right="299" w:firstLine="648"/>
        <w:spacing w:after="0" w:line="254" w:lineRule="auto"/>
        <w:rPr>
          <w:sz w:val="20"/>
          <w:szCs w:val="20"/>
          <w:color w:val="auto"/>
        </w:rPr>
      </w:pPr>
      <w:r>
        <w:rPr>
          <w:rFonts w:ascii="Times New Roman" w:cs="Times New Roman" w:eastAsia="Times New Roman" w:hAnsi="Times New Roman"/>
          <w:sz w:val="20"/>
          <w:szCs w:val="20"/>
          <w:color w:val="auto"/>
        </w:rPr>
        <w:t>The “As adjusted” operating margin guidance equates to operating margin, excluding amortization of intangible assets of $2.1 million, and the “As adjusted” diluted EPS equates to diluted EPS, excluding amortization of intangible assets net of taxes of $1.7 million.</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Q4 2022:</w:t>
      </w:r>
    </w:p>
    <w:p>
      <w:pPr>
        <w:spacing w:after="0" w:line="220" w:lineRule="exact"/>
        <w:rPr>
          <w:sz w:val="20"/>
          <w:szCs w:val="20"/>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Service revenue of between $252.0 million and $256.0 million;</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Operating margin of between 33.9% and 34.0%;</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adjusted” operating margin of between 34.7% and 34.8%;</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Effective tax rate of 22.9%;</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Diluted EPS of between $2.09 and $2.13;</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adjusted” diluted EPS of between $2.14 and $2.18; and</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31.5 million diluted shares.</w:t>
      </w:r>
    </w:p>
    <w:p>
      <w:pPr>
        <w:spacing w:after="0" w:line="216" w:lineRule="exact"/>
        <w:rPr>
          <w:sz w:val="20"/>
          <w:szCs w:val="20"/>
          <w:color w:val="auto"/>
        </w:rPr>
      </w:pPr>
    </w:p>
    <w:p>
      <w:pPr>
        <w:ind w:left="60" w:right="299" w:firstLine="648"/>
        <w:spacing w:after="0" w:line="254" w:lineRule="auto"/>
        <w:rPr>
          <w:sz w:val="20"/>
          <w:szCs w:val="20"/>
          <w:color w:val="auto"/>
        </w:rPr>
      </w:pPr>
      <w:r>
        <w:rPr>
          <w:rFonts w:ascii="Times New Roman" w:cs="Times New Roman" w:eastAsia="Times New Roman" w:hAnsi="Times New Roman"/>
          <w:sz w:val="20"/>
          <w:szCs w:val="20"/>
          <w:color w:val="auto"/>
        </w:rPr>
        <w:t>The “As adjusted” operating margin guidance equates to operating margin, excluding amortization of intangible assets of $2.1 million, and the “As adjusted” diluted EPS equates to diluted EPS, excluding amortization of intangible assets net of taxes of $1.6 million.</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Full Year 2022:</w:t>
      </w:r>
    </w:p>
    <w:p>
      <w:pPr>
        <w:spacing w:after="0" w:line="220" w:lineRule="exact"/>
        <w:rPr>
          <w:sz w:val="20"/>
          <w:szCs w:val="20"/>
          <w:color w:val="auto"/>
        </w:rPr>
      </w:pPr>
    </w:p>
    <w:p>
      <w:pPr>
        <w:ind w:left="700" w:hanging="326"/>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Service revenue of between $903.2 million and $909.2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356870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22"/>
          <w:szCs w:val="22"/>
          <w:color w:val="auto"/>
        </w:rPr>
        <w:t>Mr. Patrick Kuhn</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ind w:left="60"/>
        <w:spacing w:after="0" w:line="230" w:lineRule="auto"/>
        <w:rPr>
          <w:sz w:val="20"/>
          <w:szCs w:val="20"/>
          <w:color w:val="auto"/>
        </w:rPr>
      </w:pPr>
      <w:r>
        <w:rPr>
          <w:rFonts w:ascii="Times New Roman" w:cs="Times New Roman" w:eastAsia="Times New Roman" w:hAnsi="Times New Roman"/>
          <w:sz w:val="22"/>
          <w:szCs w:val="22"/>
          <w:color w:val="auto"/>
        </w:rPr>
        <w:t>September 9, 2022</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00" w:hanging="326"/>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Operating margin of between 25.2% and 25.3%;</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adjusted” operating margin between 26.2% and 26.3%;</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Effective tax rate of 23.4%;</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Diluted EPS between $5.39 and $5.44;</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adjusted” diluted EPS between $5.60 and $5.66; and</w:t>
      </w:r>
    </w:p>
    <w:p>
      <w:pPr>
        <w:spacing w:after="0" w:line="215"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32.5 million diluted shares.</w:t>
      </w:r>
    </w:p>
    <w:p>
      <w:pPr>
        <w:spacing w:after="0" w:line="216" w:lineRule="exact"/>
        <w:rPr>
          <w:sz w:val="20"/>
          <w:szCs w:val="20"/>
          <w:color w:val="auto"/>
        </w:rPr>
      </w:pPr>
    </w:p>
    <w:p>
      <w:pPr>
        <w:ind w:left="60" w:right="179" w:firstLine="648"/>
        <w:spacing w:after="0" w:line="249" w:lineRule="auto"/>
        <w:rPr>
          <w:sz w:val="20"/>
          <w:szCs w:val="20"/>
          <w:color w:val="auto"/>
        </w:rPr>
      </w:pPr>
      <w:r>
        <w:rPr>
          <w:rFonts w:ascii="Times New Roman" w:cs="Times New Roman" w:eastAsia="Times New Roman" w:hAnsi="Times New Roman"/>
          <w:sz w:val="20"/>
          <w:szCs w:val="20"/>
          <w:color w:val="auto"/>
        </w:rPr>
        <w:t>The “As adjusted” operating margin guidance equates to operating margin, excluding amortization of intangible assets of $8.4 million and losses on fixed asset disposals of $0.7 million, and the “As adjusted” diluted EPS equates to diluted EPS, excluding amortization of intangible assets net of taxes of $6.4 million and losses on fixed asset disposals net of taxes of $0.5 million.</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440" w:val="left"/>
          <w:tab w:leader="none" w:pos="508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20"/>
          <w:szCs w:val="20"/>
          <w:color w:val="auto"/>
        </w:rPr>
        <w:t>If you require any additional information on these issues, of if the Company can provide you with any other information that will facilitate your continued review of this filing, please advise us at your earliest convenience. You may reach me at (602) 247-4400.</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By: /s/ Daniel E. Bachus</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Name: Daniel E. Bachus</w:t>
      </w:r>
    </w:p>
    <w:p>
      <w:pPr>
        <w:spacing w:after="0" w:line="17"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20"/>
          <w:szCs w:val="20"/>
          <w:color w:val="auto"/>
        </w:rPr>
        <w:t>Its:</w:t>
      </w:r>
      <w:r>
        <w:rPr>
          <w:sz w:val="20"/>
          <w:szCs w:val="20"/>
          <w:color w:val="auto"/>
        </w:rPr>
        <w:tab/>
      </w:r>
      <w:r>
        <w:rPr>
          <w:rFonts w:ascii="Times New Roman" w:cs="Times New Roman" w:eastAsia="Times New Roman" w:hAnsi="Times New Roman"/>
          <w:sz w:val="20"/>
          <w:szCs w:val="20"/>
          <w:color w:val="auto"/>
        </w:rPr>
        <w:t>Chief Financial Officer</w:t>
      </w:r>
    </w:p>
    <w:p>
      <w:pPr>
        <w:spacing w:after="0" w:line="207" w:lineRule="exact"/>
        <w:rPr>
          <w:sz w:val="20"/>
          <w:szCs w:val="20"/>
          <w:color w:val="auto"/>
        </w:rPr>
      </w:pPr>
    </w:p>
    <w:p>
      <w:pPr>
        <w:ind w:left="700" w:hanging="650"/>
        <w:spacing w:after="0"/>
        <w:tabs>
          <w:tab w:leader="none" w:pos="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DLA Piper LLP (US)</w:t>
      </w:r>
    </w:p>
    <w:p>
      <w:pPr>
        <w:spacing w:after="0" w:line="21" w:lineRule="exact"/>
        <w:rPr>
          <w:rFonts w:ascii="Times New Roman" w:cs="Times New Roman" w:eastAsia="Times New Roman" w:hAnsi="Times New Roman"/>
          <w:sz w:val="20"/>
          <w:szCs w:val="20"/>
          <w:color w:val="auto"/>
        </w:rPr>
      </w:pPr>
    </w:p>
    <w:p>
      <w:pPr>
        <w:ind w:left="7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David P. Lewis, Esq. (via e-mail: David.lewis@dlapiper.com)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6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2022-11-14T23:13:47Z</dcterms:created>
  <dcterms:modified xsi:type="dcterms:W3CDTF">2022-11-14T23:13:47Z</dcterms:modified>
</cp:coreProperties>
</file>