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ope-20240930x10q.htm"/>
        <w:bookmarkStart w:id="1" w:name="kslope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ee3def23_11d1_443e_bfe5_f0213aa40f0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Normal"/>
        <w:bidi w:val="0"/>
        <w:spacing w:before="0" w:after="0"/>
        <w:jc w:val="left"/>
        <w:rPr>
          <w:sz w:val="4"/>
          <w:szCs w:val="4"/>
        </w:rPr>
      </w:pPr>
      <w:r>
        <w:rPr>
          <w:sz w:val="4"/>
          <w:szCs w:val="4"/>
        </w:rPr>
      </w:r>
      <w:bookmarkStart w:id="3" w:name="Tc_jMoG0x0lgUywnO6hTlTSeg_2_1"/>
      <w:bookmarkStart w:id="4" w:name="Tc_DyjfuYyYx0WZtZZnhfDCeQ_0_1"/>
      <w:bookmarkStart w:id="5" w:name="_3686098e_700e_402f_aca5_708f1036acad"/>
      <w:bookmarkStart w:id="6" w:name="Tc_jMoG0x0lgUywnO6hTlTSeg_2_1"/>
      <w:bookmarkStart w:id="7" w:name="Tc_DyjfuYyYx0WZtZZnhfDCeQ_0_1"/>
      <w:bookmarkStart w:id="8" w:name="_3686098e_700e_402f_aca5_708f1036acad"/>
      <w:bookmarkEnd w:id="6"/>
      <w:bookmarkEnd w:id="7"/>
      <w:bookmarkEnd w:id="8"/>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AND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quarterly period ended September 30, 2024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 w:name="Tc_HX8OJy2xrkSRX1RPWvTMaw_3_1"/>
      <w:bookmarkStart w:id="10" w:name="Tc_QKM7LlNmSUakM0rM-6j90Q_1_1"/>
      <w:bookmarkStart w:id="11" w:name="_2e915763_74e6_4785_9417_f193d4dd04bc"/>
      <w:bookmarkStart w:id="12" w:name="Tc_HX8OJy2xrkSRX1RPWvTMaw_3_1"/>
      <w:bookmarkStart w:id="13" w:name="Tc_QKM7LlNmSUakM0rM-6j90Q_1_1"/>
      <w:bookmarkStart w:id="14" w:name="_2e915763_74e6_4785_9417_f193d4dd04bc"/>
      <w:bookmarkEnd w:id="12"/>
      <w:bookmarkEnd w:id="13"/>
      <w:bookmarkEnd w:id="14"/>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001-34211</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GRAND CANYON EDUCATION,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pBdr>
          <w:top w:val="single" w:sz="2" w:space="1" w:color="000000"/>
        </w:pBdr>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 w:name="Tc_gJ-h2HziHUq53n5QBOq9Sg_2_2"/>
      <w:bookmarkStart w:id="16" w:name="Tc_KE-OIHFjl0uHh_K1KqPPwA_2_0"/>
      <w:bookmarkStart w:id="17" w:name="_ab6b0fdd_ca48_4162_a11d_9c80f8b48fcb"/>
      <w:bookmarkStart w:id="18" w:name="Tc_gJ-h2HziHUq53n5QBOq9Sg_2_2"/>
      <w:bookmarkStart w:id="19" w:name="Tc_KE-OIHFjl0uHh_K1KqPPwA_2_0"/>
      <w:bookmarkStart w:id="20" w:name="_ab6b0fdd_ca48_4162_a11d_9c80f8b48fcb"/>
      <w:bookmarkEnd w:id="18"/>
      <w:bookmarkEnd w:id="19"/>
      <w:bookmarkEnd w:id="20"/>
    </w:p>
    <w:tbl>
      <w:tblPr>
        <w:tblW w:w="4693" w:type="dxa"/>
        <w:jc w:val="left"/>
        <w:tblInd w:w="0" w:type="dxa"/>
        <w:tblLayout w:type="fixed"/>
        <w:tblCellMar>
          <w:top w:w="0" w:type="dxa"/>
          <w:left w:w="0" w:type="dxa"/>
          <w:bottom w:w="0" w:type="dxa"/>
          <w:right w:w="0" w:type="dxa"/>
        </w:tblCellMar>
      </w:tblPr>
      <w:tblGrid>
        <w:gridCol w:w="2686"/>
        <w:gridCol w:w="326"/>
        <w:gridCol w:w="1681"/>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686"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Phoenix, Arizona</w:t>
      </w:r>
      <w:r>
        <w:rPr>
          <w:rFonts w:ascii="Times New Roman;Times;serif" w:hAnsi="Times New Roman;Times;serif"/>
          <w:sz w:val="20"/>
        </w:rPr>
        <w:t xml:space="preserve"> </w:t>
      </w:r>
      <w:r>
        <w:rPr>
          <w:rFonts w:ascii="Times New Roman;Times;serif" w:hAnsi="Times New Roman;Times;serif"/>
          <w:b/>
          <w:sz w:val="20"/>
        </w:rPr>
        <w:t>85017</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(Address, including zip code,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(602) 247-4400</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21" w:name="Tc_25g8iqQvr0SR28pEwi8uCg_0_2"/>
      <w:bookmarkStart w:id="22" w:name="Tc_ASw2IqY50E6rocO7-zzAVQ_0_1"/>
      <w:bookmarkStart w:id="23" w:name="Tc_0PM8y5TogEuoI9N25muI4w_0_0"/>
      <w:bookmarkStart w:id="24" w:name="_e7d5e65e_9e52_4cbe_be02_5582863c8dcf"/>
      <w:bookmarkStart w:id="25" w:name="Tc_25g8iqQvr0SR28pEwi8uCg_0_2"/>
      <w:bookmarkStart w:id="26" w:name="Tc_ASw2IqY50E6rocO7-zzAVQ_0_1"/>
      <w:bookmarkStart w:id="27" w:name="Tc_0PM8y5TogEuoI9N25muI4w_0_0"/>
      <w:bookmarkStart w:id="28" w:name="_e7d5e65e_9e52_4cbe_be02_5582863c8dcf"/>
      <w:bookmarkEnd w:id="25"/>
      <w:bookmarkEnd w:id="26"/>
      <w:bookmarkEnd w:id="27"/>
      <w:bookmarkEnd w:id="28"/>
    </w:p>
    <w:tbl>
      <w:tblPr>
        <w:tblW w:w="6168" w:type="dxa"/>
        <w:jc w:val="left"/>
        <w:tblInd w:w="0" w:type="dxa"/>
        <w:tblLayout w:type="fixed"/>
        <w:tblCellMar>
          <w:top w:w="28" w:type="dxa"/>
          <w:left w:w="28" w:type="dxa"/>
          <w:bottom w:w="28" w:type="dxa"/>
          <w:right w:w="28" w:type="dxa"/>
        </w:tblCellMar>
      </w:tblPr>
      <w:tblGrid>
        <w:gridCol w:w="1396"/>
        <w:gridCol w:w="1456"/>
        <w:gridCol w:w="3316"/>
      </w:tblGrid>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45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both"/>
        <w:rPr/>
      </w:pPr>
      <w:bookmarkStart w:id="29" w:name="_cp_table_9_2"/>
      <w:bookmarkEnd w:id="29"/>
      <w:r>
        <w:rPr>
          <w:u w:val="single"/>
        </w:rPr>
        <w:t>​ ​​ ​</w:t>
      </w: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240"/>
        <w:ind w:left="0" w:right="0" w:firstLine="720"/>
        <w:jc w:val="left"/>
        <w:rPr/>
      </w:pPr>
      <w:r>
        <w:rPr/>
        <w:t>​</w:t>
      </w:r>
    </w:p>
    <w:tbl>
      <w:tblPr>
        <w:tblW w:w="5623" w:type="dxa"/>
        <w:jc w:val="left"/>
        <w:tblInd w:w="0" w:type="dxa"/>
        <w:tblLayout w:type="fixed"/>
        <w:tblCellMar>
          <w:top w:w="0" w:type="dxa"/>
          <w:left w:w="0" w:type="dxa"/>
          <w:bottom w:w="0" w:type="dxa"/>
          <w:right w:w="0" w:type="dxa"/>
        </w:tblCellMar>
      </w:tblPr>
      <w:tblGrid>
        <w:gridCol w:w="2416"/>
        <w:gridCol w:w="326"/>
        <w:gridCol w:w="2881"/>
      </w:tblGrid>
      <w:tr>
        <w:trPr/>
        <w:tc>
          <w:tcPr>
            <w:tcW w:w="24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81" w:type="dxa"/>
            <w:tcBorders/>
            <w:vAlign w:val="center"/>
          </w:tcPr>
          <w:p>
            <w:pPr>
              <w:pStyle w:val="TableContents"/>
              <w:bidi w:val="0"/>
              <w:spacing w:before="0" w:after="0"/>
              <w:ind w:left="0" w:right="0" w:hanging="0"/>
              <w:jc w:val="left"/>
              <w:rPr/>
            </w:pPr>
            <w:r>
              <w:rPr/>
              <w:t>​</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                      ☐</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41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28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of common stock outstanding as of November 4, 2024, was 29,145,781.</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 w:name="_dfe09889_68ab_46db_8254_bc5feabbb60c"/>
      <w:bookmarkEnd w:id="30"/>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bookmarkStart w:id="31" w:name="TOC"/>
      <w:bookmarkEnd w:id="31"/>
      <w:r>
        <w:rPr>
          <w:rFonts w:ascii="Times New Roman;Times;serif" w:hAnsi="Times New Roman;Times;serif"/>
          <w:b/>
          <w:sz w:val="20"/>
        </w:rPr>
        <w:t>INDEX</w:t>
      </w:r>
    </w:p>
    <w:tbl>
      <w:tblPr>
        <w:tblW w:w="8447" w:type="dxa"/>
        <w:jc w:val="left"/>
        <w:tblInd w:w="0" w:type="dxa"/>
        <w:tblLayout w:type="fixed"/>
        <w:tblCellMar>
          <w:top w:w="0" w:type="dxa"/>
          <w:left w:w="0" w:type="dxa"/>
          <w:bottom w:w="0" w:type="dxa"/>
          <w:right w:w="0" w:type="dxa"/>
        </w:tblCellMar>
      </w:tblPr>
      <w:tblGrid>
        <w:gridCol w:w="7936"/>
        <w:gridCol w:w="511"/>
      </w:tblGrid>
      <w:tr>
        <w:trPr/>
        <w:tc>
          <w:tcPr>
            <w:tcW w:w="7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039360" cy="175260"/>
                      <wp:effectExtent l="0" t="0" r="0" b="0"/>
                      <wp:wrapNone/>
                      <wp:docPr id="1" name="Frame1"/>
                      <a:graphic xmlns:a="http://schemas.openxmlformats.org/drawingml/2006/main">
                        <a:graphicData uri="http://schemas.microsoft.com/office/word/2010/wordprocessingShape">
                          <wps:wsp>
                            <wps:cNvSpPr txBox="1"/>
                            <wps:spPr>
                              <a:xfrm>
                                <a:off x="0" y="0"/>
                                <a:ext cx="503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0"/>
              <w:ind w:left="0" w:right="0" w:hanging="0"/>
              <w:jc w:val="left"/>
              <w:rPr/>
            </w:pPr>
            <w:r>
              <w:rPr/>
              <w:t>​</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936" w:type="dxa"/>
            <w:tcBorders/>
            <w:vAlign w:val="center"/>
          </w:tcPr>
          <w:p>
            <w:pPr>
              <w:pStyle w:val="TableContents"/>
              <w:bidi w:val="0"/>
              <w:spacing w:before="0" w:after="0"/>
              <w:ind w:left="0" w:right="0" w:hanging="0"/>
              <w:jc w:val="left"/>
              <w:rPr/>
            </w:pPr>
            <w:hyperlink w:anchor="PARTIFINANCIALINFORMATION_228034">
              <w:r>
                <w:rPr>
                  <w:rStyle w:val="InternetLink"/>
                  <w:rFonts w:ascii="Times New Roman;Times;serif" w:hAnsi="Times New Roman;Times;serif"/>
                  <w:b/>
                  <w:i w:val="false"/>
                  <w:caps w:val="false"/>
                  <w:smallCaps w:val="false"/>
                  <w:sz w:val="20"/>
                </w:rPr>
                <w:t>PART I – FINANCIAL INFORMATION</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FinancialStatements_846248">
              <w:r>
                <w:rPr>
                  <w:rStyle w:val="InternetLink"/>
                  <w:rFonts w:ascii="Times New Roman;Times;serif" w:hAnsi="Times New Roman;Times;serif"/>
                  <w:b w:val="false"/>
                  <w:i w:val="false"/>
                  <w:caps w:val="false"/>
                  <w:smallCaps w:val="false"/>
                  <w:sz w:val="20"/>
                </w:rPr>
                <w:t>Item 1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3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93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4ControlsandProcedures_621985">
              <w:r>
                <w:rPr>
                  <w:rStyle w:val="InternetLink"/>
                  <w:rFonts w:ascii="Times New Roman;Times;serif" w:hAnsi="Times New Roman;Times;serif"/>
                  <w:b w:val="false"/>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PARTIIOTHERINFORMATION_437433">
              <w:r>
                <w:rPr>
                  <w:rStyle w:val="InternetLink"/>
                  <w:rFonts w:ascii="Times New Roman;Times;serif" w:hAnsi="Times New Roman;Times;serif"/>
                  <w:b/>
                  <w:i w:val="false"/>
                  <w:caps w:val="false"/>
                  <w:smallCaps w:val="false"/>
                  <w:sz w:val="20"/>
                </w:rPr>
                <w:t>PART II –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793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40"/>
              <w:ind w:left="0" w:right="0" w:hanging="0"/>
              <w:jc w:val="right"/>
              <w:rPr/>
            </w:pPr>
            <w:r>
              <w:rPr/>
              <w:t>​</w:t>
            </w:r>
          </w:p>
        </w:tc>
      </w:tr>
      <w:tr>
        <w:trPr/>
        <w:tc>
          <w:tcPr>
            <w:tcW w:w="7936" w:type="dxa"/>
            <w:tcBorders/>
            <w:vAlign w:val="center"/>
          </w:tcPr>
          <w:p>
            <w:pPr>
              <w:pStyle w:val="TableContents"/>
              <w:bidi w:val="0"/>
              <w:spacing w:before="0" w:after="0"/>
              <w:ind w:left="0" w:right="0" w:hanging="0"/>
              <w:jc w:val="left"/>
              <w:rPr/>
            </w:pPr>
            <w:hyperlink w:anchor="Item1LegalProceedings_770208">
              <w:r>
                <w:rPr>
                  <w:rStyle w:val="InternetLink"/>
                  <w:rFonts w:ascii="Times New Roman;Times;serif" w:hAnsi="Times New Roman;Times;serif"/>
                  <w:b w:val="false"/>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36" w:type="dxa"/>
            <w:tcBorders/>
            <w:vAlign w:val="center"/>
          </w:tcPr>
          <w:p>
            <w:pPr>
              <w:pStyle w:val="TableContents"/>
              <w:bidi w:val="0"/>
              <w:spacing w:before="0" w:after="0"/>
              <w:ind w:left="0" w:right="0" w:hanging="0"/>
              <w:jc w:val="left"/>
              <w:rPr/>
            </w:pPr>
            <w:hyperlink w:anchor="Item1ARiskFactors_601971">
              <w:r>
                <w:rPr>
                  <w:rStyle w:val="InternetLink"/>
                  <w:rFonts w:ascii="Times New Roman;Times;serif" w:hAnsi="Times New Roman;Times;serif"/>
                  <w:b w:val="false"/>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3DefaultsUponSeniorSecurities_862648">
              <w:r>
                <w:rPr>
                  <w:rStyle w:val="InternetLink"/>
                  <w:rFonts w:ascii="Times New Roman;Times;serif" w:hAnsi="Times New Roman;Times;serif"/>
                  <w:b w:val="false"/>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4MineSafetyDisclosures_953586">
              <w:r>
                <w:rPr>
                  <w:rStyle w:val="InternetLink"/>
                  <w:rFonts w:ascii="Times New Roman;Times;serif" w:hAnsi="Times New Roman;Times;serif"/>
                  <w:b w:val="false"/>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5OtherInformation_422882">
              <w:r>
                <w:rPr>
                  <w:rStyle w:val="InternetLink"/>
                  <w:rFonts w:ascii="Times New Roman;Times;serif" w:hAnsi="Times New Roman;Times;serif"/>
                  <w:b w:val="false"/>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36" w:type="dxa"/>
            <w:tcBorders/>
            <w:vAlign w:val="center"/>
          </w:tcPr>
          <w:p>
            <w:pPr>
              <w:pStyle w:val="TableContents"/>
              <w:bidi w:val="0"/>
              <w:spacing w:before="0" w:after="0"/>
              <w:ind w:left="0" w:right="0" w:hanging="0"/>
              <w:jc w:val="left"/>
              <w:rPr/>
            </w:pPr>
            <w:hyperlink w:anchor="Item6Exhibits_355966">
              <w:r>
                <w:rPr>
                  <w:rStyle w:val="InternetLink"/>
                  <w:rFonts w:ascii="Times New Roman;Times;serif" w:hAnsi="Times New Roman;Times;serif"/>
                  <w:b w:val="false"/>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36" w:type="dxa"/>
            <w:tcBorders/>
            <w:vAlign w:val="center"/>
          </w:tcPr>
          <w:p>
            <w:pPr>
              <w:pStyle w:val="TableContents"/>
              <w:bidi w:val="0"/>
              <w:spacing w:before="0" w:after="0"/>
              <w:ind w:left="0" w:right="0" w:hanging="0"/>
              <w:jc w:val="left"/>
              <w:rPr/>
            </w:pPr>
            <w:hyperlink w:anchor="SIGNATURES_55196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2" w:name="PARTIFINANCIALINFORMATION_228034"/>
      <w:bookmarkStart w:id="33" w:name="_ef6af5a3_4726_44a0_80b3_20e56c94f2a8"/>
      <w:bookmarkEnd w:id="32"/>
      <w:bookmarkEnd w:id="33"/>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bookmarkStart w:id="34" w:name="Item1FinancialStatements_846248"/>
      <w:bookmarkEnd w:id="34"/>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Income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5" w:name="Tc_7UZsSOiJ-0aPjPJSleHNkg_22_0"/>
      <w:bookmarkStart w:id="36" w:name="Tc_ldaBf79QDUKJJ2X9Lr0txQ_21_0"/>
      <w:bookmarkStart w:id="37" w:name="Tc_8tzIsj236EuB8xX__iV4dA_20_11"/>
      <w:bookmarkStart w:id="38" w:name="Tc_HWKYHefFk0mSoHyIwDI-SQ_20_8"/>
      <w:bookmarkStart w:id="39" w:name="Tc_XNPKWjqMvEaXKVZ-6kBE_Q_20_5"/>
      <w:bookmarkStart w:id="40" w:name="Tc_kcrjIhJD7UuNxtXxrQ92YA_20_2"/>
      <w:bookmarkStart w:id="41" w:name="Tc_8edr96wbuEaiwixHVd9LZQ_20_0"/>
      <w:bookmarkStart w:id="42" w:name="Tc_NPjvLUZKAk2Hka3CexdhAw_19_11"/>
      <w:bookmarkStart w:id="43" w:name="Tc_XgmH9cVd1kqKIoXZwtE3FQ_19_8"/>
      <w:bookmarkStart w:id="44" w:name="Tc_KpfTr_hlrkWCaIfg1f36Ug_19_5"/>
      <w:bookmarkStart w:id="45" w:name="Tc_BPdxuM5RmUCXlCpLB6uZ-w_19_2"/>
      <w:bookmarkStart w:id="46" w:name="Tc_g59-a0H0FEK7KsH9d3umvw_19_0"/>
      <w:bookmarkStart w:id="47" w:name="Tc_ZZnJsMJfJkCOAXtqEbPfdA_18_0"/>
      <w:bookmarkStart w:id="48" w:name="Tc_4GAdbMySmUS1atEfW4461Q_17_11"/>
      <w:bookmarkStart w:id="49" w:name="Tc_C_-JaMNI10eArQGztL1BNg_17_8"/>
      <w:bookmarkStart w:id="50" w:name="Tc_gL2TNVvTlEK8NKZ3axunDw_17_5"/>
      <w:bookmarkStart w:id="51" w:name="Tc_o4VdBNe11UeMSKw2PgOoUg_17_2"/>
      <w:bookmarkStart w:id="52" w:name="Tc_0oDGDuGCa0iJQ4hqhPRddw_17_0"/>
      <w:bookmarkStart w:id="53" w:name="Tc_eyjvNHKKiUOussmLBtcO0w_16_0"/>
      <w:bookmarkStart w:id="54" w:name="Tc_KVvAQKy7CkmgRKU90LPkSA_15_0"/>
      <w:bookmarkStart w:id="55" w:name="Tc_vuWJd138qkSxmNWsO7bNNg_14_0"/>
      <w:bookmarkStart w:id="56" w:name="Tc_WAlXy9wfPkiThp662Qjctg_13_3"/>
      <w:bookmarkStart w:id="57" w:name="Tc_Hjy27Xa0sUeb66Dn62IPiQ_13_0"/>
      <w:bookmarkStart w:id="58" w:name="Tc_h5F8K9zsHUe3XXx5F9huzg_12_0"/>
      <w:bookmarkStart w:id="59" w:name="Tc_66WgSpyKHkevvbZH7VdxSA_11_0"/>
      <w:bookmarkStart w:id="60" w:name="Tc_I70wfkp3Pk-_LOXt_Lpqhw_10_0"/>
      <w:bookmarkStart w:id="61" w:name="Tc_jNi3EctnWUKtbZaKtaALiw_9_0"/>
      <w:bookmarkStart w:id="62" w:name="Tc_qmPt3Zul3ky43dskt_s7Sw_8_0"/>
      <w:bookmarkStart w:id="63" w:name="Tc_jxlEtdnFqUyx3mj0tfmXCg_7_0"/>
      <w:bookmarkStart w:id="64" w:name="Tc_vu3w8pyDNEeR3f_uZTU0MQ_6_0"/>
      <w:bookmarkStart w:id="65" w:name="Tc_KECb84n78UKR8TEPPgISvQ_5_0"/>
      <w:bookmarkStart w:id="66" w:name="Tc_9uQO3UajHkiSFtMEYFhOmQ_4_11"/>
      <w:bookmarkStart w:id="67" w:name="Tc_prmXGSmSHkeh8d1JrRl_RQ_4_8"/>
      <w:bookmarkStart w:id="68" w:name="Tc_uLK82-oWUUilHDOFo6tlfg_4_5"/>
      <w:bookmarkStart w:id="69" w:name="Tc_PZOCzWK2U0OQl30B_BHGSQ_4_2"/>
      <w:bookmarkStart w:id="70" w:name="Tc_b06ja3kuKEq79qkYPMLEGA_4_0"/>
      <w:bookmarkStart w:id="71" w:name="Tc_HcOPvl67iEaXSBSSMxGDxQ_3_11"/>
      <w:bookmarkStart w:id="72" w:name="Tc_yRDVAchLF0CoyREbaBgdnQ_3_8"/>
      <w:bookmarkStart w:id="73" w:name="Tc_4QeDEJuPjkyQhZGzZhiT8g_3_5"/>
      <w:bookmarkStart w:id="74" w:name="Tc_4jxV1egUvEah8AOTycgnLw_3_2"/>
      <w:bookmarkStart w:id="75" w:name="Tc_Eb_hD_narkSWpLnk9vZKmw_3_0"/>
      <w:bookmarkStart w:id="76" w:name="Tc_txDvOa3cqkGNkVERZWwHpQ_2_8"/>
      <w:bookmarkStart w:id="77" w:name="Tc_URpnNC9rlEeTchu-Z2Mt5Q_2_2"/>
      <w:bookmarkStart w:id="78" w:name="Tc_IorjJdiEYkSyb5eVaITEbg_1_8"/>
      <w:bookmarkStart w:id="79" w:name="Tc_0abFr7z-QUit8icVuNNhjw_1_2"/>
      <w:bookmarkStart w:id="80" w:name="_3eb421a5_33df_466a_80ca_91955d2e906a"/>
      <w:bookmarkStart w:id="81" w:name="Tc_7UZsSOiJ-0aPjPJSleHNkg_22_0"/>
      <w:bookmarkStart w:id="82" w:name="Tc_ldaBf79QDUKJJ2X9Lr0txQ_21_0"/>
      <w:bookmarkStart w:id="83" w:name="Tc_8tzIsj236EuB8xX__iV4dA_20_11"/>
      <w:bookmarkStart w:id="84" w:name="Tc_HWKYHefFk0mSoHyIwDI-SQ_20_8"/>
      <w:bookmarkStart w:id="85" w:name="Tc_XNPKWjqMvEaXKVZ-6kBE_Q_20_5"/>
      <w:bookmarkStart w:id="86" w:name="Tc_kcrjIhJD7UuNxtXxrQ92YA_20_2"/>
      <w:bookmarkStart w:id="87" w:name="Tc_8edr96wbuEaiwixHVd9LZQ_20_0"/>
      <w:bookmarkStart w:id="88" w:name="Tc_NPjvLUZKAk2Hka3CexdhAw_19_11"/>
      <w:bookmarkStart w:id="89" w:name="Tc_XgmH9cVd1kqKIoXZwtE3FQ_19_8"/>
      <w:bookmarkStart w:id="90" w:name="Tc_KpfTr_hlrkWCaIfg1f36Ug_19_5"/>
      <w:bookmarkStart w:id="91" w:name="Tc_BPdxuM5RmUCXlCpLB6uZ-w_19_2"/>
      <w:bookmarkStart w:id="92" w:name="Tc_g59-a0H0FEK7KsH9d3umvw_19_0"/>
      <w:bookmarkStart w:id="93" w:name="Tc_ZZnJsMJfJkCOAXtqEbPfdA_18_0"/>
      <w:bookmarkStart w:id="94" w:name="Tc_4GAdbMySmUS1atEfW4461Q_17_11"/>
      <w:bookmarkStart w:id="95" w:name="Tc_C_-JaMNI10eArQGztL1BNg_17_8"/>
      <w:bookmarkStart w:id="96" w:name="Tc_gL2TNVvTlEK8NKZ3axunDw_17_5"/>
      <w:bookmarkStart w:id="97" w:name="Tc_o4VdBNe11UeMSKw2PgOoUg_17_2"/>
      <w:bookmarkStart w:id="98" w:name="Tc_0oDGDuGCa0iJQ4hqhPRddw_17_0"/>
      <w:bookmarkStart w:id="99" w:name="Tc_eyjvNHKKiUOussmLBtcO0w_16_0"/>
      <w:bookmarkStart w:id="100" w:name="Tc_KVvAQKy7CkmgRKU90LPkSA_15_0"/>
      <w:bookmarkStart w:id="101" w:name="Tc_vuWJd138qkSxmNWsO7bNNg_14_0"/>
      <w:bookmarkStart w:id="102" w:name="Tc_WAlXy9wfPkiThp662Qjctg_13_3"/>
      <w:bookmarkStart w:id="103" w:name="Tc_Hjy27Xa0sUeb66Dn62IPiQ_13_0"/>
      <w:bookmarkStart w:id="104" w:name="Tc_h5F8K9zsHUe3XXx5F9huzg_12_0"/>
      <w:bookmarkStart w:id="105" w:name="Tc_66WgSpyKHkevvbZH7VdxSA_11_0"/>
      <w:bookmarkStart w:id="106" w:name="Tc_I70wfkp3Pk-_LOXt_Lpqhw_10_0"/>
      <w:bookmarkStart w:id="107" w:name="Tc_jNi3EctnWUKtbZaKtaALiw_9_0"/>
      <w:bookmarkStart w:id="108" w:name="Tc_qmPt3Zul3ky43dskt_s7Sw_8_0"/>
      <w:bookmarkStart w:id="109" w:name="Tc_jxlEtdnFqUyx3mj0tfmXCg_7_0"/>
      <w:bookmarkStart w:id="110" w:name="Tc_vu3w8pyDNEeR3f_uZTU0MQ_6_0"/>
      <w:bookmarkStart w:id="111" w:name="Tc_KECb84n78UKR8TEPPgISvQ_5_0"/>
      <w:bookmarkStart w:id="112" w:name="Tc_9uQO3UajHkiSFtMEYFhOmQ_4_11"/>
      <w:bookmarkStart w:id="113" w:name="Tc_prmXGSmSHkeh8d1JrRl_RQ_4_8"/>
      <w:bookmarkStart w:id="114" w:name="Tc_uLK82-oWUUilHDOFo6tlfg_4_5"/>
      <w:bookmarkStart w:id="115" w:name="Tc_PZOCzWK2U0OQl30B_BHGSQ_4_2"/>
      <w:bookmarkStart w:id="116" w:name="Tc_b06ja3kuKEq79qkYPMLEGA_4_0"/>
      <w:bookmarkStart w:id="117" w:name="Tc_HcOPvl67iEaXSBSSMxGDxQ_3_11"/>
      <w:bookmarkStart w:id="118" w:name="Tc_yRDVAchLF0CoyREbaBgdnQ_3_8"/>
      <w:bookmarkStart w:id="119" w:name="Tc_4QeDEJuPjkyQhZGzZhiT8g_3_5"/>
      <w:bookmarkStart w:id="120" w:name="Tc_4jxV1egUvEah8AOTycgnLw_3_2"/>
      <w:bookmarkStart w:id="121" w:name="Tc_Eb_hD_narkSWpLnk9vZKmw_3_0"/>
      <w:bookmarkStart w:id="122" w:name="Tc_txDvOa3cqkGNkVERZWwHpQ_2_8"/>
      <w:bookmarkStart w:id="123" w:name="Tc_URpnNC9rlEeTchu-Z2Mt5Q_2_2"/>
      <w:bookmarkStart w:id="124" w:name="Tc_IorjJdiEYkSyb5eVaITEbg_1_8"/>
      <w:bookmarkStart w:id="125" w:name="Tc_0abFr7z-QUit8icVuNNhjw_1_2"/>
      <w:bookmarkStart w:id="126" w:name="_3eb421a5_33df_466a_80ca_91955d2e906a"/>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tbl>
      <w:tblPr>
        <w:tblW w:w="9023" w:type="dxa"/>
        <w:jc w:val="left"/>
        <w:tblInd w:w="0" w:type="dxa"/>
        <w:tblLayout w:type="fixed"/>
        <w:tblCellMar>
          <w:top w:w="0" w:type="dxa"/>
          <w:left w:w="0" w:type="dxa"/>
          <w:bottom w:w="0" w:type="dxa"/>
          <w:right w:w="0" w:type="dxa"/>
        </w:tblCellMar>
      </w:tblPr>
      <w:tblGrid>
        <w:gridCol w:w="3886"/>
        <w:gridCol w:w="146"/>
        <w:gridCol w:w="211"/>
        <w:gridCol w:w="781"/>
        <w:gridCol w:w="326"/>
        <w:gridCol w:w="211"/>
        <w:gridCol w:w="781"/>
        <w:gridCol w:w="326"/>
        <w:gridCol w:w="211"/>
        <w:gridCol w:w="781"/>
        <w:gridCol w:w="326"/>
        <w:gridCol w:w="211"/>
        <w:gridCol w:w="826"/>
      </w:tblGrid>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95935" cy="175260"/>
                      <wp:effectExtent l="0" t="0" r="0" b="0"/>
                      <wp:wrapNone/>
                      <wp:docPr id="4"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5935" cy="175260"/>
                      <wp:effectExtent l="0" t="0" r="0" b="0"/>
                      <wp:wrapNone/>
                      <wp:docPr id="7" name="Frame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95935" cy="175260"/>
                      <wp:effectExtent l="0" t="0" r="0" b="0"/>
                      <wp:wrapNone/>
                      <wp:docPr id="10" name="Frame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4510" cy="175260"/>
                      <wp:effectExtent l="0" t="0" r="0" b="0"/>
                      <wp:wrapNone/>
                      <wp:docPr id="13"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88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8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share data)</w:t>
            </w:r>
          </w:p>
        </w:tc>
        <w:tc>
          <w:tcPr>
            <w:tcW w:w="14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Service revenue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238,291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221,913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682,615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115,643</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77,166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73,824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238,157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219,565</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156,797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32,838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6,315</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190,116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565,057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531,158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175,372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151,457</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interest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7,482</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187,363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158,912</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34,636</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124,276</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income per share</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income per share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weighted average shares outstanding</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30,138</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weighted average shares outstanding</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30,277</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7" w:name="_388e634c_a274_4cb0_af2b_498f5458d3a4"/>
      <w:bookmarkEnd w:id="127"/>
      <w:r>
        <w:rPr>
          <w:rFonts w:ascii="Times New Roman;Times;serif" w:hAnsi="Times New Roman;Times;serif"/>
          <w:b/>
          <w:sz w:val="20"/>
        </w:rPr>
        <w:t>GRAND CANYON EDUCATION,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Normal"/>
        <w:bidi w:val="0"/>
        <w:spacing w:before="0" w:after="0"/>
        <w:jc w:val="left"/>
        <w:rPr>
          <w:sz w:val="4"/>
          <w:szCs w:val="4"/>
        </w:rPr>
      </w:pPr>
      <w:r>
        <w:rPr>
          <w:sz w:val="4"/>
          <w:szCs w:val="4"/>
        </w:rPr>
      </w:r>
      <w:bookmarkStart w:id="128" w:name="Tc_SkBlzmTLZUKGxqrXRYFTlA_40_5"/>
      <w:bookmarkStart w:id="129" w:name="Tc_dkVQc-ueVE-0cILyCowj2w_40_2"/>
      <w:bookmarkStart w:id="130" w:name="Tc_nUWEBzbfG0SZhwpx3TYzIg_40_0"/>
      <w:bookmarkStart w:id="131" w:name="Tc_TUQUpTM36UiKVbzaVU2pww_39_0"/>
      <w:bookmarkStart w:id="132" w:name="Tc_EvpBfYcOGkuBBltxlN_13w_38_0"/>
      <w:bookmarkStart w:id="133" w:name="Tc_5F2ruI4OMkijlFjnn3ZJng_37_3"/>
      <w:bookmarkStart w:id="134" w:name="Tc_T3wn-N0RpkiPi_JbfADJnA_37_0"/>
      <w:bookmarkStart w:id="135" w:name="Tc_b1aniToYGkSI6LQ8_amwCQ_36_0"/>
      <w:bookmarkStart w:id="136" w:name="Tc_HDtiVkE_gEaOTl_Hd3ujTw_35_0"/>
      <w:bookmarkStart w:id="137" w:name="Tc_7KY273HKuU2WMx0j3IhRMQ_34_0"/>
      <w:bookmarkStart w:id="138" w:name="Tc_emLT9CJSY0qEfdoistBQUw_33_6"/>
      <w:bookmarkStart w:id="139" w:name="Tc_RK5yhIXQK0GYYVh7in9JcQ_33_3"/>
      <w:bookmarkStart w:id="140" w:name="_3e1205f2_cf66_4f9a_a8cf_44970069bf54_3"/>
      <w:bookmarkStart w:id="141" w:name="_3e1205f2_cf66_4f9a_a8cf_44970069bf54_2"/>
      <w:bookmarkStart w:id="142" w:name="_3e1205f2_cf66_4f9a_a8cf_44970069bf54"/>
      <w:bookmarkStart w:id="143" w:name="Tc_p4Pv0Czbd06z0D8rfwJ3_Q_33_0"/>
      <w:bookmarkStart w:id="144" w:name="Tc_0noWbwlfO02jVp1u7MOKLg_32_0"/>
      <w:bookmarkStart w:id="145" w:name="Tc_tPjz1vbZL02K9sTE1Ky1Ww_31_0"/>
      <w:bookmarkStart w:id="146" w:name="Tc_gHcD-RtC2Uywfi9U6ALk7Q_30_0"/>
      <w:bookmarkStart w:id="147" w:name="Tc_eC0c7vWY1k6ots8hZGidyQ_29_0"/>
      <w:bookmarkStart w:id="148" w:name="Tc_7C6qTNCIcEKP6BLgcMYEVA_28_0"/>
      <w:bookmarkStart w:id="149" w:name="Tc_qE49gEoHd0eE8m6oTjWorQ_27_0"/>
      <w:bookmarkStart w:id="150" w:name="Tc_-t6hLicOb0OqWzcZ-DcW6Q_26_0"/>
      <w:bookmarkStart w:id="151" w:name="Tc_r0BKTGTh1Ee1NUaDswZzfg_25_0"/>
      <w:bookmarkStart w:id="152" w:name="Tc_9OFpfNaOOUOuRs6LFwp4hg_24_6"/>
      <w:bookmarkStart w:id="153" w:name="Tc_zh82qdeRg0-R64lcxVAg2w_24_0"/>
      <w:bookmarkStart w:id="154" w:name="Tc_wCTbOWzQa0-iQ53P4IX5IA_23_0"/>
      <w:bookmarkStart w:id="155" w:name="Tc_2kfwGrNKn0iy0xrcnGxe5Q_22_0"/>
      <w:bookmarkStart w:id="156" w:name="Tc_r4aFjtC91EOjr27fLI297g_21_0"/>
      <w:bookmarkStart w:id="157" w:name="Tc_NdRnfejoSEKGpx5MHnxlhw_20_5"/>
      <w:bookmarkStart w:id="158" w:name="Tc_viEBRyW4aUWgCHCsyYTm_g_20_2"/>
      <w:bookmarkStart w:id="159" w:name="Tc_ZvKedm5eOUKStqogjYVTCQ_20_0"/>
      <w:bookmarkStart w:id="160" w:name="Tc_NZWUqFgb_ky0m3tphDDtCg_19_0"/>
      <w:bookmarkStart w:id="161" w:name="Tc_UMtV_dhb-kS41hfQLFylng_18_0"/>
      <w:bookmarkStart w:id="162" w:name="Tc_dVtGOa7NmUqh2NfzapiXlQ_17_5"/>
      <w:bookmarkStart w:id="163" w:name="Tc_8QLvVUS-x0eomwEoth3KjA_17_2"/>
      <w:bookmarkStart w:id="164" w:name="Tc_Cr2LoTn8QEaVAlcelUi2QA_17_0"/>
      <w:bookmarkStart w:id="165" w:name="Tc_i7YXzarZ7kKntrGYOthhQA_16_0"/>
      <w:bookmarkStart w:id="166" w:name="Tc_9o2O2qCmZkKIv7uSv497IQ_15_0"/>
      <w:bookmarkStart w:id="167" w:name="Tc_TnEhjR-NzUGa_KIeEBgN5Q_14_0"/>
      <w:bookmarkStart w:id="168" w:name="Tc_ECVSb0yAY02jwWZuH54DJA_13_0"/>
      <w:bookmarkStart w:id="169" w:name="Tc_MRFCqC21g0yH_MxUleZy5A_12_0"/>
      <w:bookmarkStart w:id="170" w:name="Tc_T3oexg4hJkSOhQDV_dkR0g_11_0"/>
      <w:bookmarkStart w:id="171" w:name="Tc_CRm5N2cuLUuZca0--Q_zNQ_10_0"/>
      <w:bookmarkStart w:id="172" w:name="Tc_WCHKlhVGoUeSyBMPsRuevA_9_0"/>
      <w:bookmarkStart w:id="173" w:name="Tc_8JQgeT-Fo0OlocjutBS8NA_8_0"/>
      <w:bookmarkStart w:id="174" w:name="Tc_7Ojl-x-Qt0q9mIPGNRZl5Q_7_3"/>
      <w:bookmarkStart w:id="175" w:name="Tc_fhyaMcZ7vU2oMNODV3wFCA_7_0"/>
      <w:bookmarkStart w:id="176" w:name="Tc_fKxktBzwKkiWpmnLFcBs1A_6_5"/>
      <w:bookmarkStart w:id="177" w:name="Tc_Y1pTrwpPOkKmAEofLasTSw_6_2"/>
      <w:bookmarkStart w:id="178" w:name="Tc_fGWuEK7Ei02ShhMf2nwMVA_6_0"/>
      <w:bookmarkStart w:id="179" w:name="Tc_-0__xRYRcEOOjyCkF0PhSg_5_0"/>
      <w:bookmarkStart w:id="180" w:name="Tc_vpV-C_YmvEeGDG13AUCwXQ_4_0"/>
      <w:bookmarkStart w:id="181" w:name="Tc_FX3KpvLz8U2mIoXrCYs9dg_3_2"/>
      <w:bookmarkStart w:id="182" w:name="Tc_EAOGk2o7z024S1IJ1tt_wg_2_5"/>
      <w:bookmarkStart w:id="183" w:name="Tc__-39EzSt6EqR4O1ANsVLBg_2_2"/>
      <w:bookmarkStart w:id="184" w:name="Tc_wDHSO0R2iEuVmWJYNSWe_Q_2_0"/>
      <w:bookmarkStart w:id="185" w:name="Tc_LVOnHhCt40K4_UaNlHWnjw_1_5"/>
      <w:bookmarkStart w:id="186" w:name="Tc_YBzZjrDzAUWvNp-Cc3s8OQ_1_2"/>
      <w:bookmarkStart w:id="187" w:name="_6c3c0cba_dd8e_483d_ae5e_303dce73d637"/>
      <w:bookmarkStart w:id="188" w:name="Tc_SkBlzmTLZUKGxqrXRYFTlA_40_5"/>
      <w:bookmarkStart w:id="189" w:name="Tc_dkVQc-ueVE-0cILyCowj2w_40_2"/>
      <w:bookmarkStart w:id="190" w:name="Tc_nUWEBzbfG0SZhwpx3TYzIg_40_0"/>
      <w:bookmarkStart w:id="191" w:name="Tc_TUQUpTM36UiKVbzaVU2pww_39_0"/>
      <w:bookmarkStart w:id="192" w:name="Tc_EvpBfYcOGkuBBltxlN_13w_38_0"/>
      <w:bookmarkStart w:id="193" w:name="Tc_5F2ruI4OMkijlFjnn3ZJng_37_3"/>
      <w:bookmarkStart w:id="194" w:name="Tc_T3wn-N0RpkiPi_JbfADJnA_37_0"/>
      <w:bookmarkStart w:id="195" w:name="Tc_b1aniToYGkSI6LQ8_amwCQ_36_0"/>
      <w:bookmarkStart w:id="196" w:name="Tc_HDtiVkE_gEaOTl_Hd3ujTw_35_0"/>
      <w:bookmarkStart w:id="197" w:name="Tc_7KY273HKuU2WMx0j3IhRMQ_34_0"/>
      <w:bookmarkStart w:id="198" w:name="Tc_emLT9CJSY0qEfdoistBQUw_33_6"/>
      <w:bookmarkStart w:id="199" w:name="Tc_RK5yhIXQK0GYYVh7in9JcQ_33_3"/>
      <w:bookmarkStart w:id="200" w:name="_3e1205f2_cf66_4f9a_a8cf_44970069bf54_3"/>
      <w:bookmarkStart w:id="201" w:name="_3e1205f2_cf66_4f9a_a8cf_44970069bf54_2"/>
      <w:bookmarkStart w:id="202" w:name="_3e1205f2_cf66_4f9a_a8cf_44970069bf54"/>
      <w:bookmarkStart w:id="203" w:name="Tc_p4Pv0Czbd06z0D8rfwJ3_Q_33_0"/>
      <w:bookmarkStart w:id="204" w:name="Tc_0noWbwlfO02jVp1u7MOKLg_32_0"/>
      <w:bookmarkStart w:id="205" w:name="Tc_tPjz1vbZL02K9sTE1Ky1Ww_31_0"/>
      <w:bookmarkStart w:id="206" w:name="Tc_gHcD-RtC2Uywfi9U6ALk7Q_30_0"/>
      <w:bookmarkStart w:id="207" w:name="Tc_eC0c7vWY1k6ots8hZGidyQ_29_0"/>
      <w:bookmarkStart w:id="208" w:name="Tc_7C6qTNCIcEKP6BLgcMYEVA_28_0"/>
      <w:bookmarkStart w:id="209" w:name="Tc_qE49gEoHd0eE8m6oTjWorQ_27_0"/>
      <w:bookmarkStart w:id="210" w:name="Tc_-t6hLicOb0OqWzcZ-DcW6Q_26_0"/>
      <w:bookmarkStart w:id="211" w:name="Tc_r0BKTGTh1Ee1NUaDswZzfg_25_0"/>
      <w:bookmarkStart w:id="212" w:name="Tc_9OFpfNaOOUOuRs6LFwp4hg_24_6"/>
      <w:bookmarkStart w:id="213" w:name="Tc_zh82qdeRg0-R64lcxVAg2w_24_0"/>
      <w:bookmarkStart w:id="214" w:name="Tc_wCTbOWzQa0-iQ53P4IX5IA_23_0"/>
      <w:bookmarkStart w:id="215" w:name="Tc_2kfwGrNKn0iy0xrcnGxe5Q_22_0"/>
      <w:bookmarkStart w:id="216" w:name="Tc_r4aFjtC91EOjr27fLI297g_21_0"/>
      <w:bookmarkStart w:id="217" w:name="Tc_NdRnfejoSEKGpx5MHnxlhw_20_5"/>
      <w:bookmarkStart w:id="218" w:name="Tc_viEBRyW4aUWgCHCsyYTm_g_20_2"/>
      <w:bookmarkStart w:id="219" w:name="Tc_ZvKedm5eOUKStqogjYVTCQ_20_0"/>
      <w:bookmarkStart w:id="220" w:name="Tc_NZWUqFgb_ky0m3tphDDtCg_19_0"/>
      <w:bookmarkStart w:id="221" w:name="Tc_UMtV_dhb-kS41hfQLFylng_18_0"/>
      <w:bookmarkStart w:id="222" w:name="Tc_dVtGOa7NmUqh2NfzapiXlQ_17_5"/>
      <w:bookmarkStart w:id="223" w:name="Tc_8QLvVUS-x0eomwEoth3KjA_17_2"/>
      <w:bookmarkStart w:id="224" w:name="Tc_Cr2LoTn8QEaVAlcelUi2QA_17_0"/>
      <w:bookmarkStart w:id="225" w:name="Tc_i7YXzarZ7kKntrGYOthhQA_16_0"/>
      <w:bookmarkStart w:id="226" w:name="Tc_9o2O2qCmZkKIv7uSv497IQ_15_0"/>
      <w:bookmarkStart w:id="227" w:name="Tc_TnEhjR-NzUGa_KIeEBgN5Q_14_0"/>
      <w:bookmarkStart w:id="228" w:name="Tc_ECVSb0yAY02jwWZuH54DJA_13_0"/>
      <w:bookmarkStart w:id="229" w:name="Tc_MRFCqC21g0yH_MxUleZy5A_12_0"/>
      <w:bookmarkStart w:id="230" w:name="Tc_T3oexg4hJkSOhQDV_dkR0g_11_0"/>
      <w:bookmarkStart w:id="231" w:name="Tc_CRm5N2cuLUuZca0--Q_zNQ_10_0"/>
      <w:bookmarkStart w:id="232" w:name="Tc_WCHKlhVGoUeSyBMPsRuevA_9_0"/>
      <w:bookmarkStart w:id="233" w:name="Tc_8JQgeT-Fo0OlocjutBS8NA_8_0"/>
      <w:bookmarkStart w:id="234" w:name="Tc_7Ojl-x-Qt0q9mIPGNRZl5Q_7_3"/>
      <w:bookmarkStart w:id="235" w:name="Tc_fhyaMcZ7vU2oMNODV3wFCA_7_0"/>
      <w:bookmarkStart w:id="236" w:name="Tc_fKxktBzwKkiWpmnLFcBs1A_6_5"/>
      <w:bookmarkStart w:id="237" w:name="Tc_Y1pTrwpPOkKmAEofLasTSw_6_2"/>
      <w:bookmarkStart w:id="238" w:name="Tc_fGWuEK7Ei02ShhMf2nwMVA_6_0"/>
      <w:bookmarkStart w:id="239" w:name="Tc_-0__xRYRcEOOjyCkF0PhSg_5_0"/>
      <w:bookmarkStart w:id="240" w:name="Tc_vpV-C_YmvEeGDG13AUCwXQ_4_0"/>
      <w:bookmarkStart w:id="241" w:name="Tc_FX3KpvLz8U2mIoXrCYs9dg_3_2"/>
      <w:bookmarkStart w:id="242" w:name="Tc_EAOGk2o7z024S1IJ1tt_wg_2_5"/>
      <w:bookmarkStart w:id="243" w:name="Tc__-39EzSt6EqR4O1ANsVLBg_2_2"/>
      <w:bookmarkStart w:id="244" w:name="Tc_wDHSO0R2iEuVmWJYNSWe_Q_2_0"/>
      <w:bookmarkStart w:id="245" w:name="Tc_LVOnHhCt40K4_UaNlHWnjw_1_5"/>
      <w:bookmarkStart w:id="246" w:name="Tc_YBzZjrDzAUWvNp-Cc3s8OQ_1_2"/>
      <w:bookmarkStart w:id="247" w:name="_6c3c0cba_dd8e_483d_ae5e_303dce73d63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tbl>
      <w:tblPr>
        <w:tblW w:w="10205" w:type="dxa"/>
        <w:jc w:val="left"/>
        <w:tblInd w:w="0" w:type="dxa"/>
        <w:tblLayout w:type="fixed"/>
        <w:tblCellMar>
          <w:top w:w="0" w:type="dxa"/>
          <w:left w:w="0" w:type="dxa"/>
          <w:bottom w:w="0" w:type="dxa"/>
          <w:right w:w="0" w:type="dxa"/>
        </w:tblCellMar>
      </w:tblPr>
      <w:tblGrid>
        <w:gridCol w:w="7238"/>
        <w:gridCol w:w="146"/>
        <w:gridCol w:w="211"/>
        <w:gridCol w:w="1013"/>
        <w:gridCol w:w="326"/>
        <w:gridCol w:w="211"/>
        <w:gridCol w:w="1060"/>
      </w:tblGrid>
      <w:tr>
        <w:trPr/>
        <w:tc>
          <w:tcPr>
            <w:tcW w:w="7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596130" cy="175260"/>
                      <wp:effectExtent l="0" t="0" r="0" b="0"/>
                      <wp:wrapNone/>
                      <wp:docPr id="14" name="Frame14"/>
                      <a:graphic xmlns:a="http://schemas.openxmlformats.org/drawingml/2006/main">
                        <a:graphicData uri="http://schemas.microsoft.com/office/word/2010/wordprocessingShape">
                          <wps:wsp>
                            <wps:cNvSpPr txBox="1"/>
                            <wps:spPr>
                              <a:xfrm>
                                <a:off x="0" y="0"/>
                                <a:ext cx="459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2710" cy="175260"/>
                      <wp:effectExtent l="0" t="0" r="0" b="0"/>
                      <wp:wrapNone/>
                      <wp:docPr id="15"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3255" cy="175260"/>
                      <wp:effectExtent l="0" t="0" r="0" b="0"/>
                      <wp:wrapNone/>
                      <wp:docPr id="17" name="Frame17"/>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73100" cy="175260"/>
                      <wp:effectExtent l="0" t="0" r="0" b="0"/>
                      <wp:wrapNone/>
                      <wp:docPr id="20" name="Frame20"/>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38"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    </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3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par value)</w:t>
            </w:r>
          </w:p>
        </w:tc>
        <w:tc>
          <w:tcPr>
            <w:tcW w:w="146" w:type="dxa"/>
            <w:tcBorders/>
            <w:vAlign w:val="center"/>
          </w:tcPr>
          <w:p>
            <w:pPr>
              <w:pStyle w:val="TableContents"/>
              <w:bidi w:val="0"/>
              <w:spacing w:before="0" w:after="0"/>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23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2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60" w:type="dxa"/>
            <w:tcBorders/>
            <w:vAlign w:val="center"/>
          </w:tcPr>
          <w:p>
            <w:pPr>
              <w:pStyle w:val="TableContents"/>
              <w:bidi w:val="0"/>
              <w:spacing w:before="0" w:after="0"/>
              <w:ind w:left="0" w:right="0" w:hanging="0"/>
              <w:jc w:val="center"/>
              <w:rPr/>
            </w:pPr>
            <w:r>
              <w:rPr/>
              <w:t>​</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13"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60" w:type="dxa"/>
            <w:tcBorders/>
            <w:shd w:fill="CCEEFF" w:val="clear"/>
            <w:vAlign w:val="center"/>
          </w:tcPr>
          <w:p>
            <w:pPr>
              <w:pStyle w:val="TableContents"/>
              <w:bidi w:val="0"/>
              <w:spacing w:before="0" w:after="0"/>
              <w:ind w:left="0" w:right="0" w:hanging="0"/>
              <w:jc w:val="center"/>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263,584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146,475</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98,031</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78,811</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12,889</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337,522</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169,699</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92,454</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Amortizable 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168,381</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160,766</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930,463</w:t>
            </w:r>
          </w:p>
        </w:tc>
      </w:tr>
      <w:tr>
        <w:trPr/>
        <w:tc>
          <w:tcPr>
            <w:tcW w:w="723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 and benefits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10,250</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lease liability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11,024</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97,033</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 noncurrent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 less current portion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88,257</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228,789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212,449</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  </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pPr>
            <w:r>
              <w:rPr/>
              <w:t>  </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10,000 shares authorized; 0 shares issued and outstanding at September 30, 2024 and December 31, 2023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pPr>
            <w:r>
              <w:rPr/>
              <w:t>—</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100,000 shares authorized; 54,090 and 53,970 shares issued and 29,274 and 29,953 shares outstanding at September 30, 2024 and December 31, 2023,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Treasury stock, at cost, 24,816 and 24,017 shares of common stock at September 30, 2024 and December 31, 2023, respectively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(1,958,837)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(1,849,693)</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322,512</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2,389,067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2,244,712</w:t>
            </w:r>
          </w:p>
        </w:tc>
      </w:tr>
      <w:tr>
        <w:trPr/>
        <w:tc>
          <w:tcPr>
            <w:tcW w:w="72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764,137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718,014</w:t>
            </w:r>
          </w:p>
        </w:tc>
      </w:tr>
      <w:tr>
        <w:trPr/>
        <w:tc>
          <w:tcPr>
            <w:tcW w:w="72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992,926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930,463</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8" w:name="_25374677_f381_4041_9f90_919c21de49c8"/>
      <w:bookmarkEnd w:id="248"/>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9" w:name="Tc_NH2fwkKTT0KQ9WCOQ0fm3g_8_11"/>
      <w:bookmarkStart w:id="250" w:name="Tc_lXYOjyPG8ky_uyMAjTQGiA_8_8"/>
      <w:bookmarkStart w:id="251" w:name="Tc_pFX7NLuaa0-EyuRT5p6Jnw_8_5"/>
      <w:bookmarkStart w:id="252" w:name="Tc_2BcQs_J9WEOSXovmWGSXyg_8_2"/>
      <w:bookmarkStart w:id="253" w:name="Tc_Lm0mZkIxc0OUGNW1RXeE_A_8_0"/>
      <w:bookmarkStart w:id="254" w:name="Tc_MEdKdM9KHkK_qZGFq_BDow_7_9"/>
      <w:bookmarkStart w:id="255" w:name="Tc_AFioIi6hx0ScxkNiucjD3A_7_3"/>
      <w:bookmarkStart w:id="256" w:name="Tc_oE84rdMbb0ahWpGWIxejAg_7_0"/>
      <w:bookmarkStart w:id="257" w:name="Tc_viglmR6fQkiERv-M-pRfwg_6_12"/>
      <w:bookmarkStart w:id="258" w:name="Tc_Tc2NnZgHgkiiHAkAd__Ngw_6_6"/>
      <w:bookmarkStart w:id="259" w:name="Tc_0P6JdEkek0mKP8lMPq34SA_6_0"/>
      <w:bookmarkStart w:id="260" w:name="Tc_xcOdD4TZcUiFmJ94oBcDOA_5_0"/>
      <w:bookmarkStart w:id="261" w:name="Tc_x37qXMA2lkS4LDQ-cnidzg_4_11"/>
      <w:bookmarkStart w:id="262" w:name="Tc_MiVKdyHnHUiOEZK1PuBwbA_4_8"/>
      <w:bookmarkStart w:id="263" w:name="Tc_Hwk0_1Bue0O5m0u0g9njew_4_5"/>
      <w:bookmarkStart w:id="264" w:name="Tc_zm7KKCgXBkqZEMlIK_Y0fg_4_2"/>
      <w:bookmarkStart w:id="265" w:name="Tc_JT9InDoEdE-Ln8qEZ1t_QA_4_0"/>
      <w:bookmarkStart w:id="266" w:name="Tc_dmd7e-3mf0K2ZTjYoLVWYQ_3_11"/>
      <w:bookmarkStart w:id="267" w:name="Tc_VykQmIKvCkyR0eUPOzTmnQ_3_8"/>
      <w:bookmarkStart w:id="268" w:name="Tc___-78Bqn00qFW8J4YCvUlw_3_5"/>
      <w:bookmarkStart w:id="269" w:name="Tc_vPrgecaFNEamXOdlRhKDgw_3_2"/>
      <w:bookmarkStart w:id="270" w:name="Tc_KYsUloQd1k6E_0jCxqrzjg_3_0"/>
      <w:bookmarkStart w:id="271" w:name="Tc_R-YtpDsp_U2rNtPptm0o3w_2_8"/>
      <w:bookmarkStart w:id="272" w:name="Tc_JV9-50IJC0KkzyC8CNZa7w_2_2"/>
      <w:bookmarkStart w:id="273" w:name="Tc_rNXJ6m9UKkOAHQ8aRlj6Ig_1_8"/>
      <w:bookmarkStart w:id="274" w:name="Tc_VfenNUNK4UqftXFf0SxmTw_1_2"/>
      <w:bookmarkStart w:id="275" w:name="_743169c8_3c37_4d4a_98c4_685ccd32df4d"/>
      <w:bookmarkStart w:id="276" w:name="Tc_NH2fwkKTT0KQ9WCOQ0fm3g_8_11"/>
      <w:bookmarkStart w:id="277" w:name="Tc_lXYOjyPG8ky_uyMAjTQGiA_8_8"/>
      <w:bookmarkStart w:id="278" w:name="Tc_pFX7NLuaa0-EyuRT5p6Jnw_8_5"/>
      <w:bookmarkStart w:id="279" w:name="Tc_2BcQs_J9WEOSXovmWGSXyg_8_2"/>
      <w:bookmarkStart w:id="280" w:name="Tc_Lm0mZkIxc0OUGNW1RXeE_A_8_0"/>
      <w:bookmarkStart w:id="281" w:name="Tc_MEdKdM9KHkK_qZGFq_BDow_7_9"/>
      <w:bookmarkStart w:id="282" w:name="Tc_AFioIi6hx0ScxkNiucjD3A_7_3"/>
      <w:bookmarkStart w:id="283" w:name="Tc_oE84rdMbb0ahWpGWIxejAg_7_0"/>
      <w:bookmarkStart w:id="284" w:name="Tc_viglmR6fQkiERv-M-pRfwg_6_12"/>
      <w:bookmarkStart w:id="285" w:name="Tc_Tc2NnZgHgkiiHAkAd__Ngw_6_6"/>
      <w:bookmarkStart w:id="286" w:name="Tc_0P6JdEkek0mKP8lMPq34SA_6_0"/>
      <w:bookmarkStart w:id="287" w:name="Tc_xcOdD4TZcUiFmJ94oBcDOA_5_0"/>
      <w:bookmarkStart w:id="288" w:name="Tc_x37qXMA2lkS4LDQ-cnidzg_4_11"/>
      <w:bookmarkStart w:id="289" w:name="Tc_MiVKdyHnHUiOEZK1PuBwbA_4_8"/>
      <w:bookmarkStart w:id="290" w:name="Tc_Hwk0_1Bue0O5m0u0g9njew_4_5"/>
      <w:bookmarkStart w:id="291" w:name="Tc_zm7KKCgXBkqZEMlIK_Y0fg_4_2"/>
      <w:bookmarkStart w:id="292" w:name="Tc_JT9InDoEdE-Ln8qEZ1t_QA_4_0"/>
      <w:bookmarkStart w:id="293" w:name="Tc_dmd7e-3mf0K2ZTjYoLVWYQ_3_11"/>
      <w:bookmarkStart w:id="294" w:name="Tc_VykQmIKvCkyR0eUPOzTmnQ_3_8"/>
      <w:bookmarkStart w:id="295" w:name="Tc___-78Bqn00qFW8J4YCvUlw_3_5"/>
      <w:bookmarkStart w:id="296" w:name="Tc_vPrgecaFNEamXOdlRhKDgw_3_2"/>
      <w:bookmarkStart w:id="297" w:name="Tc_KYsUloQd1k6E_0jCxqrzjg_3_0"/>
      <w:bookmarkStart w:id="298" w:name="Tc_R-YtpDsp_U2rNtPptm0o3w_2_8"/>
      <w:bookmarkStart w:id="299" w:name="Tc_JV9-50IJC0KkzyC8CNZa7w_2_2"/>
      <w:bookmarkStart w:id="300" w:name="Tc_rNXJ6m9UKkOAHQ8aRlj6Ig_1_8"/>
      <w:bookmarkStart w:id="301" w:name="Tc_VfenNUNK4UqftXFf0SxmTw_1_2"/>
      <w:bookmarkStart w:id="302" w:name="_743169c8_3c37_4d4a_98c4_685ccd32df4d"/>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Layout w:type="fixed"/>
        <w:tblCellMar>
          <w:top w:w="0" w:type="dxa"/>
          <w:left w:w="0" w:type="dxa"/>
          <w:bottom w:w="0" w:type="dxa"/>
          <w:right w:w="0" w:type="dxa"/>
        </w:tblCellMar>
      </w:tblPr>
      <w:tblGrid>
        <w:gridCol w:w="5208"/>
        <w:gridCol w:w="146"/>
        <w:gridCol w:w="211"/>
        <w:gridCol w:w="676"/>
        <w:gridCol w:w="326"/>
        <w:gridCol w:w="211"/>
        <w:gridCol w:w="676"/>
        <w:gridCol w:w="326"/>
        <w:gridCol w:w="211"/>
        <w:gridCol w:w="781"/>
        <w:gridCol w:w="326"/>
        <w:gridCol w:w="211"/>
        <w:gridCol w:w="896"/>
      </w:tblGrid>
      <w:tr>
        <w:trPr/>
        <w:tc>
          <w:tcPr>
            <w:tcW w:w="520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175260"/>
                      <wp:effectExtent l="0" t="0" r="0" b="0"/>
                      <wp:wrapNone/>
                      <wp:docPr id="23" name="Frame2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8960" cy="175260"/>
                      <wp:effectExtent l="0" t="0" r="0" b="0"/>
                      <wp:wrapNone/>
                      <wp:docPr id="32" name="Frame3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208"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2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124,276</w:t>
            </w:r>
          </w:p>
        </w:tc>
      </w:tr>
      <w:tr>
        <w:trPr/>
        <w:tc>
          <w:tcPr>
            <w:tcW w:w="52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  </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Realized gains on available-for-sale securities, net of taxes of $39 for the three months ended September 30, 2024, and $17 for the nine months ended September 30, 2024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52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available-for-sale securities, net of taxes of $30 for the three months ended September 30, 2023, and $19 for the nine months ended September 30, 2023</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52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124,216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03" w:name="_75b26076_7870_463c_9e01_8f5c236c45ed"/>
      <w:bookmarkEnd w:id="303"/>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04" w:name="Tc_tRnTIxQ_5kuwBbmTXUy60Q_21_21"/>
      <w:bookmarkStart w:id="305" w:name="Tc_0PAujR3YtE2EeyJRVlFKsw_21_18"/>
      <w:bookmarkStart w:id="306" w:name="Tc_FKPaeLheMUqijbZysX8_Fw_21_16"/>
      <w:bookmarkStart w:id="307" w:name="Tc_VDl26KgsD0uadnQLoC20BA_21_15"/>
      <w:bookmarkStart w:id="308" w:name="Tc_TujZCWgtSkK6cGtRlrJu6w_21_12"/>
      <w:bookmarkStart w:id="309" w:name="Tc_4NPnkgbTzU-Dy1WQs5nlvA_21_9"/>
      <w:bookmarkStart w:id="310" w:name="Tc_ZVIHzKbzdEOefxAnxeK7ng_21_4"/>
      <w:bookmarkStart w:id="311" w:name="Tc_4L7QUJryfUWUvylzSeuxMQ_21_0"/>
      <w:bookmarkStart w:id="312" w:name="Tc_Is-Rw2YpQkaEJx7tCkBW2Q_20_19"/>
      <w:bookmarkStart w:id="313" w:name="Tc_fAJ3PsPQmki7dk1f5Sj-xQ_20_16"/>
      <w:bookmarkStart w:id="314" w:name="Tc_GOJWbyzexkWBikLCrC5u8A_20_5"/>
      <w:bookmarkStart w:id="315" w:name="Tc_Ajag1qKQbEq1t87ONVHSrg_20_2"/>
      <w:bookmarkStart w:id="316" w:name="Tc_yCVSRPqnkkGXcrc66DCNCg_20_0"/>
      <w:bookmarkStart w:id="317" w:name="Tc_ecAMjdCCAE-TXCrJl4tKIg_19_22"/>
      <w:bookmarkStart w:id="318" w:name="Tc_CLqyUNW_M0KBP89yxoLamA_19_19"/>
      <w:bookmarkStart w:id="319" w:name="Tc_Alxb5gMNZEWXVuGtdQ8NAg_19_16"/>
      <w:bookmarkStart w:id="320" w:name="Tc_PtNxmcXrvUqjE6_VxvXsxA_19_13"/>
      <w:bookmarkStart w:id="321" w:name="Tc_Qb0g3fe5rEiggAsCdFwXWw_19_10"/>
      <w:bookmarkStart w:id="322" w:name="Tc_a0LyoHn8WEWfJRwlRjZ4WQ_19_7"/>
      <w:bookmarkStart w:id="323" w:name="Tc_b1HyAlEYQ0KzAQHAYsNDAQ_19_5"/>
      <w:bookmarkStart w:id="324" w:name="Tc_oG9oyGczoEaTqGOxq2cevQ_19_2"/>
      <w:bookmarkStart w:id="325" w:name="Tc_y7fqHpuMz02sd2ASLG9INA_19_0"/>
      <w:bookmarkStart w:id="326" w:name="Tc_-QN2AYTO3Ea8uieTRzkpJQ_18_19"/>
      <w:bookmarkStart w:id="327" w:name="Tc_08OGnVzS1k2Y72m5YMaiwA_18_16"/>
      <w:bookmarkStart w:id="328" w:name="Tc_4d4vk0TfG0KrIsJNGDCcqQ_18_13"/>
      <w:bookmarkStart w:id="329" w:name="Tc_YbS8gd87skuYc1_x19TeaQ_18_5"/>
      <w:bookmarkStart w:id="330" w:name="Tc_nW8xflfn8kWRmWKJG5qDfw_18_2"/>
      <w:bookmarkStart w:id="331" w:name="Tc_PPzS6pKu0U2G8DQC29kygw_18_0"/>
      <w:bookmarkStart w:id="332" w:name="Tc_yyx34OI1Hkes4BNTAH1huQ_17_13"/>
      <w:bookmarkStart w:id="333" w:name="Tc_G_i-_NON3EqFTfpOHQ0D2g_17_10"/>
      <w:bookmarkStart w:id="334" w:name="Tc_pyIim1LLEEGvBq38FSYl5Q_17_7"/>
      <w:bookmarkStart w:id="335" w:name="Tc_MSHRFAckuECPmi-v5u6Qiw_17_5"/>
      <w:bookmarkStart w:id="336" w:name="Tc_O0VvYHpnYkuZGkd2tJBxSg_17_2"/>
      <w:bookmarkStart w:id="337" w:name="Tc_3QMvH0p2AkKtJ7-02i1l-g_17_0"/>
      <w:bookmarkStart w:id="338" w:name="Tc_vmtUUoe1O0yoKmg01iIDdg_16_21"/>
      <w:bookmarkStart w:id="339" w:name="Tc_QL0Lw6r1tU2Txa18ruf5OQ_16_18"/>
      <w:bookmarkStart w:id="340" w:name="Tc_8qKOgGwI70O58MQ_jO81fA_16_15"/>
      <w:bookmarkStart w:id="341" w:name="Tc_E5Ozxsl5R0SbIjrl_H7rUQ_16_12"/>
      <w:bookmarkStart w:id="342" w:name="Tc_RKH68M4nTES4N4uRV-fUJQ_16_9"/>
      <w:bookmarkStart w:id="343" w:name="Tc_XFf9JDrAoUun0JXPHT26Pw_16_4"/>
      <w:bookmarkStart w:id="344" w:name="Tc_MQpNMV5L_0q1TCO0SO8-TA_16_0"/>
      <w:bookmarkStart w:id="345" w:name="Tc_zEHjrPv-q0y6rpkRgLIkvg_15_19"/>
      <w:bookmarkStart w:id="346" w:name="Tc_yL_gRlPNbkeFM__6wemmng_15_16"/>
      <w:bookmarkStart w:id="347" w:name="Tc_zlCHgAyHgE-gT_JW3PD1Hw_15_10"/>
      <w:bookmarkStart w:id="348" w:name="Tc_5R7GGp5WK0u6LgbJS-pqXg_15_7"/>
      <w:bookmarkStart w:id="349" w:name="Tc_Z_t7PcgJHUOh8q_LRUyYWg_15_5"/>
      <w:bookmarkStart w:id="350" w:name="Tc_4kDf3W1QoUORC4HVNDom1A_15_0"/>
      <w:bookmarkStart w:id="351" w:name="Tc_LWAXqbsA7UOPoQY44F6WTA_14_22"/>
      <w:bookmarkStart w:id="352" w:name="Tc_8prOY6KF80Ga0S9w9D3a_g_14_19"/>
      <w:bookmarkStart w:id="353" w:name="Tc_oPbQoWQGDUevwk0a0VZllA_14_16"/>
      <w:bookmarkStart w:id="354" w:name="Tc_O1T2DcFqDkuGP2Pe9dys_w_14_13"/>
      <w:bookmarkStart w:id="355" w:name="Tc_vZXYZo5bWEO4c_XSKWUs9Q_14_10"/>
      <w:bookmarkStart w:id="356" w:name="Tc_x-QntySsPkqmsK7JFt2Zeg_14_5"/>
      <w:bookmarkStart w:id="357" w:name="Tc_xHCYpQQec0OoJ9TdSS2BLw_14_2"/>
      <w:bookmarkStart w:id="358" w:name="Tc_gN51dOV4QkapjPeiTfy4aA_14_0"/>
      <w:bookmarkStart w:id="359" w:name="Tc_PRBAcqcpqk2ysKHgZuDNcw_13_19"/>
      <w:bookmarkStart w:id="360" w:name="Tc_oQop2TtiOEKYDxqozfz15w_13_16"/>
      <w:bookmarkStart w:id="361" w:name="Tc_32nHWrTBFU-OwVkKnZV9vQ_13_13"/>
      <w:bookmarkStart w:id="362" w:name="Tc_go9FGFYmyUaCN4vbdtrfyA_13_5"/>
      <w:bookmarkStart w:id="363" w:name="Tc_T-UJ8a4cJ0KclNPoSZnFXg_13_2"/>
      <w:bookmarkStart w:id="364" w:name="Tc_sLvNHUUOYUqy5bc_M86fjQ_13_0"/>
      <w:bookmarkStart w:id="365" w:name="Tc_X5d36Da7MUezDIx8NhFRWA_12_13"/>
      <w:bookmarkStart w:id="366" w:name="Tc_Kp4xCV1yuUyEspa3UembkA_12_10"/>
      <w:bookmarkStart w:id="367" w:name="Tc_la9MSvXpKEu8VxN5lgrHhQ_12_7"/>
      <w:bookmarkStart w:id="368" w:name="Tc_pas-sCjJV0mBipoCwHFazw_12_5"/>
      <w:bookmarkStart w:id="369" w:name="Tc_HzY0Y0UqE0aQitLJIPL0lw_12_2"/>
      <w:bookmarkStart w:id="370" w:name="Tc_WnmTDHl0gUSiihiRmYd5pQ_12_0"/>
      <w:bookmarkStart w:id="371" w:name="Tc_9pz5ysarwEOKGtpp5xJp1g_11_21"/>
      <w:bookmarkStart w:id="372" w:name="Tc_WWXMuJh0TkGJph2euNVmCw_11_18"/>
      <w:bookmarkStart w:id="373" w:name="Tc_MNQQrDJZZUunmT_0D0uZ5w_11_15"/>
      <w:bookmarkStart w:id="374" w:name="Tc_BggmvOHbaUai9noiVSugbg_11_12"/>
      <w:bookmarkStart w:id="375" w:name="Tc_dTxPG1HxFEq-Scp8_-sThA_11_9"/>
      <w:bookmarkStart w:id="376" w:name="Tc_rv902Yj560-RUHq_fcSl3g_11_4"/>
      <w:bookmarkStart w:id="377" w:name="Tc_0eXAVIZOLEqSbwNrvx7kwA_11_0"/>
      <w:bookmarkStart w:id="378" w:name="Tc_BOg9R7kHp0mMaPLubn0yhw_10_19"/>
      <w:bookmarkStart w:id="379" w:name="Tc_-KgzQBT55ES4PaMK-vitiw_10_16"/>
      <w:bookmarkStart w:id="380" w:name="Tc_ltlMh6zwxEGsHweeGDG18A_10_0"/>
      <w:bookmarkStart w:id="381" w:name="Tc_2LoKbpEuaUOqUT-nawVa6g_9_22"/>
      <w:bookmarkStart w:id="382" w:name="Tc_4CIhEx-Pxkuzptx_1n1whg_9_19"/>
      <w:bookmarkStart w:id="383" w:name="Tc_tXcYglEJD0WWAXS6s32x5g_9_16"/>
      <w:bookmarkStart w:id="384" w:name="Tc_wzhl29DDHEyyvnlBZ24RZw_9_13"/>
      <w:bookmarkStart w:id="385" w:name="Tc_WIEd5IsOFESwSQ_M__eI6A_9_10"/>
      <w:bookmarkStart w:id="386" w:name="Tc_OrkFlHE_8U6Ce_S7PovjJA_9_5"/>
      <w:bookmarkStart w:id="387" w:name="Tc_SYtlRsd9EUqg6OyBQvNbMA_9_2"/>
      <w:bookmarkStart w:id="388" w:name="Tc_7iRUQ64zFkCdxRGtdPuv2g_9_0"/>
      <w:bookmarkStart w:id="389" w:name="Tc_qb2YwoTtREqAHlCz8Yt7Gw_8_19"/>
      <w:bookmarkStart w:id="390" w:name="Tc_oWi5vQi17Ua3ctIhOjHjNw_8_16"/>
      <w:bookmarkStart w:id="391" w:name="Tc_Q7IHPxXV6E6iNor9XmlGrA_8_13"/>
      <w:bookmarkStart w:id="392" w:name="Tc_YpExdZwPckSapGC2DJNlig_8_5"/>
      <w:bookmarkStart w:id="393" w:name="Tc_Wk4qYYjcmkONuQj8-0Grrw_8_2"/>
      <w:bookmarkStart w:id="394" w:name="Tc_1SA38QuOa0qXPu1zspoitA_8_0"/>
      <w:bookmarkStart w:id="395" w:name="Tc_AYAHz6ZpxE2M6YoZ5AT5Xg_7_13"/>
      <w:bookmarkStart w:id="396" w:name="Tc_e1AxRmk-0UyFv68otCV1XQ_7_10"/>
      <w:bookmarkStart w:id="397" w:name="Tc_VSzhnlUI10ysG1Hy-eNNYg_7_7"/>
      <w:bookmarkStart w:id="398" w:name="Tc_PsRuU5wOt0e3vzNlVyyNaw_7_5"/>
      <w:bookmarkStart w:id="399" w:name="Tc_IoWULYeD80WQtUIZNdXIdA_7_2"/>
      <w:bookmarkStart w:id="400" w:name="Tc_x4LslN9u2EaSBBMLTR1mgg_7_0"/>
      <w:bookmarkStart w:id="401" w:name="Tc_Bse8v3WyUU69-uuR-JExTQ_6_21"/>
      <w:bookmarkStart w:id="402" w:name="Tc_Ko2g3goWSUOJ_KPW_qocWw_6_18"/>
      <w:bookmarkStart w:id="403" w:name="Tc_Zsu8_tNI8EGcSBNEGTflXA_6_15"/>
      <w:bookmarkStart w:id="404" w:name="Tc_vNotzVjSvkGN_iINmCGNrA_6_12"/>
      <w:bookmarkStart w:id="405" w:name="Tc_4QQi3JKzvEugDL2tuScb2Q_6_9"/>
      <w:bookmarkStart w:id="406" w:name="Tc_RBvJZ1pRqk6cSzgc5VGBIA_6_4"/>
      <w:bookmarkStart w:id="407" w:name="Tc_MPmDgpuAskGpgcT0g4m5EQ_6_0"/>
      <w:bookmarkStart w:id="408" w:name="Tc_LWbclYs7IkqqiGA3Itt_9w_5_21"/>
      <w:bookmarkStart w:id="409" w:name="Tc_PEdAZ1SpfUKirbOgbiLAMg_5_18"/>
      <w:bookmarkStart w:id="410" w:name="Tc_CD7I9xsCy0OyiSZTvkg-wQ_5_15"/>
      <w:bookmarkStart w:id="411" w:name="Tc_16TPEwT3d0SocFoaIeePVg_5_12"/>
      <w:bookmarkStart w:id="412" w:name="Tc_sge5vvjM_k2lJ00LnQ2TLg_5_9"/>
      <w:bookmarkStart w:id="413" w:name="Tc_RiRGis-hzEq_q9g6YC050w_5_7"/>
      <w:bookmarkStart w:id="414" w:name="Tc_a8HbrvU_rkGxvuGB6vAO0g_5_4"/>
      <w:bookmarkStart w:id="415" w:name="Tc_L6BNG4sXiUaelvToRhflLg_5_2"/>
      <w:bookmarkStart w:id="416" w:name="Tc_xqfczjRew0-qBon1aNMDIw_4_18"/>
      <w:bookmarkStart w:id="417" w:name="Tc_EnAAKx2xKkGHu6w4Lr9DvA_4_15"/>
      <w:bookmarkStart w:id="418" w:name="Tc__09sAHsh3EKJrzQmPGgGsA_4_12"/>
      <w:bookmarkStart w:id="419" w:name="Tc_8O2KGMYy1Uqsjn-unlOJyA_4_7"/>
      <w:bookmarkStart w:id="420" w:name="Tc_pDE9aOFIL02sqXVkQo3SnQ_4_2"/>
      <w:bookmarkStart w:id="421" w:name="Tc_4D2dbpB4C0aWfozYGmSWJw_3_15"/>
      <w:bookmarkStart w:id="422" w:name="Tc_o_Lu410hcEOLFUi6Vr3FTA_3_12"/>
      <w:bookmarkStart w:id="423" w:name="Tc_fYEUiscCvk2PNnhcynnvPQ_2_15"/>
      <w:bookmarkStart w:id="424" w:name="Tc_S9FwYUySGEeYTS_nI_NuGQ_1_2"/>
      <w:bookmarkStart w:id="425" w:name="_6c2148fc_67e0_4c26_b347_3f3814c45b99"/>
      <w:bookmarkStart w:id="426" w:name="Tc_tRnTIxQ_5kuwBbmTXUy60Q_21_21"/>
      <w:bookmarkStart w:id="427" w:name="Tc_0PAujR3YtE2EeyJRVlFKsw_21_18"/>
      <w:bookmarkStart w:id="428" w:name="Tc_FKPaeLheMUqijbZysX8_Fw_21_16"/>
      <w:bookmarkStart w:id="429" w:name="Tc_VDl26KgsD0uadnQLoC20BA_21_15"/>
      <w:bookmarkStart w:id="430" w:name="Tc_TujZCWgtSkK6cGtRlrJu6w_21_12"/>
      <w:bookmarkStart w:id="431" w:name="Tc_4NPnkgbTzU-Dy1WQs5nlvA_21_9"/>
      <w:bookmarkStart w:id="432" w:name="Tc_ZVIHzKbzdEOefxAnxeK7ng_21_4"/>
      <w:bookmarkStart w:id="433" w:name="Tc_4L7QUJryfUWUvylzSeuxMQ_21_0"/>
      <w:bookmarkStart w:id="434" w:name="Tc_Is-Rw2YpQkaEJx7tCkBW2Q_20_19"/>
      <w:bookmarkStart w:id="435" w:name="Tc_fAJ3PsPQmki7dk1f5Sj-xQ_20_16"/>
      <w:bookmarkStart w:id="436" w:name="Tc_GOJWbyzexkWBikLCrC5u8A_20_5"/>
      <w:bookmarkStart w:id="437" w:name="Tc_Ajag1qKQbEq1t87ONVHSrg_20_2"/>
      <w:bookmarkStart w:id="438" w:name="Tc_yCVSRPqnkkGXcrc66DCNCg_20_0"/>
      <w:bookmarkStart w:id="439" w:name="Tc_ecAMjdCCAE-TXCrJl4tKIg_19_22"/>
      <w:bookmarkStart w:id="440" w:name="Tc_CLqyUNW_M0KBP89yxoLamA_19_19"/>
      <w:bookmarkStart w:id="441" w:name="Tc_Alxb5gMNZEWXVuGtdQ8NAg_19_16"/>
      <w:bookmarkStart w:id="442" w:name="Tc_PtNxmcXrvUqjE6_VxvXsxA_19_13"/>
      <w:bookmarkStart w:id="443" w:name="Tc_Qb0g3fe5rEiggAsCdFwXWw_19_10"/>
      <w:bookmarkStart w:id="444" w:name="Tc_a0LyoHn8WEWfJRwlRjZ4WQ_19_7"/>
      <w:bookmarkStart w:id="445" w:name="Tc_b1HyAlEYQ0KzAQHAYsNDAQ_19_5"/>
      <w:bookmarkStart w:id="446" w:name="Tc_oG9oyGczoEaTqGOxq2cevQ_19_2"/>
      <w:bookmarkStart w:id="447" w:name="Tc_y7fqHpuMz02sd2ASLG9INA_19_0"/>
      <w:bookmarkStart w:id="448" w:name="Tc_-QN2AYTO3Ea8uieTRzkpJQ_18_19"/>
      <w:bookmarkStart w:id="449" w:name="Tc_08OGnVzS1k2Y72m5YMaiwA_18_16"/>
      <w:bookmarkStart w:id="450" w:name="Tc_4d4vk0TfG0KrIsJNGDCcqQ_18_13"/>
      <w:bookmarkStart w:id="451" w:name="Tc_YbS8gd87skuYc1_x19TeaQ_18_5"/>
      <w:bookmarkStart w:id="452" w:name="Tc_nW8xflfn8kWRmWKJG5qDfw_18_2"/>
      <w:bookmarkStart w:id="453" w:name="Tc_PPzS6pKu0U2G8DQC29kygw_18_0"/>
      <w:bookmarkStart w:id="454" w:name="Tc_yyx34OI1Hkes4BNTAH1huQ_17_13"/>
      <w:bookmarkStart w:id="455" w:name="Tc_G_i-_NON3EqFTfpOHQ0D2g_17_10"/>
      <w:bookmarkStart w:id="456" w:name="Tc_pyIim1LLEEGvBq38FSYl5Q_17_7"/>
      <w:bookmarkStart w:id="457" w:name="Tc_MSHRFAckuECPmi-v5u6Qiw_17_5"/>
      <w:bookmarkStart w:id="458" w:name="Tc_O0VvYHpnYkuZGkd2tJBxSg_17_2"/>
      <w:bookmarkStart w:id="459" w:name="Tc_3QMvH0p2AkKtJ7-02i1l-g_17_0"/>
      <w:bookmarkStart w:id="460" w:name="Tc_vmtUUoe1O0yoKmg01iIDdg_16_21"/>
      <w:bookmarkStart w:id="461" w:name="Tc_QL0Lw6r1tU2Txa18ruf5OQ_16_18"/>
      <w:bookmarkStart w:id="462" w:name="Tc_8qKOgGwI70O58MQ_jO81fA_16_15"/>
      <w:bookmarkStart w:id="463" w:name="Tc_E5Ozxsl5R0SbIjrl_H7rUQ_16_12"/>
      <w:bookmarkStart w:id="464" w:name="Tc_RKH68M4nTES4N4uRV-fUJQ_16_9"/>
      <w:bookmarkStart w:id="465" w:name="Tc_XFf9JDrAoUun0JXPHT26Pw_16_4"/>
      <w:bookmarkStart w:id="466" w:name="Tc_MQpNMV5L_0q1TCO0SO8-TA_16_0"/>
      <w:bookmarkStart w:id="467" w:name="Tc_zEHjrPv-q0y6rpkRgLIkvg_15_19"/>
      <w:bookmarkStart w:id="468" w:name="Tc_yL_gRlPNbkeFM__6wemmng_15_16"/>
      <w:bookmarkStart w:id="469" w:name="Tc_zlCHgAyHgE-gT_JW3PD1Hw_15_10"/>
      <w:bookmarkStart w:id="470" w:name="Tc_5R7GGp5WK0u6LgbJS-pqXg_15_7"/>
      <w:bookmarkStart w:id="471" w:name="Tc_Z_t7PcgJHUOh8q_LRUyYWg_15_5"/>
      <w:bookmarkStart w:id="472" w:name="Tc_4kDf3W1QoUORC4HVNDom1A_15_0"/>
      <w:bookmarkStart w:id="473" w:name="Tc_LWAXqbsA7UOPoQY44F6WTA_14_22"/>
      <w:bookmarkStart w:id="474" w:name="Tc_8prOY6KF80Ga0S9w9D3a_g_14_19"/>
      <w:bookmarkStart w:id="475" w:name="Tc_oPbQoWQGDUevwk0a0VZllA_14_16"/>
      <w:bookmarkStart w:id="476" w:name="Tc_O1T2DcFqDkuGP2Pe9dys_w_14_13"/>
      <w:bookmarkStart w:id="477" w:name="Tc_vZXYZo5bWEO4c_XSKWUs9Q_14_10"/>
      <w:bookmarkStart w:id="478" w:name="Tc_x-QntySsPkqmsK7JFt2Zeg_14_5"/>
      <w:bookmarkStart w:id="479" w:name="Tc_xHCYpQQec0OoJ9TdSS2BLw_14_2"/>
      <w:bookmarkStart w:id="480" w:name="Tc_gN51dOV4QkapjPeiTfy4aA_14_0"/>
      <w:bookmarkStart w:id="481" w:name="Tc_PRBAcqcpqk2ysKHgZuDNcw_13_19"/>
      <w:bookmarkStart w:id="482" w:name="Tc_oQop2TtiOEKYDxqozfz15w_13_16"/>
      <w:bookmarkStart w:id="483" w:name="Tc_32nHWrTBFU-OwVkKnZV9vQ_13_13"/>
      <w:bookmarkStart w:id="484" w:name="Tc_go9FGFYmyUaCN4vbdtrfyA_13_5"/>
      <w:bookmarkStart w:id="485" w:name="Tc_T-UJ8a4cJ0KclNPoSZnFXg_13_2"/>
      <w:bookmarkStart w:id="486" w:name="Tc_sLvNHUUOYUqy5bc_M86fjQ_13_0"/>
      <w:bookmarkStart w:id="487" w:name="Tc_X5d36Da7MUezDIx8NhFRWA_12_13"/>
      <w:bookmarkStart w:id="488" w:name="Tc_Kp4xCV1yuUyEspa3UembkA_12_10"/>
      <w:bookmarkStart w:id="489" w:name="Tc_la9MSvXpKEu8VxN5lgrHhQ_12_7"/>
      <w:bookmarkStart w:id="490" w:name="Tc_pas-sCjJV0mBipoCwHFazw_12_5"/>
      <w:bookmarkStart w:id="491" w:name="Tc_HzY0Y0UqE0aQitLJIPL0lw_12_2"/>
      <w:bookmarkStart w:id="492" w:name="Tc_WnmTDHl0gUSiihiRmYd5pQ_12_0"/>
      <w:bookmarkStart w:id="493" w:name="Tc_9pz5ysarwEOKGtpp5xJp1g_11_21"/>
      <w:bookmarkStart w:id="494" w:name="Tc_WWXMuJh0TkGJph2euNVmCw_11_18"/>
      <w:bookmarkStart w:id="495" w:name="Tc_MNQQrDJZZUunmT_0D0uZ5w_11_15"/>
      <w:bookmarkStart w:id="496" w:name="Tc_BggmvOHbaUai9noiVSugbg_11_12"/>
      <w:bookmarkStart w:id="497" w:name="Tc_dTxPG1HxFEq-Scp8_-sThA_11_9"/>
      <w:bookmarkStart w:id="498" w:name="Tc_rv902Yj560-RUHq_fcSl3g_11_4"/>
      <w:bookmarkStart w:id="499" w:name="Tc_0eXAVIZOLEqSbwNrvx7kwA_11_0"/>
      <w:bookmarkStart w:id="500" w:name="Tc_BOg9R7kHp0mMaPLubn0yhw_10_19"/>
      <w:bookmarkStart w:id="501" w:name="Tc_-KgzQBT55ES4PaMK-vitiw_10_16"/>
      <w:bookmarkStart w:id="502" w:name="Tc_ltlMh6zwxEGsHweeGDG18A_10_0"/>
      <w:bookmarkStart w:id="503" w:name="Tc_2LoKbpEuaUOqUT-nawVa6g_9_22"/>
      <w:bookmarkStart w:id="504" w:name="Tc_4CIhEx-Pxkuzptx_1n1whg_9_19"/>
      <w:bookmarkStart w:id="505" w:name="Tc_tXcYglEJD0WWAXS6s32x5g_9_16"/>
      <w:bookmarkStart w:id="506" w:name="Tc_wzhl29DDHEyyvnlBZ24RZw_9_13"/>
      <w:bookmarkStart w:id="507" w:name="Tc_WIEd5IsOFESwSQ_M__eI6A_9_10"/>
      <w:bookmarkStart w:id="508" w:name="Tc_OrkFlHE_8U6Ce_S7PovjJA_9_5"/>
      <w:bookmarkStart w:id="509" w:name="Tc_SYtlRsd9EUqg6OyBQvNbMA_9_2"/>
      <w:bookmarkStart w:id="510" w:name="Tc_7iRUQ64zFkCdxRGtdPuv2g_9_0"/>
      <w:bookmarkStart w:id="511" w:name="Tc_qb2YwoTtREqAHlCz8Yt7Gw_8_19"/>
      <w:bookmarkStart w:id="512" w:name="Tc_oWi5vQi17Ua3ctIhOjHjNw_8_16"/>
      <w:bookmarkStart w:id="513" w:name="Tc_Q7IHPxXV6E6iNor9XmlGrA_8_13"/>
      <w:bookmarkStart w:id="514" w:name="Tc_YpExdZwPckSapGC2DJNlig_8_5"/>
      <w:bookmarkStart w:id="515" w:name="Tc_Wk4qYYjcmkONuQj8-0Grrw_8_2"/>
      <w:bookmarkStart w:id="516" w:name="Tc_1SA38QuOa0qXPu1zspoitA_8_0"/>
      <w:bookmarkStart w:id="517" w:name="Tc_AYAHz6ZpxE2M6YoZ5AT5Xg_7_13"/>
      <w:bookmarkStart w:id="518" w:name="Tc_e1AxRmk-0UyFv68otCV1XQ_7_10"/>
      <w:bookmarkStart w:id="519" w:name="Tc_VSzhnlUI10ysG1Hy-eNNYg_7_7"/>
      <w:bookmarkStart w:id="520" w:name="Tc_PsRuU5wOt0e3vzNlVyyNaw_7_5"/>
      <w:bookmarkStart w:id="521" w:name="Tc_IoWULYeD80WQtUIZNdXIdA_7_2"/>
      <w:bookmarkStart w:id="522" w:name="Tc_x4LslN9u2EaSBBMLTR1mgg_7_0"/>
      <w:bookmarkStart w:id="523" w:name="Tc_Bse8v3WyUU69-uuR-JExTQ_6_21"/>
      <w:bookmarkStart w:id="524" w:name="Tc_Ko2g3goWSUOJ_KPW_qocWw_6_18"/>
      <w:bookmarkStart w:id="525" w:name="Tc_Zsu8_tNI8EGcSBNEGTflXA_6_15"/>
      <w:bookmarkStart w:id="526" w:name="Tc_vNotzVjSvkGN_iINmCGNrA_6_12"/>
      <w:bookmarkStart w:id="527" w:name="Tc_4QQi3JKzvEugDL2tuScb2Q_6_9"/>
      <w:bookmarkStart w:id="528" w:name="Tc_RBvJZ1pRqk6cSzgc5VGBIA_6_4"/>
      <w:bookmarkStart w:id="529" w:name="Tc_MPmDgpuAskGpgcT0g4m5EQ_6_0"/>
      <w:bookmarkStart w:id="530" w:name="Tc_LWbclYs7IkqqiGA3Itt_9w_5_21"/>
      <w:bookmarkStart w:id="531" w:name="Tc_PEdAZ1SpfUKirbOgbiLAMg_5_18"/>
      <w:bookmarkStart w:id="532" w:name="Tc_CD7I9xsCy0OyiSZTvkg-wQ_5_15"/>
      <w:bookmarkStart w:id="533" w:name="Tc_16TPEwT3d0SocFoaIeePVg_5_12"/>
      <w:bookmarkStart w:id="534" w:name="Tc_sge5vvjM_k2lJ00LnQ2TLg_5_9"/>
      <w:bookmarkStart w:id="535" w:name="Tc_RiRGis-hzEq_q9g6YC050w_5_7"/>
      <w:bookmarkStart w:id="536" w:name="Tc_a8HbrvU_rkGxvuGB6vAO0g_5_4"/>
      <w:bookmarkStart w:id="537" w:name="Tc_L6BNG4sXiUaelvToRhflLg_5_2"/>
      <w:bookmarkStart w:id="538" w:name="Tc_xqfczjRew0-qBon1aNMDIw_4_18"/>
      <w:bookmarkStart w:id="539" w:name="Tc_EnAAKx2xKkGHu6w4Lr9DvA_4_15"/>
      <w:bookmarkStart w:id="540" w:name="Tc__09sAHsh3EKJrzQmPGgGsA_4_12"/>
      <w:bookmarkStart w:id="541" w:name="Tc_8O2KGMYy1Uqsjn-unlOJyA_4_7"/>
      <w:bookmarkStart w:id="542" w:name="Tc_pDE9aOFIL02sqXVkQo3SnQ_4_2"/>
      <w:bookmarkStart w:id="543" w:name="Tc_4D2dbpB4C0aWfozYGmSWJw_3_15"/>
      <w:bookmarkStart w:id="544" w:name="Tc_o_Lu410hcEOLFUi6Vr3FTA_3_12"/>
      <w:bookmarkStart w:id="545" w:name="Tc_fYEUiscCvk2PNnhcynnvPQ_2_15"/>
      <w:bookmarkStart w:id="546" w:name="Tc_S9FwYUySGEeYTS_nI_NuGQ_1_2"/>
      <w:bookmarkStart w:id="547" w:name="_6c2148fc_67e0_4c26_b347_3f3814c45b99"/>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77800" cy="175260"/>
                      <wp:effectExtent l="0" t="0" r="0" b="0"/>
                      <wp:wrapNone/>
                      <wp:docPr id="36" name="Frame36"/>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56235" cy="175260"/>
                      <wp:effectExtent l="0" t="0" r="0" b="0"/>
                      <wp:wrapNone/>
                      <wp:docPr id="37" name="Frame37"/>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29285" cy="175260"/>
                      <wp:effectExtent l="0" t="0" r="0" b="0"/>
                      <wp:wrapNone/>
                      <wp:docPr id="42" name="Frame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0810" cy="175260"/>
                      <wp:effectExtent l="0" t="0" r="0" b="0"/>
                      <wp:wrapNone/>
                      <wp:docPr id="46" name="Frame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34950" cy="175260"/>
                      <wp:effectExtent l="0" t="0" r="0" b="0"/>
                      <wp:wrapNone/>
                      <wp:docPr id="47" name="Frame4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37210" cy="175260"/>
                      <wp:effectExtent l="0" t="0" r="0" b="0"/>
                      <wp:wrapNone/>
                      <wp:docPr id="48" name="Frame4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0810" cy="175260"/>
                      <wp:effectExtent l="0" t="0" r="0" b="0"/>
                      <wp:wrapNone/>
                      <wp:docPr id="49" name="Frame4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0810" cy="175260"/>
                      <wp:effectExtent l="0" t="0" r="0" b="0"/>
                      <wp:wrapNone/>
                      <wp:docPr id="52" name="Frame5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24,017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(1,849,693)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322,512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2,244,712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718,014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68,010</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67,954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(22,558)</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(7,446)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3,482</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(3,963)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54,087</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24,248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(1,879,697)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325,994</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2,312,722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759,447</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34,878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34,865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281</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(39,113)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3,996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24,541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(1,918,810)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329,990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2,347,600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759,195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41,467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41,593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(39,703)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(39,703)</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3,376</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3,052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54,090</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541</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24,816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(1,958,837)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333,366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2,389,067</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764,137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48" w:name="Tc_io2_Vwvea06giGTm-BqISg_21_21"/>
      <w:bookmarkStart w:id="549" w:name="Tc_U-jqwtZQFUWYEWMHlh7j-g_21_18"/>
      <w:bookmarkStart w:id="550" w:name="Tc_d41FZLZHo0-pEa9rAF8otg_21_15"/>
      <w:bookmarkStart w:id="551" w:name="Tc_VYvXYI86r0abaD0nTUxzxg_21_12"/>
      <w:bookmarkStart w:id="552" w:name="Tc_P8Mo8XvLek2NCmLNomalkw_21_9"/>
      <w:bookmarkStart w:id="553" w:name="Tc_XHxHphQioUegApGLhARekg_21_4"/>
      <w:bookmarkStart w:id="554" w:name="Tc_7KKoHtbio0CzDrEqm5pBwg_21_0"/>
      <w:bookmarkStart w:id="555" w:name="Tc_SZbIx1LyaUaMhLjd5SWzkg_20_19"/>
      <w:bookmarkStart w:id="556" w:name="Tc_TjGdAbrOS0G7we_SS8b14g_20_16"/>
      <w:bookmarkStart w:id="557" w:name="Tc_3zF1AxSCWEauAWD8l6LbLA_20_10"/>
      <w:bookmarkStart w:id="558" w:name="Tc_x1mLvLCLJ0OfAcuG--Z0cQ_20_7"/>
      <w:bookmarkStart w:id="559" w:name="Tc_wSxIIoedZUSmR9boPvgWbw_20_5"/>
      <w:bookmarkStart w:id="560" w:name="Tc_5ExYYa34RECho-4mFmeYjg_20_2"/>
      <w:bookmarkStart w:id="561" w:name="Tc_sZ68yuDKHUWw14LFe4OjAA_20_0"/>
      <w:bookmarkStart w:id="562" w:name="Tc_Tgk1x_QwxUGqkmJsWNaT_Q_19_22"/>
      <w:bookmarkStart w:id="563" w:name="Tc_9C_39PfdxEm3JUQY7vTU3Q_19_19"/>
      <w:bookmarkStart w:id="564" w:name="Tc_U5rhj1MglUyzs15D-9DpNQ_19_16"/>
      <w:bookmarkStart w:id="565" w:name="Tc_OSJZzZ-DSkuu1rOonh2lXg_19_13"/>
      <w:bookmarkStart w:id="566" w:name="Tc_o9aZgBUyPkyl3o2oPGXBKw_19_10"/>
      <w:bookmarkStart w:id="567" w:name="Tc_F82bsBrvFkOF_oio2SwgVw_19_7"/>
      <w:bookmarkStart w:id="568" w:name="Tc_k70qyKI0kUObzAY0pUB4PQ_19_5"/>
      <w:bookmarkStart w:id="569" w:name="Tc_5pCSx-3SbUylqrjyX3XiWw_19_2"/>
      <w:bookmarkStart w:id="570" w:name="Tc_Zyd6jCwPm0qFCYsSe5DLsg_19_0"/>
      <w:bookmarkStart w:id="571" w:name="Tc_8PKOxDfGTUe_6F137ofqbw_18_19"/>
      <w:bookmarkStart w:id="572" w:name="Tc_2oXQO4Hv3UmSl81vnP19xQ_18_16"/>
      <w:bookmarkStart w:id="573" w:name="Tc_GtjUT-TXWUCA6xvK91N8Wg_18_13"/>
      <w:bookmarkStart w:id="574" w:name="Tc_Z9y5f8qPQUiPsSLyGUeEVg_18_5"/>
      <w:bookmarkStart w:id="575" w:name="Tc_aih7uPxA_UuoIvBMif8Nag_18_2"/>
      <w:bookmarkStart w:id="576" w:name="Tc_F8Sj6EO9ak2VzGu9xHDG7A_18_0"/>
      <w:bookmarkStart w:id="577" w:name="Tc_if_OieL4ck-GfjqY03NmuQ_17_13"/>
      <w:bookmarkStart w:id="578" w:name="Tc_njBIVa2dZ0S8dAEAzTZ_FA_17_10"/>
      <w:bookmarkStart w:id="579" w:name="Tc_bdcWOE0vu0q1KnFjQHiHmQ_17_7"/>
      <w:bookmarkStart w:id="580" w:name="Tc_YTtjLkJQJ0m6w1UNtGOZWA_17_5"/>
      <w:bookmarkStart w:id="581" w:name="Tc_h8ykd1RcakCM2PVB9E3g3Q_17_2"/>
      <w:bookmarkStart w:id="582" w:name="Tc_TFEbnF7iQkaYZr9XwQBj_g_17_0"/>
      <w:bookmarkStart w:id="583" w:name="Tc_NGG0yBYphEWlgkru8ZnZoQ_16_21"/>
      <w:bookmarkStart w:id="584" w:name="Tc_WJdERMnnP0qblwSlaOXs0w_16_18"/>
      <w:bookmarkStart w:id="585" w:name="Tc_6_XUBSxsP0mC0zT4huCMKA_16_15"/>
      <w:bookmarkStart w:id="586" w:name="Tc_2IOfl8a8h0axprJp3FQEow_16_12"/>
      <w:bookmarkStart w:id="587" w:name="Tc_LXZ3oq3mLEyBlNbWNyNsDg_16_9"/>
      <w:bookmarkStart w:id="588" w:name="Tc_oDzh9AdbW0KfxSJ0N2OJaA_16_4"/>
      <w:bookmarkStart w:id="589" w:name="Tc_9FG6aYkTk0emC52FU4YbRA_16_0"/>
      <w:bookmarkStart w:id="590" w:name="Tc_jgMUnLC9SUaNDhtvIutgkA_15_19"/>
      <w:bookmarkStart w:id="591" w:name="Tc_QQkHnDjrP0-a62I2PsbPgQ_15_16"/>
      <w:bookmarkStart w:id="592" w:name="Tc_av8CGkOk7U2soaB3771Wmw_15_10"/>
      <w:bookmarkStart w:id="593" w:name="Tc_mP35GRnP_0GM0a0-VHmSrA_15_7"/>
      <w:bookmarkStart w:id="594" w:name="Tc_dZCQ0HPUkku1uTAR1fghgQ_15_5"/>
      <w:bookmarkStart w:id="595" w:name="Tc_RBAVMnToL0mNqfVqJ4MleQ_15_0"/>
      <w:bookmarkStart w:id="596" w:name="Tc_5OscSDJpmUi2MTx0CJHVdw_14_22"/>
      <w:bookmarkStart w:id="597" w:name="Tc_DkNgDVNZ5UCmpmvfpg2oRQ_14_19"/>
      <w:bookmarkStart w:id="598" w:name="Tc_5kA5d8_o8U6h7Si43eCdHg_14_16"/>
      <w:bookmarkStart w:id="599" w:name="Tc_thE-pxJmj0ekC9iqhS4-Ew_14_13"/>
      <w:bookmarkStart w:id="600" w:name="Tc_aD-M3knFiUO4ybLopbe75A_14_10"/>
      <w:bookmarkStart w:id="601" w:name="Tc_I9s9hPcV8E6DbMfWNaReDQ_14_5"/>
      <w:bookmarkStart w:id="602" w:name="Tc_8gYiqrrbbUGZsjTiBExyBw_14_2"/>
      <w:bookmarkStart w:id="603" w:name="Tc_HnwHOq4HMUm3b7Hkbml24g_14_0"/>
      <w:bookmarkStart w:id="604" w:name="Tc_SfA8g-AiV0mZXbuOGLQnzw_13_19"/>
      <w:bookmarkStart w:id="605" w:name="Tc_7D9oW8EorE6O1n4AxjKIkA_13_16"/>
      <w:bookmarkStart w:id="606" w:name="Tc_XdyGckUwuUqh1WUHnqgNzw_13_13"/>
      <w:bookmarkStart w:id="607" w:name="Tc_u6SvH79evECwFokw5wxCXA_13_5"/>
      <w:bookmarkStart w:id="608" w:name="Tc_MuWxaLmqVkWJ8jduvCfL1g_13_2"/>
      <w:bookmarkStart w:id="609" w:name="Tc_kLueMmsZ0EaZzuz1cxBFmw_13_0"/>
      <w:bookmarkStart w:id="610" w:name="Tc_9SsPy5AnwUuJw_NW1SbOYw_12_13"/>
      <w:bookmarkStart w:id="611" w:name="Tc_efjzRCZg-Um9inxZ0zHOxw_12_10"/>
      <w:bookmarkStart w:id="612" w:name="Tc_qvTmAERy20eJYFo5xi-7vg_12_7"/>
      <w:bookmarkStart w:id="613" w:name="Tc_2joIp3IsbESc8giIqcMx_g_12_5"/>
      <w:bookmarkStart w:id="614" w:name="Tc_-paZjS2RdkKOE5LWR5KBbQ_12_2"/>
      <w:bookmarkStart w:id="615" w:name="Tc_JVlO33A7PkuUUsTQebZqkw_12_0"/>
      <w:bookmarkStart w:id="616" w:name="Tc_4FGfp25mxEKoFcDrNMGb5Q_11_21"/>
      <w:bookmarkStart w:id="617" w:name="Tc_FvPhK3ah90mm1x8zyZje6w_11_18"/>
      <w:bookmarkStart w:id="618" w:name="Tc_QNxog3bDu0y-SkMjk_iZNw_11_15"/>
      <w:bookmarkStart w:id="619" w:name="Tc_5qthUwobV0CpsKgCGdy4PA_11_12"/>
      <w:bookmarkStart w:id="620" w:name="Tc_sREIP5pnPU63tBKMhhS4EQ_11_9"/>
      <w:bookmarkStart w:id="621" w:name="Tc_YEzrRCc4H0uOtbjrSAEMPg_11_4"/>
      <w:bookmarkStart w:id="622" w:name="Tc_nLosYWIl_E6zuDQon3BgNg_11_0"/>
      <w:bookmarkStart w:id="623" w:name="Tc_O5tPZFLuzk6ofAtAS1PfSg_10_19"/>
      <w:bookmarkStart w:id="624" w:name="Tc_2VEfleKrCkeKd5_gAAr9eQ_10_16"/>
      <w:bookmarkStart w:id="625" w:name="Tc_KDsXlycZY0SD1m4lZZguWA_10_0"/>
      <w:bookmarkStart w:id="626" w:name="Tc_srxE6M0cVEiogTDLs5WStQ_9_22"/>
      <w:bookmarkStart w:id="627" w:name="Tc_rr_ZhwqBoU6CyyeECkLNrg_9_19"/>
      <w:bookmarkStart w:id="628" w:name="Tc_DeElAMycnEWtZNb9yIawWg_9_16"/>
      <w:bookmarkStart w:id="629" w:name="Tc_PVoeLaRp3Uy46NFL0kUX-g_9_13"/>
      <w:bookmarkStart w:id="630" w:name="Tc_hPyC2I64JUym3h1V-miHCw_9_10"/>
      <w:bookmarkStart w:id="631" w:name="Tc_cFHGsqROh06BFG7vWrnkdQ_9_5"/>
      <w:bookmarkStart w:id="632" w:name="Tc_s19GGWrQ5kaLHZJFVk22Dw_9_2"/>
      <w:bookmarkStart w:id="633" w:name="Tc_VXsssSmqVEyoGrTsePRAew_9_0"/>
      <w:bookmarkStart w:id="634" w:name="Tc_8kwHI43u3Umz4Xhzq0BAEg_8_19"/>
      <w:bookmarkStart w:id="635" w:name="Tc_7w3az9Y2bUGKnDOgcrh3FA_8_16"/>
      <w:bookmarkStart w:id="636" w:name="Tc_yESLenPYYUO6T9ierBSV0Q_8_13"/>
      <w:bookmarkStart w:id="637" w:name="Tc_1vQcRf2zp0CMYH2ly-qPyQ_8_5"/>
      <w:bookmarkStart w:id="638" w:name="Tc_xNyfNy_KkU6kAVHRLiqbxQ_8_2"/>
      <w:bookmarkStart w:id="639" w:name="Tc_E7n9vTtgbUipA4Oj_lkyJA_8_0"/>
      <w:bookmarkStart w:id="640" w:name="Tc_YllbLbM4pkOr5kkTTbLxzQ_7_13"/>
      <w:bookmarkStart w:id="641" w:name="Tc_ggxs7dV2IUu6WSDXOnrydw_7_10"/>
      <w:bookmarkStart w:id="642" w:name="Tc_iLNTHfyPRkyj7dbPABPafQ_7_7"/>
      <w:bookmarkStart w:id="643" w:name="Tc_hPf3Dqbu1kyMu_wimk5qqQ_7_5"/>
      <w:bookmarkStart w:id="644" w:name="Tc_pkWN8iYcI0SFyybn824O5Q_7_2"/>
      <w:bookmarkStart w:id="645" w:name="Tc_m6IMvoFQvEqDzruoMCJ0rA_7_0"/>
      <w:bookmarkStart w:id="646" w:name="Tc_bgq9hDQZPE2E0pCJFKRZ8A_6_21"/>
      <w:bookmarkStart w:id="647" w:name="Tc_9pm2oEqLrkiH-gL5TtxjEQ_6_18"/>
      <w:bookmarkStart w:id="648" w:name="Tc_bim3f9oyAUKTWgnlPywBPg_6_15"/>
      <w:bookmarkStart w:id="649" w:name="Tc_zkuZu2p9QUiqJx5juX6zEQ_6_12"/>
      <w:bookmarkStart w:id="650" w:name="Tc_lpwmI_Bq6U-6ZLTg1w8QVw_6_9"/>
      <w:bookmarkStart w:id="651" w:name="Tc_7mMFqYuwd0uT06mWFG3esA_6_4"/>
      <w:bookmarkStart w:id="652" w:name="Tc_Y2FXPG5V5kOPXWhAgrqVYw_6_0"/>
      <w:bookmarkStart w:id="653" w:name="Tc_LvIFo5a1MUisLplt6vnCpA_5_21"/>
      <w:bookmarkStart w:id="654" w:name="Tc_WebuaaI-JEODgSDiozPQGg_5_18"/>
      <w:bookmarkStart w:id="655" w:name="Tc_RK2-92JWXkCdNDJ21ct4YA_5_15"/>
      <w:bookmarkStart w:id="656" w:name="Tc_sVlX2PFMGkapgAZwxEnMew_5_12"/>
      <w:bookmarkStart w:id="657" w:name="Tc_TPN6APaZ802Cikqc7_1MPw_5_9"/>
      <w:bookmarkStart w:id="658" w:name="Tc_FC79eS--LUeZZZV1rev7Mw_5_7"/>
      <w:bookmarkStart w:id="659" w:name="Tc_dSztUVq5kUOeehWP7zBCYw_5_4"/>
      <w:bookmarkStart w:id="660" w:name="Tc_tl6aa23Zx0qlHe6WQDIR6Q_5_2"/>
      <w:bookmarkStart w:id="661" w:name="Tc_Zwjy78iX1k-CyMw5kNKfDQ_4_18"/>
      <w:bookmarkStart w:id="662" w:name="Tc_OuGW4rOt1kyPbveSyGB9vw_4_15"/>
      <w:bookmarkStart w:id="663" w:name="Tc_aLUuhJSuTkq5mhrt1NkJcg_4_12"/>
      <w:bookmarkStart w:id="664" w:name="Tc_1ijOQkwXTU-7PJncikPBwg_4_7"/>
      <w:bookmarkStart w:id="665" w:name="Tc_lVvYDPUEvUWRglwqly-KLA_4_2"/>
      <w:bookmarkStart w:id="666" w:name="Tc_iPH42LYZUkSVkqIxiNDnEw_3_15"/>
      <w:bookmarkStart w:id="667" w:name="Tc_omUufvCCRUiQ2tV1Lq06NA_3_12"/>
      <w:bookmarkStart w:id="668" w:name="Tc_tQ9XRk55KkyubHwiz5Q35g_2_15"/>
      <w:bookmarkStart w:id="669" w:name="Tc_fqnWFOiTvkWbumGHnq52EQ_1_2"/>
      <w:bookmarkStart w:id="670" w:name="_f99ad569_bc19_45ea_b57e_63964ab0add2"/>
      <w:bookmarkStart w:id="671" w:name="Tc_io2_Vwvea06giGTm-BqISg_21_21"/>
      <w:bookmarkStart w:id="672" w:name="Tc_U-jqwtZQFUWYEWMHlh7j-g_21_18"/>
      <w:bookmarkStart w:id="673" w:name="Tc_d41FZLZHo0-pEa9rAF8otg_21_15"/>
      <w:bookmarkStart w:id="674" w:name="Tc_VYvXYI86r0abaD0nTUxzxg_21_12"/>
      <w:bookmarkStart w:id="675" w:name="Tc_P8Mo8XvLek2NCmLNomalkw_21_9"/>
      <w:bookmarkStart w:id="676" w:name="Tc_XHxHphQioUegApGLhARekg_21_4"/>
      <w:bookmarkStart w:id="677" w:name="Tc_7KKoHtbio0CzDrEqm5pBwg_21_0"/>
      <w:bookmarkStart w:id="678" w:name="Tc_SZbIx1LyaUaMhLjd5SWzkg_20_19"/>
      <w:bookmarkStart w:id="679" w:name="Tc_TjGdAbrOS0G7we_SS8b14g_20_16"/>
      <w:bookmarkStart w:id="680" w:name="Tc_3zF1AxSCWEauAWD8l6LbLA_20_10"/>
      <w:bookmarkStart w:id="681" w:name="Tc_x1mLvLCLJ0OfAcuG--Z0cQ_20_7"/>
      <w:bookmarkStart w:id="682" w:name="Tc_wSxIIoedZUSmR9boPvgWbw_20_5"/>
      <w:bookmarkStart w:id="683" w:name="Tc_5ExYYa34RECho-4mFmeYjg_20_2"/>
      <w:bookmarkStart w:id="684" w:name="Tc_sZ68yuDKHUWw14LFe4OjAA_20_0"/>
      <w:bookmarkStart w:id="685" w:name="Tc_Tgk1x_QwxUGqkmJsWNaT_Q_19_22"/>
      <w:bookmarkStart w:id="686" w:name="Tc_9C_39PfdxEm3JUQY7vTU3Q_19_19"/>
      <w:bookmarkStart w:id="687" w:name="Tc_U5rhj1MglUyzs15D-9DpNQ_19_16"/>
      <w:bookmarkStart w:id="688" w:name="Tc_OSJZzZ-DSkuu1rOonh2lXg_19_13"/>
      <w:bookmarkStart w:id="689" w:name="Tc_o9aZgBUyPkyl3o2oPGXBKw_19_10"/>
      <w:bookmarkStart w:id="690" w:name="Tc_F82bsBrvFkOF_oio2SwgVw_19_7"/>
      <w:bookmarkStart w:id="691" w:name="Tc_k70qyKI0kUObzAY0pUB4PQ_19_5"/>
      <w:bookmarkStart w:id="692" w:name="Tc_5pCSx-3SbUylqrjyX3XiWw_19_2"/>
      <w:bookmarkStart w:id="693" w:name="Tc_Zyd6jCwPm0qFCYsSe5DLsg_19_0"/>
      <w:bookmarkStart w:id="694" w:name="Tc_8PKOxDfGTUe_6F137ofqbw_18_19"/>
      <w:bookmarkStart w:id="695" w:name="Tc_2oXQO4Hv3UmSl81vnP19xQ_18_16"/>
      <w:bookmarkStart w:id="696" w:name="Tc_GtjUT-TXWUCA6xvK91N8Wg_18_13"/>
      <w:bookmarkStart w:id="697" w:name="Tc_Z9y5f8qPQUiPsSLyGUeEVg_18_5"/>
      <w:bookmarkStart w:id="698" w:name="Tc_aih7uPxA_UuoIvBMif8Nag_18_2"/>
      <w:bookmarkStart w:id="699" w:name="Tc_F8Sj6EO9ak2VzGu9xHDG7A_18_0"/>
      <w:bookmarkStart w:id="700" w:name="Tc_if_OieL4ck-GfjqY03NmuQ_17_13"/>
      <w:bookmarkStart w:id="701" w:name="Tc_njBIVa2dZ0S8dAEAzTZ_FA_17_10"/>
      <w:bookmarkStart w:id="702" w:name="Tc_bdcWOE0vu0q1KnFjQHiHmQ_17_7"/>
      <w:bookmarkStart w:id="703" w:name="Tc_YTtjLkJQJ0m6w1UNtGOZWA_17_5"/>
      <w:bookmarkStart w:id="704" w:name="Tc_h8ykd1RcakCM2PVB9E3g3Q_17_2"/>
      <w:bookmarkStart w:id="705" w:name="Tc_TFEbnF7iQkaYZr9XwQBj_g_17_0"/>
      <w:bookmarkStart w:id="706" w:name="Tc_NGG0yBYphEWlgkru8ZnZoQ_16_21"/>
      <w:bookmarkStart w:id="707" w:name="Tc_WJdERMnnP0qblwSlaOXs0w_16_18"/>
      <w:bookmarkStart w:id="708" w:name="Tc_6_XUBSxsP0mC0zT4huCMKA_16_15"/>
      <w:bookmarkStart w:id="709" w:name="Tc_2IOfl8a8h0axprJp3FQEow_16_12"/>
      <w:bookmarkStart w:id="710" w:name="Tc_LXZ3oq3mLEyBlNbWNyNsDg_16_9"/>
      <w:bookmarkStart w:id="711" w:name="Tc_oDzh9AdbW0KfxSJ0N2OJaA_16_4"/>
      <w:bookmarkStart w:id="712" w:name="Tc_9FG6aYkTk0emC52FU4YbRA_16_0"/>
      <w:bookmarkStart w:id="713" w:name="Tc_jgMUnLC9SUaNDhtvIutgkA_15_19"/>
      <w:bookmarkStart w:id="714" w:name="Tc_QQkHnDjrP0-a62I2PsbPgQ_15_16"/>
      <w:bookmarkStart w:id="715" w:name="Tc_av8CGkOk7U2soaB3771Wmw_15_10"/>
      <w:bookmarkStart w:id="716" w:name="Tc_mP35GRnP_0GM0a0-VHmSrA_15_7"/>
      <w:bookmarkStart w:id="717" w:name="Tc_dZCQ0HPUkku1uTAR1fghgQ_15_5"/>
      <w:bookmarkStart w:id="718" w:name="Tc_RBAVMnToL0mNqfVqJ4MleQ_15_0"/>
      <w:bookmarkStart w:id="719" w:name="Tc_5OscSDJpmUi2MTx0CJHVdw_14_22"/>
      <w:bookmarkStart w:id="720" w:name="Tc_DkNgDVNZ5UCmpmvfpg2oRQ_14_19"/>
      <w:bookmarkStart w:id="721" w:name="Tc_5kA5d8_o8U6h7Si43eCdHg_14_16"/>
      <w:bookmarkStart w:id="722" w:name="Tc_thE-pxJmj0ekC9iqhS4-Ew_14_13"/>
      <w:bookmarkStart w:id="723" w:name="Tc_aD-M3knFiUO4ybLopbe75A_14_10"/>
      <w:bookmarkStart w:id="724" w:name="Tc_I9s9hPcV8E6DbMfWNaReDQ_14_5"/>
      <w:bookmarkStart w:id="725" w:name="Tc_8gYiqrrbbUGZsjTiBExyBw_14_2"/>
      <w:bookmarkStart w:id="726" w:name="Tc_HnwHOq4HMUm3b7Hkbml24g_14_0"/>
      <w:bookmarkStart w:id="727" w:name="Tc_SfA8g-AiV0mZXbuOGLQnzw_13_19"/>
      <w:bookmarkStart w:id="728" w:name="Tc_7D9oW8EorE6O1n4AxjKIkA_13_16"/>
      <w:bookmarkStart w:id="729" w:name="Tc_XdyGckUwuUqh1WUHnqgNzw_13_13"/>
      <w:bookmarkStart w:id="730" w:name="Tc_u6SvH79evECwFokw5wxCXA_13_5"/>
      <w:bookmarkStart w:id="731" w:name="Tc_MuWxaLmqVkWJ8jduvCfL1g_13_2"/>
      <w:bookmarkStart w:id="732" w:name="Tc_kLueMmsZ0EaZzuz1cxBFmw_13_0"/>
      <w:bookmarkStart w:id="733" w:name="Tc_9SsPy5AnwUuJw_NW1SbOYw_12_13"/>
      <w:bookmarkStart w:id="734" w:name="Tc_efjzRCZg-Um9inxZ0zHOxw_12_10"/>
      <w:bookmarkStart w:id="735" w:name="Tc_qvTmAERy20eJYFo5xi-7vg_12_7"/>
      <w:bookmarkStart w:id="736" w:name="Tc_2joIp3IsbESc8giIqcMx_g_12_5"/>
      <w:bookmarkStart w:id="737" w:name="Tc_-paZjS2RdkKOE5LWR5KBbQ_12_2"/>
      <w:bookmarkStart w:id="738" w:name="Tc_JVlO33A7PkuUUsTQebZqkw_12_0"/>
      <w:bookmarkStart w:id="739" w:name="Tc_4FGfp25mxEKoFcDrNMGb5Q_11_21"/>
      <w:bookmarkStart w:id="740" w:name="Tc_FvPhK3ah90mm1x8zyZje6w_11_18"/>
      <w:bookmarkStart w:id="741" w:name="Tc_QNxog3bDu0y-SkMjk_iZNw_11_15"/>
      <w:bookmarkStart w:id="742" w:name="Tc_5qthUwobV0CpsKgCGdy4PA_11_12"/>
      <w:bookmarkStart w:id="743" w:name="Tc_sREIP5pnPU63tBKMhhS4EQ_11_9"/>
      <w:bookmarkStart w:id="744" w:name="Tc_YEzrRCc4H0uOtbjrSAEMPg_11_4"/>
      <w:bookmarkStart w:id="745" w:name="Tc_nLosYWIl_E6zuDQon3BgNg_11_0"/>
      <w:bookmarkStart w:id="746" w:name="Tc_O5tPZFLuzk6ofAtAS1PfSg_10_19"/>
      <w:bookmarkStart w:id="747" w:name="Tc_2VEfleKrCkeKd5_gAAr9eQ_10_16"/>
      <w:bookmarkStart w:id="748" w:name="Tc_KDsXlycZY0SD1m4lZZguWA_10_0"/>
      <w:bookmarkStart w:id="749" w:name="Tc_srxE6M0cVEiogTDLs5WStQ_9_22"/>
      <w:bookmarkStart w:id="750" w:name="Tc_rr_ZhwqBoU6CyyeECkLNrg_9_19"/>
      <w:bookmarkStart w:id="751" w:name="Tc_DeElAMycnEWtZNb9yIawWg_9_16"/>
      <w:bookmarkStart w:id="752" w:name="Tc_PVoeLaRp3Uy46NFL0kUX-g_9_13"/>
      <w:bookmarkStart w:id="753" w:name="Tc_hPyC2I64JUym3h1V-miHCw_9_10"/>
      <w:bookmarkStart w:id="754" w:name="Tc_cFHGsqROh06BFG7vWrnkdQ_9_5"/>
      <w:bookmarkStart w:id="755" w:name="Tc_s19GGWrQ5kaLHZJFVk22Dw_9_2"/>
      <w:bookmarkStart w:id="756" w:name="Tc_VXsssSmqVEyoGrTsePRAew_9_0"/>
      <w:bookmarkStart w:id="757" w:name="Tc_8kwHI43u3Umz4Xhzq0BAEg_8_19"/>
      <w:bookmarkStart w:id="758" w:name="Tc_7w3az9Y2bUGKnDOgcrh3FA_8_16"/>
      <w:bookmarkStart w:id="759" w:name="Tc_yESLenPYYUO6T9ierBSV0Q_8_13"/>
      <w:bookmarkStart w:id="760" w:name="Tc_1vQcRf2zp0CMYH2ly-qPyQ_8_5"/>
      <w:bookmarkStart w:id="761" w:name="Tc_xNyfNy_KkU6kAVHRLiqbxQ_8_2"/>
      <w:bookmarkStart w:id="762" w:name="Tc_E7n9vTtgbUipA4Oj_lkyJA_8_0"/>
      <w:bookmarkStart w:id="763" w:name="Tc_YllbLbM4pkOr5kkTTbLxzQ_7_13"/>
      <w:bookmarkStart w:id="764" w:name="Tc_ggxs7dV2IUu6WSDXOnrydw_7_10"/>
      <w:bookmarkStart w:id="765" w:name="Tc_iLNTHfyPRkyj7dbPABPafQ_7_7"/>
      <w:bookmarkStart w:id="766" w:name="Tc_hPf3Dqbu1kyMu_wimk5qqQ_7_5"/>
      <w:bookmarkStart w:id="767" w:name="Tc_pkWN8iYcI0SFyybn824O5Q_7_2"/>
      <w:bookmarkStart w:id="768" w:name="Tc_m6IMvoFQvEqDzruoMCJ0rA_7_0"/>
      <w:bookmarkStart w:id="769" w:name="Tc_bgq9hDQZPE2E0pCJFKRZ8A_6_21"/>
      <w:bookmarkStart w:id="770" w:name="Tc_9pm2oEqLrkiH-gL5TtxjEQ_6_18"/>
      <w:bookmarkStart w:id="771" w:name="Tc_bim3f9oyAUKTWgnlPywBPg_6_15"/>
      <w:bookmarkStart w:id="772" w:name="Tc_zkuZu2p9QUiqJx5juX6zEQ_6_12"/>
      <w:bookmarkStart w:id="773" w:name="Tc_lpwmI_Bq6U-6ZLTg1w8QVw_6_9"/>
      <w:bookmarkStart w:id="774" w:name="Tc_7mMFqYuwd0uT06mWFG3esA_6_4"/>
      <w:bookmarkStart w:id="775" w:name="Tc_Y2FXPG5V5kOPXWhAgrqVYw_6_0"/>
      <w:bookmarkStart w:id="776" w:name="Tc_LvIFo5a1MUisLplt6vnCpA_5_21"/>
      <w:bookmarkStart w:id="777" w:name="Tc_WebuaaI-JEODgSDiozPQGg_5_18"/>
      <w:bookmarkStart w:id="778" w:name="Tc_RK2-92JWXkCdNDJ21ct4YA_5_15"/>
      <w:bookmarkStart w:id="779" w:name="Tc_sVlX2PFMGkapgAZwxEnMew_5_12"/>
      <w:bookmarkStart w:id="780" w:name="Tc_TPN6APaZ802Cikqc7_1MPw_5_9"/>
      <w:bookmarkStart w:id="781" w:name="Tc_FC79eS--LUeZZZV1rev7Mw_5_7"/>
      <w:bookmarkStart w:id="782" w:name="Tc_dSztUVq5kUOeehWP7zBCYw_5_4"/>
      <w:bookmarkStart w:id="783" w:name="Tc_tl6aa23Zx0qlHe6WQDIR6Q_5_2"/>
      <w:bookmarkStart w:id="784" w:name="Tc_Zwjy78iX1k-CyMw5kNKfDQ_4_18"/>
      <w:bookmarkStart w:id="785" w:name="Tc_OuGW4rOt1kyPbveSyGB9vw_4_15"/>
      <w:bookmarkStart w:id="786" w:name="Tc_aLUuhJSuTkq5mhrt1NkJcg_4_12"/>
      <w:bookmarkStart w:id="787" w:name="Tc_1ijOQkwXTU-7PJncikPBwg_4_7"/>
      <w:bookmarkStart w:id="788" w:name="Tc_lVvYDPUEvUWRglwqly-KLA_4_2"/>
      <w:bookmarkStart w:id="789" w:name="Tc_iPH42LYZUkSVkqIxiNDnEw_3_15"/>
      <w:bookmarkStart w:id="790" w:name="Tc_omUufvCCRUiQ2tV1Lq06NA_3_12"/>
      <w:bookmarkStart w:id="791" w:name="Tc_tQ9XRk55KkyubHwiz5Q35g_2_15"/>
      <w:bookmarkStart w:id="792" w:name="Tc_fqnWFOiTvkWbumGHnq52EQ_1_2"/>
      <w:bookmarkStart w:id="793" w:name="_f99ad569_bc19_45ea_b57e_63964ab0add2"/>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10886" w:type="dxa"/>
        <w:jc w:val="left"/>
        <w:tblInd w:w="0" w:type="dxa"/>
        <w:tblLayout w:type="fixed"/>
        <w:tblCellMar>
          <w:top w:w="0" w:type="dxa"/>
          <w:left w:w="0" w:type="dxa"/>
          <w:bottom w:w="0" w:type="dxa"/>
          <w:right w:w="0" w:type="dxa"/>
        </w:tblCellMar>
      </w:tblPr>
      <w:tblGrid>
        <w:gridCol w:w="1396"/>
        <w:gridCol w:w="206"/>
        <w:gridCol w:w="676"/>
        <w:gridCol w:w="206"/>
        <w:gridCol w:w="280"/>
        <w:gridCol w:w="561"/>
        <w:gridCol w:w="206"/>
        <w:gridCol w:w="676"/>
        <w:gridCol w:w="206"/>
        <w:gridCol w:w="211"/>
        <w:gridCol w:w="991"/>
        <w:gridCol w:w="206"/>
        <w:gridCol w:w="211"/>
        <w:gridCol w:w="781"/>
        <w:gridCol w:w="206"/>
        <w:gridCol w:w="370"/>
        <w:gridCol w:w="846"/>
        <w:gridCol w:w="206"/>
        <w:gridCol w:w="211"/>
        <w:gridCol w:w="931"/>
        <w:gridCol w:w="206"/>
        <w:gridCol w:w="211"/>
        <w:gridCol w:w="886"/>
      </w:tblGrid>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0810" cy="175260"/>
                      <wp:effectExtent l="0" t="0" r="0" b="0"/>
                      <wp:wrapNone/>
                      <wp:docPr id="55" name="Frame5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29260" cy="175260"/>
                      <wp:effectExtent l="0" t="0" r="0" b="0"/>
                      <wp:wrapNone/>
                      <wp:docPr id="56" name="Frame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7" name="Frame5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77800" cy="175260"/>
                      <wp:effectExtent l="0" t="0" r="0" b="0"/>
                      <wp:wrapNone/>
                      <wp:docPr id="58" name="Frame58"/>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56235" cy="175260"/>
                      <wp:effectExtent l="0" t="0" r="0" b="0"/>
                      <wp:wrapNone/>
                      <wp:docPr id="59" name="Frame59"/>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0810" cy="175260"/>
                      <wp:effectExtent l="0" t="0" r="0" b="0"/>
                      <wp:wrapNone/>
                      <wp:docPr id="60" name="Frame6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29285" cy="175260"/>
                      <wp:effectExtent l="0" t="0" r="0" b="0"/>
                      <wp:wrapNone/>
                      <wp:docPr id="64" name="Frame6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810" cy="175260"/>
                      <wp:effectExtent l="0" t="0" r="0" b="0"/>
                      <wp:wrapNone/>
                      <wp:docPr id="65" name="Frame6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95935" cy="175260"/>
                      <wp:effectExtent l="0" t="0" r="0" b="0"/>
                      <wp:wrapNone/>
                      <wp:docPr id="67"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0810" cy="175260"/>
                      <wp:effectExtent l="0" t="0" r="0" b="0"/>
                      <wp:wrapNone/>
                      <wp:docPr id="68" name="Frame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4950" cy="175260"/>
                      <wp:effectExtent l="0" t="0" r="0" b="0"/>
                      <wp:wrapNone/>
                      <wp:docPr id="69" name="Frame69"/>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37210" cy="175260"/>
                      <wp:effectExtent l="0" t="0" r="0" b="0"/>
                      <wp:wrapNone/>
                      <wp:docPr id="70" name="Frame70"/>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0810" cy="175260"/>
                      <wp:effectExtent l="0" t="0" r="0" b="0"/>
                      <wp:wrapNone/>
                      <wp:docPr id="71" name="Frame7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91185" cy="175260"/>
                      <wp:effectExtent l="0" t="0" r="0" b="0"/>
                      <wp:wrapNone/>
                      <wp:docPr id="73" name="Frame7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0810" cy="175260"/>
                      <wp:effectExtent l="0" t="0" r="0" b="0"/>
                      <wp:wrapNone/>
                      <wp:docPr id="74" name="Frame7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62610" cy="175260"/>
                      <wp:effectExtent l="0" t="0" r="0" b="0"/>
                      <wp:wrapNone/>
                      <wp:docPr id="76" name="Frame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211"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72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20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20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20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206" w:type="dxa"/>
            <w:tcBorders/>
            <w:vAlign w:val="center"/>
          </w:tcPr>
          <w:p>
            <w:pPr>
              <w:pStyle w:val="TableContents"/>
              <w:bidi w:val="0"/>
              <w:spacing w:before="0" w:after="0"/>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0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20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53,830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538</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(1,711,423)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309,310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2,039,727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637,619</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59,564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59,683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(35,090)</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 </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(6,331)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3,367</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53,966</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23,143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(1,752,844)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312,677</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2,099,291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659,250</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28,973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28,697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(45,775)</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(45,775)</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3,253</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3,253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23,572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(1,798,619)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315,930</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2,128,264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645,425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35,739</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35,836</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purchased for treasury</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(34,067)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(34,067)</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 forfeited</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206"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3,336</w:t>
            </w:r>
          </w:p>
        </w:tc>
        <w:tc>
          <w:tcPr>
            <w:tcW w:w="20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3,336</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20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53,970</w:t>
            </w:r>
          </w:p>
        </w:tc>
        <w:tc>
          <w:tcPr>
            <w:tcW w:w="20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540</w:t>
            </w:r>
          </w:p>
        </w:tc>
        <w:tc>
          <w:tcPr>
            <w:tcW w:w="206" w:type="dxa"/>
            <w:tcBorders/>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23,878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(1,832,686)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319,266</w:t>
            </w:r>
          </w:p>
        </w:tc>
        <w:tc>
          <w:tcPr>
            <w:tcW w:w="20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(593)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2,164,003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650,530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94" w:name="_0c5b925a_d9b5_4318_9dd8_6e6c9706cb5e"/>
      <w:bookmarkEnd w:id="794"/>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95" w:name="Tc_2ZGV9hr9T0mmxJS8C-bI-Q_39_5"/>
      <w:bookmarkStart w:id="796" w:name="Tc_ayzpVGKMt0mttzyN47edKw_39_2"/>
      <w:bookmarkStart w:id="797" w:name="Tc_48Yv0Ij7nUSTInFkllSmLA_39_0"/>
      <w:bookmarkStart w:id="798" w:name="Tc_6AtGJteezEaCfRwNh0s9TQ_38_5"/>
      <w:bookmarkStart w:id="799" w:name="Tc_ScIOSr4ZbEaSfWrQ7NexCw_38_2"/>
      <w:bookmarkStart w:id="800" w:name="Tc__8AhYYtKx0a33lshb8z8uw_38_0"/>
      <w:bookmarkStart w:id="801" w:name="Tc_CaMP_LJzpU6VVjvrx61yxg_37_5"/>
      <w:bookmarkStart w:id="802" w:name="Tc_mUlbHoDqZk-L073BcGNcvw_37_2"/>
      <w:bookmarkStart w:id="803" w:name="Tc_EYfPjYYnBU6uV-Q1Ozc88w_37_0"/>
      <w:bookmarkStart w:id="804" w:name="Tc_xfDmFW7DMECS5pgznoGN1g_36_0"/>
      <w:bookmarkStart w:id="805" w:name="Tc_5me8WHGTeUulC4mpqGP6HA_35_5"/>
      <w:bookmarkStart w:id="806" w:name="Tc_PeIO-dXzgkekBEl_QAf-uQ_35_2"/>
      <w:bookmarkStart w:id="807" w:name="Tc_8IH3PVr0B0G_NweW_IvITg_35_0"/>
      <w:bookmarkStart w:id="808" w:name="Tc_95dq64txA0aOLgPNstYcMA_34_5"/>
      <w:bookmarkStart w:id="809" w:name="Tc_RcDTSGngrkuuk_oO42zAxQ_34_2"/>
      <w:bookmarkStart w:id="810" w:name="Tc_fQyAs0nUO06njlHP1c3u1A_34_0"/>
      <w:bookmarkStart w:id="811" w:name="Tc_rPhkjVRzy0qrNYVdebr_mg_33_0"/>
      <w:bookmarkStart w:id="812" w:name="Tc__YZdmIGc2kisl9KF_2JYhw_32_5"/>
      <w:bookmarkStart w:id="813" w:name="Tc_1M33xa06nUSghoIjEk-d4w_32_2"/>
      <w:bookmarkStart w:id="814" w:name="Tc_qX-ahLWMAUWnQvHfzLmqMQ_32_0"/>
      <w:bookmarkStart w:id="815" w:name="Tc_IHCA2FMqHkeHVm1LdTJiMQ_31_0"/>
      <w:bookmarkStart w:id="816" w:name="Tc_jlbjR2ZZNkyezbaTYc3kng_30_0"/>
      <w:bookmarkStart w:id="817" w:name="Tc_7R8aCVM0bEC8fS0eMiIjpg_29_0"/>
      <w:bookmarkStart w:id="818" w:name="Tc_VxHqndN_FkWnM2qzH5f2sQ_28_0"/>
      <w:bookmarkStart w:id="819" w:name="Tc__v0pwEHBmEW18vYykp0gzQ_27_0"/>
      <w:bookmarkStart w:id="820" w:name="Tc_QMw8kIF410606LZ5TcU4iQ_26_0"/>
      <w:bookmarkStart w:id="821" w:name="Tc_sDdO1BtXOUGgxEH3XXkHQg_25_0"/>
      <w:bookmarkStart w:id="822" w:name="Tc_CslkU19wkEOkGuLbcZUKdQ_24_0"/>
      <w:bookmarkStart w:id="823" w:name="Tc_mE-ut0muS0mE5wJUr4JlKg_23_0"/>
      <w:bookmarkStart w:id="824" w:name="Tc_ItvMl8ZXvUOeHuJy9qw7JA_22_0"/>
      <w:bookmarkStart w:id="825" w:name="Tc_sjXGzcP2A02u9pyHQPgQww_21_0"/>
      <w:bookmarkStart w:id="826" w:name="Tc_rPYP2IyVMEmSpeVhtYE4Vw_20_0"/>
      <w:bookmarkStart w:id="827" w:name="Tc_4HfCu6ptLECUdut5WqC7bQ_19_0"/>
      <w:bookmarkStart w:id="828" w:name="Tc_bYHkfy5lDEOs5QNs32HPJg_18_0"/>
      <w:bookmarkStart w:id="829" w:name="Tc_e7-GjoXmqEyL0fBcLvptpA_17_0"/>
      <w:bookmarkStart w:id="830" w:name="Tc_bd05fdQ3ME2wW-lOwKvJ0A_16_0"/>
      <w:bookmarkStart w:id="831" w:name="Tc_2D-DNZbBuUSL9q8Z8Y1Lqw_15_0"/>
      <w:bookmarkStart w:id="832" w:name="Tc_R7Xr6uvHAEyPiAsX7TL1Cw_14_0"/>
      <w:bookmarkStart w:id="833" w:name="Tc_57G5Ww4YtkCmT8i7kAX_3g_13_0"/>
      <w:bookmarkStart w:id="834" w:name="Tc_mRI56xkdLEKACefxP6Dd6g_12_0"/>
      <w:bookmarkStart w:id="835" w:name="Tc_7Ipe1NflO0u08Wa5U2FEKA_11_0"/>
      <w:bookmarkStart w:id="836" w:name="Tc_CdPQ9Sw2JkK42_co2x91Zw_10_0"/>
      <w:bookmarkStart w:id="837" w:name="Tc_2QtHBicfYESAJj-lAb7R7g_9_0"/>
      <w:bookmarkStart w:id="838" w:name="Tc_q4mIv3LPZki6N2RQT96TGQ_8_0"/>
      <w:bookmarkStart w:id="839" w:name="Tc_Qk_w3eVzhkmqRLd6GY9Gww_7_0"/>
      <w:bookmarkStart w:id="840" w:name="Tc_q3PMoGHCAU2TSNlg7oUTew_6_0"/>
      <w:bookmarkStart w:id="841" w:name="Tc_2TYTxuWPLEiKfTs5hs-8rQ_5_5"/>
      <w:bookmarkStart w:id="842" w:name="Tc_W8lkhrgdk0OX1ppxCniBPQ_5_2"/>
      <w:bookmarkStart w:id="843" w:name="Tc_OCdSh8Kt9EOoffMnuIhqhw_5_0"/>
      <w:bookmarkStart w:id="844" w:name="Tc_Cp281b4-3k2yTqlpYCGVwA_4_0"/>
      <w:bookmarkStart w:id="845" w:name="Tc_Wu0V6pYoBUe-D3dzN-TygQ_3_5"/>
      <w:bookmarkStart w:id="846" w:name="Tc_zXrsGgdnkkexKjdkQvxpgQ_3_2"/>
      <w:bookmarkStart w:id="847" w:name="Tc_2rjOC3sp_ki6Cvd-koDecw_3_0"/>
      <w:bookmarkStart w:id="848" w:name="Tc_UzGxruVqD0-s6W8wjfmoxQ_2_2"/>
      <w:bookmarkStart w:id="849" w:name="Tc_EyIWqxiGl0OnQGfBRYP4mA_1_2"/>
      <w:bookmarkStart w:id="850" w:name="_3ef04afb_51ad_45aa_87a2_1fc8f1a88ea0"/>
      <w:bookmarkStart w:id="851" w:name="Tc_2ZGV9hr9T0mmxJS8C-bI-Q_39_5"/>
      <w:bookmarkStart w:id="852" w:name="Tc_ayzpVGKMt0mttzyN47edKw_39_2"/>
      <w:bookmarkStart w:id="853" w:name="Tc_48Yv0Ij7nUSTInFkllSmLA_39_0"/>
      <w:bookmarkStart w:id="854" w:name="Tc_6AtGJteezEaCfRwNh0s9TQ_38_5"/>
      <w:bookmarkStart w:id="855" w:name="Tc_ScIOSr4ZbEaSfWrQ7NexCw_38_2"/>
      <w:bookmarkStart w:id="856" w:name="Tc__8AhYYtKx0a33lshb8z8uw_38_0"/>
      <w:bookmarkStart w:id="857" w:name="Tc_CaMP_LJzpU6VVjvrx61yxg_37_5"/>
      <w:bookmarkStart w:id="858" w:name="Tc_mUlbHoDqZk-L073BcGNcvw_37_2"/>
      <w:bookmarkStart w:id="859" w:name="Tc_EYfPjYYnBU6uV-Q1Ozc88w_37_0"/>
      <w:bookmarkStart w:id="860" w:name="Tc_xfDmFW7DMECS5pgznoGN1g_36_0"/>
      <w:bookmarkStart w:id="861" w:name="Tc_5me8WHGTeUulC4mpqGP6HA_35_5"/>
      <w:bookmarkStart w:id="862" w:name="Tc_PeIO-dXzgkekBEl_QAf-uQ_35_2"/>
      <w:bookmarkStart w:id="863" w:name="Tc_8IH3PVr0B0G_NweW_IvITg_35_0"/>
      <w:bookmarkStart w:id="864" w:name="Tc_95dq64txA0aOLgPNstYcMA_34_5"/>
      <w:bookmarkStart w:id="865" w:name="Tc_RcDTSGngrkuuk_oO42zAxQ_34_2"/>
      <w:bookmarkStart w:id="866" w:name="Tc_fQyAs0nUO06njlHP1c3u1A_34_0"/>
      <w:bookmarkStart w:id="867" w:name="Tc_rPhkjVRzy0qrNYVdebr_mg_33_0"/>
      <w:bookmarkStart w:id="868" w:name="Tc__YZdmIGc2kisl9KF_2JYhw_32_5"/>
      <w:bookmarkStart w:id="869" w:name="Tc_1M33xa06nUSghoIjEk-d4w_32_2"/>
      <w:bookmarkStart w:id="870" w:name="Tc_qX-ahLWMAUWnQvHfzLmqMQ_32_0"/>
      <w:bookmarkStart w:id="871" w:name="Tc_IHCA2FMqHkeHVm1LdTJiMQ_31_0"/>
      <w:bookmarkStart w:id="872" w:name="Tc_jlbjR2ZZNkyezbaTYc3kng_30_0"/>
      <w:bookmarkStart w:id="873" w:name="Tc_7R8aCVM0bEC8fS0eMiIjpg_29_0"/>
      <w:bookmarkStart w:id="874" w:name="Tc_VxHqndN_FkWnM2qzH5f2sQ_28_0"/>
      <w:bookmarkStart w:id="875" w:name="Tc__v0pwEHBmEW18vYykp0gzQ_27_0"/>
      <w:bookmarkStart w:id="876" w:name="Tc_QMw8kIF410606LZ5TcU4iQ_26_0"/>
      <w:bookmarkStart w:id="877" w:name="Tc_sDdO1BtXOUGgxEH3XXkHQg_25_0"/>
      <w:bookmarkStart w:id="878" w:name="Tc_CslkU19wkEOkGuLbcZUKdQ_24_0"/>
      <w:bookmarkStart w:id="879" w:name="Tc_mE-ut0muS0mE5wJUr4JlKg_23_0"/>
      <w:bookmarkStart w:id="880" w:name="Tc_ItvMl8ZXvUOeHuJy9qw7JA_22_0"/>
      <w:bookmarkStart w:id="881" w:name="Tc_sjXGzcP2A02u9pyHQPgQww_21_0"/>
      <w:bookmarkStart w:id="882" w:name="Tc_rPYP2IyVMEmSpeVhtYE4Vw_20_0"/>
      <w:bookmarkStart w:id="883" w:name="Tc_4HfCu6ptLECUdut5WqC7bQ_19_0"/>
      <w:bookmarkStart w:id="884" w:name="Tc_bYHkfy5lDEOs5QNs32HPJg_18_0"/>
      <w:bookmarkStart w:id="885" w:name="Tc_e7-GjoXmqEyL0fBcLvptpA_17_0"/>
      <w:bookmarkStart w:id="886" w:name="Tc_bd05fdQ3ME2wW-lOwKvJ0A_16_0"/>
      <w:bookmarkStart w:id="887" w:name="Tc_2D-DNZbBuUSL9q8Z8Y1Lqw_15_0"/>
      <w:bookmarkStart w:id="888" w:name="Tc_R7Xr6uvHAEyPiAsX7TL1Cw_14_0"/>
      <w:bookmarkStart w:id="889" w:name="Tc_57G5Ww4YtkCmT8i7kAX_3g_13_0"/>
      <w:bookmarkStart w:id="890" w:name="Tc_mRI56xkdLEKACefxP6Dd6g_12_0"/>
      <w:bookmarkStart w:id="891" w:name="Tc_7Ipe1NflO0u08Wa5U2FEKA_11_0"/>
      <w:bookmarkStart w:id="892" w:name="Tc_CdPQ9Sw2JkK42_co2x91Zw_10_0"/>
      <w:bookmarkStart w:id="893" w:name="Tc_2QtHBicfYESAJj-lAb7R7g_9_0"/>
      <w:bookmarkStart w:id="894" w:name="Tc_q4mIv3LPZki6N2RQT96TGQ_8_0"/>
      <w:bookmarkStart w:id="895" w:name="Tc_Qk_w3eVzhkmqRLd6GY9Gww_7_0"/>
      <w:bookmarkStart w:id="896" w:name="Tc_q3PMoGHCAU2TSNlg7oUTew_6_0"/>
      <w:bookmarkStart w:id="897" w:name="Tc_2TYTxuWPLEiKfTs5hs-8rQ_5_5"/>
      <w:bookmarkStart w:id="898" w:name="Tc_W8lkhrgdk0OX1ppxCniBPQ_5_2"/>
      <w:bookmarkStart w:id="899" w:name="Tc_OCdSh8Kt9EOoffMnuIhqhw_5_0"/>
      <w:bookmarkStart w:id="900" w:name="Tc_Cp281b4-3k2yTqlpYCGVwA_4_0"/>
      <w:bookmarkStart w:id="901" w:name="Tc_Wu0V6pYoBUe-D3dzN-TygQ_3_5"/>
      <w:bookmarkStart w:id="902" w:name="Tc_zXrsGgdnkkexKjdkQvxpgQ_3_2"/>
      <w:bookmarkStart w:id="903" w:name="Tc_2rjOC3sp_ki6Cvd-koDecw_3_0"/>
      <w:bookmarkStart w:id="904" w:name="Tc_UzGxruVqD0-s6W8wjfmoxQ_2_2"/>
      <w:bookmarkStart w:id="905" w:name="Tc_EyIWqxiGl0OnQGfBRYP4mA_1_2"/>
      <w:bookmarkStart w:id="906" w:name="_3ef04afb_51ad_45aa_87a2_1fc8f1a88ea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tbl>
      <w:tblPr>
        <w:tblW w:w="8247" w:type="dxa"/>
        <w:jc w:val="left"/>
        <w:tblInd w:w="0" w:type="dxa"/>
        <w:tblLayout w:type="fixed"/>
        <w:tblCellMar>
          <w:top w:w="0" w:type="dxa"/>
          <w:left w:w="0" w:type="dxa"/>
          <w:bottom w:w="0" w:type="dxa"/>
          <w:right w:w="0" w:type="dxa"/>
        </w:tblCellMar>
      </w:tblPr>
      <w:tblGrid>
        <w:gridCol w:w="5716"/>
        <w:gridCol w:w="146"/>
        <w:gridCol w:w="196"/>
        <w:gridCol w:w="811"/>
        <w:gridCol w:w="32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9660" cy="175260"/>
                      <wp:effectExtent l="0" t="0" r="0" b="0"/>
                      <wp:wrapNone/>
                      <wp:docPr id="77" name="Frame77"/>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92710" cy="175260"/>
                      <wp:effectExtent l="0" t="0" r="0" b="0"/>
                      <wp:wrapNone/>
                      <wp:docPr id="78" name="Frame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14985" cy="175260"/>
                      <wp:effectExtent l="0" t="0" r="0" b="0"/>
                      <wp:wrapNone/>
                      <wp:docPr id="80" name="Frame8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4460" cy="175260"/>
                      <wp:effectExtent l="0" t="0" r="0" b="0"/>
                      <wp:wrapNone/>
                      <wp:docPr id="82" name="Frame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3560" cy="175260"/>
                      <wp:effectExtent l="0" t="0" r="0" b="0"/>
                      <wp:wrapNone/>
                      <wp:docPr id="83" name="Frame83"/>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7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5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124,276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9,958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6,315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including fixed asset disposals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from university partners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(37,577)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and lease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receivable/payable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(13,058)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154,141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127,277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provided by (used in) investing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(34,186)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Additions of amortizable content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(73,462)</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or maturity of investments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147,619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37,927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(used in) investing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(70,530)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 and shares withheld in lieu of income taxes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(120,285)</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(108,329)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(120,285)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increase in cash and cash equivalents and restricted cash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117,109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(63,538)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beginning of period</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146,475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120,409</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and cash equivalents and restricted cash, end of period</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263,584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56,871</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income taxes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47,654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 included in accounts payable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ROU Asset and Liability recognition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17,674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Excise tax on treasury stock repurchases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978</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907" w:name="_cp_text_1_117"/>
      <w:bookmarkEnd w:id="907"/>
      <w:r>
        <w:rPr>
          <w:rFonts w:ascii="Times New Roman;Times;serif" w:hAnsi="Times New Roman;Times;serif"/>
          <w:b/>
          <w:sz w:val="20"/>
        </w:rPr>
        <w:t>1. Nature of Business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ten colleges both online, on ground at its campus in Phoenix, Arizona and at eight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2024, GCE provides education services to 22 university partners across the United States.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consolidated financial statements include the accounts of the Company and its wholly owned subsidiaries. Intercompany transactions have been eliminated in consolidation.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2023.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Company’s audited financial statements and footnotes included in its Annual Report on Form 10-K for the fiscal year ended December 31, 2023 from which the December 31, 2023 balance sheet information was derived.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September 30, 2024 the Company had no investments. As of December 31, 2023, the Company considered its investments in corporate bonds, agency bonds, treasury bills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Unrealized investment gains and losses, net of tax, are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Arrangements with GCU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1, 2018, the Company consummated an Asset Purchase Agreement (the “Asset Purchase Agreement”) with GCU. In conjunction with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of GCU’s tuition and fee revenue. Except for identified liabilities assumed by GCU, GCE retained responsibility for all liabilities of the business arising from pre-closing operations.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Internally Developed Software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Capitalized Content Development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September 30, 2024 and December 31, 2023, $676 and $746, respectively, net of amortization, of deferred content assets are included in other assets, long-term in the Company’s consolidated balance sheets and amortization is included in technical and academic services where the costs originated.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Goodwill and Amortizable Intangible Assets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September 30, 2024.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12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of cash and cash equivalents, accounts receivable, accounts payable, accrued compensation and benefits and accrued liabilities expenses approximate their fair value based on the liquidity or the short-term maturities of these instruments.</w:t>
      </w:r>
    </w:p>
    <w:p>
      <w:pPr>
        <w:pStyle w:val="TextBody"/>
        <w:shd w:fill="FFFFFF" w:val="clear"/>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pStyle w:val="TextBody"/>
        <w:bidi w:val="0"/>
        <w:spacing w:before="0" w:after="12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-Level 1 – inputs are quoted prices (unadjusted) in active markets for identical assets or liabilities.</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before="0" w:after="120"/>
        <w:ind w:left="72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-Level 3 – unobservable inputs that are not corroborated by market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Investments are comprised of corporate bonds, commercial paper and agency bonds.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September 30, 2024. The Company will continue to review and revise its allowance methodology based on its collection experience with its partners.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our partners with unbilled revenue, revenue recognition occurs in advance of billings. Billings for some university partners do not occur until after the service period has commenced and final enrollment information is available. Given that the Fall semester ends on December 31 of each year unbilled revenue is low at year end (whereas a semester is ongoing at the end of each other fiscal quarter, and unbilled revenue is thus higher at the end of our first three quarters). Our unbilled revenue of $8,351 and $188 as of September 30, 2024 and December 31, 2023,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Technology and Academic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Counseling Services and Support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Marketing and Communication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Marketing and communication include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Commitments and Contingencies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 xml:space="preserve">Concentration of Credit Risk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September 30, 2024 and December 31, 2023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September 30, 2024 and December 31, 2023, the Company had $262,584 and $145,474, respectively, in excess of the FDIC insured limit. The Company is also subject to credit risk for its accounts receivable balance. Our dependence on our most significant university partner, GCU, with 88.3% and 87.0% of total service revenue for the nine-month periods ended September 30, 2024 and 2023, respectively, subjects us to the risk that declines in our customer’s operations would result in a sustained reduction in service revenue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 other than consolidated net income.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November 2023, the FASB issued Accounting Standards Update (“ASU”) No. 2023-07, “Segment Reporting (Topic 280): Improvements to Reportable Segment Disclosure,” effective for fiscal years beginning after December 15, 2023, with early adoption permitted. This ASU adds disclosure requirements for segment expense information and clarifies that single reportable segment entities are subject to Topic 280 in its entirety. The Company adopted this standard effective January 1, 2024 and the adoption of this guidance did not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ASU includes amendments requiring enhanced income tax disclosures, primarily related to standardization and disaggregation of rate reconciliation categories and income taxes paid by jurisdiction. The guidance is effective for fiscal years beginning after December 15, 2024, with early adoption permitted, and should be applied either prospectively or retrospectively. The Company does not expect the adoption of this guidance to have a material impact on the Company’s financial condition, results of operations or statements of cash flows.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has determined that no other recent accounting pronouncements apply to its operations or could otherwise have a material impact on its consolidated financial statements.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3. Investments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September 30, 2024 and December 31, 2023, the Company had investments of $0 and $98,031, respectively, classified as available-for-sale securities. The Company sold all its investments in the third quarter of 2024 and the proceeds were invested in cash and cash equivalents.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September 30, 2024 and 2023, the net realized gains and unrealized losses were $57 and $60,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908" w:name="Tc_aEQHkJjZpEueYV6NSkerXw_7_0"/>
      <w:bookmarkStart w:id="909" w:name="Tc_aeBmtYL0R0a3z4b1DwIgnA_6_0"/>
      <w:bookmarkStart w:id="910" w:name="Tc_YhppniQTR0G3KilYnHIWDA_5_0"/>
      <w:bookmarkStart w:id="911" w:name="Tc_-iePsrWOzUSNjRpoUlHfPQ_4_0"/>
      <w:bookmarkStart w:id="912" w:name="Tc_zlFR4_oiHkiNYxVZbavz_w_3_9"/>
      <w:bookmarkStart w:id="913" w:name="Tc_Aj4-6ZHaVkKJk5k2ly8Mzg_3_7"/>
      <w:bookmarkStart w:id="914" w:name="Tc_pKmAkKV-LUC9dbrpvLVu6g_3_5"/>
      <w:bookmarkStart w:id="915" w:name="Tc_Fw3zC3Yut0yRG_I7iFIGrg_3_3"/>
      <w:bookmarkStart w:id="916" w:name="Tc_DV-cta5KCkCs9ExnxDZ97A_2_7"/>
      <w:bookmarkStart w:id="917" w:name="Tc_Pm3_nuOrFUiR9yyoCP3ymQ_2_3"/>
      <w:bookmarkStart w:id="918" w:name="Tc_kZBAK_OWSU25HmPOAfJEKw_1_7"/>
      <w:bookmarkStart w:id="919" w:name="Tc_9CwAWcu4hEeVdKX-XBr8Pw_1_3"/>
      <w:bookmarkEnd w:id="908"/>
      <w:bookmarkEnd w:id="909"/>
      <w:bookmarkEnd w:id="910"/>
      <w:bookmarkEnd w:id="911"/>
      <w:bookmarkEnd w:id="912"/>
      <w:bookmarkEnd w:id="913"/>
      <w:bookmarkEnd w:id="914"/>
      <w:bookmarkEnd w:id="915"/>
      <w:bookmarkEnd w:id="916"/>
      <w:bookmarkEnd w:id="917"/>
      <w:bookmarkEnd w:id="918"/>
      <w:bookmarkEnd w:id="919"/>
      <w:r>
        <w:rPr>
          <w:rFonts w:ascii="Times New Roman;Times;serif" w:hAnsi="Times New Roman;Times;serif"/>
          <w:b/>
          <w:sz w:val="20"/>
        </w:rPr>
        <w:t xml:space="preserve">4. Net Income Per Common Share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pStyle w:val="TextBody"/>
        <w:bidi w:val="0"/>
        <w:spacing w:before="0" w:after="0"/>
        <w:ind w:left="0" w:right="0" w:hanging="0"/>
        <w:jc w:val="left"/>
        <w:rPr/>
      </w:pPr>
      <w:r>
        <w:rPr/>
        <w:t>​</w:t>
      </w:r>
    </w:p>
    <w:tbl>
      <w:tblPr>
        <w:tblW w:w="8530" w:type="dxa"/>
        <w:jc w:val="left"/>
        <w:tblInd w:w="0" w:type="dxa"/>
        <w:tblLayout w:type="fixed"/>
        <w:tblCellMar>
          <w:top w:w="0" w:type="dxa"/>
          <w:left w:w="0" w:type="dxa"/>
          <w:bottom w:w="0" w:type="dxa"/>
          <w:right w:w="0" w:type="dxa"/>
        </w:tblCellMar>
      </w:tblPr>
      <w:tblGrid>
        <w:gridCol w:w="4261"/>
        <w:gridCol w:w="326"/>
        <w:gridCol w:w="146"/>
        <w:gridCol w:w="676"/>
        <w:gridCol w:w="326"/>
        <w:gridCol w:w="676"/>
        <w:gridCol w:w="326"/>
        <w:gridCol w:w="676"/>
        <w:gridCol w:w="326"/>
        <w:gridCol w:w="791"/>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05735" cy="175260"/>
                      <wp:effectExtent l="0" t="0" r="0" b="0"/>
                      <wp:wrapNone/>
                      <wp:docPr id="84" name="Frame8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92710" cy="175260"/>
                      <wp:effectExtent l="0" t="0" r="0" b="0"/>
                      <wp:wrapNone/>
                      <wp:docPr id="86" name="Frame8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29260" cy="175260"/>
                      <wp:effectExtent l="0" t="0" r="0" b="0"/>
                      <wp:wrapNone/>
                      <wp:docPr id="87" name="Frame8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29260" cy="175260"/>
                      <wp:effectExtent l="0" t="0" r="0" b="0"/>
                      <wp:wrapNone/>
                      <wp:docPr id="89"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1" name="Frame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2285" cy="175260"/>
                      <wp:effectExtent l="0" t="0" r="0" b="0"/>
                      <wp:wrapNone/>
                      <wp:docPr id="93" name="Frame93"/>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w:t>
            </w:r>
          </w:p>
        </w:tc>
        <w:tc>
          <w:tcPr>
            <w:tcW w:w="17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42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shares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29,003</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29,248</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30,138</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dilutive stock options and restricted stock</w:t>
            </w:r>
          </w:p>
        </w:tc>
        <w:tc>
          <w:tcPr>
            <w:tcW w:w="32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29,164</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29,912</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29,405</w:t>
            </w:r>
          </w:p>
        </w:tc>
        <w:tc>
          <w:tcPr>
            <w:tcW w:w="326" w:type="dxa"/>
            <w:tcBorders/>
            <w:shd w:fill="CCEEFF" w:val="clear"/>
            <w:vAlign w:val="center"/>
          </w:tcPr>
          <w:p>
            <w:pPr>
              <w:pStyle w:val="TableContents"/>
              <w:bidi w:val="0"/>
              <w:spacing w:before="0" w:after="1"/>
              <w:ind w:left="0" w:right="0" w:hanging="0"/>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30,277</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Diluted weighted average shares outstanding excludes the incremental effect of unvested restricted stock in accordance with the treasury stock method. For the three-month periods ended September 30, 2024 and 2023, approximately nil and 2, respectively, and for the nine-month periods ended September 30, 2024 and 2023, approximately 26 and 70, respectively, of the Company’s restricted stock awards outstanding were excluded from the calculation of diluted earnings per share as their inclusion would have been anti-dilutive. These restricted stock awards could be dilutive in the future.</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20" w:name="Tc_yap02Fo1cky8Q0O6UvtYug_13_5"/>
      <w:bookmarkStart w:id="921" w:name="Tc_zY0HxnBpPEub4G11hxP70g_13_2"/>
      <w:bookmarkStart w:id="922" w:name="Tc_YvqohaeQGky3KrcjqgpR1g_13_0"/>
      <w:bookmarkStart w:id="923" w:name="Tc_K5dBQ5EeH0eEugvdq1HKGA_12_0"/>
      <w:bookmarkStart w:id="924" w:name="Tc_2jMuZ35DG0G91OCipUosSQ_10_0"/>
      <w:bookmarkStart w:id="925" w:name="Tc_pZ4DdiJmDEmnhx1I37AY0A_9_0"/>
      <w:bookmarkStart w:id="926" w:name="Tc_xZB0-QGcAUKDhPVt0m9qRA_8_0"/>
      <w:bookmarkStart w:id="927" w:name="Tc_U0nN0_QVCEGUjqCeoL-yrQ_7_0"/>
      <w:bookmarkStart w:id="928" w:name="Tc_rFmY11XK9UmLJXsIrh3Mjg_6_0"/>
      <w:bookmarkStart w:id="929" w:name="Tc_uqgnh6tJE0u5HvP9f8B5ng_5_0"/>
      <w:bookmarkStart w:id="930" w:name="Tc_y3mLe0ITG0G1MwrQ4UGxfw_4_0"/>
      <w:bookmarkStart w:id="931" w:name="Tc_SaT4G9xwO0GQe5P_TtkxaQ_3_5"/>
      <w:bookmarkStart w:id="932" w:name="Tc_jY06louWq0201cpKVlFe6Q_3_2"/>
      <w:bookmarkStart w:id="933" w:name="Tc_c_YpQio8aEeIOx7lw6HOEQ_3_0"/>
      <w:bookmarkStart w:id="934" w:name="Tc_1AKZY5D7akm9QPq-AvsdXw_2_5"/>
      <w:bookmarkStart w:id="935" w:name="Tc_b6iR_MHBEUm1s7HcoBj2uw_2_2"/>
      <w:bookmarkStart w:id="936" w:name="Tc_pTSu0IKkpky-7X_EXG9lqg_1_5"/>
      <w:bookmarkStart w:id="937" w:name="Tc_gQbepWhU20aZuAGcr89-uA_1_2"/>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b/>
          <w:sz w:val="20"/>
        </w:rPr>
        <w:t>5. Property and Equipment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Property and equipment consist of the following:</w:t>
      </w:r>
    </w:p>
    <w:p>
      <w:pPr>
        <w:pStyle w:val="TextBody"/>
        <w:bidi w:val="0"/>
        <w:spacing w:before="0" w:after="0"/>
        <w:ind w:left="0" w:right="0" w:hanging="0"/>
        <w:jc w:val="left"/>
        <w:rPr/>
      </w:pPr>
      <w:r>
        <w:rPr/>
        <w:t>​</w:t>
      </w:r>
    </w:p>
    <w:tbl>
      <w:tblPr>
        <w:tblW w:w="6893" w:type="dxa"/>
        <w:jc w:val="left"/>
        <w:tblInd w:w="0" w:type="dxa"/>
        <w:tblLayout w:type="fixed"/>
        <w:tblCellMar>
          <w:top w:w="0" w:type="dxa"/>
          <w:left w:w="0" w:type="dxa"/>
          <w:bottom w:w="0" w:type="dxa"/>
          <w:right w:w="0" w:type="dxa"/>
        </w:tblCellMar>
      </w:tblPr>
      <w:tblGrid>
        <w:gridCol w:w="4051"/>
        <w:gridCol w:w="146"/>
        <w:gridCol w:w="225"/>
        <w:gridCol w:w="960"/>
        <w:gridCol w:w="326"/>
        <w:gridCol w:w="216"/>
        <w:gridCol w:w="969"/>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72385" cy="175260"/>
                      <wp:effectExtent l="0" t="0" r="0" b="0"/>
                      <wp:wrapNone/>
                      <wp:docPr id="94" name="Frame94"/>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92710" cy="175260"/>
                      <wp:effectExtent l="0" t="0" r="0" b="0"/>
                      <wp:wrapNone/>
                      <wp:docPr id="95" name="Frame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42875" cy="175260"/>
                      <wp:effectExtent l="0" t="0" r="0" b="0"/>
                      <wp:wrapNone/>
                      <wp:docPr id="96" name="Frame9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09600" cy="175260"/>
                      <wp:effectExtent l="0" t="0" r="0" b="0"/>
                      <wp:wrapNone/>
                      <wp:docPr id="97" name="Frame97"/>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7160" cy="175260"/>
                      <wp:effectExtent l="0" t="0" r="0" b="0"/>
                      <wp:wrapNone/>
                      <wp:docPr id="99" name="Frame9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15315" cy="175260"/>
                      <wp:effectExtent l="0" t="0" r="0" b="0"/>
                      <wp:wrapNone/>
                      <wp:docPr id="100" name="Frame100"/>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51,399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 and leasehold improvements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36,377</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141,244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138,950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fixtures and equipment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29,635</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26,737</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87,044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71,204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12,873</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10,274</w:t>
            </w:r>
          </w:p>
        </w:tc>
      </w:tr>
      <w:tr>
        <w:trPr/>
        <w:tc>
          <w:tcPr>
            <w:tcW w:w="4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365,912</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340,114</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(189,678)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(170,415)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176,234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169,699</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Times;serif" w:hAnsi="Times New Roman;Times;serif"/>
          <w:b/>
          <w:sz w:val="20"/>
        </w:rPr>
      </w:pPr>
      <w:bookmarkStart w:id="938" w:name="Tc_vXBZHBo9OEGlEf6JpZq56A_7_2"/>
      <w:bookmarkStart w:id="939" w:name="Tc_81AiAhKTIkObKyvPfistig_6_0"/>
      <w:bookmarkStart w:id="940" w:name="Tc_8AtUWR7UB0S04BvYcT3pLQ_5_0"/>
      <w:bookmarkStart w:id="941" w:name="Tc_RguJrXw4aUejGmeczuYrmg_4_0"/>
      <w:bookmarkStart w:id="942" w:name="Tc_k0n8Hnb_c0qaKaw1AiY1uw_3_0"/>
      <w:bookmarkStart w:id="943" w:name="Tc_mzlmtbj0bUOb_E-7gFCsFg_2_0"/>
      <w:bookmarkStart w:id="944" w:name="Tc_ikObb1_NF0u-yhLOBgGYzw_1_2"/>
      <w:bookmarkStart w:id="945" w:name="Tc_R0UykEQn9U-rxKh-wb73ww_1_0"/>
      <w:bookmarkStart w:id="946" w:name="Tc_0MukGtmNZEqQmtCff5vTQQ_7_9"/>
      <w:bookmarkStart w:id="947" w:name="Tc_LBlf4YrvlUOnDQpDH6UZnQ_7_6"/>
      <w:bookmarkStart w:id="948" w:name="Tc_wZ_vFJUAVUSa1KoXx3ViHg_7_3"/>
      <w:bookmarkStart w:id="949" w:name="Tc_gHyVhf760E6KcAw9PSvwdQ_7_0"/>
      <w:bookmarkStart w:id="950" w:name="Tc_9Kd876mWm0KRNbbbDpv4tA_6_10"/>
      <w:bookmarkStart w:id="951" w:name="Tc_mjT76SICkEiS0FnLgDmHVA_6_0"/>
      <w:bookmarkStart w:id="952" w:name="Tc_BM10FnUsVEaqvXGm2a0tgA_5_9"/>
      <w:bookmarkStart w:id="953" w:name="Tc_caFpSh5q6EK0tQPDpFUCNw_5_6"/>
      <w:bookmarkStart w:id="954" w:name="Tc_jjHzHJryYECENCjT0L_Cgw_5_3"/>
      <w:bookmarkStart w:id="955" w:name="Tc_lg0Fz12L_EO6HlWWAoiTpw_5_0"/>
      <w:bookmarkStart w:id="956" w:name="Tc_HcitbL-oUEev4BdXgzUvYA_4_9"/>
      <w:bookmarkStart w:id="957" w:name="Tc_b71_7AnZAk6iW0ib1UUW1w_4_6"/>
      <w:bookmarkStart w:id="958" w:name="Tc_AZFeYROC4k-4O1stzY4vMg_4_3"/>
      <w:bookmarkStart w:id="959" w:name="Tc_qxPPezIeyk2t_MQij0rttw_4_1"/>
      <w:bookmarkStart w:id="960" w:name="Tc_8302npNMwkaJp006jfgG0Q_3_9"/>
      <w:bookmarkStart w:id="961" w:name="Tc_HQXVsn7SF0eTbs1qcMBaVQ_3_6"/>
      <w:bookmarkStart w:id="962" w:name="Tc_H7Ii54_IfEe2i0XdmrovJg_3_3"/>
      <w:bookmarkStart w:id="963" w:name="Tc_hEY7-7L81E-qYn7huXz6BQ_3_1"/>
      <w:bookmarkStart w:id="964" w:name="Tc_AFKtqKIK902DvFxo7BpknA_2_9"/>
      <w:bookmarkStart w:id="965" w:name="Tc_GySfl9lXwU-bUTGfgjuPyg_2_3"/>
      <w:bookmarkStart w:id="966" w:name="Tc_gKIYMhn0X0C_kIFl4kHLsw_2_1"/>
      <w:bookmarkStart w:id="967" w:name="Tc_8Tfy7boBQEGf6k5H7jowlw_1_1"/>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Pr>
          <w:rFonts w:ascii="Times New Roman;Times;serif" w:hAnsi="Times New Roman;Times;serif"/>
          <w:b/>
          <w:sz w:val="20"/>
        </w:rPr>
        <w:t xml:space="preserve">6. Amortizable Intangible Assets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Identified intangible assets of $210,280 consisted primarily of university partner relationships that were valued at $210,000, which arose in connection with the 2019 acquisition of Orbis Education Services LLC (“Orbis Education”).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Amortizable intangible assets consist of the following as of:</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301"/>
        <w:gridCol w:w="1216"/>
        <w:gridCol w:w="206"/>
        <w:gridCol w:w="211"/>
        <w:gridCol w:w="781"/>
        <w:gridCol w:w="206"/>
        <w:gridCol w:w="240"/>
        <w:gridCol w:w="841"/>
        <w:gridCol w:w="206"/>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96135" cy="175260"/>
                      <wp:effectExtent l="0" t="0" r="0" b="0"/>
                      <wp:wrapNone/>
                      <wp:docPr id="101" name="Frame101"/>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72160" cy="175260"/>
                      <wp:effectExtent l="0" t="0" r="0" b="0"/>
                      <wp:wrapNone/>
                      <wp:docPr id="102" name="Frame10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0810" cy="175260"/>
                      <wp:effectExtent l="0" t="0" r="0" b="0"/>
                      <wp:wrapNone/>
                      <wp:docPr id="103" name="Frame10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0810" cy="175260"/>
                      <wp:effectExtent l="0" t="0" r="0" b="0"/>
                      <wp:wrapNone/>
                      <wp:docPr id="106" name="Frame10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2400" cy="175260"/>
                      <wp:effectExtent l="0" t="0" r="0" b="0"/>
                      <wp:wrapNone/>
                      <wp:docPr id="107" name="Frame10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34035" cy="175260"/>
                      <wp:effectExtent l="0" t="0" r="0" b="0"/>
                      <wp:wrapNone/>
                      <wp:docPr id="108" name="Frame1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0810" cy="175260"/>
                      <wp:effectExtent l="0" t="0" r="0" b="0"/>
                      <wp:wrapNone/>
                      <wp:docPr id="109" name="Frame10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8960" cy="175260"/>
                      <wp:effectExtent l="0" t="0" r="0" b="0"/>
                      <wp:wrapNone/>
                      <wp:docPr id="111" name="Frame11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1"/>
              <w:ind w:left="0" w:right="0" w:hanging="0"/>
              <w:jc w:val="left"/>
              <w:rPr/>
            </w:pPr>
            <w:r>
              <w:rPr/>
              <w:t>​</w:t>
            </w:r>
          </w:p>
        </w:tc>
        <w:tc>
          <w:tcPr>
            <w:tcW w:w="5014"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0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r>
      <w:tr>
        <w:trPr/>
        <w:tc>
          <w:tcPr>
            <w:tcW w:w="3301" w:type="dxa"/>
            <w:tcBorders/>
            <w:vAlign w:val="center"/>
          </w:tcPr>
          <w:p>
            <w:pPr>
              <w:pStyle w:val="TableContents"/>
              <w:bidi w:val="0"/>
              <w:spacing w:before="0" w:after="1"/>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20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20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University partner relationships</w:t>
            </w:r>
          </w:p>
        </w:tc>
        <w:tc>
          <w:tcPr>
            <w:tcW w:w="121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210,000</w:t>
            </w:r>
          </w:p>
        </w:tc>
        <w:tc>
          <w:tcPr>
            <w:tcW w:w="206" w:type="dxa"/>
            <w:tcBorders/>
            <w:shd w:fill="CCEEFF" w:val="clear"/>
            <w:vAlign w:val="center"/>
          </w:tcPr>
          <w:p>
            <w:pPr>
              <w:pStyle w:val="TableContents"/>
              <w:bidi w:val="0"/>
              <w:spacing w:before="0" w:after="1"/>
              <w:ind w:left="0" w:right="0" w:hanging="0"/>
              <w:jc w:val="left"/>
              <w:rPr/>
            </w:pPr>
            <w:r>
              <w:rPr/>
              <w:t>  </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(47,934)</w:t>
            </w:r>
          </w:p>
        </w:tc>
        <w:tc>
          <w:tcPr>
            <w:tcW w:w="20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162,066</w:t>
            </w:r>
          </w:p>
        </w:tc>
      </w:tr>
      <w:tr>
        <w:trPr/>
        <w:tc>
          <w:tcPr>
            <w:tcW w:w="3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2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20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amortizable intangible assets, net</w:t>
            </w:r>
          </w:p>
        </w:tc>
        <w:tc>
          <w:tcPr>
            <w:tcW w:w="121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210,280</w:t>
            </w:r>
          </w:p>
        </w:tc>
        <w:tc>
          <w:tcPr>
            <w:tcW w:w="206" w:type="dxa"/>
            <w:tcBorders/>
            <w:shd w:fill="CCEEFF" w:val="clear"/>
            <w:vAlign w:val="center"/>
          </w:tcPr>
          <w:p>
            <w:pPr>
              <w:pStyle w:val="TableContents"/>
              <w:bidi w:val="0"/>
              <w:spacing w:before="0" w:after="1"/>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(48,214)</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162,066</w:t>
            </w:r>
          </w:p>
        </w:tc>
      </w:tr>
    </w:tbl>
    <w:p>
      <w:pPr>
        <w:pStyle w:val="TextBody"/>
        <w:bidi w:val="0"/>
        <w:spacing w:before="0" w:after="0"/>
        <w:ind w:left="0" w:right="0" w:hanging="0"/>
        <w:jc w:val="left"/>
        <w:rPr/>
      </w:pPr>
      <w:r>
        <w:rPr/>
        <w:t>​</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Amortization expense for university partner relationships and trade names for the years ending December 31:</w:t>
      </w:r>
    </w:p>
    <w:p>
      <w:pPr>
        <w:pStyle w:val="TextBody"/>
        <w:bidi w:val="0"/>
        <w:spacing w:before="0" w:after="0"/>
        <w:ind w:left="0" w:right="0" w:hanging="0"/>
        <w:jc w:val="left"/>
        <w:rPr/>
      </w:pPr>
      <w:r>
        <w:rPr/>
        <w:t>​</w:t>
      </w:r>
    </w:p>
    <w:tbl>
      <w:tblPr>
        <w:tblW w:w="2162" w:type="dxa"/>
        <w:jc w:val="left"/>
        <w:tblInd w:w="0" w:type="dxa"/>
        <w:tblLayout w:type="fixed"/>
        <w:tblCellMar>
          <w:top w:w="0" w:type="dxa"/>
          <w:left w:w="0" w:type="dxa"/>
          <w:bottom w:w="0" w:type="dxa"/>
          <w:right w:w="0" w:type="dxa"/>
        </w:tblCellMar>
      </w:tblPr>
      <w:tblGrid>
        <w:gridCol w:w="946"/>
        <w:gridCol w:w="109"/>
        <w:gridCol w:w="211"/>
        <w:gridCol w:w="89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00710" cy="175260"/>
                      <wp:effectExtent l="0" t="0" r="0" b="0"/>
                      <wp:wrapNone/>
                      <wp:docPr id="112" name="Frame11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68960" cy="175260"/>
                      <wp:effectExtent l="0" t="0" r="0" b="0"/>
                      <wp:wrapNone/>
                      <wp:docPr id="115" name="Frame11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126,286</w:t>
            </w:r>
          </w:p>
        </w:tc>
      </w:tr>
      <w:tr>
        <w:trPr/>
        <w:tc>
          <w:tcPr>
            <w:tcW w:w="9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162,066</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968" w:name="Tc_qaI-PwbcXkyZhkk0eTrlnA_10_2"/>
      <w:bookmarkStart w:id="969" w:name="Tc_F2fT01Bu3EGdenwYU7rLPQ_10_0"/>
      <w:bookmarkStart w:id="970" w:name="Tc_VHf5oDUuLkqsJMPXVnkQDQ_9_0"/>
      <w:bookmarkStart w:id="971" w:name="Tc_Nip4WenJi0-f2Q9cWoxrkg_8_2"/>
      <w:bookmarkStart w:id="972" w:name="Tc_YDABGMMspU-qU_xCPoKXyg_8_0"/>
      <w:bookmarkStart w:id="973" w:name="Tc_D1tFutLYEEC8BlimdMpHnA_7_0"/>
      <w:bookmarkStart w:id="974" w:name="Tc_yesgJsIfo0y99H8-3hGwkQ_6_0"/>
      <w:bookmarkStart w:id="975" w:name="Tc_A5y0ZwK1gEeIZIMLpsfqZA_5_0"/>
      <w:bookmarkStart w:id="976" w:name="Tc_RWw17-zeoUa9i8QXAwfpKg_4_0"/>
      <w:bookmarkStart w:id="977" w:name="Tc_IGXDzeU6_U66qDch2hY6Mw_3_0"/>
      <w:bookmarkStart w:id="978" w:name="Tc_TjDJvyiZB06iNTZwmEoFHg_2_2"/>
      <w:bookmarkStart w:id="979" w:name="Tc_nUHLvlipq0aUCNHKxWeGsw_2_0"/>
      <w:bookmarkStart w:id="980" w:name="Tc_1fhYGoKGHk2XG_9FMiwXVA_1_2"/>
      <w:bookmarkStart w:id="981" w:name="Tc_cOgupsZ5xEK6EM87hlHQ5w_1_0"/>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r>
        <w:rPr>
          <w:rFonts w:ascii="Times New Roman;Times;serif" w:hAnsi="Times New Roman;Times;serif"/>
          <w:b/>
          <w:sz w:val="20"/>
        </w:rPr>
        <w:t>7.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 has operating leases for off-campus classroom and laboratory sites, office space, office equipment, and optical fiber communication lines. These leases have remaining lease terms that range from four months to 10 years and five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$12,350 and $9,695 for the nine-month periods ended September 30, 2024 and 2023, respectively.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September 30, 2024, the Company had $22,204 of non-cancelable operating lease commitments for four off-campus classroom and laboratory sites that had not yet commenced. The Company’s weighted-average remaining lease term relating to its operating leases is 7.72 years, with a weighted-average discount rate of 4.16%. The cash paid for operating lease liabilities was $11,054 and $8,339 for the nine months ended September 30, 2024 and 2023, respectively. As of September 30, 2024, the Company had no financing leases.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Future payment obligations with respect to the Company’s operating leases, which were existing at September 30, 2024, by year and in the aggregate, are as follows:</w:t>
      </w:r>
    </w:p>
    <w:p>
      <w:pPr>
        <w:pStyle w:val="TextBody"/>
        <w:bidi w:val="0"/>
        <w:spacing w:before="0" w:after="0"/>
        <w:ind w:left="0" w:right="0" w:hanging="0"/>
        <w:jc w:val="left"/>
        <w:rPr/>
      </w:pPr>
      <w:r>
        <w:rPr/>
        <w:t>​</w:t>
      </w:r>
    </w:p>
    <w:tbl>
      <w:tblPr>
        <w:tblW w:w="4119" w:type="dxa"/>
        <w:jc w:val="left"/>
        <w:tblInd w:w="0" w:type="dxa"/>
        <w:tblLayout w:type="fixed"/>
        <w:tblCellMar>
          <w:top w:w="0" w:type="dxa"/>
          <w:left w:w="0" w:type="dxa"/>
          <w:bottom w:w="0" w:type="dxa"/>
          <w:right w:w="0" w:type="dxa"/>
        </w:tblCellMar>
      </w:tblPr>
      <w:tblGrid>
        <w:gridCol w:w="2686"/>
        <w:gridCol w:w="326"/>
        <w:gridCol w:w="211"/>
        <w:gridCol w:w="89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05610" cy="175260"/>
                      <wp:effectExtent l="0" t="0" r="0" b="0"/>
                      <wp:wrapNone/>
                      <wp:docPr id="116" name="Frame116"/>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68960" cy="175260"/>
                      <wp:effectExtent l="0" t="0" r="0" b="0"/>
                      <wp:wrapNone/>
                      <wp:docPr id="119" name="Frame119"/>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3,840</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16,632</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16,799</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16,069</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15,872</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57,204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126,416</w:t>
            </w:r>
          </w:p>
        </w:tc>
      </w:tr>
      <w:tr>
        <w:trPr/>
        <w:tc>
          <w:tcPr>
            <w:tcW w:w="26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19,444</w:t>
            </w:r>
          </w:p>
        </w:tc>
      </w:tr>
      <w:tr>
        <w:trPr/>
        <w:tc>
          <w:tcPr>
            <w:tcW w:w="26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106,972</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Pending Litigation Matters</w:t>
      </w:r>
    </w:p>
    <w:p>
      <w:pPr>
        <w:pStyle w:val="TextBody"/>
        <w:bidi w:val="0"/>
        <w:spacing w:before="0" w:after="120"/>
        <w:ind w:left="58" w:right="72" w:firstLine="662"/>
        <w:jc w:val="left"/>
        <w:rPr>
          <w:rFonts w:ascii="Times New Roman;Times;serif" w:hAnsi="Times New Roman;Times;serif"/>
          <w:sz w:val="20"/>
        </w:rPr>
      </w:pPr>
      <w:r>
        <w:rPr>
          <w:rFonts w:ascii="Times New Roman;font-style:italic" w:hAnsi="Times New Roman;font-style:italic"/>
          <w:i/>
          <w:sz w:val="20"/>
        </w:rPr>
        <w:t xml:space="preserve">Shareholder Litigation. </w:t>
      </w:r>
      <w:r>
        <w:rPr>
          <w:rFonts w:ascii="Times New Roman;white-space:pre-wrap" w:hAnsi="Times New Roman;white-space:pre-wrap"/>
          <w:sz w:val="20"/>
        </w:rPr>
        <w:t>As previously disclosed, on May 12, 2020, a securities class action complaint was filed in the U.S. District Court for the District of Delaware alleging claims under Sections 10(b) and 20(a) of the Securities Exchange Act of 1934, as amended, and Rule 10b-5 promulgated thereunder, against the Company, Brian E. Mueller, and Daniel E. Bachus, for allegedly making false and materially misleading statements regarding the circumstances surrounding the Company’s 2018 sale of Grand Canyon University (the “University”) to a non-profit entity and the subsequent decision of the U.S. Department of Education to continue to treat the University as a for-profit institution for education regulatory purposes. On March 28, 2023, the Defendants’ motion to dismiss was denied. On March 25, 2024, the parties executed a Stipulation and Agreement of Settlement to resolve the action. On August 22, 2024 the Court held a final fairness hearing and entered an order granting final approval of the settlement, and no appeals were taken. The Company’s insurance carriers have funded the entire settlement amount.</w:t>
      </w:r>
    </w:p>
    <w:p>
      <w:pPr>
        <w:pStyle w:val="TextBody"/>
        <w:bidi w:val="0"/>
        <w:spacing w:before="0" w:after="120"/>
        <w:ind w:left="58" w:right="58" w:firstLine="648"/>
        <w:jc w:val="left"/>
        <w:rPr>
          <w:rFonts w:ascii="Times New Roman;white-space:pre-wrap" w:hAnsi="Times New Roman;white-space:pre-wrap"/>
          <w:sz w:val="20"/>
        </w:rPr>
      </w:pPr>
      <w:r>
        <w:rPr>
          <w:rFonts w:ascii="Times New Roman;white-space:pre-wrap" w:hAnsi="Times New Roman;white-space:pre-wrap"/>
          <w:sz w:val="20"/>
        </w:rPr>
        <w:t>On December 22, 2023, the Company was named as a nominal defendant and certain of the Company’s current and former directors and officers were named as defendants in a shareholder derivative lawsuit filed in the Delaware Court of Chancery related to, among other things, the allegations in the aforementioned securities class action. The complaint asserted claims for breach of fiduciary duty and related claims. The defendants filed a motion to dismiss the complaint on April 15, 2024. On August 22, 2024, Plaintiff filed a motion requesting that the Court voluntarily dismiss the claims without prejudice. On September 5, 2024, the Court granted Plaintiff’s motion and issued an order dismissing the claims without prejudice.</w:t>
      </w:r>
    </w:p>
    <w:p>
      <w:pPr>
        <w:pStyle w:val="TextBody"/>
        <w:bidi w:val="0"/>
        <w:spacing w:before="0" w:after="0"/>
        <w:ind w:left="0" w:right="0" w:firstLine="720"/>
        <w:jc w:val="left"/>
        <w:rPr>
          <w:rFonts w:ascii="Times New Roman;Times;serif" w:hAnsi="Times New Roman;Times;serif"/>
          <w:sz w:val="20"/>
        </w:rPr>
      </w:pPr>
      <w:r>
        <w:rPr>
          <w:rFonts w:ascii="Times New Roman;font-style:italic" w:hAnsi="Times New Roman;font-style:italic"/>
          <w:i/>
          <w:sz w:val="20"/>
        </w:rPr>
        <w:t>False Claims Act Matter</w:t>
      </w:r>
      <w:r>
        <w:rPr>
          <w:rFonts w:ascii="Times New Roman" w:hAnsi="Times New Roman"/>
          <w:sz w:val="20"/>
        </w:rPr>
        <w:t>. In May 2020, we were served with a </w:t>
      </w:r>
      <w:r>
        <w:rPr>
          <w:rFonts w:ascii="Times New Roman;font-style:italic" w:hAnsi="Times New Roman;font-style:italic"/>
          <w:i/>
          <w:sz w:val="20"/>
        </w:rPr>
        <w:t>qui tam </w:t>
      </w:r>
      <w:r>
        <w:rPr>
          <w:rFonts w:ascii="Times New Roman" w:hAnsi="Times New Roman"/>
          <w:sz w:val="20"/>
        </w:rPr>
        <w:t xml:space="preserve">lawsuit that had been filed against us in 2019 in the U.S. District Court for the District of Massachusetts by a former employee on behalf of the federal government. All proceedings in the lawsuit had been under seal until February 2020, when the U.S. government decided to not intervene in the lawsuit, and the complaint was then unsealed by the court. The suit, </w:t>
      </w:r>
      <w:r>
        <w:rPr>
          <w:rFonts w:ascii="Times New Roman;font-style:italic" w:hAnsi="Times New Roman;font-style:italic"/>
          <w:i/>
          <w:sz w:val="20"/>
        </w:rPr>
        <w:t>United States ex rel Mackillop v. Grand Canyon Education, Inc.</w:t>
      </w:r>
      <w:r>
        <w:rPr>
          <w:rFonts w:ascii="Times New Roman" w:hAnsi="Times New Roman"/>
          <w:sz w:val="20"/>
        </w:rPr>
        <w:t xml:space="preserve">, alleges that we violated the False Claims Act by improperly compensating certain of our enrollment counselors in violation of the Title IV law governing compensation of such employees (the “incentive compensation rule”), and as a result, improperly received Title IV program funds. In response to a second amended complaint filed in September 2020, we filed a motion to dismiss and a motion to transfer the matter to the U.S. District Court for the District of Arizona. In December 2020, the court granted our motion to dismiss as to one of three counts and granted the motion to transfer but only upon conclusion of pretrial proceedings. In September 2021, we filed a motion for summary judgment which the Massachusetts court denied in September 2022. Subsequently, the matter was transferred to the Arizona court and trial was scheduled for late April 2024. In the interim, we filed a motion for reconsideration of the summary judgment ruling in September 2023; that motion remains pending. Prior to trial commencing, we and the relator reached an agreement to stay trial while the parties attempt to finalize the terms upon which the litigation could be concluded. For any future settlement to be affected, all parties to the litigation will need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120"/>
        <w:ind w:left="0" w:right="0" w:hanging="0"/>
        <w:jc w:val="left"/>
        <w:rPr>
          <w:rFonts w:ascii="Times New Roman" w:hAnsi="Times New Roman"/>
          <w:sz w:val="20"/>
        </w:rPr>
      </w:pPr>
      <w:r>
        <w:rPr>
          <w:rFonts w:ascii="Times New Roman" w:hAnsi="Times New Roman"/>
          <w:sz w:val="20"/>
        </w:rPr>
        <w:t xml:space="preserve">agree on acceptable terms, both monetary and non-monetary. In this regard, because this matter involves claims under the False Claims Act, any such terms would also need to be approved by the applicable U.S. government agencies. </w:t>
      </w:r>
    </w:p>
    <w:p>
      <w:pPr>
        <w:pStyle w:val="TextBody"/>
        <w:bidi w:val="0"/>
        <w:spacing w:before="0" w:after="120"/>
        <w:ind w:left="0" w:right="0" w:firstLine="720"/>
        <w:jc w:val="left"/>
        <w:rPr>
          <w:rFonts w:ascii="Times New Roman" w:hAnsi="Times New Roman"/>
          <w:sz w:val="20"/>
        </w:rPr>
      </w:pPr>
      <w:r>
        <w:rPr>
          <w:rFonts w:ascii="Times New Roman" w:hAnsi="Times New Roman"/>
          <w:sz w:val="20"/>
        </w:rPr>
        <w:t>We believe that the compensation practices at issue in the complaint, which were developed with the guidance of outside regulatory counsel specifically to comply with Title IV and its regulations and relevant case law interpreting the incentive compensation rule, do not violate applicable law. If a future settlement is not finalized on terms acceptable to all parties in interest, the Company intends to defend itself vigorously in this legal proceeding.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pStyle w:val="TextBody"/>
        <w:bidi w:val="0"/>
        <w:spacing w:lineRule="auto" w:line="300" w:before="0" w:after="160"/>
        <w:ind w:left="0" w:right="0" w:firstLine="720"/>
        <w:jc w:val="left"/>
        <w:rPr>
          <w:rFonts w:ascii="Times New Roman;Times;serif" w:hAnsi="Times New Roman;Times;serif"/>
          <w:sz w:val="20"/>
        </w:rPr>
      </w:pPr>
      <w:r>
        <w:rPr>
          <w:rFonts w:ascii="Times New Roman;Times;serif" w:hAnsi="Times New Roman;Times;serif"/>
          <w:i/>
          <w:sz w:val="20"/>
        </w:rPr>
        <w:t>Matters Related to GCU Graduate Program Disclosures and Related Matters.</w:t>
      </w:r>
      <w:r>
        <w:rPr>
          <w:rFonts w:ascii="Times New Roman;Times;serif" w:hAnsi="Times New Roman;Times;serif"/>
          <w:sz w:val="20"/>
        </w:rPr>
        <w:t xml:space="preserve"> The Company is a party to several matters alleging that, in the performance of its marketing services provided on behalf of GCU, it made false or misleading representations regarding the time to complete and the costs associated with and/or accreditation issues related to certain Grand Canyon University graduate programs, and (in the case of the FTC matter noted below) also made false or misleading representations regarding Grand Canyon University’s non-profit status and made telemarketing calls to phone numbers on do not call lists. These matters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Smith and Wang v. Grand Canyon Education, Inc.</w:t>
            </w:r>
            <w:r>
              <w:rPr>
                <w:caps w:val="false"/>
                <w:smallCaps w:val="false"/>
              </w:rPr>
              <w:t xml:space="preserve"> </w:t>
            </w:r>
            <w:r>
              <w:rPr>
                <w:rFonts w:ascii="Times New Roman;Times;serif" w:hAnsi="Times New Roman;Times;serif"/>
                <w:b w:val="false"/>
                <w:i w:val="false"/>
                <w:caps w:val="false"/>
                <w:smallCaps w:val="false"/>
                <w:sz w:val="20"/>
              </w:rPr>
              <w:t>This putative class action was filed in June 2024 in the United States District Court for the District of Arizona and asserts claims under the federal RICO statute as well as various claims for violations of state law consumer protection statutes. On September 20, 2024, the plaintiffs amended their complaint, and on November 4, 2024, the Company moved to dismiss the case. The motion to dismiss is pending with the court.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Trade Commission v. Grand Canyon Education, Inc., et al. This suit was filed in late December 2023 in United States District Court for the District of Arizona and asserts claims under the FTC Act and Telemarketing Sales Rule. In February 2024, GCE filed a partial motion to dismiss, which was denied in August 2024. Discovery in this matter has commenced and is ongoing, with a fact and expert discovery scheduled to conclude in May 2025 and October 2025 respectively. There is currently no trial date scheduled in this matter.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Ogdon v. Grand Canyon Education, Inc., et al. This putative class action was filed in May 2020 in federal district court in California and later transferred to United States District Court for the District of Arizona and asserts claims for violations of California’s False Advertising Law, Unfair Competition Law, Consumer Legal Remedies Act; Unjust Enrichment; and purported violations of the federal RICO statute, including a conspiracy claim. The defendants include the Company along with our chief executive officer, chief operating officer and chief financial officer. On May 27, 2022, after significant motions practice, the Company filed an amended motion to dismiss and a motion to strike certain allegations in Plaintiff’s amended complaint. On August 8, 2023, the court presiding over the dispute entered two orders: (1) an order granting in part the Company’s motion to dismiss as to Ogdon’s RICO claim from the case and to dismiss the individual Defendants; and (2) an order granting in part the Company’s motion to strike scandalous and impertinent allegations in Ogdon’s complaint about our business. Shortly thereafter on August 22, 2023, Plaintiff moved the court to reconsider its dismissal of the RICO claim. Though discovery had commenced, and the Company substantially completed its discovery obligations on the state-law claims, discovery was stayed on March 18, 2024, pending mediation and the disposition of Ogdon’s motion for reconsideration. On March 29, 2024, the court issued an order reinstating Plaintiff’s RICO claim. On September 26, 2024, the court lifted the stay on discovery, and discovery resumed, with class certification briefing to conclude in September 2025. There is currently no trial date scheduled in this matter.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uto" w:line="300" w:before="0" w:after="160"/>
        <w:ind w:left="0" w:right="0" w:firstLine="720"/>
        <w:jc w:val="left"/>
        <w:rPr>
          <w:rFonts w:ascii="Times New Roman;Times;serif" w:hAnsi="Times New Roman;Times;serif"/>
          <w:sz w:val="20"/>
        </w:rPr>
      </w:pPr>
      <w:r>
        <w:rPr>
          <w:rFonts w:ascii="Times New Roman;Times;serif" w:hAnsi="Times New Roman;Times;serif"/>
          <w:sz w:val="20"/>
        </w:rPr>
        <w:t>We believe that the Company’s representations made in marketing materials or by our employees regarding Grand Canyon University’s non-profit status and doctoral program requirements were at all times accurate and not false or misleading, and thus did not violate applicable law. In addition, to the extent the representations we made or actions we took that are at issue in these proceedings were done or taken after July 1, 2018 at the direction of GCU and/or based on written instructions, or advertising or web materials, provided to us for use by GCU, then we believe we have the right to be indemnified by GCU under the terms of the Master Services Agreement for all losses and expenses arising from these matters. With regard to the FTC’s claims under the Telemarketing Sales Rule, we only make telemarketing calls to individuals who have demonstrated interest in speaking to us about educational opportunities at Grand Canyon University, which are permitted by the rule. The Company intends to defend itself vigorously in each of these legal proceedings. The outcome of these legal proceedings is uncertain at this point. At present, the Company cannot estimate a range of loss for these actions based on the information available to the Company. Accordingly, the Company has not accrued any liability associated with these actions.</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9. Share-Based Compensation</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Incentive Plan</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Company makes equity incentive grants pursuant to our 2017 Equity Incentive Plan (the “2017 Plan”) under which a maximum of 3,000 shares may be granted. As of September 30, 2024, 962 shares were available for grants under the 2017 Plan. </w:t>
      </w:r>
    </w:p>
    <w:p>
      <w:pPr>
        <w:pStyle w:val="TextBody"/>
        <w:bidi w:val="0"/>
        <w:spacing w:lineRule="atLeast" w:line="200" w:before="0" w:after="120"/>
        <w:ind w:left="0" w:right="0" w:firstLine="720"/>
        <w:jc w:val="left"/>
        <w:rPr>
          <w:rFonts w:ascii="Times New Roman;Times;serif" w:hAnsi="Times New Roman;Times;serif"/>
          <w:i/>
          <w:sz w:val="20"/>
        </w:rPr>
      </w:pPr>
      <w:r>
        <w:rPr>
          <w:rFonts w:ascii="Times New Roman;Times;serif" w:hAnsi="Times New Roman;Times;serif"/>
          <w:i/>
          <w:sz w:val="20"/>
        </w:rPr>
        <w:t>Restricted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September 30, 2024, the Company granted 117 shares of common stock with a service vesting condition to certain of its executives, officers and employees. The restricted shares have voting rights and vest 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annual installments of 20%, </w:t>
      </w:r>
      <w:r>
        <w:rPr>
          <w:rFonts w:ascii="Times New Roman;Times;serif" w:hAnsi="Times New Roman;Times;serif"/>
          <w:b w:val="false"/>
          <w:i w:val="false"/>
          <w:caps w:val="false"/>
          <w:smallCaps w:val="false"/>
          <w:sz w:val="20"/>
        </w:rPr>
        <w:t>with</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the</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first</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installment</w:t>
      </w:r>
      <w:r>
        <w:rPr>
          <w:rFonts w:ascii="Times New Roman;Times;serif" w:hAnsi="Times New Roman;Times;serif"/>
          <w:sz w:val="20"/>
        </w:rPr>
        <w:t xml:space="preserve">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nine months ended September 30, 2024, the Company withheld 55 shares of common stock in lieu of taxes at a cost of $7,446 on the restricted stock vesting dates. In April 2024, a new non-employee director was appointed to the Company’s Board of Directors and was granted an initial award of shares pursuant to the Company’s compensation program. The initial award of shares that were granted to such newly appointed director have voting rights and vest on the one-year anniversary of the date of grant. In June 2024, following the annual stockholders meeting, the Company granted 3 shares of common stock to the non-employee members of the Company’s Board of Directors. The restricted shares granted to these directors have voting rights and vest on the earlier of (a) the one-year anniversary of the date of grant or (b) immediately prior to the next annual stockholders meeting.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30, 2024, a named executive officer resigned for “good reason” which, under the terms of his employment agreement, resulted in an acceleration of the vesting of the next tranche of five outstanding restricted stock awards that would have otherwise vested on March 1, 2025. As a result, the incremental share-based compensation expense from the modification on the five restricted stock awards for the accelerated vesting date was $558 and is included in the general and administrative expenses in the Company’s consolidated income statement. In July 2024, 5 shares vested and 2 shares were withheld in lieu of taxes at a cost of $324 on the accelerated vesting date.</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lineRule="atLeast" w:line="220" w:before="0" w:after="120"/>
        <w:ind w:left="0" w:right="0" w:firstLine="720"/>
        <w:jc w:val="left"/>
        <w:rPr>
          <w:rFonts w:ascii="Times New Roman;Times;serif" w:hAnsi="Times New Roman;Times;serif"/>
          <w:sz w:val="20"/>
        </w:rPr>
      </w:pPr>
      <w:bookmarkStart w:id="982" w:name="Tc_wRu3N8-_bkypT9FPCSaDiA_8_5"/>
      <w:bookmarkStart w:id="983" w:name="Tc_y35W0WWSEU-LJsyXBXJR8w_8_2"/>
      <w:bookmarkStart w:id="984" w:name="Tc_s-SdarDCVUqvQVROAAtP-w_8_0"/>
      <w:bookmarkStart w:id="985" w:name="Tc_k9MPQa2xlUCu8G69Sp7aKw_7_0"/>
      <w:bookmarkStart w:id="986" w:name="Tc_JjnDly71E0msNZ43p4PqLg_6_0"/>
      <w:bookmarkStart w:id="987" w:name="Tc_NDSni11mDk68QGfD0YBxGQ_5_0"/>
      <w:bookmarkStart w:id="988" w:name="Tc_TqelfQrB30y_Xdggj6N-kw_4_0"/>
      <w:bookmarkStart w:id="989" w:name="Tc_m86d9IybIESwrtrA8vVwRw_3_0"/>
      <w:bookmarkStart w:id="990" w:name="Tc_TTVy4tOoTUW0fVRrYCHSjg_2_5"/>
      <w:bookmarkStart w:id="991" w:name="Tc_NQJ0j07x2EWNu6xIz7BEDQ_2_2"/>
      <w:bookmarkStart w:id="992" w:name="Tc_oEmpXt7yPUCU29ZgyOY-gQ_2_0"/>
      <w:bookmarkStart w:id="993" w:name="Tc_9FX5ZLaOck6VXD1897uv0g_1_5"/>
      <w:bookmarkStart w:id="994" w:name="Tc_BCSrMFmhcki8Z81Hi4CLNQ_1_2"/>
      <w:bookmarkStart w:id="995" w:name="Tc_EgAUo7JQIkKcI1SYhYonyQ_8_4"/>
      <w:bookmarkStart w:id="996" w:name="Tc_lcUyVsDIC0-rjoZd8VD2Lg_8_0"/>
      <w:bookmarkStart w:id="997" w:name="Tc_3pr5OwReTUqBEYKviGk--g_7_4"/>
      <w:bookmarkStart w:id="998" w:name="Tc_3CRVWGLEjEutXrtTBrnVHw_7_0"/>
      <w:bookmarkStart w:id="999" w:name="Tc_rpd9NOmNbk-qPkXfWZz3Qw_6_4"/>
      <w:bookmarkStart w:id="1000" w:name="Tc_zYqI_YzYhkGsW60vuVSraA_6_0"/>
      <w:bookmarkStart w:id="1001" w:name="Tc_e6lsZAKWt0G9-nC2sXUbWg_5_4"/>
      <w:bookmarkStart w:id="1002" w:name="Tc_NlkcWqZ73EKWIRuhIvyE5w_5_0"/>
      <w:bookmarkStart w:id="1003" w:name="Tc_ZK8XBKM2BEacJ5e_Py3vaw_4_4"/>
      <w:bookmarkStart w:id="1004" w:name="Tc_Wfi6uRPJH0ilvb4adRndbQ_4_0"/>
      <w:bookmarkStart w:id="1005" w:name="Tc_KKn8pb-uM0e7JrGWfKH_3A_3_4"/>
      <w:bookmarkStart w:id="1006" w:name="Tc_P91OZGk4fUSeumedH2EH1A_3_2"/>
      <w:bookmarkStart w:id="1007" w:name="Tc_GdiY8P2cLESvyqXUNGnlQA_2_4"/>
      <w:bookmarkStart w:id="1008" w:name="Tc_oqgOx0GscUqqBiClSIAOKQ_2_2"/>
      <w:bookmarkStart w:id="1009" w:name="Tc_MmMeYkKkEE-vT6XRHyT2Ug_1_4"/>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r>
        <w:rPr>
          <w:rFonts w:ascii="Times New Roman;Times;serif" w:hAnsi="Times New Roman;Times;serif"/>
          <w:sz w:val="20"/>
        </w:rPr>
        <w:t>A summary of the activity related to restricted stock granted under the 2017 Plan since December 31, 2023 is as follows:</w:t>
      </w:r>
    </w:p>
    <w:p>
      <w:pPr>
        <w:pStyle w:val="TextBody"/>
        <w:bidi w:val="0"/>
        <w:spacing w:before="0" w:after="0"/>
        <w:ind w:left="0" w:right="0" w:hanging="0"/>
        <w:jc w:val="left"/>
        <w:rPr/>
      </w:pPr>
      <w:r>
        <w:rPr/>
        <w:t>​</w:t>
      </w:r>
    </w:p>
    <w:tbl>
      <w:tblPr>
        <w:tblW w:w="6220" w:type="dxa"/>
        <w:jc w:val="left"/>
        <w:tblInd w:w="0" w:type="dxa"/>
        <w:tblLayout w:type="fixed"/>
        <w:tblCellMar>
          <w:top w:w="0" w:type="dxa"/>
          <w:left w:w="0" w:type="dxa"/>
          <w:bottom w:w="0" w:type="dxa"/>
          <w:right w:w="0" w:type="dxa"/>
        </w:tblCellMar>
      </w:tblPr>
      <w:tblGrid>
        <w:gridCol w:w="3301"/>
        <w:gridCol w:w="326"/>
        <w:gridCol w:w="586"/>
        <w:gridCol w:w="326"/>
        <w:gridCol w:w="353"/>
        <w:gridCol w:w="132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96135" cy="175260"/>
                      <wp:effectExtent l="0" t="0" r="0" b="0"/>
                      <wp:wrapNone/>
                      <wp:docPr id="120" name="Frame12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72110" cy="175260"/>
                      <wp:effectExtent l="0" t="0" r="0" b="0"/>
                      <wp:wrapNone/>
                      <wp:docPr id="122" name="Frame12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24155" cy="175260"/>
                      <wp:effectExtent l="0" t="0" r="0" b="0"/>
                      <wp:wrapNone/>
                      <wp:docPr id="124" name="Frame124"/>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843280" cy="175260"/>
                      <wp:effectExtent l="0" t="0" r="0" b="0"/>
                      <wp:wrapNone/>
                      <wp:docPr id="125" name="Frame125"/>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    </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1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 Share</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canceled or expired</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of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104.54</w:t>
            </w:r>
          </w:p>
        </w:tc>
      </w:tr>
    </w:tbl>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table below outlines share-based compensation expense for the nine months ended September 30, 2024 and 2023 related to restricted stock granted:</w:t>
      </w:r>
    </w:p>
    <w:p>
      <w:pPr>
        <w:pStyle w:val="TextBody"/>
        <w:bidi w:val="0"/>
        <w:spacing w:before="0" w:after="0"/>
        <w:ind w:left="0" w:right="0" w:hanging="0"/>
        <w:jc w:val="left"/>
        <w:rPr/>
      </w:pPr>
      <w:r>
        <w:rPr/>
        <w:t>​</w:t>
      </w:r>
    </w:p>
    <w:tbl>
      <w:tblPr>
        <w:tblW w:w="8022" w:type="dxa"/>
        <w:jc w:val="left"/>
        <w:tblInd w:w="0" w:type="dxa"/>
        <w:tblLayout w:type="fixed"/>
        <w:tblCellMar>
          <w:top w:w="0" w:type="dxa"/>
          <w:left w:w="0" w:type="dxa"/>
          <w:bottom w:w="0" w:type="dxa"/>
          <w:right w:w="0" w:type="dxa"/>
        </w:tblCellMar>
      </w:tblPr>
      <w:tblGrid>
        <w:gridCol w:w="5701"/>
        <w:gridCol w:w="146"/>
        <w:gridCol w:w="211"/>
        <w:gridCol w:w="691"/>
        <w:gridCol w:w="326"/>
        <w:gridCol w:w="211"/>
        <w:gridCol w:w="7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0135" cy="175260"/>
                      <wp:effectExtent l="0" t="0" r="0" b="0"/>
                      <wp:wrapNone/>
                      <wp:docPr id="126" name="Frame126"/>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2710" cy="175260"/>
                      <wp:effectExtent l="0" t="0" r="0" b="0"/>
                      <wp:wrapNone/>
                      <wp:docPr id="127" name="Frame1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8785" cy="175260"/>
                      <wp:effectExtent l="0" t="0" r="0" b="0"/>
                      <wp:wrapNone/>
                      <wp:docPr id="129" name="Frame1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67360" cy="175260"/>
                      <wp:effectExtent l="0" t="0" r="0" b="0"/>
                      <wp:wrapNone/>
                      <wp:docPr id="132" name="Frame13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included in operating expenses</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share-based compensation</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expense, net of tax</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7,469</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pPr>
      <w:r>
        <w:rPr/>
        <w:t>​</w:t>
      </w:r>
    </w:p>
    <w:p>
      <w:pPr>
        <w:pStyle w:val="TextBody"/>
        <w:bidi w:val="0"/>
        <w:spacing w:lineRule="atLeast" w:line="200" w:before="0" w:after="120"/>
        <w:ind w:left="0" w:right="0" w:hanging="0"/>
        <w:jc w:val="left"/>
        <w:rPr>
          <w:rFonts w:ascii="Times New Roman;Times;serif" w:hAnsi="Times New Roman;Times;serif"/>
          <w:b/>
          <w:sz w:val="20"/>
        </w:rPr>
      </w:pPr>
      <w:r>
        <w:rPr>
          <w:rFonts w:ascii="Times New Roman;Times;serif" w:hAnsi="Times New Roman;Times;serif"/>
          <w:b/>
          <w:sz w:val="20"/>
        </w:rPr>
        <w:t>10. Treasury Stock</w:t>
      </w:r>
    </w:p>
    <w:p>
      <w:pPr>
        <w:pStyle w:val="TextBody"/>
        <w:bidi w:val="0"/>
        <w:spacing w:lineRule="atLeast" w:line="220"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$2,045,000 since the initiation of the Company’s stock repurchase program. The expiration date on the current repurchase authorization is March 1, 2025.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lineRule="atLeast" w:line="220" w:before="0" w:after="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2024 the Company repurchased 726 shares of common stock, at an aggregate cost of $100,559. As of September 30, 2024, there remained $164,494 available under its current share repurchase authorization. Shares repurchased in lieu of taxes are not included in the repurchase plan totals as they were approved in conjunction with the restricted share awards. Excise taxes of $815 are not included in the repurchase plan totals but are included in the total cost of net share repurchases in the consolidated statement of stockholders’ equity.</w:t>
      </w:r>
    </w:p>
    <w:p>
      <w:pPr>
        <w:pStyle w:val="TextBody"/>
        <w:bidi w:val="0"/>
        <w:spacing w:lineRule="atLeast" w:line="220"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Subsequent Event</w:t>
      </w:r>
    </w:p>
    <w:p>
      <w:pPr>
        <w:pStyle w:val="TextBody"/>
        <w:bidi w:val="0"/>
        <w:spacing w:before="0" w:after="240"/>
        <w:ind w:left="0" w:right="0" w:firstLine="720"/>
        <w:jc w:val="left"/>
        <w:rPr>
          <w:rFonts w:ascii="Times New Roman;Times;serif" w:hAnsi="Times New Roman;Times;serif"/>
          <w:b/>
          <w:sz w:val="24"/>
        </w:rPr>
      </w:pPr>
      <w:r>
        <w:rPr>
          <w:rFonts w:ascii="Times New Roman;Times;serif" w:hAnsi="Times New Roman;Times;serif"/>
          <w:b w:val="false"/>
          <w:sz w:val="20"/>
        </w:rPr>
        <w:t xml:space="preserve">On October 1, 2024, GCU entered into certain loan agreements (the “Loan Agreements”) with MidFirst Bank, a federally chartered savings association (“MidFirst”), and Zions Bancorporation, N.A., dba National Bank of Arizona, (“NBAZ” and, together with MidFirst, the “Banks”), pursuant to which each Bank made loans to GCU in the original </w:t>
      </w:r>
      <w:r>
        <w:rPr>
          <w:rFonts w:ascii="Times New Roman;Times;serif" w:hAnsi="Times New Roman;Times;serif"/>
          <w:b w:val="false"/>
          <w:i w:val="false"/>
          <w:caps w:val="false"/>
          <w:smallCaps w:val="false"/>
          <w:sz w:val="20"/>
        </w:rPr>
        <w:t>amount</w:t>
      </w:r>
      <w:r>
        <w:rPr>
          <w:rFonts w:ascii="Times New Roman;Times;serif" w:hAnsi="Times New Roman;Times;serif"/>
          <w:b/>
          <w:sz w:val="24"/>
        </w:rPr>
        <w:t xml:space="preserve"> </w:t>
      </w:r>
      <w:r>
        <w:rPr>
          <w:rFonts w:ascii="Times New Roman;Times;serif" w:hAnsi="Times New Roman;Times;serif"/>
          <w:b w:val="false"/>
          <w:sz w:val="20"/>
        </w:rPr>
        <w:t>of $250.0</w:t>
      </w:r>
      <w:r>
        <w:rPr>
          <w:rFonts w:ascii="Times New Roman;Times;serif" w:hAnsi="Times New Roman;Times;serif"/>
          <w:b/>
          <w:sz w:val="24"/>
        </w:rPr>
        <w:t xml:space="preserve"> </w:t>
      </w:r>
      <w:r>
        <w:rPr>
          <w:rFonts w:ascii="Times New Roman;Times;serif" w:hAnsi="Times New Roman;Times;serif"/>
          <w:b w:val="false"/>
          <w:sz w:val="20"/>
        </w:rPr>
        <w:t>million ($500.0</w:t>
      </w:r>
      <w:r>
        <w:rPr>
          <w:rFonts w:ascii="Times New Roman;Times;serif" w:hAnsi="Times New Roman;Times;serif"/>
          <w:b/>
          <w:sz w:val="24"/>
        </w:rPr>
        <w:t xml:space="preserve"> </w:t>
      </w:r>
      <w:r>
        <w:rPr>
          <w:rFonts w:ascii="Times New Roman;Times;serif" w:hAnsi="Times New Roman;Times;serif"/>
          <w:b w:val="false"/>
          <w:sz w:val="20"/>
        </w:rPr>
        <w:t xml:space="preserve">million in the aggregate) (each, a “Loan” and, collectively, the “Loans”). The proceeds of the Loans were used by GCU to refinance outstanding bonds originally issued in 2021. The stated maturity date under the MidFirst Loan Agreement is October 1, 2026 and under the NBAZ Loan Agreement is April 1, 2025. The Loan Agreements provide for customary events of default and remedies. </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val="false"/>
          <w:sz w:val="20"/>
        </w:rPr>
        <w:t>As a condition to the making of the Loans, each Bank required GCU to provide cash collateral in an amount equal to the principal balance of the Loan it provided. At the time of the making of the Loans, GCU provided $300.0</w:t>
      </w:r>
      <w:r>
        <w:rPr>
          <w:rFonts w:ascii="Times New Roman;Times;serif" w:hAnsi="Times New Roman;Times;serif"/>
          <w:b/>
          <w:sz w:val="20"/>
        </w:rPr>
        <w:t xml:space="preserve"> </w:t>
      </w:r>
      <w:r>
        <w:rPr>
          <w:rFonts w:ascii="Times New Roman;Times;serif" w:hAnsi="Times New Roman;Times;serif"/>
          <w:b w:val="false"/>
          <w:sz w:val="20"/>
        </w:rPr>
        <w:t xml:space="preserve">million of its cash as collateral and the Company offered to use some of its cash to provide the remaining collateral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left"/>
        <w:rPr>
          <w:rFonts w:ascii="Times New Roman;Times;serif" w:hAnsi="Times New Roman;Times;serif"/>
          <w:b w:val="false"/>
          <w:sz w:val="20"/>
        </w:rPr>
      </w:pPr>
      <w:bookmarkStart w:id="1010" w:name="_Hlk178222846"/>
      <w:bookmarkStart w:id="1011" w:name="_Hlk178222626"/>
      <w:bookmarkEnd w:id="1010"/>
      <w:bookmarkEnd w:id="1011"/>
      <w:r>
        <w:rPr>
          <w:rFonts w:ascii="Times New Roman;Times;serif" w:hAnsi="Times New Roman;Times;serif"/>
          <w:b w:val="false"/>
          <w:sz w:val="20"/>
        </w:rPr>
        <w:t xml:space="preserve">necessary for GCU to secure the Loans. </w:t>
      </w:r>
    </w:p>
    <w:p>
      <w:pPr>
        <w:pStyle w:val="TextBody"/>
        <w:bidi w:val="0"/>
        <w:spacing w:before="0" w:after="240"/>
        <w:ind w:left="0" w:right="0" w:firstLine="720"/>
        <w:jc w:val="left"/>
        <w:rPr>
          <w:rFonts w:ascii="Times New Roman;Times;serif" w:hAnsi="Times New Roman;Times;serif"/>
          <w:b/>
          <w:sz w:val="24"/>
        </w:rPr>
      </w:pPr>
      <w:r>
        <w:rPr>
          <w:rFonts w:ascii="Times New Roman;Times;serif" w:hAnsi="Times New Roman;Times;serif"/>
          <w:b w:val="false"/>
          <w:sz w:val="20"/>
        </w:rPr>
        <w:t>Accordingly, on October 1, 2024, the Company entered into (i) a Pledge and Security Agreement, by and between the Company and MidFirst, and (ii) a Security Agreement, by and between the Company and Zions (collectively, the “Pledge Agreements”), pursuant to which, among other things, the Company agreed to pledge to each of MidFirst and Zions $100.0</w:t>
      </w:r>
      <w:r>
        <w:rPr>
          <w:rFonts w:ascii="Times New Roman;Times;serif" w:hAnsi="Times New Roman;Times;serif"/>
          <w:b/>
          <w:sz w:val="24"/>
        </w:rPr>
        <w:t xml:space="preserve"> </w:t>
      </w:r>
      <w:r>
        <w:rPr>
          <w:rFonts w:ascii="Times New Roman;Times;serif" w:hAnsi="Times New Roman;Times;serif"/>
          <w:b w:val="false"/>
          <w:i w:val="false"/>
          <w:caps w:val="false"/>
          <w:smallCaps w:val="false"/>
          <w:sz w:val="20"/>
        </w:rPr>
        <w:t>million</w:t>
      </w:r>
      <w:r>
        <w:rPr>
          <w:rFonts w:ascii="Times New Roman;Times;serif" w:hAnsi="Times New Roman;Times;serif"/>
          <w:b/>
          <w:sz w:val="24"/>
        </w:rPr>
        <w:t xml:space="preserve"> </w:t>
      </w:r>
      <w:r>
        <w:rPr>
          <w:rFonts w:ascii="Times New Roman;Times;serif" w:hAnsi="Times New Roman;Times;serif"/>
          <w:b w:val="false"/>
          <w:sz w:val="20"/>
        </w:rPr>
        <w:t>of the Company’s available cash in order to partially secure the obligations of GCU under each Loan Agreement. The Pledge Agreements generally require that, so long as the time for payment of the indebtedness incurred by GCU under the Loan Agreements has not been stayed, enjoined or prevented for any reason, each Bank will exhaust its rights and remedies against GCU prior to exercising its rights against the Company’s collateral under the Pledge Agreements. The Pledge Agreements will terminate upon the earlier of (a) in the case of the MidFirst Loan, repayment by GCU of at least $100.0</w:t>
      </w:r>
      <w:r>
        <w:rPr>
          <w:rFonts w:ascii="Times New Roman;Times;serif" w:hAnsi="Times New Roman;Times;serif"/>
          <w:b/>
          <w:sz w:val="24"/>
        </w:rPr>
        <w:t xml:space="preserve"> </w:t>
      </w:r>
      <w:r>
        <w:rPr>
          <w:rFonts w:ascii="Times New Roman;Times;serif" w:hAnsi="Times New Roman;Times;serif"/>
          <w:b w:val="false"/>
          <w:sz w:val="20"/>
        </w:rPr>
        <w:t>million of the Loan or GCU’s pledge of $100.0</w:t>
      </w:r>
      <w:r>
        <w:rPr>
          <w:rFonts w:ascii="Times New Roman;Times;serif" w:hAnsi="Times New Roman;Times;serif"/>
          <w:b/>
          <w:sz w:val="24"/>
        </w:rPr>
        <w:t xml:space="preserve"> </w:t>
      </w:r>
      <w:r>
        <w:rPr>
          <w:rFonts w:ascii="Times New Roman;Times;serif" w:hAnsi="Times New Roman;Times;serif"/>
          <w:b w:val="false"/>
          <w:sz w:val="20"/>
        </w:rPr>
        <w:t>million in cash collateral in substitution of the Company’s cash collateral, and (b) in the case of NBAZ, payment in full of all indebtedness due and owing under Loan Agreement or GCU’s pledge of $100.0</w:t>
      </w:r>
      <w:r>
        <w:rPr>
          <w:rFonts w:ascii="Times New Roman;Times;serif" w:hAnsi="Times New Roman;Times;serif"/>
          <w:b/>
          <w:sz w:val="24"/>
        </w:rPr>
        <w:t xml:space="preserve"> </w:t>
      </w:r>
      <w:r>
        <w:rPr>
          <w:rFonts w:ascii="Times New Roman;Times;serif" w:hAnsi="Times New Roman;Times;serif"/>
          <w:b w:val="false"/>
          <w:sz w:val="20"/>
        </w:rPr>
        <w:t>million in cash collateral in substitution of the Company’s cash collateral. All income earned on the Company’s cash collateral under the Pledge Agreements will be for the benefit of the Company. GCU has agreed to indemnify the Company for any claims, losses, liabilities and expenses arising out of Pledge Agreements (including the value of any collateral against which MidFirst or NBAZ has exercised remedies, out of pocket expenses, costs and disbursements and reasonable and documented attorney’s fees), except to the extent the claims, liabilities or expenses are finally judicially determined by a court of competent jurisdiction to have resulted from the Company’s or any of its affiliates’ gross negligence or willful misconduct. In the event that the terms of any of the Loan Agreements or Pledge Agreements prevent GCU from making any indemnity payment required by the preceding sentence, GCU shall make such payment immediately upon the removal of such restriction.</w:t>
      </w:r>
    </w:p>
    <w:p>
      <w:pPr>
        <w:pStyle w:val="TextBody"/>
        <w:bidi w:val="0"/>
        <w:spacing w:before="0" w:after="240"/>
        <w:ind w:left="0" w:right="0" w:firstLine="720"/>
        <w:jc w:val="left"/>
        <w:rPr>
          <w:rFonts w:ascii="Times New Roman;Times;serif" w:hAnsi="Times New Roman;Times;serif"/>
          <w:b w:val="false"/>
          <w:sz w:val="20"/>
        </w:rPr>
      </w:pPr>
      <w:r>
        <w:rPr>
          <w:rFonts w:ascii="Times New Roman;Times;serif" w:hAnsi="Times New Roman;Times;serif"/>
          <w:b w:val="false"/>
          <w:sz w:val="20"/>
        </w:rPr>
        <w:t xml:space="preserve">The foregoing description of the Pledge Agreements does not purport to be complete and is qualified in its entirety by the full text of the Pledge Agreements, copies of which will be timely filed as an exhibit to the Company’s upcoming Annual Report on Form 10-K in accordance with applicable rules and regulations of the Securities and Exchange Commission. </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12" w:name="Item2ManagementsDiscussionandAnalysisofF"/>
      <w:bookmarkStart w:id="1013" w:name="_35d70715_7790_449b_b117_d73d28c52601"/>
      <w:bookmarkEnd w:id="1012"/>
      <w:bookmarkEnd w:id="1013"/>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financial statements and related notes that appear elsewhere in this report.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This Quarterly Report on Form 10-Q, including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contains certain “forward-looking statements” within the meaning of Section 27A of 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regulatory actions taken against us related to our services business, or against our university partners that impact their businesses and that directly or indirectly reduce the service revenue we can earn under our master services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 that could give rise to the termination of any of the key university partner agreements;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harm to our business, results of operations, and financial condition, and harm to our university partners resulting from epidemics, pandemics, or public health crises;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harm to our business and our ability to retract and retain students resulting from capacity constraints, system disruptions, or security breaches in our online computer networks and phone systems: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university partners’ students to obtain federal Title IV funds, state financial aid, and private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damage to our reputation or other adverse effects as a result of negative publicity in the media, in the industry or in connection with governmental reports or investigations or otherwise, affecting us or other companies in the education services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education service companies in our geographic region and market sector, including competition for students, qualified executives and other personnel;</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tax payments and tax rate;</w:t>
            </w:r>
          </w:p>
        </w:tc>
      </w:tr>
    </w:tbl>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train new, and develop and train existing employees;</w:t>
            </w:r>
          </w:p>
        </w:tc>
      </w:tr>
    </w:tbl>
    <w:tbl>
      <w:tblPr>
        <w:tblW w:w="8751" w:type="dxa"/>
        <w:jc w:val="left"/>
        <w:tblInd w:w="0" w:type="dxa"/>
        <w:tblLayout w:type="fixed"/>
        <w:tblCellMar>
          <w:top w:w="28" w:type="dxa"/>
          <w:left w:w="28" w:type="dxa"/>
          <w:bottom w:w="28" w:type="dxa"/>
          <w:right w:w="28" w:type="dxa"/>
        </w:tblCellMar>
      </w:tblPr>
      <w:tblGrid>
        <w:gridCol w:w="124"/>
        <w:gridCol w:w="256"/>
        <w:gridCol w:w="8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pace of growth of our university partners’ enrollment and its effect on the pace of our own growth;</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our revenues due to seasonality;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on behalf of our university partners, convert prospective students to enrolled students and to retain active students to graduation;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updating and expanding the content of existing programs and developing new programs in a cost-effective manner or on a timely basis for our university partners;</w:t>
            </w:r>
          </w:p>
        </w:tc>
      </w:tr>
    </w:tbl>
    <w:tbl>
      <w:tblPr>
        <w:tblW w:w="8976" w:type="dxa"/>
        <w:jc w:val="left"/>
        <w:tblInd w:w="0" w:type="dxa"/>
        <w:tblLayout w:type="fixed"/>
        <w:tblCellMar>
          <w:top w:w="28" w:type="dxa"/>
          <w:left w:w="28" w:type="dxa"/>
          <w:bottom w:w="28" w:type="dxa"/>
          <w:right w:w="28" w:type="dxa"/>
        </w:tblCellMar>
      </w:tblPr>
      <w:tblGrid>
        <w:gridCol w:w="124"/>
        <w:gridCol w:w="256"/>
        <w:gridCol w:w="8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the competitive environment for marketing the programs of our university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on our part to keep up with advances in technology that could enhance the experience for our university partners’ students;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future growth effectively;</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any natural disasters or public health emergencies;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adverse economic conditions or other developments that affect the job prospects of our university partners’ students.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“2023 Form 10-K”) filed with the Securities and Exchange Commission (“SEC”) for the fiscal year ended December 31, 2023, as updated in our subsequent reports filed with the SEC, including any updates found in Part II, Item 1A of this Quarterly Report on Form 10-Q or our other reports on Form 10-Q. 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Explanatory Note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ten colleges both online and on ground at its campus in Phoenix, Arizona, and at eight off-campus classroom and laboratory sites.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also provide education services to numerous university partners across the United States. In the healthcare field, we work in partnership with a number of top universities and healthcare networks,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September 30, 2024, GCE provides education services to 22 university partners across the United States.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healthcare and other programs. We do disclose significant information for GCU, such as enrollments, due to its size in comparison to our other university partners.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Use of Estimates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critical accounting policies are disclosed in the 2023 Form 10-K for the fiscal year ended December 31, 2023. During the nine months ended September 30, 2024, there were no significant changes in our critical accounting policies.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income statement data as a percentage of revenue for each of the periods indicated. Amortization of intangible assets has been excluded from the table below:</w:t>
      </w:r>
    </w:p>
    <w:tbl>
      <w:tblPr>
        <w:tblW w:w="7494" w:type="dxa"/>
        <w:jc w:val="left"/>
        <w:tblInd w:w="0" w:type="dxa"/>
        <w:tblLayout w:type="fixed"/>
        <w:tblCellMar>
          <w:top w:w="0" w:type="dxa"/>
          <w:left w:w="0" w:type="dxa"/>
          <w:bottom w:w="0" w:type="dxa"/>
          <w:right w:w="0" w:type="dxa"/>
        </w:tblCellMar>
      </w:tblPr>
      <w:tblGrid>
        <w:gridCol w:w="2956"/>
        <w:gridCol w:w="326"/>
        <w:gridCol w:w="578"/>
        <w:gridCol w:w="448"/>
        <w:gridCol w:w="578"/>
        <w:gridCol w:w="361"/>
        <w:gridCol w:w="326"/>
        <w:gridCol w:w="546"/>
        <w:gridCol w:w="423"/>
        <w:gridCol w:w="546"/>
        <w:gridCol w:w="40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77060" cy="175260"/>
                      <wp:effectExtent l="0" t="0" r="0" b="0"/>
                      <wp:wrapNone/>
                      <wp:docPr id="133" name="Frame133"/>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7030" cy="175260"/>
                      <wp:effectExtent l="0" t="0" r="0" b="0"/>
                      <wp:wrapNone/>
                      <wp:docPr id="135" name="Frame135"/>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84480" cy="175260"/>
                      <wp:effectExtent l="0" t="0" r="0" b="0"/>
                      <wp:wrapNone/>
                      <wp:docPr id="136" name="Frame136"/>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67030" cy="175260"/>
                      <wp:effectExtent l="0" t="0" r="0" b="0"/>
                      <wp:wrapNone/>
                      <wp:docPr id="137" name="Frame13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9235" cy="175260"/>
                      <wp:effectExtent l="0" t="0" r="0" b="0"/>
                      <wp:wrapNone/>
                      <wp:docPr id="138" name="Frame13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46710" cy="175260"/>
                      <wp:effectExtent l="0" t="0" r="0" b="0"/>
                      <wp:wrapNone/>
                      <wp:docPr id="140" name="Frame140"/>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68605" cy="175260"/>
                      <wp:effectExtent l="0" t="0" r="0" b="0"/>
                      <wp:wrapNone/>
                      <wp:docPr id="141" name="Frame141"/>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46710" cy="175260"/>
                      <wp:effectExtent l="0" t="0" r="0" b="0"/>
                      <wp:wrapNone/>
                      <wp:docPr id="142" name="Frame142"/>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7810" cy="175260"/>
                      <wp:effectExtent l="0" t="0" r="0" b="0"/>
                      <wp:wrapNone/>
                      <wp:docPr id="143" name="Frame14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0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406" w:type="dxa"/>
            <w:tcBorders/>
            <w:vAlign w:val="center"/>
          </w:tcPr>
          <w:p>
            <w:pPr>
              <w:pStyle w:val="TableContents"/>
              <w:bidi w:val="0"/>
              <w:spacing w:before="0" w:after="1"/>
              <w:ind w:left="0" w:right="0" w:hanging="0"/>
              <w:jc w:val="left"/>
              <w:rPr/>
            </w:pPr>
            <w:r>
              <w:rPr/>
              <w:t>​</w:t>
            </w:r>
          </w:p>
        </w:tc>
      </w:tr>
      <w:tr>
        <w:trPr/>
        <w:tc>
          <w:tcPr>
            <w:tcW w:w="29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8"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3" w:type="dxa"/>
            <w:tcBorders/>
            <w:vAlign w:val="center"/>
          </w:tcPr>
          <w:p>
            <w:pPr>
              <w:pStyle w:val="TableContents"/>
              <w:bidi w:val="0"/>
              <w:spacing w:before="0" w:after="1"/>
              <w:ind w:left="0" w:right="0" w:hanging="0"/>
              <w:jc w:val="left"/>
              <w:rPr/>
            </w:pPr>
            <w:r>
              <w:rPr/>
              <w:t>    </w:t>
            </w:r>
          </w:p>
        </w:tc>
        <w:tc>
          <w:tcPr>
            <w:tcW w:w="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pPr>
            <w:r>
              <w:rPr/>
              <w:t>  </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and academic services</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42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Counseling services and support</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406" w:type="dxa"/>
            <w:tcBorders/>
            <w:shd w:fill="CCEEFF" w:val="clear"/>
            <w:vAlign w:val="center"/>
          </w:tcPr>
          <w:p>
            <w:pPr>
              <w:pStyle w:val="TableContents"/>
              <w:bidi w:val="0"/>
              <w:spacing w:before="0" w:after="1"/>
              <w:ind w:left="0" w:right="0" w:hanging="0"/>
              <w:jc w:val="left"/>
              <w:rPr/>
            </w:pPr>
            <w:r>
              <w:rPr/>
              <w:t> </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communication</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448"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61"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423" w:type="dxa"/>
            <w:tcBorders/>
            <w:vAlign w:val="center"/>
          </w:tcPr>
          <w:p>
            <w:pPr>
              <w:pStyle w:val="TableContents"/>
              <w:bidi w:val="0"/>
              <w:spacing w:before="0" w:after="1"/>
              <w:ind w:left="0" w:right="0" w:hanging="0"/>
              <w:jc w:val="left"/>
              <w:rPr/>
            </w:pPr>
            <w:r>
              <w:rPr/>
              <w:t> </w:t>
            </w:r>
          </w:p>
        </w:tc>
        <w:tc>
          <w:tcPr>
            <w:tcW w:w="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406" w:type="dxa"/>
            <w:tcBorders/>
            <w:vAlign w:val="center"/>
          </w:tcPr>
          <w:p>
            <w:pPr>
              <w:pStyle w:val="TableContents"/>
              <w:bidi w:val="0"/>
              <w:spacing w:before="0" w:after="1"/>
              <w:ind w:left="0" w:right="0" w:hanging="0"/>
              <w:jc w:val="left"/>
              <w:rPr/>
            </w:pPr>
            <w:r>
              <w:rPr/>
              <w:t> </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448"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23" w:type="dxa"/>
            <w:tcBorders/>
            <w:shd w:fill="CCEEFF" w:val="clear"/>
            <w:vAlign w:val="center"/>
          </w:tcPr>
          <w:p>
            <w:pPr>
              <w:pStyle w:val="TableContents"/>
              <w:bidi w:val="0"/>
              <w:spacing w:before="0" w:after="1"/>
              <w:ind w:left="0" w:right="0" w:hanging="0"/>
              <w:jc w:val="left"/>
              <w:rPr/>
            </w:pPr>
            <w:r>
              <w:rPr/>
              <w:t> </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406" w:type="dxa"/>
            <w:tcBorders/>
            <w:shd w:fill="CCEEFF" w:val="clear"/>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Three Months Ended September 30, 2024 Compared to Three Months Ended September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three months ended September 30, 2024 was $238.3 million, an increase of $16.4 million, or 7.4%, as compared to service revenue of $221.9 million for the three months ended September 30, 2023. The increase year over year in service revenue was primarily due to an increase in GCU enrollments to 123,002 at September 30, 2024, an increase of 4.0% over enrollments at September 30, 2023, an increase in university partner enrollments at our off-campus classroom and laboratory sites to 5,888 at September 30, 2024, an increase of 8.1% over enrollments at September 30, 2023, which includes 913 and 510 GCU students at September 30, 2024 and 2023, respectively, and an increase in revenue per student year over year. The increase in revenue per student between years is primarily due to service revenue per student for Accelerated Bachelor of Science in Nursing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September 30, 2024 was also due to the timing of the Fall semester for the ground traditional campus. The Fall semester started two days earlier in 2024 than in 2023, which had the effect of shifting $2.2 million in service revenue from the fourth quarter of 2024 to the third quarter of 2024 in comparison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Partner enrollments totaled 127,977 at September 30, 2024 as compared to 123,165 at September 30,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is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2024 semesters.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five sites in the year ended December 31, 2023, seven sites in the nine months ended September 30, 2024 and closed one site increasing the total number of these sites to 46 at September 30, 2024, which has also positively impacted the enrollment growth. Enrollments for GCU ground students were 24,657 at September 30, 2024 down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25,232 at September 30,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98,345 at September 30, 2024, up from 92,995 at September 30, 2023, an increase of 5.8% between years.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three months ended September 30, 2024 were $42.0 million, an increase of $2.8 million, or 7.1%, as compared to technology and academic services expenses of $39.2 million for the three months ended September 30, 2023. This increase was primarily due to increases in other technology and academic costs and in occupancy and depreciation of $2.4 million and $1.2 million, respectively, partially offset by a decrease in employee compensation and related expenses, including share-based compensation of $0.8 million. The increases in other technology and academic costs and in occupancy and depreciation were primarily due to the costs associated with the increased number of off-campus classroom and laboratory sites to support our 22 university partners and their increased enrollment growth.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22 university partners, and their increased enrollment growth, tenure-based salary adjustments and the increased number of off-campus classroom and laboratory sites year over year. Our technology and academic services expenses as a percentage of revenue decreased by 0.1% to 17.6% for the three months ended September 30, 2024, from 17.7% for the three months ended September 30, 2023. This decrease was primarily due to the decreased faculty reimbursements between years. We anticipate that technology and academic services expenses as a percentage of revenue will increase in the future as we open more off-site classroom and laboratory sites although these increases might be offset by lower faculty reimbursements if more partners choose to adjust their contracts.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three months ended September 30, 2024 were $77.2 million, an increase of $3.4 million, or 4.5%, as compared to counseling services and support expenses of $73.8 million for the three months ended September 30, 2023. This increase was primarily attributable to increases in employee compensation and related expenses including share-based compensation and benefits and in occupancy and depreciation costs of $2.9 million and $0.7 million, respectively, partially offset by a decrease in other counseling services and support expenses of $0.2 million. The increases in employee compensation and related expenses including benefits were primarily due to increased headcount to support our university partners and their planned increases in enrollment, tenure-based salary adjustments and the increased number of off-campus classroom and laboratory sites open year over year. The increase in occupancy and depreciation is primarily related to higher depreciation expense associated with our continued enhancements to IT infrastructure and internal-use software development. Our counseling services and support expenses as a percentage of revenue decreased by 0.9% to 32.4% for the three months ended September 30, 2024, from 33.3% for the three months ended September 30, 2023 primarily due our ability to leverage our counseling services and support expenses across an increasing revenue base. We anticipate that counseling services and support expense will increase in the future as we continue to invest to meet our partners’ needs.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three months ended September 30, 2024 were $54.5 million, an increase of $1.4 million, or 2.7%, as compared to marketing and communication expenses of $53.1 million for the three months ended September 30, 2023. This increase was primarily attributable to the increased cost to market our university partners’ programs and to the marketing of new university partners and new locations which resulted in increased advertising of $0.9 million, increased employee compensation, including share-based compensation and benefits of $0.3 million, an increase in occupancy and depreciation of $0.1 million and an increase in other marketing and communication expenses of $0.1 million. Our marketing and communication expenses as a percentage of revenue decreased by 1.0% to 22.9% for the three months ended September 30, 2024, from 23.9% for the three months ended September 30, 2023, primarily due to our ability to leverage our marketing and communication expenses across an increasing revenue base. We anticipate that marketing and communication expense will increase in the future as we continue to meet our partners’ needs.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three months ended September 30, 2024 were $14.4 million, an increase of $2.2 million, or 18.0%, as compared to general and administrative expenses of $12.2 million for the three months ended September 30, 2023. This increase was primarily attributable to an increase in professional fees, primarily higher legal costs, an increase in contribution made in lieu of state income taxes and an increase in occupancy and depreciation costs of $1.1 million, $1.0 million and $0.1 million, respectively. Our general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 administrative expenses as a percentage of revenue increased by 0.5% to 6.0% for the three months ended September 30, 2024, from 5.5% for the three months ended September 30, 2023, primarily due to our increase in contributions made in lieu of state income taxes and the higher professional fees partially offset by our ability to leverage our general and administrative expenses across an increasing revenue base. General and administrative expenses as a percentage of revenue could continue to increase if legal costs continue to rise.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three months ended September 30, 2024 and 2023 were $2.1 million for both periods. As a result of the acquisition of our wholly owned subsidiary, Orbis Education,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three months ended September 30, 2024 was $4.2 million, as compared to investment interest and other for the three months ended September 30, 2023 of $2.7 million due to higher investment balances and higher returns on those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three months ended September 30, 2024 was $10.9 million, an increase of $2.4 million, or 27.2%, as compared to income tax expense of $8.5 million for the three months ended September 30, 2023. Our effective tax rate was 20.8% during the third quarter of 2024 compared to 19.3% during the third quarter of 2023. The effective tax rate increased year over year due to higher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three months ended September 30, 2024 was $41.5 million, an increase of $5.8 million, or 16.0%, as compared to $35.7 million for the three months ended September 30, 2023, due to the factors discussed above.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Nine Months Ended September 30, 2024 Compared to Nine Months Ended September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Service revenue</w:t>
      </w:r>
      <w:r>
        <w:rPr>
          <w:rFonts w:ascii="Times New Roman;Times;serif" w:hAnsi="Times New Roman;Times;serif"/>
          <w:sz w:val="20"/>
        </w:rPr>
        <w:t xml:space="preserve">. Our service revenue for the nine months ended September 30, 2024 was $740.4 million, an increase of $57.8 million, or 8.5%, as compared to service revenue of $682.6 million for the nine months ended September 30, 2023. The increase year over year in service revenue was primarily due to an increase in GCU enrollments to 123,002 at September 30, 2024, an increase of 4.0% over enrollments at September 30, 2023, an increase in university partner enrollments at our off-campus classroom and laboratory sites to 5,888 at September 30, 2024, an increase of 8.1% over enrollments at September 30, 2023, which includes 913 and 510 GCU students at September 30, 2024 and 2023, respectively, and an increase in revenue per student year over year. The increase in revenue per student between years is primarily due to the service revenue per student for ABSN students at off-campus classroom and laboratory sites generating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nine months ended September 30, 2024 was also due to the timing of the Fall semester for the ground traditional campus. The Fall semester started two days earlier in 2024 than in 2023, which had the effect of shifting $2.2 million in service revenue from the fourth quarter of 2024 to the third quarter of 2024 in comparison to the prior year. The additional day for leap year in 2024 added additional service revenue of $1.5 million as compared to the prior year. Contract modifications for some of our university partners in which the revenue share percentage was reduced in exchange for us no longer reimbursing the partner for certain faculty costs and the termination of one university partner contract at the end of the Spring 2024 semester had the effect of reducing revenue per student.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Partner enrollments totaled 127,977 at September 30, 2024 as compared to 123,165 at September 30, 2023. Although partner enrollments at our off-campus classroom and laboratory sites returned to year over year growth in 2024, some existing partners continue to experience reduced incoming cohort sizes which has slowed the growth. We believe the growth in the number of ABSN students is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completed bachelor’s degree to enter their programs. The majority of those partners that have made the adjustment to admit students without a completed bachelor’s degree had new enrollment growth on a year over year basis in the Summer and Fall 2024 semesters.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opened five sites in the year ended December 31, 2023, seven sites in the nine months ended September 30, 2024 and closed one site increasing the total number of these sites to 46 at September 30, 2024, which has also positively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impacted the enrollment growth. Enrollments for GCU ground students were 24,657 at September 30, 2024 down from 25,232 at September 30, 2023 due to a small decline in traditional ground students year over year and the continued decline in professional studies students, working adults attending the university’s traditional campus at night, partially offset by an increase in ABSN students between years. GCU online enrollments were 98,345 at September 30, 2024, up from 92,995 at September 30, 2023, an increase of 5.8% between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Technology and academic services</w:t>
      </w:r>
      <w:r>
        <w:rPr>
          <w:rFonts w:ascii="Times New Roman;Times;serif" w:hAnsi="Times New Roman;Times;serif"/>
          <w:sz w:val="20"/>
        </w:rPr>
        <w:t>. Our technology and academic services expenses for the nine months ended September 30, 2024 were $122.1 million, an increase of $6.5 million, or 5.6%, as compared to technology and academic services expenses of $115.6 million for the nine months ended September 30, 2023. This increase was primarily due to increases in other technology and academic costs and in occupancy and depreciation of $4.9 million and $4.0 million, respectively, partially offset by a decrease in employee compensation and related expenses, including share-based compensation of $2.4 million. The increases in other technology and academic costs and occupancy and depreciation were primarily due to the costs associated with the increased number of off-campus classroom and laboratory sites to support our 22 university partners and their increased enrollment growth. The decrease in employee compensation and related expenses is primarily due to decreased faculty reimbursements due to changes in our agreements with certain university partners whereby we no longer reimburse these partners for their faculty costs, partially offset by increased headcount to support our 22 university partners and their increased enrollment growth, tenure-based salary adjustments and the increased number of off-campus classroom and laboratory sites year over year. Our technology and academic services expenses as a percentage of revenue decreased by 0.4% to 16.5% for the nine months ended September 30, 2024, from 16.9% for the nine months ended September 30, 2023. This decrease was primarily due to the decreased faculty reimbursements between years. We anticipate that technology and academic services expenses as a percentage of revenue will increase in the future as we open more off-site classroom and laboratory sites although these increases might be offset by lower faculty reimbursements if more partners choose to adjust their contracts.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Counseling services and support</w:t>
      </w:r>
      <w:r>
        <w:rPr>
          <w:rFonts w:ascii="Times New Roman;Times;serif" w:hAnsi="Times New Roman;Times;serif"/>
          <w:sz w:val="20"/>
        </w:rPr>
        <w:t>. Our counseling services and support expenses for the nine months ended September 30, 2024 were $238.2 million, an increase of $18.6 million, or 8.5%, as compared to counseling services and support expenses of $219.6 million for the nine months ended September 30, 2023. This increase was primarily attributable to increases in employee compensation and related expenses including share-based compensation and benefits, in occupancy and depreciation costs and in other counseling services and support expenses of $14.4 million, $2.4 million and $1.8 million, respectively. The increases in employee compensation including share-based compensation and benefits were primarily due to increased headcount to support our university partners, and their planned increases in enrollment, tenure-based salary adjustments and the increased number of off-campus classroom and laboratory sites open year over year. The increase in occupancy and depreciation is primarily related to higher depreciation expense associated with our continued enhancements to IT infrastructure and internal-use software development. The increase in other counseling services and support expenses is primarily the result of increased travel costs for our 22 university partners. Our counseling services and support expenses as a percentage of revenue stayed flat at 32.2% for the nine months ended September 30, 2024 and 2023. We anticipate that counseling services and support expense will increase in the future as we continue to invest to meet our partners’ needs.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Marketing and communication</w:t>
      </w:r>
      <w:r>
        <w:rPr>
          <w:rFonts w:ascii="Times New Roman;Times;serif" w:hAnsi="Times New Roman;Times;serif"/>
          <w:sz w:val="20"/>
        </w:rPr>
        <w:t>. Our marketing and communication expenses for the nine months ended September 30, 2024 were $162.8 million, an increase of $6.0 million, or 3.8%, as compared to marketing and communication expenses of $156.8 million for the nine months ended September 30, 2023. This increase was primarily attributable to the increased cost to market our university partners’ programs and to the marketing of new university partners and new locations which resulted in increased advertising of $4.8 million, increased employee compensation, including share-based compensation and benefits of $0.6 million, an increase in other marketing and communication expenses of $0.4 million and an increase in occupancy and depreciation costs of $0.2 million. Our marketing and communication expenses as a percentage of revenue decreased by 1.0% to 22.0% for the nine months ended September 30, 2024, from 23.0% for the nine months ended September 30, 2023, primarily due to our ability to leverage our marketing and communication expenses across an increasing revenue base. We anticipate that marketing and communication expenses will increase in the future as we continue to invest to meet our partners’ needs.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xml:space="preserve">. Our general and administrative expenses for the nine months ended September 30, 2024 were $35.7 million, an increase of $2.9 million, or 8.8%, as compared to general and administrative expenses of $32.8 million for the nine months ended September 30, 2023. This increase was primarily attributable to an increase in employee compensation, including share-based compensation and benefits of $1.5 million, which includes $1.1 million in severance costs recorded for an executive that resigned June 30, 2024, professional fees of $1.0 million, an increase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contributions in lieu of state income taxes of $1.0 million and increases in occupancy and depreciation costs of $0.2 million. These increases were partially offset by a decrease in other administrative expenses of $0.8 million primarily due to lower travel costs. Our general and administrative expenses as a percentage of revenue stayed flat at 4.8% for the nine months ended September 30, 2024 and 2023 due to our ability to leverage our general and administrative expenses across an increasing revenue base partially offset by the severance costs. General and administrative expenses could increase if legal costs continue to rise.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Amortization of intangible assets</w:t>
      </w:r>
      <w:r>
        <w:rPr>
          <w:rFonts w:ascii="Times New Roman;Times;serif" w:hAnsi="Times New Roman;Times;serif"/>
          <w:sz w:val="20"/>
        </w:rPr>
        <w:t>. Amortization of intangible assets for the nine months ended September 30, 2024 and 2023 were $6.3 million for both periods. As a result of the acquisition of our wholly owned subsidiary, Orbis Education, certain identifiable intangible assets were created (primarily customer relationships) that will be amortized over their expected lives.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Investment interest and other</w:t>
      </w:r>
      <w:r>
        <w:rPr>
          <w:rFonts w:ascii="Times New Roman;Times;serif" w:hAnsi="Times New Roman;Times;serif"/>
          <w:sz w:val="20"/>
        </w:rPr>
        <w:t>. Investment interest and other for the nine months ended September 30, 2024 was $12.0 million, as compared to investment interest and other for the nine months ended September 30, 2023 of $7.5 million due to higher investment balances and higher returns on those balances.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Income tax expense</w:t>
      </w:r>
      <w:r>
        <w:rPr>
          <w:rFonts w:ascii="Times New Roman;Times;serif" w:hAnsi="Times New Roman;Times;serif"/>
          <w:sz w:val="20"/>
        </w:rPr>
        <w:t>. Income tax expense for the nine months ended September 30, 2024 was $43.0 million, an increase of $8.4 million, or 24.2%, as compared to income tax expense of $34.6 million for the nine months ended September 30, 2023. Our effective tax rate was 23.0% during the nine months ended September 30, 2024 compared to 21.8% during the nine months ended September 30, 2023. In the nine months ended September 30, 2024, the effective tax rate was favorably impacted by excess tax benefits of $1.5 million as compared to $0.9 million in the nine months ended September 30, 2023. The effective tax rate increased year over year due to higher state income taxes.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Net income</w:t>
      </w:r>
      <w:r>
        <w:rPr>
          <w:rFonts w:ascii="Times New Roman;Times;serif" w:hAnsi="Times New Roman;Times;serif"/>
          <w:sz w:val="20"/>
        </w:rPr>
        <w:t>. Our net income for the nine months ended September 30, 2024 was $144.4 million, an increase of $20.1 million, or 17.9%, as compared to $124.3 million for the nine months ended September 30, 2023, due to the factors discussed above.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tbl>
      <w:tblPr>
        <w:tblW w:w="6669" w:type="dxa"/>
        <w:jc w:val="left"/>
        <w:tblInd w:w="0" w:type="dxa"/>
        <w:tblLayout w:type="fixed"/>
        <w:tblCellMar>
          <w:top w:w="0" w:type="dxa"/>
          <w:left w:w="0" w:type="dxa"/>
          <w:bottom w:w="0" w:type="dxa"/>
          <w:right w:w="0" w:type="dxa"/>
        </w:tblCellMar>
      </w:tblPr>
      <w:tblGrid>
        <w:gridCol w:w="3331"/>
        <w:gridCol w:w="109"/>
        <w:gridCol w:w="332"/>
        <w:gridCol w:w="1228"/>
        <w:gridCol w:w="109"/>
        <w:gridCol w:w="297"/>
        <w:gridCol w:w="1263"/>
      </w:tblGrid>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0820" cy="175260"/>
                      <wp:effectExtent l="0" t="0" r="0" b="0"/>
                      <wp:wrapNone/>
                      <wp:docPr id="145" name="Frame14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79780" cy="175260"/>
                      <wp:effectExtent l="0" t="0" r="0" b="0"/>
                      <wp:wrapNone/>
                      <wp:docPr id="146" name="Frame146"/>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88595" cy="175260"/>
                      <wp:effectExtent l="0" t="0" r="0" b="0"/>
                      <wp:wrapNone/>
                      <wp:docPr id="148" name="Frame14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02005" cy="175260"/>
                      <wp:effectExtent l="0" t="0" r="0" b="0"/>
                      <wp:wrapNone/>
                      <wp:docPr id="149" name="Frame149"/>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263,584</w:t>
            </w:r>
          </w:p>
        </w:tc>
        <w:tc>
          <w:tcPr>
            <w:tcW w:w="109"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244,506</w:t>
            </w:r>
          </w:p>
        </w:tc>
      </w:tr>
    </w:tbl>
    <w:p>
      <w:pPr>
        <w:pStyle w:val="TextBody"/>
        <w:bidi w:val="0"/>
        <w:spacing w:before="120" w:after="12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liquidity position, as measured by cash and cash equivalents and investments increased by $19.1 million between December 31, 2023 and September 30, 2024, which was largely attributable to cash flows from operations during the nine months ended September 30, 2024 exceeding share repurchases, changes in our investment balances and capital expenditures. See Note 11 for subsequent event relating to our cash and cash equivalents.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our current level of operations and anticipated growth, we believe that our cash flow from operations and other sources of liquidity, including cash and cash equivalents and investments, will provide adequate funds for ongoing operations, planned capital expenditures, and working capital requirements for at least the next 24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tbl>
      <w:tblPr>
        <w:tblW w:w="6214" w:type="dxa"/>
        <w:jc w:val="left"/>
        <w:tblInd w:w="0" w:type="dxa"/>
        <w:tblLayout w:type="fixed"/>
        <w:tblCellMar>
          <w:top w:w="0" w:type="dxa"/>
          <w:left w:w="0" w:type="dxa"/>
          <w:bottom w:w="0" w:type="dxa"/>
          <w:right w:w="0" w:type="dxa"/>
        </w:tblCellMar>
      </w:tblPr>
      <w:tblGrid>
        <w:gridCol w:w="3466"/>
        <w:gridCol w:w="109"/>
        <w:gridCol w:w="252"/>
        <w:gridCol w:w="934"/>
        <w:gridCol w:w="130"/>
        <w:gridCol w:w="252"/>
        <w:gridCol w:w="1071"/>
      </w:tblGrid>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60020" cy="175260"/>
                      <wp:effectExtent l="0" t="0" r="0" b="0"/>
                      <wp:wrapNone/>
                      <wp:docPr id="151" name="Frame151"/>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93090" cy="175260"/>
                      <wp:effectExtent l="0" t="0" r="0" b="0"/>
                      <wp:wrapNone/>
                      <wp:docPr id="152" name="Frame15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2550" cy="175260"/>
                      <wp:effectExtent l="0" t="0" r="0" b="0"/>
                      <wp:wrapNone/>
                      <wp:docPr id="153" name="Frame153"/>
                      <a:graphic xmlns:a="http://schemas.openxmlformats.org/drawingml/2006/main">
                        <a:graphicData uri="http://schemas.microsoft.com/office/word/2010/wordprocessingShape">
                          <wps:wsp>
                            <wps:cNvSpPr txBox="1"/>
                            <wps:spPr>
                              <a:xfrm>
                                <a:off x="0" y="0"/>
                                <a:ext cx="82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0020" cy="175260"/>
                      <wp:effectExtent l="0" t="0" r="0" b="0"/>
                      <wp:wrapNone/>
                      <wp:docPr id="154" name="Frame15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80085" cy="175260"/>
                      <wp:effectExtent l="0" t="0" r="0" b="0"/>
                      <wp:wrapNone/>
                      <wp:docPr id="155" name="Frame155"/>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0" w:type="dxa"/>
            <w:tcBorders/>
            <w:vAlign w:val="center"/>
          </w:tcPr>
          <w:p>
            <w:pPr>
              <w:pStyle w:val="TableContents"/>
              <w:bidi w:val="0"/>
              <w:spacing w:before="0" w:after="1"/>
              <w:ind w:left="0" w:right="0" w:hanging="0"/>
              <w:jc w:val="left"/>
              <w:rPr/>
            </w:pPr>
            <w:r>
              <w:rPr/>
              <w:t>​</w:t>
            </w:r>
          </w:p>
        </w:tc>
        <w:tc>
          <w:tcPr>
            <w:tcW w:w="13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154,141</w:t>
            </w:r>
          </w:p>
        </w:tc>
        <w:tc>
          <w:tcPr>
            <w:tcW w:w="130"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127,277</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The increase in cash generated from operating activities between the nine months ended September 30, 2023 and the nine months ended September 30, 2024 was primarily due to increased income and changes in working capital balances, primarily accounts payable and accounts receivable. Accrued payable increased between December 31, 2023 and September 30, 2024 by $6.8 million more than it did between December 31, 2022 and September 30, 2023 due to the timing of check runs. These increases were partially offset by accounts receivable from GCU increasing by $10.5 million more than it did between December 31, 2022 and September 30, 2023 due primarily to timing of the collections of our other university partners.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tbl>
      <w:tblPr>
        <w:tblW w:w="6949" w:type="dxa"/>
        <w:jc w:val="left"/>
        <w:tblInd w:w="0" w:type="dxa"/>
        <w:tblLayout w:type="fixed"/>
        <w:tblCellMar>
          <w:top w:w="0" w:type="dxa"/>
          <w:left w:w="0" w:type="dxa"/>
          <w:bottom w:w="0" w:type="dxa"/>
          <w:right w:w="0" w:type="dxa"/>
        </w:tblCellMar>
      </w:tblPr>
      <w:tblGrid>
        <w:gridCol w:w="4201"/>
        <w:gridCol w:w="109"/>
        <w:gridCol w:w="272"/>
        <w:gridCol w:w="871"/>
        <w:gridCol w:w="140"/>
        <w:gridCol w:w="272"/>
        <w:gridCol w:w="1084"/>
      </w:tblGrid>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72720" cy="175260"/>
                      <wp:effectExtent l="0" t="0" r="0" b="0"/>
                      <wp:wrapNone/>
                      <wp:docPr id="157" name="Frame157"/>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53085" cy="175260"/>
                      <wp:effectExtent l="0" t="0" r="0" b="0"/>
                      <wp:wrapNone/>
                      <wp:docPr id="158" name="Frame15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8900" cy="175260"/>
                      <wp:effectExtent l="0" t="0" r="0" b="0"/>
                      <wp:wrapNone/>
                      <wp:docPr id="159" name="Frame159"/>
                      <a:graphic xmlns:a="http://schemas.openxmlformats.org/drawingml/2006/main">
                        <a:graphicData uri="http://schemas.microsoft.com/office/word/2010/wordprocessingShape">
                          <wps:wsp>
                            <wps:cNvSpPr txBox="1"/>
                            <wps:spPr>
                              <a:xfrm>
                                <a:off x="0" y="0"/>
                                <a:ext cx="88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2720" cy="175260"/>
                      <wp:effectExtent l="0" t="0" r="0" b="0"/>
                      <wp:wrapNone/>
                      <wp:docPr id="160" name="Frame160"/>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88340" cy="175260"/>
                      <wp:effectExtent l="0" t="0" r="0" b="0"/>
                      <wp:wrapNone/>
                      <wp:docPr id="161" name="Frame161"/>
                      <a:graphic xmlns:a="http://schemas.openxmlformats.org/drawingml/2006/main">
                        <a:graphicData uri="http://schemas.microsoft.com/office/word/2010/wordprocessingShape">
                          <wps:wsp>
                            <wps:cNvSpPr txBox="1"/>
                            <wps:spPr>
                              <a:xfrm>
                                <a:off x="0" y="0"/>
                                <a:ext cx="688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2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1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0" w:type="dxa"/>
            <w:tcBorders/>
            <w:vAlign w:val="center"/>
          </w:tcPr>
          <w:p>
            <w:pPr>
              <w:pStyle w:val="TableContents"/>
              <w:bidi w:val="0"/>
              <w:spacing w:before="0" w:after="1"/>
              <w:ind w:left="0" w:right="0" w:hanging="0"/>
              <w:jc w:val="left"/>
              <w:rPr/>
            </w:pPr>
            <w:r>
              <w:rPr/>
              <w:t>​</w:t>
            </w:r>
          </w:p>
        </w:tc>
        <w:tc>
          <w:tcPr>
            <w:tcW w:w="13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71,297</w:t>
            </w:r>
          </w:p>
        </w:tc>
        <w:tc>
          <w:tcPr>
            <w:tcW w:w="140" w:type="dxa"/>
            <w:tcBorders/>
            <w:shd w:fill="CCEEFF" w:val="clear"/>
            <w:vAlign w:val="center"/>
          </w:tcPr>
          <w:p>
            <w:pPr>
              <w:pStyle w:val="TableContents"/>
              <w:bidi w:val="0"/>
              <w:spacing w:before="0" w:after="1"/>
              <w:ind w:left="0" w:right="0" w:hanging="0"/>
              <w:jc w:val="left"/>
              <w:rPr/>
            </w:pPr>
            <w:r>
              <w:rPr/>
              <w:t>​</w:t>
            </w:r>
          </w:p>
        </w:tc>
        <w:tc>
          <w:tcPr>
            <w:tcW w:w="2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(70,530)</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Investing activities provided $71.3 million of cash in the nine months ended September 30, 2024 compared to consuming $70.5 million in the nine months ended September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Cash provided by or used in investing activities includes net investment activity. In the nine months ended September 30, 2024, proceeds from the sale of investments, net of purchases of available-for-sale securities were $99.0 million. In the nine months ended September 30, 2023, the purchase of available-for-sale securities, net of proceeds from the sale of investments were $35.5 million.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the first nine months of 2024 and 2023 cash used in investing activities also included capital expenditures totaling $27.5 million and $34.2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$40.0 million per year for capital expenditures.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tbl>
      <w:tblPr>
        <w:tblW w:w="5809" w:type="dxa"/>
        <w:jc w:val="left"/>
        <w:tblInd w:w="0" w:type="dxa"/>
        <w:tblLayout w:type="fixed"/>
        <w:tblCellMar>
          <w:top w:w="0" w:type="dxa"/>
          <w:left w:w="0" w:type="dxa"/>
          <w:bottom w:w="0" w:type="dxa"/>
          <w:right w:w="0" w:type="dxa"/>
        </w:tblCellMar>
      </w:tblPr>
      <w:tblGrid>
        <w:gridCol w:w="3061"/>
        <w:gridCol w:w="109"/>
        <w:gridCol w:w="234"/>
        <w:gridCol w:w="1000"/>
        <w:gridCol w:w="121"/>
        <w:gridCol w:w="234"/>
        <w:gridCol w:w="1050"/>
      </w:tblGrid>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48590" cy="175260"/>
                      <wp:effectExtent l="0" t="0" r="0" b="0"/>
                      <wp:wrapNone/>
                      <wp:docPr id="163" name="Frame16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35000" cy="175260"/>
                      <wp:effectExtent l="0" t="0" r="0" b="0"/>
                      <wp:wrapNone/>
                      <wp:docPr id="164" name="Frame16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6835" cy="175260"/>
                      <wp:effectExtent l="0" t="0" r="0" b="0"/>
                      <wp:wrapNone/>
                      <wp:docPr id="165" name="Frame165"/>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8590" cy="175260"/>
                      <wp:effectExtent l="0" t="0" r="0" b="0"/>
                      <wp:wrapNone/>
                      <wp:docPr id="166" name="Frame166"/>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6750" cy="175260"/>
                      <wp:effectExtent l="0" t="0" r="0" b="0"/>
                      <wp:wrapNone/>
                      <wp:docPr id="167" name="Frame167"/>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0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1" w:type="dxa"/>
            <w:tcBorders/>
            <w:vAlign w:val="center"/>
          </w:tcPr>
          <w:p>
            <w:pPr>
              <w:pStyle w:val="TableContents"/>
              <w:bidi w:val="0"/>
              <w:spacing w:before="0" w:after="1"/>
              <w:ind w:left="0" w:right="0" w:hanging="0"/>
              <w:jc w:val="left"/>
              <w:rPr/>
            </w:pPr>
            <w:r>
              <w:rPr/>
              <w:t>​</w:t>
            </w:r>
          </w:p>
        </w:tc>
        <w:tc>
          <w:tcPr>
            <w:tcW w:w="128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(108,329)</w:t>
            </w:r>
          </w:p>
        </w:tc>
        <w:tc>
          <w:tcPr>
            <w:tcW w:w="121"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(120,285)</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Financing activities consumed $108.3 million of cash in the nine months ended September 30, 2024 compared to $120.3 million in the nine months ended September 30,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2024 and 2023, $100.5 million and $114.0 million, respectively was used to purchase treasury stock in accordance with GCE’s share repurchase program. In 2024 and 2023, $7.8 million and $6.3 million, respectively, of cash was utilized to purchase common shares withheld in lieu of income taxes resulting from the vesting of restricted share awards. The Company intends to continue using a significant portion of its cash flows from operations to repurchase its shares.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$2,045,000 since the initiation of the Company’s stock repurchase program. The expiration date on the current repurchase authorization by our Board of Directors is March 1, 2025. Repurchases occur at the Company’s discretion and the Company may modify, suspend or discontinue the repurchase authorization at any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repurchased 725,181 shares of common stock in the nine months ended September 30, 2024. At September 30, 2024, there remains $164.5 million available under our share repurchase authorization.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pStyle w:val="TextBody"/>
        <w:bidi w:val="0"/>
        <w:spacing w:before="0" w:after="120"/>
        <w:ind w:left="0" w:right="0" w:hanging="0"/>
        <w:jc w:val="left"/>
        <w:rPr>
          <w:rFonts w:ascii="Times New Roman;Times;serif" w:hAnsi="Times New Roman;Times;serif"/>
          <w:b/>
          <w:sz w:val="20"/>
        </w:rPr>
      </w:pPr>
      <w:bookmarkStart w:id="1014" w:name="Item3QuantitativeandQualitativeDisclosur"/>
      <w:bookmarkStart w:id="1015" w:name="_f0883ec1_c096_4ac4_9492_4960d95e2511"/>
      <w:bookmarkEnd w:id="1014"/>
      <w:bookmarkEnd w:id="1015"/>
      <w:r>
        <w:rPr>
          <w:rFonts w:ascii="Times New Roman;Times;serif" w:hAnsi="Times New Roman;Times;serif"/>
          <w:b/>
          <w:sz w:val="20"/>
        </w:rPr>
        <w:t>Item 3.   Quantitative and Qualitative Disclosures About Market Risk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Market risk</w:t>
      </w:r>
      <w:r>
        <w:rPr>
          <w:rFonts w:ascii="Times New Roman;Times;serif" w:hAnsi="Times New Roman;Times;serif"/>
          <w:sz w:val="20"/>
        </w:rPr>
        <w:t>. As of September 30, 2024, we have no derivative financial instruments or derivative commodity instruments. We invest cash in excess of current operating requirements in money market instruments and commercial paper at multiple financial institutions.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Interest rate risk</w:t>
      </w:r>
      <w:r>
        <w:rPr>
          <w:rFonts w:ascii="Times New Roman;Times;serif" w:hAnsi="Times New Roman;Times;serif"/>
          <w:sz w:val="20"/>
        </w:rPr>
        <w:t>. We manage interest rate risk by investing excess funds in cash equivalents, BBB or higher rated corporate bonds, commercial paper, agency bonds, treasury bills,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September 30, 2024, a 10% increase or decrease in interest rates would not have a material impact on our future earnings, fair values, or cash flows.</w:t>
      </w:r>
    </w:p>
    <w:p>
      <w:pPr>
        <w:pStyle w:val="TextBody"/>
        <w:bidi w:val="0"/>
        <w:spacing w:before="0" w:after="120"/>
        <w:ind w:left="0" w:right="0" w:hanging="0"/>
        <w:jc w:val="left"/>
        <w:rPr>
          <w:rFonts w:ascii="Times New Roman;Times;serif" w:hAnsi="Times New Roman;Times;serif"/>
          <w:b/>
          <w:sz w:val="20"/>
        </w:rPr>
      </w:pPr>
      <w:bookmarkStart w:id="1016" w:name="Item4ControlsandProcedures_621985"/>
      <w:bookmarkStart w:id="1017" w:name="_0aa02968_707c_4c7d_a1fc_3805ed8434e7"/>
      <w:bookmarkEnd w:id="1016"/>
      <w:bookmarkEnd w:id="1017"/>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September 30, 2024,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pStyle w:val="TextBody"/>
        <w:bidi w:val="0"/>
        <w:spacing w:before="0" w:after="120"/>
        <w:ind w:left="0" w:right="0" w:hanging="0"/>
        <w:jc w:val="left"/>
        <w:rPr>
          <w:rFonts w:ascii="Times New Roman;Times;serif" w:hAnsi="Times New Roman;Times;serif"/>
          <w:b/>
          <w:sz w:val="20"/>
        </w:rPr>
      </w:pPr>
      <w:bookmarkStart w:id="1018" w:name="PARTIIOTHERINFORMATION_437433"/>
      <w:bookmarkStart w:id="1019" w:name="_0e1cd925_1f0a_464c_a6ba_938f928cf320"/>
      <w:bookmarkEnd w:id="1018"/>
      <w:bookmarkEnd w:id="1019"/>
      <w:r>
        <w:rPr>
          <w:rFonts w:ascii="Times New Roman;Times;serif" w:hAnsi="Times New Roman;Times;serif"/>
          <w:b/>
          <w:sz w:val="20"/>
        </w:rPr>
        <w:t>PART II – OTHER INFORMATION</w:t>
      </w:r>
    </w:p>
    <w:p>
      <w:pPr>
        <w:pStyle w:val="TextBody"/>
        <w:bidi w:val="0"/>
        <w:spacing w:before="0" w:after="120"/>
        <w:ind w:left="0" w:right="0" w:hanging="0"/>
        <w:jc w:val="left"/>
        <w:rPr>
          <w:rFonts w:ascii="Times New Roman;Times;serif" w:hAnsi="Times New Roman;Times;serif"/>
          <w:b/>
          <w:sz w:val="20"/>
        </w:rPr>
      </w:pPr>
      <w:bookmarkStart w:id="1020" w:name="Item1LegalProceedings_770208"/>
      <w:bookmarkEnd w:id="1020"/>
      <w:r>
        <w:rPr>
          <w:rFonts w:ascii="Times New Roman;Times;serif" w:hAnsi="Times New Roman;Times;serif"/>
          <w:b/>
          <w:sz w:val="20"/>
        </w:rPr>
        <w:t>Item 1.   Legal Proceedings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information regarding our material pending legal proceedings, see the section entitled Pending Litigation Matters within Note 8 – Commitments and Contingencies of our notes to consolidated financial statements included in Part I, Item 1 of this report, which section is incorporated by reference into this Part II, Item 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21" w:name="Item1ARiskFactors_601971"/>
      <w:bookmarkStart w:id="1022" w:name="_2e6f67fb_3b57_479c_9b2f_4ea4c65b771e"/>
      <w:bookmarkEnd w:id="1021"/>
      <w:bookmarkEnd w:id="1022"/>
      <w:r>
        <w:rPr>
          <w:rFonts w:ascii="Times New Roman;Times;serif" w:hAnsi="Times New Roman;Times;serif"/>
          <w:b/>
          <w:sz w:val="20"/>
        </w:rPr>
        <w:t>Item 1A. Risk Factors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“Risk Factors” section of the 2023 Form 10-K.</w:t>
      </w:r>
    </w:p>
    <w:p>
      <w:pPr>
        <w:pStyle w:val="TextBody"/>
        <w:bidi w:val="0"/>
        <w:spacing w:before="0" w:after="120"/>
        <w:ind w:left="0" w:right="0" w:hanging="0"/>
        <w:jc w:val="left"/>
        <w:rPr>
          <w:rFonts w:ascii="Times New Roman;Times;serif" w:hAnsi="Times New Roman;Times;serif"/>
          <w:b/>
          <w:sz w:val="20"/>
        </w:rPr>
      </w:pPr>
      <w:bookmarkStart w:id="1023" w:name="Item2UnregisteredSalesofEquitySecurities"/>
      <w:bookmarkStart w:id="1024" w:name="_68915f29_40ae_4c97_b1bf_e84c720944fa"/>
      <w:bookmarkEnd w:id="1023"/>
      <w:bookmarkEnd w:id="1024"/>
      <w:r>
        <w:rPr>
          <w:rFonts w:ascii="Times New Roman;Times;serif" w:hAnsi="Times New Roman;Times;serif"/>
          <w:b/>
          <w:sz w:val="20"/>
        </w:rPr>
        <w:t>Item 2.   Unregistered Sales of Equity Securities and Use of Proceeds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Purchases of Equity Securities by the Issuer and Affiliated Purchasers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Board of Directors has authorized share repurchases of up to $2,045,000 since the initiation of the Company’s stock repurchase program. The expiration date on the current repurchase authorization by our Board of Directors is March 1, 2025.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nine months ended September 30, 2024, 725,181 shares of common stock were repurchased by the Company. At September 30, 2024, there remains $164.5 million available under our share repurchase authorization.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our share repurchases of common stock and our share repurchases in lieu of taxes, which are not included in the repurchase plan totals as they were approved in conjunction with the restricted share awards, during each period in the third quarter of fiscal 2024:</w:t>
      </w:r>
    </w:p>
    <w:tbl>
      <w:tblPr>
        <w:tblW w:w="9936" w:type="dxa"/>
        <w:jc w:val="left"/>
        <w:tblInd w:w="0" w:type="dxa"/>
        <w:tblLayout w:type="fixed"/>
        <w:tblCellMar>
          <w:top w:w="0" w:type="dxa"/>
          <w:left w:w="0" w:type="dxa"/>
          <w:bottom w:w="0" w:type="dxa"/>
          <w:right w:w="0" w:type="dxa"/>
        </w:tblCellMar>
      </w:tblPr>
      <w:tblGrid>
        <w:gridCol w:w="3451"/>
        <w:gridCol w:w="326"/>
        <w:gridCol w:w="1381"/>
        <w:gridCol w:w="326"/>
        <w:gridCol w:w="211"/>
        <w:gridCol w:w="676"/>
        <w:gridCol w:w="326"/>
        <w:gridCol w:w="1576"/>
        <w:gridCol w:w="266"/>
        <w:gridCol w:w="211"/>
        <w:gridCol w:w="1186"/>
      </w:tblGrid>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76935" cy="175260"/>
                      <wp:effectExtent l="0" t="0" r="0" b="0"/>
                      <wp:wrapNone/>
                      <wp:docPr id="169" name="Frame169"/>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000760" cy="175260"/>
                      <wp:effectExtent l="0" t="0" r="0" b="0"/>
                      <wp:wrapNone/>
                      <wp:docPr id="174" name="Frame174"/>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8910" cy="175260"/>
                      <wp:effectExtent l="0" t="0" r="0" b="0"/>
                      <wp:wrapNone/>
                      <wp:docPr id="175" name="Frame1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53110" cy="175260"/>
                      <wp:effectExtent l="0" t="0" r="0" b="0"/>
                      <wp:wrapNone/>
                      <wp:docPr id="177" name="Frame17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266" w:type="dxa"/>
            <w:tcBorders/>
            <w:vAlign w:val="center"/>
          </w:tcPr>
          <w:p>
            <w:pPr>
              <w:pStyle w:val="TableContents"/>
              <w:bidi w:val="0"/>
              <w:spacing w:before="0" w:after="0"/>
              <w:ind w:left="0" w:right="0" w:hanging="0"/>
              <w:jc w:val="center"/>
              <w:rPr/>
            </w:pPr>
            <w:r>
              <w:rPr/>
              <w:t>   </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Dollar</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 as</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Shares</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Part of Publicly</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That May Yet Be</w: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26" w:type="dxa"/>
            <w:tcBorders/>
            <w:vAlign w:val="center"/>
          </w:tcPr>
          <w:p>
            <w:pPr>
              <w:pStyle w:val="TableContents"/>
              <w:bidi w:val="0"/>
              <w:spacing w:before="0" w:after="0"/>
              <w:ind w:left="0" w:right="0" w:hanging="0"/>
              <w:jc w:val="center"/>
              <w:rPr/>
            </w:pPr>
            <w:r>
              <w:rPr/>
              <w:t>​</w:t>
            </w:r>
          </w:p>
        </w:tc>
        <w:tc>
          <w:tcPr>
            <w:tcW w:w="15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Under</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26" w:type="dxa"/>
            <w:tcBorders/>
            <w:vAlign w:val="center"/>
          </w:tcPr>
          <w:p>
            <w:pPr>
              <w:pStyle w:val="TableContents"/>
              <w:bidi w:val="0"/>
              <w:spacing w:before="0" w:after="0"/>
              <w:ind w:left="0" w:right="0" w:hanging="0"/>
              <w:jc w:val="center"/>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center"/>
              <w:rPr/>
            </w:pPr>
            <w:r>
              <w:rPr/>
              <w:t>​</w:t>
            </w:r>
          </w:p>
        </w:tc>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266" w:type="dxa"/>
            <w:tcBorders/>
            <w:vAlign w:val="center"/>
          </w:tcPr>
          <w:p>
            <w:pPr>
              <w:pStyle w:val="TableContents"/>
              <w:bidi w:val="0"/>
              <w:spacing w:before="0" w:after="0"/>
              <w:ind w:left="0" w:right="0" w:hanging="0"/>
              <w:jc w:val="center"/>
              <w:rPr/>
            </w:pPr>
            <w:r>
              <w:rPr/>
              <w:t>​</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Program</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Repurchases</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2024 – July 31,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79,610</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2024 – August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143.49</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124,352</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2024 – September 30,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142.09</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68,535</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164,500,000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144.26</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272,497</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164,500,000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Tax Withholdings</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  </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 2024 – July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148.65</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2024 – August 31, 2024</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 2024 –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57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148.65</w:t>
            </w:r>
          </w:p>
        </w:tc>
        <w:tc>
          <w:tcPr>
            <w:tcW w:w="326" w:type="dxa"/>
            <w:tcBorders/>
            <w:vAlign w:val="center"/>
          </w:tcPr>
          <w:p>
            <w:pPr>
              <w:pStyle w:val="TableContents"/>
              <w:bidi w:val="0"/>
              <w:spacing w:before="0" w:after="0"/>
              <w:ind w:left="0" w:right="0" w:hanging="0"/>
              <w:jc w:val="left"/>
              <w:rPr/>
            </w:pPr>
            <w:r>
              <w:rPr/>
              <w:t> </w:t>
            </w:r>
          </w:p>
        </w:tc>
        <w:tc>
          <w:tcPr>
            <w:tcW w:w="157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1025" w:name="Item3DefaultsUponSeniorSecurities_862648"/>
      <w:bookmarkStart w:id="1026" w:name="_86fcfce1_3579_436d_b18e_98b7e2e6c7c7"/>
      <w:bookmarkEnd w:id="1025"/>
      <w:bookmarkEnd w:id="1026"/>
      <w:r>
        <w:rPr>
          <w:rFonts w:ascii="Times New Roman;Times;serif" w:hAnsi="Times New Roman;Times;serif"/>
          <w:b/>
          <w:sz w:val="20"/>
        </w:rPr>
        <w:t>Item 3.   Defaults Upon Senior Securities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27" w:name="Item4MineSafetyDisclosures_953586"/>
      <w:bookmarkStart w:id="1028" w:name="_2c1a0fc4_6fe1_44bf_b74d_8063f90a51bd"/>
      <w:bookmarkEnd w:id="1027"/>
      <w:bookmarkEnd w:id="1028"/>
      <w:r>
        <w:rPr>
          <w:rFonts w:ascii="Times New Roman;Times;serif" w:hAnsi="Times New Roman;Times;serif"/>
          <w:b/>
          <w:sz w:val="20"/>
        </w:rPr>
        <w:t>Item 4.   Mine Safety Disclosures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20"/>
        <w:ind w:left="0" w:right="0" w:hanging="0"/>
        <w:jc w:val="left"/>
        <w:rPr>
          <w:rFonts w:ascii="Times New Roman;Times;serif" w:hAnsi="Times New Roman;Times;serif"/>
          <w:b/>
          <w:sz w:val="20"/>
        </w:rPr>
      </w:pPr>
      <w:bookmarkStart w:id="1029" w:name="Item5OtherInformation_422882"/>
      <w:bookmarkStart w:id="1030" w:name="_96db165f_681f_4a3b_af82_3492baca8241"/>
      <w:bookmarkEnd w:id="1029"/>
      <w:bookmarkEnd w:id="1030"/>
      <w:r>
        <w:rPr>
          <w:rFonts w:ascii="Times New Roman;Times;serif" w:hAnsi="Times New Roman;Times;serif"/>
          <w:b/>
          <w:sz w:val="20"/>
        </w:rPr>
        <w:t>Item 5.   Other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the three months ended September 30, 2024, no director or officer of the Company adopted or terminated a “Rule 10b5-1 trading arrangement” or “non-Rule 10b5-1 trading arrangement,” as each term is defined in Item 408(a) of Regulation S-K.</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031" w:name="Item6Exhibits_355966"/>
      <w:bookmarkStart w:id="1032" w:name="_0607c835_b2ee_4900_ac5f_716587f6193a"/>
      <w:bookmarkEnd w:id="1031"/>
      <w:bookmarkEnd w:id="1032"/>
      <w:r>
        <w:rPr>
          <w:rFonts w:ascii="Times New Roman;Times;serif" w:hAnsi="Times New Roman;Times;serif"/>
          <w:b/>
          <w:sz w:val="20"/>
        </w:rPr>
        <w:t>Item 6.   Exhibits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Exhibits</w:t>
      </w:r>
    </w:p>
    <w:tbl>
      <w:tblPr>
        <w:tblW w:w="10205" w:type="dxa"/>
        <w:jc w:val="left"/>
        <w:tblInd w:w="0" w:type="dxa"/>
        <w:tblLayout w:type="fixed"/>
        <w:tblCellMar>
          <w:top w:w="0" w:type="dxa"/>
          <w:left w:w="0" w:type="dxa"/>
          <w:bottom w:w="28" w:type="dxa"/>
          <w:right w:w="0" w:type="dxa"/>
        </w:tblCellMar>
      </w:tblPr>
      <w:tblGrid>
        <w:gridCol w:w="706"/>
        <w:gridCol w:w="326"/>
        <w:gridCol w:w="6057"/>
        <w:gridCol w:w="326"/>
        <w:gridCol w:w="2790"/>
      </w:tblGrid>
      <w:tr>
        <w:trPr/>
        <w:tc>
          <w:tcPr>
            <w:tcW w:w="70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05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27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Method of Filing</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Annual Report on Form 10-K filed with the SEC on February 20, 2019.</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Third Amended and Restated Bylaws.</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3.1 to the Company’s Current Report on Form 8-K filed with the SEC on October 29, 2014.</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Specimen of Stock Certificate.</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Incorporated by reference to Exhibit 4.1 to Amendment No. 2 to the Company’s Registration Statement on Form S-1 filed with the SEC on September 29, 2008.</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w:anchor="lope-202409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w:anchor="lope-202409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w:anchor="lope-2024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hyperlink w:anchor="lope-2024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 ††</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September 30, 2024, formatted in Inline XBRL: (i) Consolidated Income Statements, (ii) Consolidated Statements of Comprehensive Income, (iii) Consolidated Balance Sheets, (iv) Consolidated Statements of Stockholders’ Equity, (v) Consolidated Statements of Cash Flows, and (vi) Notes to Consolidated Financial Statements tagged as blocks of text and including detailed tags.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70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pPr>
            <w:r>
              <w:rPr/>
              <w:t>​</w:t>
            </w:r>
          </w:p>
        </w:tc>
      </w:tr>
      <w:tr>
        <w:trPr/>
        <w:tc>
          <w:tcPr>
            <w:tcW w:w="70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605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cover page from the Company’s Quarterly Report on Form 10-Q for the quarter ended September 30, 2024, formatted in Inline XBRL (included as Exhibit 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279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0"/>
        <w:ind w:left="0" w:right="0" w:hanging="360"/>
        <w:jc w:val="left"/>
        <w:rPr/>
      </w:pPr>
      <w:r>
        <w:rPr/>
        <w:t>††   </w:t>
      </w:r>
      <w:r>
        <w:rPr>
          <w:rFonts w:ascii="Times New Roman;Times;serif" w:hAnsi="Times New Roman;Times;serif"/>
          <w:sz w:val="20"/>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33" w:name="SIGNATURES_551969"/>
      <w:bookmarkStart w:id="1034" w:name="_d0ee9c39_9f17_45b5_9fe4_76cb78e54255"/>
      <w:bookmarkEnd w:id="1033"/>
      <w:bookmarkEnd w:id="1034"/>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832" w:type="dxa"/>
        <w:jc w:val="left"/>
        <w:tblInd w:w="0" w:type="dxa"/>
        <w:tblLayout w:type="fixed"/>
        <w:tblCellMar>
          <w:top w:w="0" w:type="dxa"/>
          <w:left w:w="0" w:type="dxa"/>
          <w:bottom w:w="0" w:type="dxa"/>
          <w:right w:w="0" w:type="dxa"/>
        </w:tblCellMar>
      </w:tblPr>
      <w:tblGrid>
        <w:gridCol w:w="2101"/>
        <w:gridCol w:w="326"/>
        <w:gridCol w:w="630"/>
        <w:gridCol w:w="2775"/>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pPr>
            <w:r>
              <w:rPr/>
              <w:t>​</w:t>
            </w:r>
          </w:p>
        </w:tc>
        <w:tc>
          <w:tcPr>
            <w:tcW w:w="2775"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GRAND CANYON EDUCATION, INC.</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right"/>
        <w:rPr>
          <w:rFonts w:ascii="Times New Roman;Times;serif" w:hAnsi="Times New Roman;Times;serif"/>
          <w:b/>
          <w:sz w:val="20"/>
        </w:rPr>
      </w:pPr>
      <w:bookmarkStart w:id="1035" w:name="lope-20240930xex31d1.htm"/>
      <w:bookmarkStart w:id="1036" w:name="kslope20240930xex31d1"/>
      <w:bookmarkEnd w:id="1035"/>
      <w:bookmarkEnd w:id="103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Brian E. Mueller,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903" w:type="dxa"/>
        <w:jc w:val="center"/>
        <w:tblInd w:w="0" w:type="dxa"/>
        <w:tblLayout w:type="fixed"/>
        <w:tblCellMar>
          <w:top w:w="0" w:type="dxa"/>
          <w:left w:w="0" w:type="dxa"/>
          <w:bottom w:w="0" w:type="dxa"/>
          <w:right w:w="0" w:type="dxa"/>
        </w:tblCellMar>
      </w:tblPr>
      <w:tblGrid>
        <w:gridCol w:w="2101"/>
        <w:gridCol w:w="326"/>
        <w:gridCol w:w="247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7" w:name="lope-20240930xex31d2.htm"/>
      <w:bookmarkStart w:id="1038" w:name="kslope20240930xex31d2"/>
      <w:bookmarkEnd w:id="1037"/>
      <w:bookmarkEnd w:id="1038"/>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13a-14(a) and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0F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E. Bachus, certify that: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1. I have reviewed this Quarterly Report on Form 10-Q for the quarter ending September 30, 2024 of Grand Canyon Education, Inc.;</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576"/>
        <w:jc w:val="left"/>
        <w:rPr/>
      </w:pPr>
      <w:r>
        <w:rPr/>
        <w:t>​</w:t>
      </w:r>
    </w:p>
    <w:p>
      <w:pPr>
        <w:pStyle w:val="TextBody"/>
        <w:bidi w:val="0"/>
        <w:spacing w:before="0" w:after="0"/>
        <w:ind w:left="0" w:right="0" w:firstLine="576"/>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4843" w:type="dxa"/>
        <w:jc w:val="center"/>
        <w:tblInd w:w="0" w:type="dxa"/>
        <w:tblLayout w:type="fixed"/>
        <w:tblCellMar>
          <w:top w:w="0" w:type="dxa"/>
          <w:left w:w="0" w:type="dxa"/>
          <w:bottom w:w="0" w:type="dxa"/>
          <w:right w:w="0" w:type="dxa"/>
        </w:tblCellMar>
      </w:tblPr>
      <w:tblGrid>
        <w:gridCol w:w="2101"/>
        <w:gridCol w:w="326"/>
        <w:gridCol w:w="2416"/>
      </w:tblGrid>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326" w:type="dxa"/>
            <w:tcBorders/>
            <w:vAlign w:val="center"/>
          </w:tcPr>
          <w:p>
            <w:pPr>
              <w:pStyle w:val="TableContents"/>
              <w:bidi w:val="0"/>
              <w:spacing w:before="0" w:after="0"/>
              <w:ind w:left="0" w:right="0" w:hanging="0"/>
              <w:jc w:val="left"/>
              <w:rPr/>
            </w:pPr>
            <w:r>
              <w:rPr/>
              <w:t>    </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39" w:name="lope-20240930xex32d1.htm"/>
      <w:bookmarkStart w:id="1040" w:name="kslope20240930xex32d1"/>
      <w:bookmarkEnd w:id="1039"/>
      <w:bookmarkEnd w:id="1040"/>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2024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91" w:type="dxa"/>
        <w:jc w:val="center"/>
        <w:tblInd w:w="0" w:type="dxa"/>
        <w:tblLayout w:type="fixed"/>
        <w:tblCellMar>
          <w:top w:w="0" w:type="dxa"/>
          <w:left w:w="0" w:type="dxa"/>
          <w:bottom w:w="0" w:type="dxa"/>
          <w:right w:w="0" w:type="dxa"/>
        </w:tblCellMar>
      </w:tblPr>
      <w:tblGrid>
        <w:gridCol w:w="4411"/>
        <w:gridCol w:w="326"/>
        <w:gridCol w:w="154"/>
      </w:tblGrid>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1" w:name="lope-20240930xex32d2.htm"/>
      <w:bookmarkStart w:id="1042" w:name="kslope20240930xex32d2"/>
      <w:bookmarkEnd w:id="1041"/>
      <w:bookmarkEnd w:id="1042"/>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Grand Canyon Education, Inc. (the “Company”) for the quarter ended September 30, 2024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(15 U.S.C. 78m or 78o);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1" w:type="dxa"/>
        <w:jc w:val="center"/>
        <w:tblInd w:w="0" w:type="dxa"/>
        <w:tblLayout w:type="fixed"/>
        <w:tblCellMar>
          <w:top w:w="0" w:type="dxa"/>
          <w:left w:w="0" w:type="dxa"/>
          <w:bottom w:w="0" w:type="dxa"/>
          <w:right w:w="0" w:type="dxa"/>
        </w:tblCellMar>
      </w:tblPr>
      <w:tblGrid>
        <w:gridCol w:w="4291"/>
        <w:gridCol w:w="326"/>
        <w:gridCol w:w="154"/>
      </w:tblGrid>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2024</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style:italic"/>
    <w:charset w:val="01"/>
    <w:family w:val="auto"/>
    <w:pitch w:val="default"/>
  </w:font>
  <w:font w:name="Times New Roman">
    <w:altName w:val="white-space:pre-wrap"/>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588/000155837019000782/lope-20181231ex31395dfc9.htm" TargetMode="External"/><Relationship Id="rId3" Type="http://schemas.openxmlformats.org/officeDocument/2006/relationships/hyperlink" Target="http://www.sec.gov/Archives/edgar/data/1434588/000119312514387149/d812440dex31.htm" TargetMode="External"/><Relationship Id="rId4" Type="http://schemas.openxmlformats.org/officeDocument/2006/relationships/hyperlink" Target="http://www.sec.gov/Archives/edgar/data/1434588/000095015308001671/p75463a2exv4w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18557</Words>
  <Characters>103689</Characters>
  <CharactersWithSpaces>122986</CharactersWithSpaces>
  <Paragraphs>3507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