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27, 2009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gridSpan w:val="3"/>
          </w:tcPr>
          <w:p>
            <w:pPr>
              <w:jc w:val="right"/>
              <w:ind w:right="1400"/>
              <w:spacing w:after="0"/>
              <w:rPr>
                <w:sz w:val="20"/>
                <w:szCs w:val="20"/>
                <w:color w:val="auto"/>
              </w:rPr>
            </w:pPr>
            <w:r>
              <w:rPr>
                <w:rFonts w:ascii="Arial" w:cs="Arial" w:eastAsia="Arial" w:hAnsi="Arial"/>
                <w:sz w:val="18"/>
                <w:szCs w:val="18"/>
                <w:b w:val="1"/>
                <w:bCs w:val="1"/>
                <w:color w:val="auto"/>
              </w:rPr>
              <w:t>001-34211</w:t>
            </w:r>
          </w:p>
        </w:tc>
        <w:tc>
          <w:tcPr>
            <w:tcW w:w="394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20-3356009</w:t>
            </w:r>
          </w:p>
        </w:tc>
      </w:tr>
      <w:tr>
        <w:trPr>
          <w:trHeight w:val="209"/>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w:t>
            </w:r>
          </w:p>
        </w:tc>
        <w:tc>
          <w:tcPr>
            <w:tcW w:w="3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3"/>
              </w:rPr>
              <w:t>(Commission File Number)</w:t>
            </w:r>
          </w:p>
        </w:tc>
        <w:tc>
          <w:tcPr>
            <w:tcW w:w="34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440" w:type="dxa"/>
            <w:vAlign w:val="bottom"/>
            <w:gridSpan w:val="3"/>
          </w:tcPr>
          <w:p>
            <w:pPr>
              <w:jc w:val="center"/>
              <w:ind w:right="840"/>
              <w:spacing w:after="0"/>
              <w:rPr>
                <w:sz w:val="20"/>
                <w:szCs w:val="20"/>
                <w:color w:val="auto"/>
              </w:rPr>
            </w:pPr>
            <w:r>
              <w:rPr>
                <w:rFonts w:ascii="Arial" w:cs="Arial" w:eastAsia="Arial" w:hAnsi="Arial"/>
                <w:sz w:val="18"/>
                <w:szCs w:val="18"/>
                <w:color w:val="auto"/>
                <w:w w:val="93"/>
              </w:rPr>
              <w:t>Incorporation)</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444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1"/>
              </w:rPr>
              <w:t>3300 W. Camelback Road</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444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0"/>
              </w:rPr>
              <w:t>Phoenix, Arizona</w:t>
            </w:r>
          </w:p>
        </w:tc>
        <w:tc>
          <w:tcPr>
            <w:tcW w:w="98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2"/>
          </w:tcPr>
          <w:p>
            <w:pPr>
              <w:jc w:val="right"/>
              <w:ind w:right="2390"/>
              <w:spacing w:after="0"/>
              <w:rPr>
                <w:sz w:val="20"/>
                <w:szCs w:val="20"/>
                <w:color w:val="auto"/>
              </w:rPr>
            </w:pPr>
            <w:r>
              <w:rPr>
                <w:rFonts w:ascii="Arial" w:cs="Arial" w:eastAsia="Arial" w:hAnsi="Arial"/>
                <w:sz w:val="18"/>
                <w:szCs w:val="18"/>
                <w:b w:val="1"/>
                <w:bCs w:val="1"/>
                <w:color w:val="auto"/>
              </w:rPr>
              <w:t>85017</w:t>
            </w:r>
          </w:p>
        </w:tc>
      </w:tr>
      <w:tr>
        <w:trPr>
          <w:trHeight w:val="224"/>
        </w:trPr>
        <w:tc>
          <w:tcPr>
            <w:tcW w:w="4440" w:type="dxa"/>
            <w:vAlign w:val="bottom"/>
            <w:gridSpan w:val="3"/>
          </w:tcPr>
          <w:p>
            <w:pPr>
              <w:jc w:val="center"/>
              <w:ind w:left="890"/>
              <w:spacing w:after="0"/>
              <w:rPr>
                <w:sz w:val="20"/>
                <w:szCs w:val="20"/>
                <w:color w:val="auto"/>
              </w:rPr>
            </w:pPr>
            <w:r>
              <w:rPr>
                <w:rFonts w:ascii="Arial" w:cs="Arial" w:eastAsia="Arial" w:hAnsi="Arial"/>
                <w:sz w:val="18"/>
                <w:szCs w:val="18"/>
                <w:color w:val="auto"/>
                <w:w w:val="92"/>
              </w:rPr>
              <w:t>(Address of Principal Executive Offices)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2226310</wp:posOffset>
            </wp:positionH>
            <wp:positionV relativeFrom="paragraph">
              <wp:posOffset>-130175</wp:posOffset>
            </wp:positionV>
            <wp:extent cx="2804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9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8.01. </w:t>
      </w:r>
      <w:r>
        <w:rPr>
          <w:rFonts w:ascii="Arial" w:cs="Arial" w:eastAsia="Arial" w:hAnsi="Arial"/>
          <w:sz w:val="18"/>
          <w:szCs w:val="18"/>
          <w:b w:val="1"/>
          <w:bCs w:val="1"/>
          <w:u w:val="single" w:color="auto"/>
          <w:color w:val="auto"/>
        </w:rPr>
        <w:t>Other Events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In connection with a proposed public offering of 8,000,000 shares of common stock, Grand Canyon Education, Inc. (the “Company”) filed a registration statement on Form S-1 pursuant to the Securities Act of 1933, as amended, with the Securities and Exchange Commission on August 27, 2008. In such registration statement, the Company has provided updated risk factors, which are set forth in the section entitled “Risk Factors” and an updated discussion of regulatory matters affecting the Company, which is set forth in the section entitled “Regulation” The full text of such sections are included as Exhibit 99.1 hereto and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Financial Statements and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100" w:type="dxa"/>
            <w:vAlign w:val="bottom"/>
          </w:tcPr>
          <w:p>
            <w:pPr>
              <w:spacing w:after="0"/>
              <w:rPr>
                <w:sz w:val="14"/>
                <w:szCs w:val="14"/>
                <w:color w:val="auto"/>
              </w:rPr>
            </w:pPr>
          </w:p>
        </w:tc>
        <w:tc>
          <w:tcPr>
            <w:tcW w:w="10160" w:type="dxa"/>
            <w:vAlign w:val="bottom"/>
            <w:tcBorders>
              <w:bottom w:val="single" w:sz="8" w:color="auto"/>
            </w:tcBorders>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160" w:type="dxa"/>
            <w:vAlign w:val="bottom"/>
          </w:tcPr>
          <w:p>
            <w:pPr>
              <w:jc w:val="right"/>
              <w:ind w:right="339"/>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Updated Risk Factors and Regulation discussion included in Registration Statement on Form S-1 filed with the SEC on August 27, 2009</w:t>
            </w:r>
          </w:p>
        </w:tc>
      </w:tr>
      <w:tr>
        <w:trPr>
          <w:trHeight w:val="617"/>
        </w:trPr>
        <w:tc>
          <w:tcPr>
            <w:tcW w:w="1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6280" w:type="dxa"/>
            <w:vAlign w:val="bottom"/>
            <w:gridSpan w:val="2"/>
          </w:tcPr>
          <w:p>
            <w:pPr>
              <w:ind w:left="1840"/>
              <w:spacing w:after="0"/>
              <w:rPr>
                <w:sz w:val="20"/>
                <w:szCs w:val="20"/>
                <w:color w:val="auto"/>
              </w:rPr>
            </w:pPr>
            <w:r>
              <w:rPr>
                <w:rFonts w:ascii="Arial" w:cs="Arial" w:eastAsia="Arial" w:hAnsi="Arial"/>
                <w:sz w:val="18"/>
                <w:szCs w:val="18"/>
                <w:color w:val="auto"/>
              </w:rPr>
              <w:t>GRAND CANYON EDUCATION,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August 27, 2009</w:t>
            </w:r>
          </w:p>
        </w:tc>
        <w:tc>
          <w:tcPr>
            <w:tcW w:w="6280" w:type="dxa"/>
            <w:vAlign w:val="bottom"/>
            <w:gridSpan w:val="2"/>
          </w:tcPr>
          <w:p>
            <w:pPr>
              <w:ind w:left="1840"/>
              <w:spacing w:after="0"/>
              <w:rPr>
                <w:sz w:val="20"/>
                <w:szCs w:val="20"/>
                <w:color w:val="auto"/>
              </w:rPr>
            </w:pPr>
            <w:r>
              <w:rPr>
                <w:rFonts w:ascii="Arial" w:cs="Arial" w:eastAsia="Arial" w:hAnsi="Arial"/>
                <w:sz w:val="18"/>
                <w:szCs w:val="18"/>
                <w:color w:val="auto"/>
              </w:rPr>
              <w:t>By: /s/ Daniel E. Bachus</w:t>
            </w:r>
          </w:p>
        </w:tc>
      </w:tr>
      <w:tr>
        <w:trPr>
          <w:trHeight w:val="195"/>
        </w:trPr>
        <w:tc>
          <w:tcPr>
            <w:tcW w:w="34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4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7"/>
              </w:rPr>
              <w:t>(Principal Financial and Principal Accounting Officer)</w:t>
            </w:r>
          </w:p>
        </w:tc>
      </w:tr>
    </w:tbl>
    <w:p>
      <w:pPr>
        <w:sectPr>
          <w:pgSz w:w="11900" w:h="16838" w:orient="portrait"/>
          <w:cols w:equalWidth="0" w:num="1">
            <w:col w:w="10580"/>
          </w:cols>
          <w:pgMar w:left="240" w:top="958" w:right="10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4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right="880" w:firstLine="397"/>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Before making an investment in our common stock, you should carefully consider the following risks and the other information contained in or incorporated by reference into this prospectus, including our financial statements and related notes, “Management’s Discussion and Analysis of Financial Condition and Results of Operations,” and “Regulation.” See “Where You Can Find More Information” and “Incorporation By Reference.” The risks described below are those that we believe are the material risks we face. Any of the risk factors described below, and others that we did not anticipate, could significantly and adversely affect our business, prospects, financial condition, results of operations, and cash flows. As a result, the trading price of our common stock could decline and you may lose all or part of your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Industry</w:t>
      </w:r>
    </w:p>
    <w:p>
      <w:pPr>
        <w:spacing w:after="0" w:line="135" w:lineRule="exact"/>
        <w:rPr>
          <w:sz w:val="20"/>
          <w:szCs w:val="20"/>
          <w:color w:val="auto"/>
        </w:rPr>
      </w:pPr>
    </w:p>
    <w:p>
      <w:pPr>
        <w:ind w:left="200" w:right="1520"/>
        <w:spacing w:after="0" w:line="308" w:lineRule="auto"/>
        <w:rPr>
          <w:sz w:val="20"/>
          <w:szCs w:val="20"/>
          <w:color w:val="auto"/>
        </w:rPr>
      </w:pPr>
      <w:r>
        <w:rPr>
          <w:rFonts w:ascii="Arial" w:cs="Arial" w:eastAsia="Arial" w:hAnsi="Arial"/>
          <w:sz w:val="17"/>
          <w:szCs w:val="17"/>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our fiscal years ended December 31, 2007 and 2008, we derived cash receipts equal to approximately 70.2% and 74.4%,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respectively, of our net revenue from tuition financed under federal student financial aid programs authorized under Title IV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Higher Education Act of 1965, as amended, referred to in this prospectus as the Title IV programs, which are administered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Department of Education, or the Department of Education. To participate in the Title IV programs, a school must be authorized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appropriate state education agency or agencies, be accredited by an accrediting commission recognized by the Department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Education, and be certified as an eligible institution by the Department of Education. In addition, our operations and programs are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regulated by other state education agencies and additional accrediting commissions. As a result of these requirements, we are subject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extensive regulation by the Arizona State Board for Private Postsecondary Education and education agencies of other states, the Higher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Learning Commission, which is our primary accrediting commission, specialized accrediting commissions, and the Department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Education. These regulatory requirements cover the vast majority of our operations, including our educational programs, instructional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administrative staff, administrative procedures, marketing, recruiting, financial operations, and financial condition. These regulatory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requirements also affect our ability to open additional schools and locations, add new educational programs, change existing educational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programs, and change our corporate or ownership structure. The agencies that regulate our operations periodically revise their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requirements and modify their interpretations of existing requirements. Regulatory requirements are not always precise and clear,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regulatory agencies may sometimes disagree with the way we have interpreted or applied these requirements. Any misinterpretation 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us of regulatory requirements could materially adversely affect us.</w:t>
      </w:r>
    </w:p>
    <w:p>
      <w:pPr>
        <w:spacing w:after="0" w:line="116" w:lineRule="exact"/>
        <w:rPr>
          <w:sz w:val="20"/>
          <w:szCs w:val="20"/>
          <w:color w:val="auto"/>
        </w:rPr>
      </w:pPr>
    </w:p>
    <w:p>
      <w:pPr>
        <w:ind w:right="960" w:firstLine="397"/>
        <w:spacing w:after="0" w:line="255" w:lineRule="auto"/>
        <w:rPr>
          <w:sz w:val="20"/>
          <w:szCs w:val="20"/>
          <w:color w:val="auto"/>
        </w:rPr>
      </w:pPr>
      <w:r>
        <w:rPr>
          <w:rFonts w:ascii="Arial" w:cs="Arial" w:eastAsia="Arial" w:hAnsi="Arial"/>
          <w:sz w:val="18"/>
          <w:szCs w:val="18"/>
          <w:color w:val="auto"/>
        </w:rPr>
        <w:t>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207" w:lineRule="exact"/>
        <w:rPr>
          <w:sz w:val="20"/>
          <w:szCs w:val="20"/>
          <w:color w:val="auto"/>
        </w:rPr>
      </w:pPr>
    </w:p>
    <w:p>
      <w:pPr>
        <w:ind w:left="200" w:right="840"/>
        <w:spacing w:after="0" w:line="264" w:lineRule="auto"/>
        <w:rPr>
          <w:sz w:val="20"/>
          <w:szCs w:val="20"/>
          <w:color w:val="auto"/>
        </w:rPr>
      </w:pPr>
      <w:r>
        <w:rPr>
          <w:rFonts w:ascii="Arial" w:cs="Arial" w:eastAsia="Arial" w:hAnsi="Arial"/>
          <w:sz w:val="18"/>
          <w:szCs w:val="18"/>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87" w:lineRule="exact"/>
        <w:rPr>
          <w:sz w:val="20"/>
          <w:szCs w:val="20"/>
          <w:color w:val="auto"/>
        </w:rPr>
      </w:pPr>
    </w:p>
    <w:p>
      <w:pPr>
        <w:ind w:right="840" w:firstLine="397"/>
        <w:spacing w:after="0" w:line="259" w:lineRule="auto"/>
        <w:rPr>
          <w:sz w:val="20"/>
          <w:szCs w:val="20"/>
          <w:color w:val="auto"/>
        </w:rPr>
      </w:pPr>
      <w:r>
        <w:rPr>
          <w:rFonts w:ascii="Arial" w:cs="Arial" w:eastAsia="Arial" w:hAnsi="Arial"/>
          <w:sz w:val="18"/>
          <w:szCs w:val="18"/>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w:t>
      </w:r>
    </w:p>
    <w:p>
      <w:pPr>
        <w:spacing w:after="0" w:line="36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940" w:top="121"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of Education regulations, and may be subject to similar review if it expands its operations or educational programs in certain ways.</w:t>
      </w:r>
    </w:p>
    <w:p>
      <w:pPr>
        <w:spacing w:after="0" w:line="142" w:lineRule="exact"/>
        <w:rPr>
          <w:sz w:val="20"/>
          <w:szCs w:val="20"/>
          <w:color w:val="auto"/>
        </w:rPr>
      </w:pPr>
    </w:p>
    <w:p>
      <w:pPr>
        <w:ind w:firstLine="397"/>
        <w:spacing w:after="0" w:line="284" w:lineRule="auto"/>
        <w:rPr>
          <w:sz w:val="20"/>
          <w:szCs w:val="20"/>
          <w:color w:val="auto"/>
        </w:rPr>
      </w:pPr>
      <w:r>
        <w:rPr>
          <w:rFonts w:ascii="Arial" w:cs="Arial" w:eastAsia="Arial" w:hAnsi="Arial"/>
          <w:sz w:val="16"/>
          <w:szCs w:val="16"/>
          <w:color w:val="auto"/>
        </w:rPr>
        <w:t>Our most recent recertification, which was issued on a provisional basis in May 2005 after an extended review by the Department of Education following the change in control that occurred in February 2004, contained a number of conditions on our continued participation in the Title IV programs. At that time we were required by the Department of Education to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2006 and 2007, the Department of Education eliminated the letter of credit requirement, allowed the growth restrictions to expire, eliminated the heightened cash monitoring restrictions and returned us to the advance payment method. We submitted our application for recertification to participate in the Title IV programs to the Department of Education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See “Regulation — Regulation of Federal Student Financial Aid Programs — Eligibility and certification procedures.” There can be no assurance that the Department of Education will recertify us while the investigation by the Office of Inspector General of the Department of Education is being conducted, while the qui tam lawsuit is pending, or at all, or that it will not impose restrictions as a condition to approving our pending recertification application or with respect to any future recertification. See “— The Office of Inspector General of the Department of Education has commenced an investigation of Grand Canyon University, which is ongoing and which may result in fines, penalties, other sanctions, and damage to our reputation in the industry” and “— A qui tam lawsuit has been filed against us alleging, among other things, that we have improperly compensated certain of our enrollment counselors, and we may incur liability, be subject to sanctions, or experience damage to our reputation as a result of this lawsuit.”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that could be similar to, or more or less restrictive than, the restrictions that Department of Education imposed on us in connection with our recertification in 2005. Any of these outcomes would have a material adverse effect on our enrollments and us.</w:t>
      </w:r>
    </w:p>
    <w:p>
      <w:pPr>
        <w:spacing w:after="0" w:line="189" w:lineRule="exact"/>
        <w:rPr>
          <w:sz w:val="20"/>
          <w:szCs w:val="20"/>
          <w:color w:val="auto"/>
        </w:rPr>
      </w:pPr>
    </w:p>
    <w:p>
      <w:pPr>
        <w:ind w:left="200" w:right="260"/>
        <w:spacing w:after="0" w:line="381" w:lineRule="auto"/>
        <w:rPr>
          <w:sz w:val="20"/>
          <w:szCs w:val="20"/>
          <w:color w:val="auto"/>
        </w:rPr>
      </w:pPr>
      <w:r>
        <w:rPr>
          <w:rFonts w:ascii="Arial" w:cs="Arial" w:eastAsia="Arial" w:hAnsi="Arial"/>
          <w:sz w:val="15"/>
          <w:szCs w:val="15"/>
          <w:b w:val="1"/>
          <w:bCs w:val="1"/>
          <w:i w:val="1"/>
          <w:iCs w:val="1"/>
          <w:color w:val="auto"/>
        </w:rPr>
        <w:t>The Office of Inspector General of the Department of Education has commenced an investigation of Grand Canyon University, which is ongoing and which may result in fines, penalties, other sanctions, and damage to our reputation in the industry.</w:t>
      </w:r>
    </w:p>
    <w:p>
      <w:pPr>
        <w:spacing w:after="0" w:line="6" w:lineRule="exact"/>
        <w:rPr>
          <w:sz w:val="20"/>
          <w:szCs w:val="20"/>
          <w:color w:val="auto"/>
        </w:rPr>
      </w:pPr>
    </w:p>
    <w:p>
      <w:pPr>
        <w:ind w:right="20" w:firstLine="397"/>
        <w:spacing w:after="0" w:line="288" w:lineRule="auto"/>
        <w:rPr>
          <w:sz w:val="20"/>
          <w:szCs w:val="20"/>
          <w:color w:val="auto"/>
        </w:rPr>
      </w:pPr>
      <w:r>
        <w:rPr>
          <w:rFonts w:ascii="Arial" w:cs="Arial" w:eastAsia="Arial" w:hAnsi="Arial"/>
          <w:sz w:val="16"/>
          <w:szCs w:val="16"/>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The Office of Inspector General’s investigation is focused on whether we have compensated any of our enrollment counselors or managers in a manner that violated the Title IV statutory requirements or the related Department of Education regulations concerning the payment of incentive compensation based on success in securing enrollments or financial aid. See “Regulation — Regulation of Federal Student Financial Aid Programs — Incentive compensation rule.”</w:t>
      </w:r>
    </w:p>
    <w:p>
      <w:pPr>
        <w:spacing w:after="0" w:line="75" w:lineRule="exact"/>
        <w:rPr>
          <w:sz w:val="20"/>
          <w:szCs w:val="20"/>
          <w:color w:val="auto"/>
        </w:rPr>
      </w:pPr>
    </w:p>
    <w:p>
      <w:pPr>
        <w:jc w:val="both"/>
        <w:ind w:right="160" w:firstLine="397"/>
        <w:spacing w:after="0" w:line="264" w:lineRule="auto"/>
        <w:rPr>
          <w:sz w:val="20"/>
          <w:szCs w:val="20"/>
          <w:color w:val="auto"/>
        </w:rPr>
      </w:pPr>
      <w:r>
        <w:rPr>
          <w:rFonts w:ascii="Arial" w:cs="Arial" w:eastAsia="Arial" w:hAnsi="Arial"/>
          <w:sz w:val="18"/>
          <w:szCs w:val="18"/>
          <w:color w:val="auto"/>
        </w:rPr>
        <w:t>We have been cooperating with the Office of Inspector General to facilitate its investigation and have completed production of all requested documents. We cannot presently predict the ultimate outcome of the investigation or any liability or other sanctions that may result. The outcome of the Office of Inspector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5" w:right="107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General investigation may depend in part on information contained in the materials we produced or information or testimony provided by former employees or other third parties.</w:t>
      </w:r>
    </w:p>
    <w:p>
      <w:pPr>
        <w:spacing w:after="0" w:line="76" w:lineRule="exact"/>
        <w:rPr>
          <w:sz w:val="20"/>
          <w:szCs w:val="20"/>
          <w:color w:val="auto"/>
        </w:rPr>
      </w:pPr>
    </w:p>
    <w:p>
      <w:pPr>
        <w:ind w:right="180" w:firstLine="397"/>
        <w:spacing w:after="0" w:line="255" w:lineRule="auto"/>
        <w:rPr>
          <w:sz w:val="20"/>
          <w:szCs w:val="20"/>
          <w:color w:val="auto"/>
        </w:rPr>
      </w:pPr>
      <w:r>
        <w:rPr>
          <w:rFonts w:ascii="Arial" w:cs="Arial" w:eastAsia="Arial" w:hAnsi="Arial"/>
          <w:sz w:val="18"/>
          <w:szCs w:val="18"/>
          <w:color w:val="auto"/>
        </w:rPr>
        <w:t>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“Regulation — Regulation of Federal Student Financial Aid Programs — Potential effect of regulatory violations.” Any such fine or other sanction could damage our reputation and impose significant costs on us, which could have a material adverse effect on our business, prospects, financial condition, and results of operations.</w:t>
      </w:r>
    </w:p>
    <w:p>
      <w:pPr>
        <w:spacing w:after="0" w:line="203"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b w:val="1"/>
          <w:bCs w:val="1"/>
          <w:i w:val="1"/>
          <w:iCs w:val="1"/>
          <w:color w:val="auto"/>
        </w:rPr>
        <w:t>A qui tam lawsuit has been filed against us alleging, among other things, that we have improperly compensated certain of our enrollment counselors, and we may incur liability, be subject to sanctions, or experience damage to our reputation as a result of this lawsuit.</w:t>
      </w:r>
    </w:p>
    <w:p>
      <w:pPr>
        <w:spacing w:after="0" w:line="87" w:lineRule="exact"/>
        <w:rPr>
          <w:sz w:val="20"/>
          <w:szCs w:val="20"/>
          <w:color w:val="auto"/>
        </w:rPr>
      </w:pPr>
    </w:p>
    <w:p>
      <w:pPr>
        <w:ind w:firstLine="397"/>
        <w:spacing w:after="0" w:line="270" w:lineRule="auto"/>
        <w:rPr>
          <w:sz w:val="20"/>
          <w:szCs w:val="20"/>
          <w:color w:val="auto"/>
        </w:rPr>
      </w:pPr>
      <w:r>
        <w:rPr>
          <w:rFonts w:ascii="Arial" w:cs="Arial" w:eastAsia="Arial" w:hAnsi="Arial"/>
          <w:sz w:val="17"/>
          <w:szCs w:val="17"/>
          <w:color w:val="auto"/>
        </w:rPr>
        <w:t xml:space="preserve">On September 11, 2008, we were served with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our case,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was initially filed under seal in August 2007 and was unsealed and served on us following the government’s decision not to intervene at that time.</w:t>
      </w:r>
    </w:p>
    <w:p>
      <w:pPr>
        <w:spacing w:after="0" w:line="83" w:lineRule="exact"/>
        <w:rPr>
          <w:sz w:val="20"/>
          <w:szCs w:val="20"/>
          <w:color w:val="auto"/>
        </w:rPr>
      </w:pPr>
    </w:p>
    <w:p>
      <w:pPr>
        <w:ind w:firstLine="397"/>
        <w:spacing w:after="0" w:line="285"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See “Regulation — Regulation of Federal Student Financial Aid Programs — Incentive compensation rule.”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We filed a motion to dismiss this case in November 2008, which was denied by the court in February 2009, and we have continued to vigorously contest this lawsuit. If it were determined that any of our compensation practices violated the incentive compensation law, we could experience an adverse outcome in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or any liability or other sanctions that may result. It is possible that during the course of the litigation or the related Office of Inspector General investigation other information may be discovered that would adversely affect the outcome of the litigation.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6" w:name="page7"/>
    <w:bookmarkEnd w:id="6"/>
    <w:p>
      <w:pPr>
        <w:ind w:firstLine="397"/>
        <w:spacing w:after="0" w:line="270" w:lineRule="auto"/>
        <w:rPr>
          <w:sz w:val="20"/>
          <w:szCs w:val="20"/>
          <w:color w:val="auto"/>
        </w:rPr>
      </w:pPr>
      <w:r>
        <w:rPr>
          <w:rFonts w:ascii="Arial" w:cs="Arial" w:eastAsia="Arial" w:hAnsi="Arial"/>
          <w:sz w:val="17"/>
          <w:szCs w:val="17"/>
          <w:color w:val="auto"/>
        </w:rPr>
        <w:t xml:space="preserve">Pursuant to the court’s mandatory scheduling order, we have entered into settlement discussions with respect to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matter with the relator. In connection with such discussions, we are negotiating for a comprehensive settlement that would include, among other things, the resolution by the Office of Inspector General of its investigation. Accordingly, any such settlement would need to be approved not only by the relator, but by the U.S. Department of Justice (which has authority to approve settlements of False Claims Act matters), and the Department of Education. While we cannot assure you that this matter will be settled on terms acceptable to us or at all, we do not believe that any potential settlement, if in the amount (which we believe is generally in the range of other settlements of similar </w:t>
      </w:r>
      <w:r>
        <w:rPr>
          <w:rFonts w:ascii="Arial" w:cs="Arial" w:eastAsia="Arial" w:hAnsi="Arial"/>
          <w:sz w:val="17"/>
          <w:szCs w:val="17"/>
          <w:i w:val="1"/>
          <w:iCs w:val="1"/>
          <w:color w:val="auto"/>
        </w:rPr>
        <w:t>qui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tam </w:t>
      </w:r>
      <w:r>
        <w:rPr>
          <w:rFonts w:ascii="Arial" w:cs="Arial" w:eastAsia="Arial" w:hAnsi="Arial"/>
          <w:sz w:val="17"/>
          <w:szCs w:val="17"/>
          <w:color w:val="auto"/>
        </w:rPr>
        <w:t>litigation against other for-profit education companies) and on the terms currently under discussion, will materially adversely affect</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operations, or liquidity, although any charge taken in connection with such a potential settlement would likely be material to our operating results and cash flow for the periods affected by the charge. If such settlement does not occur, we would continue to vigorously defend this lawsuit.</w:t>
      </w:r>
    </w:p>
    <w:p>
      <w:pPr>
        <w:spacing w:after="0" w:line="191"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b w:val="1"/>
          <w:bCs w:val="1"/>
          <w:i w:val="1"/>
          <w:iCs w:val="1"/>
          <w:color w:val="auto"/>
        </w:rPr>
        <w:t>Congress may change the eligibility standards or reduce funding for the Title IV programs, which could reduce our student population, revenue, and profit margin.</w:t>
      </w:r>
    </w:p>
    <w:p>
      <w:pPr>
        <w:spacing w:after="0" w:line="76" w:lineRule="exact"/>
        <w:rPr>
          <w:sz w:val="20"/>
          <w:szCs w:val="20"/>
          <w:color w:val="auto"/>
        </w:rPr>
      </w:pPr>
    </w:p>
    <w:p>
      <w:pPr>
        <w:ind w:right="60" w:firstLine="397"/>
        <w:spacing w:after="0" w:line="270" w:lineRule="auto"/>
        <w:rPr>
          <w:sz w:val="20"/>
          <w:szCs w:val="20"/>
          <w:color w:val="auto"/>
        </w:rPr>
      </w:pPr>
      <w:r>
        <w:rPr>
          <w:rFonts w:ascii="Arial" w:cs="Arial" w:eastAsia="Arial" w:hAnsi="Arial"/>
          <w:sz w:val="17"/>
          <w:szCs w:val="17"/>
          <w:color w:val="auto"/>
        </w:rPr>
        <w:t>Political and budgetary concerns significantly affect the Title IV programs. The Higher Education Act, which is the federal law that governs the Title IV programs, must be periodically reauthorized by Congress, and was most recently reauthorized in August 2008. The new law contains numerous revisions to the requirements governing the Title IV programs. See “Regulation — Regulation of Federal Student Financial Aid Programs.” In addition, Congress must determine funding levels for the Title IV programs on an annual basis, and can change the laws governing the Title IV programs at any time. Because a significant percentage of our revenue is derived from the Title IV programs, any action by Congress that significantly reduces Title IV program funding or our ability or the ability of our students to participate in the Title IV programs, or otherwise requires us to modify our practices with respect to Title IV programs, could increase our costs of compliance, reduce the ability of some students to finance their education at our institution, require us to seek to arrange for other sources of financial aid for our students, and materially decrease our student enrollment, each of which could have a material adverse effect on us.</w:t>
      </w:r>
    </w:p>
    <w:p>
      <w:pPr>
        <w:spacing w:after="0" w:line="191" w:lineRule="exact"/>
        <w:rPr>
          <w:sz w:val="20"/>
          <w:szCs w:val="20"/>
          <w:color w:val="auto"/>
        </w:rPr>
      </w:pPr>
    </w:p>
    <w:p>
      <w:pPr>
        <w:jc w:val="both"/>
        <w:ind w:left="200" w:right="280"/>
        <w:spacing w:after="0" w:line="264" w:lineRule="auto"/>
        <w:rPr>
          <w:sz w:val="20"/>
          <w:szCs w:val="20"/>
          <w:color w:val="auto"/>
        </w:rPr>
      </w:pPr>
      <w:r>
        <w:rPr>
          <w:rFonts w:ascii="Arial" w:cs="Arial" w:eastAsia="Arial" w:hAnsi="Arial"/>
          <w:sz w:val="18"/>
          <w:szCs w:val="18"/>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87" w:lineRule="exact"/>
        <w:rPr>
          <w:sz w:val="20"/>
          <w:szCs w:val="20"/>
          <w:color w:val="auto"/>
        </w:rPr>
      </w:pPr>
    </w:p>
    <w:p>
      <w:pPr>
        <w:ind w:firstLine="397"/>
        <w:spacing w:after="0" w:line="267" w:lineRule="auto"/>
        <w:rPr>
          <w:sz w:val="20"/>
          <w:szCs w:val="20"/>
          <w:color w:val="auto"/>
        </w:rPr>
      </w:pPr>
      <w:r>
        <w:rPr>
          <w:rFonts w:ascii="Arial" w:cs="Arial" w:eastAsia="Arial" w:hAnsi="Arial"/>
          <w:sz w:val="17"/>
          <w:szCs w:val="17"/>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funds to either the reimbursement or the heightened cash monitoring system, which could result in a significant delay in the institution’s receipt of those funds. For example, when we were recertified by the Department of Education to participate in the Title IV programs in May 2005, the Department of Education reviewed our fiscal year 2004 audited financial statements and advised us that our composite score under the Department of Education’s financial responsibility formula reflected financial weakness.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2006 and 2007, the Department of Education eliminated each of these requirements and restrictions. However, if, in the future, we fail to satisfy the Department of Education’s financial responsibility standards, we could experience increased regulatory compliance costs or delays in our receipt of Title IV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7" w:name="page8"/>
    <w:bookmarkEnd w:id="7"/>
    <w:p>
      <w:pPr>
        <w:ind w:left="200"/>
        <w:spacing w:after="0" w:line="264" w:lineRule="auto"/>
        <w:rPr>
          <w:sz w:val="20"/>
          <w:szCs w:val="20"/>
          <w:color w:val="auto"/>
        </w:rPr>
      </w:pPr>
      <w:r>
        <w:rPr>
          <w:rFonts w:ascii="Arial" w:cs="Arial" w:eastAsia="Arial" w:hAnsi="Arial"/>
          <w:sz w:val="18"/>
          <w:szCs w:val="18"/>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87" w:lineRule="exact"/>
        <w:rPr>
          <w:sz w:val="20"/>
          <w:szCs w:val="20"/>
          <w:color w:val="auto"/>
        </w:rPr>
      </w:pPr>
    </w:p>
    <w:p>
      <w:pPr>
        <w:ind w:firstLine="397"/>
        <w:spacing w:after="0" w:line="253" w:lineRule="auto"/>
        <w:rPr>
          <w:sz w:val="20"/>
          <w:szCs w:val="20"/>
          <w:color w:val="auto"/>
        </w:rPr>
      </w:pPr>
      <w:r>
        <w:rPr>
          <w:rFonts w:ascii="Arial" w:cs="Arial" w:eastAsia="Arial" w:hAnsi="Arial"/>
          <w:sz w:val="18"/>
          <w:szCs w:val="18"/>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that the institution has an adequate number of qualified personnel to administer the Title IV programs, has adequate procedures for disbursing and safeguarding Title IV funds and for maintaining records, submits all required reports and financial statements in a timely manner, and does not have significant problems that affect the institution’s ability to administer the Title IV programs. If we fail to satisfy any of these criteria, the Department of Education may assess financial penalties against us, restrict the manner in which we receive Title IV funds to us, require us to post a letter of credit, place us on provisional certification status, or limit or terminate our participation in the Title IV programs, any of which could materially adversely affect us.</w:t>
      </w:r>
    </w:p>
    <w:p>
      <w:pPr>
        <w:spacing w:after="0" w:line="211" w:lineRule="exact"/>
        <w:rPr>
          <w:sz w:val="20"/>
          <w:szCs w:val="20"/>
          <w:color w:val="auto"/>
        </w:rPr>
      </w:pPr>
    </w:p>
    <w:p>
      <w:pPr>
        <w:ind w:left="200" w:right="420"/>
        <w:spacing w:after="0" w:line="308" w:lineRule="auto"/>
        <w:rPr>
          <w:sz w:val="20"/>
          <w:szCs w:val="20"/>
          <w:color w:val="auto"/>
        </w:rPr>
      </w:pPr>
      <w:r>
        <w:rPr>
          <w:rFonts w:ascii="Arial" w:cs="Arial" w:eastAsia="Arial" w:hAnsi="Arial"/>
          <w:sz w:val="17"/>
          <w:szCs w:val="17"/>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52" w:lineRule="exact"/>
        <w:rPr>
          <w:sz w:val="20"/>
          <w:szCs w:val="20"/>
          <w:color w:val="auto"/>
        </w:rPr>
      </w:pPr>
    </w:p>
    <w:p>
      <w:pPr>
        <w:ind w:right="20" w:firstLine="397"/>
        <w:spacing w:after="0" w:line="267" w:lineRule="auto"/>
        <w:rPr>
          <w:sz w:val="20"/>
          <w:szCs w:val="20"/>
          <w:color w:val="auto"/>
        </w:rPr>
      </w:pPr>
      <w:r>
        <w:rPr>
          <w:rFonts w:ascii="Arial" w:cs="Arial" w:eastAsia="Arial" w:hAnsi="Arial"/>
          <w:sz w:val="17"/>
          <w:szCs w:val="17"/>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We were reaccredited by the Higher Learning Commission in 2007, and the next scheduled comprehensive evaluation will be conducted in 2016-2017. While, during the 2007 reaccreditation process, the Higher Learning Commission concluded that we were in compliance with its accreditation standards, it did note certain deficiencies to be addressed by us. See “Regulation — Accreditation.” In February 2009, we filed a monitoring report with the Higher Learning Commission addressing our progress in resolving these deficiencies and in March 2009, we received notification from the Higher Learning Commission that our report was accepted and that no further reports are required. The Higher Learning Commission is currently reviewing our request to operate at nine additional off-campus sites. If we fail to satisfy any of the Higher Learning Commission’s standards,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If we do not maintain our state authorization in Arizona, we may not operate or participate in the Title IV programs.</w:t>
      </w:r>
    </w:p>
    <w:p>
      <w:pPr>
        <w:spacing w:after="0" w:line="142" w:lineRule="exact"/>
        <w:rPr>
          <w:sz w:val="20"/>
          <w:szCs w:val="20"/>
          <w:color w:val="auto"/>
        </w:rPr>
      </w:pPr>
    </w:p>
    <w:p>
      <w:pPr>
        <w:ind w:right="160" w:firstLine="397"/>
        <w:spacing w:after="0" w:line="272" w:lineRule="auto"/>
        <w:rPr>
          <w:sz w:val="20"/>
          <w:szCs w:val="20"/>
          <w:color w:val="auto"/>
        </w:rPr>
      </w:pPr>
      <w:r>
        <w:rPr>
          <w:rFonts w:ascii="Arial" w:cs="Arial" w:eastAsia="Arial" w:hAnsi="Arial"/>
          <w:sz w:val="17"/>
          <w:szCs w:val="17"/>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5" w:right="1079" w:bottom="1440" w:gutter="0" w:footer="0" w:header="0"/>
        </w:sectPr>
      </w:pPr>
    </w:p>
    <w:bookmarkStart w:id="8" w:name="page9"/>
    <w:bookmarkEnd w:id="8"/>
    <w:p>
      <w:pPr>
        <w:ind w:right="560"/>
        <w:spacing w:after="0" w:line="277" w:lineRule="auto"/>
        <w:rPr>
          <w:sz w:val="20"/>
          <w:szCs w:val="20"/>
          <w:color w:val="auto"/>
        </w:rPr>
      </w:pPr>
      <w:r>
        <w:rPr>
          <w:rFonts w:ascii="Arial" w:cs="Arial" w:eastAsia="Arial" w:hAnsi="Arial"/>
          <w:sz w:val="18"/>
          <w:szCs w:val="18"/>
          <w:color w:val="auto"/>
        </w:rPr>
        <w:t>educational programs, which would also cause us to lose our eligibility to participate in the Title IV programs and have a material adverse effect on us.</w:t>
      </w:r>
    </w:p>
    <w:p>
      <w:pPr>
        <w:spacing w:after="0" w:line="184" w:lineRule="exact"/>
        <w:rPr>
          <w:sz w:val="20"/>
          <w:szCs w:val="20"/>
          <w:color w:val="auto"/>
        </w:rPr>
      </w:pPr>
    </w:p>
    <w:p>
      <w:pPr>
        <w:ind w:left="200" w:right="100"/>
        <w:spacing w:after="0" w:line="381" w:lineRule="auto"/>
        <w:rPr>
          <w:sz w:val="20"/>
          <w:szCs w:val="20"/>
          <w:color w:val="auto"/>
        </w:rPr>
      </w:pPr>
      <w:r>
        <w:rPr>
          <w:rFonts w:ascii="Arial" w:cs="Arial" w:eastAsia="Arial" w:hAnsi="Arial"/>
          <w:sz w:val="15"/>
          <w:szCs w:val="15"/>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6" w:lineRule="exact"/>
        <w:rPr>
          <w:sz w:val="20"/>
          <w:szCs w:val="20"/>
          <w:color w:val="auto"/>
        </w:rPr>
      </w:pPr>
    </w:p>
    <w:p>
      <w:pPr>
        <w:ind w:right="60" w:firstLine="397"/>
        <w:spacing w:after="0" w:line="286" w:lineRule="auto"/>
        <w:rPr>
          <w:sz w:val="20"/>
          <w:szCs w:val="20"/>
          <w:color w:val="auto"/>
        </w:rPr>
      </w:pPr>
      <w:r>
        <w:rPr>
          <w:rFonts w:ascii="Arial" w:cs="Arial" w:eastAsia="Arial" w:hAnsi="Arial"/>
          <w:sz w:val="16"/>
          <w:szCs w:val="16"/>
          <w:color w:val="auto"/>
        </w:rPr>
        <w:t>If we experience a change in control under the standards of the Department of Education, the Higher Learning Commission, the Arizona State Board for Private Postsecondary Education, or any other applicable state education agency or accrediting commission, we must notify and/or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Some of these transactions or events may be beyond our control. Our failure to obtain, or a delay in receiving, approval of any change in control from the Department of Education, the Higher Learning Commission, or the Arizona State Board for Private Postsecondary Education could impair our ability to operate or participate in the Title IV programs, which could have a material adverse effect on our business, prospects, financial condition, and results of operations.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77" w:lineRule="exact"/>
        <w:rPr>
          <w:sz w:val="20"/>
          <w:szCs w:val="20"/>
          <w:color w:val="auto"/>
        </w:rPr>
      </w:pPr>
    </w:p>
    <w:p>
      <w:pPr>
        <w:ind w:firstLine="397"/>
        <w:spacing w:after="0" w:line="285" w:lineRule="auto"/>
        <w:rPr>
          <w:sz w:val="20"/>
          <w:szCs w:val="20"/>
          <w:color w:val="auto"/>
        </w:rPr>
      </w:pPr>
      <w:r>
        <w:rPr>
          <w:rFonts w:ascii="Arial" w:cs="Arial" w:eastAsia="Arial" w:hAnsi="Arial"/>
          <w:sz w:val="16"/>
          <w:szCs w:val="16"/>
          <w:color w:val="auto"/>
        </w:rPr>
        <w:t>In connection with our initial public offering in November 2008, we submitted a description of the offering to the Department of Education, including a description of a proxy and voting agreement that certain of our stockholders entered into upon completion of the public offering, pursuant to which Brent D. Richardson, our Executive Chairman, and Christopher C. Richardson, our General Counsel and a director (collectively, the “Richardson Voting Group”), controlled the voting power of approximately 42.9% of our total outstanding voting stock after the initial public offering. See “Certain Relationships and Related Transactions — Voting Agreement.” Based on this description, the Department of Education concluded that the initial public offering did not result in a change in control under the Department of Education’s regulations. The Higher Learning Commission did consider our initial public offering to be a change in control under its policies and, while it approved our consummation of the offering, it informed us that it would conduct a site visit to confirm the appropriateness of the approval and to evaluate whether we continue to meet the Higher Learning Commission’s eligibility criteria. The Higher Learning Commission conducted its site visit in March 2009 and determined, among other things, that the initial public offering was conducted in a manner that did not disrupt our ongoing operations and that no further action would be required as a result of the change in control. As a result, the Higher Learning Commission formally approved the change in control in June 2009. In addition, we notified the Arizona State Board for Private Postsecondary Education of our initial public offering and, based on our communications with that agency, we do not believe that our initial public offering constituted a change in control under Arizona law. We also notified other accrediting commissions and state agencies, as we believed necessary, of our initial public offering and the reasons why we believed the offering did not constitute a change in control under their respective standards, or to determine what was required if any such commission or agency did consider the offering to constitute a change in control. None of the other accrediting commissions and state agencies that we notified of our initial public offering has advised us that it concluded that the offering constituted a change in control under its policies or that it required us to take any further action.</w:t>
      </w:r>
    </w:p>
    <w:p>
      <w:pPr>
        <w:spacing w:after="0" w:line="76"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With respect to publicly-traded corporations, like us, Department of Education regulations provide that a change in control occurs if either: (i) there is an event that would obligate the corporation to file a Current Report on Form 8-K with the Securities and Exchange Commission, or the SEC, disclosing a change in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9" w:name="page10"/>
    <w:bookmarkEnd w:id="9"/>
    <w:p>
      <w:pPr>
        <w:spacing w:after="0" w:line="286" w:lineRule="auto"/>
        <w:rPr>
          <w:sz w:val="20"/>
          <w:szCs w:val="20"/>
          <w:color w:val="auto"/>
        </w:rPr>
      </w:pPr>
      <w:r>
        <w:rPr>
          <w:rFonts w:ascii="Arial" w:cs="Arial" w:eastAsia="Arial" w:hAnsi="Arial"/>
          <w:sz w:val="16"/>
          <w:szCs w:val="16"/>
          <w:color w:val="auto"/>
        </w:rPr>
        <w:t>control, or (ii) the corporation has a stockholder that owns, or has voting control over, at least 25% of the total outstanding voting stock of the corporation and is the largest stockholder of the corporation, and that stockholder ceases to own, or have voting control over, at least 25% of such stock or ceases to be the largest stockholder. The Higher Learning Commission adopted new policies and procedures with respect to changes in control in June 2009, and one such policy provides that an institution is considered to undergo a change in control if a person or group increases or decreases its control of shares to greater than or less than 25% of the total outstanding shares of the stock of a parent corporation that owns or controls the accredited institution and, in such event, requires the institution to obtain its approval in advance of the change. In addition, the standards of the Arizona State Board for Private Postsecondary Education provide that an institution that is owned by a publicly-traded corporation whose control is vested in the voting members of the board of directors, like us, undergoes a change in control if 50% or more of the voting members of the board of directors change within a 12-month period or the chief executive officer of the corporation changes. Based on the number of shares of common stock expected to be sold by us and the selling stockholders in this offering, we believe that the Richardson Voting Group will continue to have voting power over 25% or more of our total outstanding voting stock after the completion of the offering and that this offering will not constitute a change in control under the Department of Education’s regulations or the Higher Learning Commission’s policies. In addition, because no such changes with respect to our board of directors or chief executive officer will occur in connection with this offering, we believe that this offering will not constitute a change in control under the rules of the Arizona State Board for Private Postsecondary Education.</w:t>
      </w:r>
    </w:p>
    <w:p>
      <w:pPr>
        <w:spacing w:after="0" w:line="74" w:lineRule="exact"/>
        <w:rPr>
          <w:sz w:val="20"/>
          <w:szCs w:val="20"/>
          <w:color w:val="auto"/>
        </w:rPr>
      </w:pPr>
    </w:p>
    <w:p>
      <w:pPr>
        <w:ind w:right="60" w:firstLine="397"/>
        <w:spacing w:after="0" w:line="284" w:lineRule="auto"/>
        <w:rPr>
          <w:sz w:val="20"/>
          <w:szCs w:val="20"/>
          <w:color w:val="auto"/>
        </w:rPr>
      </w:pPr>
      <w:r>
        <w:rPr>
          <w:rFonts w:ascii="Arial" w:cs="Arial" w:eastAsia="Arial" w:hAnsi="Arial"/>
          <w:sz w:val="16"/>
          <w:szCs w:val="16"/>
          <w:color w:val="auto"/>
        </w:rPr>
        <w:t xml:space="preserve">Even if this offering will not constitute a change of control under the Department of Education’s regulations or the Higher Learning Commission’s policies, under the terms of the voting agreement with the Richardson Voting Group, if any person party to the voting agreement transfers shares covered by the proxy in registered or open-market sales, the proxy is no longer effective as to such shares. Accordingly, the number of shares over which the Richardson Voting Group will continue to hold voting power pursuant to the voting agreement will decrease over time as shares held by other parties to the voting agreement are sold, and we may not be aware of these sales since many of the shares subject to the voting agreement are held in “street name.” If at any time in the future, as a result of such future registered or open-market sales, the number of shares over which the Richardson Voting Group holds voting power falls below 25%, a change in control will occur. At that point, with respect to the Department of Education, we will lose our eligibility to participate in the Title IV programs and must apply to the Department of Education in order to reestablish such eligibility. If we file the required application and follow other procedures, the Department of Education may temporarily certify us on a provisional basis following the change in control, so that our students retain access to Title IV program funds until the Department of Education completes its full review. In addition, the Department of Education will extend such temporary provisional certification if we timely file other required materials. While we expect to file all such applications and other materials within applicable deadlines, there is no assurance that we will be able to do so because we cannot be certain of the percentage of stock that is subject to the Richardson Voting Group at any given time in order to be certain if and when the Richardson Voting Group falls below the applicable 25% threshold. If we fail to meet any of these application and other deadlines, our certification will expire and our students will not be eligible to receive Title IV program funds until the Department of Education completes its full review, which commonly takes several months and may take longer. If the Department of Education approves our application after a change in control, it will certify us on a provisional basis for a period of up to approximately three years, although we cannot predict how the Department of Education will process this provisional recertification or what restrictions may be imposed if such change in control occurs while we remain on month-to-month status and subject to the ongoing investigation by the Office of Inspector General of the Department of Education or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See “Regulation — Regulatory Standards that May Restrict Institutional Expansion or Other Changes — Change in ownership resulting in a change in control.”</w:t>
      </w:r>
    </w:p>
    <w:p>
      <w:pPr>
        <w:spacing w:after="0" w:line="86" w:lineRule="exact"/>
        <w:rPr>
          <w:sz w:val="20"/>
          <w:szCs w:val="20"/>
          <w:color w:val="auto"/>
        </w:rPr>
      </w:pPr>
    </w:p>
    <w:p>
      <w:pPr>
        <w:ind w:right="140" w:firstLine="397"/>
        <w:spacing w:after="0" w:line="297" w:lineRule="auto"/>
        <w:rPr>
          <w:sz w:val="20"/>
          <w:szCs w:val="20"/>
          <w:color w:val="auto"/>
        </w:rPr>
      </w:pPr>
      <w:r>
        <w:rPr>
          <w:rFonts w:ascii="Arial" w:cs="Arial" w:eastAsia="Arial" w:hAnsi="Arial"/>
          <w:sz w:val="16"/>
          <w:szCs w:val="16"/>
          <w:color w:val="auto"/>
        </w:rPr>
        <w:t>With respect to the Higher Learning Commission, if we anticipate that the number of shares over which the Richardson Voting Group holds voting power will fall below 25% at any time in the future, we would be required to obtain the approval of the Higher Learning Commission before such event occurs. However, because we may be unaware when such event occurs, we would plan to seek the cooperation of the Higher Learning Commission to allow us to arrange an appropriate review procedure at that time since there may not be an opportunity to obtain the Higher Learning Commission’s advance review and approval, as is typically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10" w:name="page11"/>
    <w:bookmarkEnd w:id="10"/>
    <w:p>
      <w:pPr>
        <w:spacing w:after="0" w:line="279" w:lineRule="auto"/>
        <w:rPr>
          <w:sz w:val="20"/>
          <w:szCs w:val="20"/>
          <w:color w:val="auto"/>
        </w:rPr>
      </w:pPr>
      <w:r>
        <w:rPr>
          <w:rFonts w:ascii="Arial" w:cs="Arial" w:eastAsia="Arial" w:hAnsi="Arial"/>
          <w:sz w:val="17"/>
          <w:szCs w:val="17"/>
          <w:color w:val="auto"/>
        </w:rPr>
        <w:t>required by its policies. In that circumstance, we cannot predict whether the Higher Learning Commission would impose any limitations or conditions on us, or identify any compliance issues related to us in the context of the change in control process, that could result in our loss of accreditation by the Higher Learning Commission. Any such loss of accreditation would result in our loss of eligibility to participate in the Title IV programs and cause a significant decline in our student enrollments.</w:t>
      </w:r>
    </w:p>
    <w:p>
      <w:pPr>
        <w:spacing w:after="0" w:line="185"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b w:val="1"/>
          <w:bCs w:val="1"/>
          <w:i w:val="1"/>
          <w:iCs w:val="1"/>
          <w:color w:val="auto"/>
        </w:rPr>
        <w:t>If a substantial number of our students cannot secure Title IV loans as a result of decreased lender participation in the Title IV programs or if lenders increase the costs or reduce the benefits associated with the Title IV loans they provide, we could be materially adversely affected.</w:t>
      </w:r>
    </w:p>
    <w:p>
      <w:pPr>
        <w:spacing w:after="0" w:line="87" w:lineRule="exact"/>
        <w:rPr>
          <w:sz w:val="20"/>
          <w:szCs w:val="20"/>
          <w:color w:val="auto"/>
        </w:rPr>
      </w:pPr>
    </w:p>
    <w:p>
      <w:pPr>
        <w:ind w:right="140" w:firstLine="397"/>
        <w:spacing w:after="0" w:line="290" w:lineRule="auto"/>
        <w:rPr>
          <w:sz w:val="20"/>
          <w:szCs w:val="20"/>
          <w:color w:val="auto"/>
        </w:rPr>
      </w:pPr>
      <w:r>
        <w:rPr>
          <w:rFonts w:ascii="Arial" w:cs="Arial" w:eastAsia="Arial" w:hAnsi="Arial"/>
          <w:sz w:val="16"/>
          <w:szCs w:val="16"/>
          <w:color w:val="auto"/>
        </w:rPr>
        <w:t>The cumulative impact of recent regulatory and market developments and conditions, including the widespread disruption in the credit and financial markets, has caused some lenders to cease providing Title IV loans to students, including some lenders that previously provided our students with Title IV loans, also known as Federal Family Education program loans, or FFEL loans. Other lenders have reduced the benefits and increased the fees associated with the Title IV loans they provide. We and other schools have had to modify student loan practices in ways that result in higher administrative costs. If the cost of Title IV loans increases or availability decreases, some students may not be able to take out loans and may not enroll in a postsecondary institution. In May 2008, new federal legislation was enacted to attempt to ensure that all eligible students would be able to obtain Title IV loans in the future and that a sufficient number of lenders would continue to provide Title IV loans. Among other things, that legislation:</w:t>
      </w:r>
    </w:p>
    <w:p>
      <w:pPr>
        <w:spacing w:after="0" w:line="72" w:lineRule="exact"/>
        <w:rPr>
          <w:sz w:val="20"/>
          <w:szCs w:val="20"/>
          <w:color w:val="auto"/>
        </w:rPr>
      </w:pPr>
    </w:p>
    <w:p>
      <w:pPr>
        <w:ind w:left="1000" w:right="40" w:hanging="211"/>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authorized the Department of Education to purchase Title IV loans from lenders, thereby providing capital to the lenders to enable them to continue making Title IV loans to students; and</w:t>
      </w:r>
    </w:p>
    <w:p>
      <w:pPr>
        <w:spacing w:after="0" w:line="8" w:lineRule="exact"/>
        <w:rPr>
          <w:rFonts w:ascii="Arial" w:cs="Arial" w:eastAsia="Arial" w:hAnsi="Arial"/>
          <w:sz w:val="18"/>
          <w:szCs w:val="18"/>
          <w:color w:val="auto"/>
        </w:rPr>
      </w:pPr>
    </w:p>
    <w:p>
      <w:pPr>
        <w:ind w:left="1000" w:right="40" w:hanging="211"/>
        <w:spacing w:after="0" w:line="264"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permitted the Department of Education to designate institutions eligible to participate in a “lender of last resort” program, under which federally recognized student loan guaranty agencies would be required to make Title IV loans to all otherwise eligible students at those institutions.</w:t>
      </w:r>
    </w:p>
    <w:p>
      <w:pPr>
        <w:spacing w:after="0" w:line="87" w:lineRule="exact"/>
        <w:rPr>
          <w:sz w:val="20"/>
          <w:szCs w:val="20"/>
          <w:color w:val="auto"/>
        </w:rPr>
      </w:pPr>
    </w:p>
    <w:p>
      <w:pPr>
        <w:ind w:firstLine="397"/>
        <w:spacing w:after="0" w:line="286" w:lineRule="auto"/>
        <w:rPr>
          <w:sz w:val="20"/>
          <w:szCs w:val="20"/>
          <w:color w:val="auto"/>
        </w:rPr>
      </w:pPr>
      <w:r>
        <w:rPr>
          <w:rFonts w:ascii="Arial" w:cs="Arial" w:eastAsia="Arial" w:hAnsi="Arial"/>
          <w:sz w:val="16"/>
          <w:szCs w:val="16"/>
          <w:color w:val="auto"/>
        </w:rPr>
        <w:t>While this legislation appears to have provided some stability to the marketplace for Title IV loans, it is not yet clear if it ultimately will be effective in ensuring students’ access to Title IV loans. The environment surrounding access to and cost of student loans remains in a state of flux. The Department of Education proposed new regulations regarding student loans in July 2009, which could go into effect on July 1, 2010, and Congress is in the process of considering legislation to eliminate the FFEL loan program and move all federal student lending into the Federal Direct Loan Program, known as the FDL program. The uncertainty surrounding these issues, and any resolution of these issues that increases loan costs or reduces students’ access to Title IV loans, may adversely affect our student enrollments. Although we are approved to participate in the FDL program,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 each of which could have a material adverse effect on us. In addition, a transition to the FDL program could cause disruptions in the administration of Title IV program loans to our students if we or the Department of Education encounter difficulties with the systems or processes necessary for increased FDL program loans.</w:t>
      </w:r>
    </w:p>
    <w:p>
      <w:pPr>
        <w:spacing w:after="0" w:line="188"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Our failure to comply with new regulations promulgated by the Department of Education could result in financial penalties, or the limitation, suspension, or termination of our continued participation in the Title IV programs.</w:t>
      </w:r>
    </w:p>
    <w:p>
      <w:pPr>
        <w:spacing w:after="0" w:line="76" w:lineRule="exact"/>
        <w:rPr>
          <w:sz w:val="20"/>
          <w:szCs w:val="20"/>
          <w:color w:val="auto"/>
        </w:rPr>
      </w:pPr>
    </w:p>
    <w:p>
      <w:pPr>
        <w:ind w:firstLine="397"/>
        <w:spacing w:after="0" w:line="297" w:lineRule="auto"/>
        <w:rPr>
          <w:sz w:val="20"/>
          <w:szCs w:val="20"/>
          <w:color w:val="auto"/>
        </w:rPr>
      </w:pPr>
      <w:r>
        <w:rPr>
          <w:rFonts w:ascii="Arial" w:cs="Arial" w:eastAsia="Arial" w:hAnsi="Arial"/>
          <w:sz w:val="16"/>
          <w:szCs w:val="16"/>
          <w:color w:val="auto"/>
        </w:rPr>
        <w:t>The Department of Education has been working since December 2008 to develop regulations through a negotiated rulemaking process to carry out the numerous revisions to the Title IV program regulations required by the reauthorization of the Higher Education Act in August 2008. Negotiated rulemaking is a process whereby the Department of Education consults with members of the postsecondary education community to identify issues of concern and attempts to agree on proposed regulatory revisions to address those issues before the Department of Education formally proposes any regulations. Following the conclusion of such</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5" w:right="1079" w:bottom="1440" w:gutter="0" w:footer="0" w:header="0"/>
        </w:sectPr>
      </w:pPr>
    </w:p>
    <w:bookmarkStart w:id="11" w:name="page12"/>
    <w:bookmarkEnd w:id="11"/>
    <w:p>
      <w:pPr>
        <w:spacing w:after="0" w:line="269" w:lineRule="auto"/>
        <w:rPr>
          <w:sz w:val="20"/>
          <w:szCs w:val="20"/>
          <w:color w:val="auto"/>
        </w:rPr>
      </w:pPr>
      <w:r>
        <w:rPr>
          <w:rFonts w:ascii="Arial" w:cs="Arial" w:eastAsia="Arial" w:hAnsi="Arial"/>
          <w:sz w:val="17"/>
          <w:szCs w:val="17"/>
          <w:color w:val="auto"/>
        </w:rPr>
        <w:t>negotiated rulemaking, in July and August 2009, the Department of Education proposed regulations relating to, among other things, the relationships between schools and lenders of both private and Title IV loans, the approval and oversight of accrediting agencies, and general programmatic requirements applicable to the Title IV programs, including the “90/10 Rule.” The Department of Education is expected to publish new final regulations by November 1, 2009, which is the required deadline in order for such regulations to take effect on July 1, 2010. In addition, in May 2009, the Department of Education announced its intent to establish new negotiated rulemaking committees that are expected to begin their discussions as soon as the fall of 2009, and to address a number of significant issues, including: compensation paid by institutions to persons or entities engaged in student recruiting or admission activities; the determination of satisfactory academic progress under different academic calendars; state authorization as a component of institutional eligibility; the definition of a credit hour for purposes of determining program eligibility status, particularly in the context of awarding Pell Grants; verification of information on student financial aid applications; and the definition of a high school diploma as a condition of a student’s eligibility for Title IV aid.</w:t>
      </w:r>
    </w:p>
    <w:p>
      <w:pPr>
        <w:spacing w:after="0" w:line="88" w:lineRule="exact"/>
        <w:rPr>
          <w:sz w:val="20"/>
          <w:szCs w:val="20"/>
          <w:color w:val="auto"/>
        </w:rPr>
      </w:pPr>
    </w:p>
    <w:p>
      <w:pPr>
        <w:ind w:right="40" w:firstLine="397"/>
        <w:spacing w:after="0" w:line="254" w:lineRule="auto"/>
        <w:rPr>
          <w:sz w:val="20"/>
          <w:szCs w:val="20"/>
          <w:color w:val="auto"/>
        </w:rPr>
      </w:pPr>
      <w:r>
        <w:rPr>
          <w:rFonts w:ascii="Arial" w:cs="Arial" w:eastAsia="Arial" w:hAnsi="Arial"/>
          <w:sz w:val="18"/>
          <w:szCs w:val="18"/>
          <w:color w:val="auto"/>
        </w:rPr>
        <w:t>The issues addressed in the regulations that have been or are expected to be proposed by the Department of Education, as well as the issues to be addressed in the upcoming negotiated rulemaking process, are broad and complex and concern a number of significant aspects of the Title IV programs, including eligibility and certification, administrative capability, school-lender relationships, the “90/10 Rule,” incentive compensation, and student loan default rates. See “Regulation — Regulation of Student Financial Aid Programs — The 90/10 Rule.” At this time, we cannot be certain whether and to what extent any changes may affect our ability to remain eligible to participate in the Title IV programs or require us to incur additional costs in connection with our administration of the Title IV programs. Any future changes that jeopardize our eligibility to participate in some or all of the Title IV programs could materially adversely affect us.</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 increase in interest rates could adversely affect our ability to attract and retain students.</w:t>
      </w:r>
    </w:p>
    <w:p>
      <w:pPr>
        <w:spacing w:after="0" w:line="131" w:lineRule="exact"/>
        <w:rPr>
          <w:sz w:val="20"/>
          <w:szCs w:val="20"/>
          <w:color w:val="auto"/>
        </w:rPr>
      </w:pPr>
    </w:p>
    <w:p>
      <w:pPr>
        <w:ind w:right="20" w:firstLine="397"/>
        <w:spacing w:after="0" w:line="268" w:lineRule="auto"/>
        <w:rPr>
          <w:sz w:val="20"/>
          <w:szCs w:val="20"/>
          <w:color w:val="auto"/>
        </w:rPr>
      </w:pPr>
      <w:r>
        <w:rPr>
          <w:rFonts w:ascii="Arial" w:cs="Arial" w:eastAsia="Arial" w:hAnsi="Arial"/>
          <w:sz w:val="17"/>
          <w:szCs w:val="17"/>
          <w:color w:val="auto"/>
        </w:rPr>
        <w:t>For our fiscal years ended December 31, 2007 and 2008, we derived cash receipts equal to approximately 70.2% and 74.4%, respectively, of our net revenue from tuition financed under the Title IV programs, which include student loans with interest rates subsidized by the federal government. Additionally, some of our students finance their education through private loans that are not subsidized. If our students’ employment circumstances are adversely affected by regional or national economic downturns, they may be more heavily dependent on student loans. Interest rates have reached relatively low levels in recent years, creating a favorable borrowing environment for students. However, in the event interest rates increase or Congress decreases the amount available for federal student aid, our students may have to pay higher interest rates on their loans. Any future increase in interest rates will result in a corresponding increase in educational costs to our existing and prospective students, which could result in a significant reduction in our student population and revenues. Higher interest rates could also contribute to higher default rates with respect to our students’ repayment of their education loans. Higher default rates may in turn adversely impact our eligibility to participate in some or all of the Title IV programs, which could result in a significant reduction in our student population and our profitability. See “We may lose our eligibility to participate in the Title IV programs if our student loan default rates are too high” located elsewhere in “Risk Factors” for further information.</w:t>
      </w:r>
    </w:p>
    <w:p>
      <w:pPr>
        <w:spacing w:after="0" w:line="20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Our failure to comply with the regulatory requirements of states other than Arizona could result in actions taken by those states that could have a material adverse effect on our enrollments.</w:t>
      </w:r>
    </w:p>
    <w:p>
      <w:pPr>
        <w:spacing w:after="0" w:line="76" w:lineRule="exact"/>
        <w:rPr>
          <w:sz w:val="20"/>
          <w:szCs w:val="20"/>
          <w:color w:val="auto"/>
        </w:rPr>
      </w:pPr>
    </w:p>
    <w:p>
      <w:pPr>
        <w:ind w:firstLine="397"/>
        <w:spacing w:after="0" w:line="272" w:lineRule="auto"/>
        <w:rPr>
          <w:sz w:val="20"/>
          <w:szCs w:val="20"/>
          <w:color w:val="auto"/>
        </w:rPr>
      </w:pPr>
      <w:r>
        <w:rPr>
          <w:rFonts w:ascii="Arial" w:cs="Arial" w:eastAsia="Arial" w:hAnsi="Arial"/>
          <w:sz w:val="17"/>
          <w:szCs w:val="17"/>
          <w:color w:val="auto"/>
        </w:rPr>
        <w:t>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In addition, several states have sought to assert jurisdiction over educational institutions offering online degree programs that have no physical location in the state but that have some activity in the state, such as enrolling or offering educational services to students who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12" w:name="page13"/>
    <w:bookmarkEnd w:id="12"/>
    <w:p>
      <w:pPr>
        <w:ind w:right="300"/>
        <w:spacing w:after="0" w:line="259" w:lineRule="auto"/>
        <w:rPr>
          <w:sz w:val="20"/>
          <w:szCs w:val="20"/>
          <w:color w:val="auto"/>
        </w:rPr>
      </w:pPr>
      <w:r>
        <w:rPr>
          <w:rFonts w:ascii="Arial" w:cs="Arial" w:eastAsia="Arial" w:hAnsi="Arial"/>
          <w:sz w:val="18"/>
          <w:szCs w:val="18"/>
          <w:color w:val="auto"/>
        </w:rPr>
        <w:t>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the future, states could coordinate their efforts in order to more aggressively attempt to regulate or restrict schools’ offering of online education.</w:t>
      </w:r>
    </w:p>
    <w:p>
      <w:pPr>
        <w:spacing w:after="0" w:line="92" w:lineRule="exact"/>
        <w:rPr>
          <w:sz w:val="20"/>
          <w:szCs w:val="20"/>
          <w:color w:val="auto"/>
        </w:rPr>
      </w:pPr>
    </w:p>
    <w:p>
      <w:pPr>
        <w:ind w:right="180" w:firstLine="397"/>
        <w:spacing w:after="0" w:line="254" w:lineRule="auto"/>
        <w:rPr>
          <w:sz w:val="20"/>
          <w:szCs w:val="20"/>
          <w:color w:val="auto"/>
        </w:rPr>
      </w:pPr>
      <w:r>
        <w:rPr>
          <w:rFonts w:ascii="Arial" w:cs="Arial" w:eastAsia="Arial" w:hAnsi="Arial"/>
          <w:sz w:val="18"/>
          <w:szCs w:val="18"/>
          <w:color w:val="auto"/>
        </w:rPr>
        <w:t>In addition to Arizona, we have determined that our activities in certain states constitute a presence requiring licensure or authorization under the requirements of the state education agency in those states. In certain other states, we have obtained approvals to operate as we have determined necessary in connection with our marketing and recruiting activities.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educational services to current students in that state, which could significantly reduce our enrollments and revenues and materially adversely effect us.</w:t>
      </w:r>
    </w:p>
    <w:p>
      <w:pPr>
        <w:spacing w:after="0" w:line="98" w:lineRule="exact"/>
        <w:rPr>
          <w:sz w:val="20"/>
          <w:szCs w:val="20"/>
          <w:color w:val="auto"/>
        </w:rPr>
      </w:pPr>
    </w:p>
    <w:p>
      <w:pPr>
        <w:ind w:right="60" w:firstLine="397"/>
        <w:spacing w:after="0" w:line="264" w:lineRule="auto"/>
        <w:rPr>
          <w:sz w:val="20"/>
          <w:szCs w:val="20"/>
          <w:color w:val="auto"/>
        </w:rPr>
      </w:pPr>
      <w:r>
        <w:rPr>
          <w:rFonts w:ascii="Arial" w:cs="Arial" w:eastAsia="Arial" w:hAnsi="Arial"/>
          <w:sz w:val="18"/>
          <w:szCs w:val="18"/>
          <w:color w:val="auto"/>
        </w:rPr>
        <w:t>State laws and regulations are not always precise or clear, and regulatory agencies may sometimes disagree with the way we have interpreted or applied these requirements. Any misinterpretation by us of these regulatory requirements or adverse changes in regulations or interpretations thereof by regulators could materially adversely affect us.</w:t>
      </w:r>
    </w:p>
    <w:p>
      <w:pPr>
        <w:spacing w:after="0" w:line="195" w:lineRule="exact"/>
        <w:rPr>
          <w:sz w:val="20"/>
          <w:szCs w:val="20"/>
          <w:color w:val="auto"/>
        </w:rPr>
      </w:pPr>
    </w:p>
    <w:p>
      <w:pPr>
        <w:ind w:left="200" w:right="540"/>
        <w:spacing w:after="0" w:line="342" w:lineRule="auto"/>
        <w:rPr>
          <w:sz w:val="20"/>
          <w:szCs w:val="20"/>
          <w:color w:val="auto"/>
        </w:rPr>
      </w:pPr>
      <w:r>
        <w:rPr>
          <w:rFonts w:ascii="Arial" w:cs="Arial" w:eastAsia="Arial" w:hAnsi="Arial"/>
          <w:sz w:val="16"/>
          <w:szCs w:val="16"/>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29" w:lineRule="exact"/>
        <w:rPr>
          <w:sz w:val="20"/>
          <w:szCs w:val="20"/>
          <w:color w:val="auto"/>
        </w:rPr>
      </w:pPr>
    </w:p>
    <w:p>
      <w:pPr>
        <w:ind w:right="180" w:firstLine="397"/>
        <w:spacing w:after="0" w:line="290" w:lineRule="auto"/>
        <w:rPr>
          <w:sz w:val="20"/>
          <w:szCs w:val="20"/>
          <w:color w:val="auto"/>
        </w:rPr>
      </w:pPr>
      <w:r>
        <w:rPr>
          <w:rFonts w:ascii="Arial" w:cs="Arial" w:eastAsia="Arial" w:hAnsi="Arial"/>
          <w:sz w:val="16"/>
          <w:szCs w:val="16"/>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180" w:lineRule="exact"/>
        <w:rPr>
          <w:sz w:val="20"/>
          <w:szCs w:val="20"/>
          <w:color w:val="auto"/>
        </w:rPr>
      </w:pPr>
    </w:p>
    <w:p>
      <w:pPr>
        <w:ind w:left="200" w:right="200"/>
        <w:spacing w:after="0" w:line="257" w:lineRule="auto"/>
        <w:rPr>
          <w:sz w:val="20"/>
          <w:szCs w:val="20"/>
          <w:color w:val="auto"/>
        </w:rPr>
      </w:pPr>
      <w:r>
        <w:rPr>
          <w:rFonts w:ascii="Arial" w:cs="Arial" w:eastAsia="Arial" w:hAnsi="Arial"/>
          <w:sz w:val="18"/>
          <w:szCs w:val="18"/>
          <w:b w:val="1"/>
          <w:bCs w:val="1"/>
          <w:i w:val="1"/>
          <w:iCs w:val="1"/>
          <w:color w:val="auto"/>
        </w:rPr>
        <w:t>Increased scrutiny and regulation by various governmental agencies of relationships between student loan providers and educational institutions and their employees have produced significant uncertainty concerning restrictions applicable to the administration of both Title IV and private student loan programs and the funding for those programs which, if not satisfactorily or timely resolved, could result in increased regulatory burdens and costs for us and could adversely affect our student enrollments.</w:t>
      </w:r>
    </w:p>
    <w:p>
      <w:pPr>
        <w:spacing w:after="0" w:line="94" w:lineRule="exact"/>
        <w:rPr>
          <w:sz w:val="20"/>
          <w:szCs w:val="20"/>
          <w:color w:val="auto"/>
        </w:rPr>
      </w:pPr>
    </w:p>
    <w:p>
      <w:pPr>
        <w:ind w:firstLine="397"/>
        <w:spacing w:after="0" w:line="269" w:lineRule="auto"/>
        <w:rPr>
          <w:sz w:val="20"/>
          <w:szCs w:val="20"/>
          <w:color w:val="auto"/>
        </w:rPr>
      </w:pPr>
      <w:r>
        <w:rPr>
          <w:rFonts w:ascii="Arial" w:cs="Arial" w:eastAsia="Arial" w:hAnsi="Arial"/>
          <w:sz w:val="17"/>
          <w:szCs w:val="17"/>
          <w:color w:val="auto"/>
        </w:rPr>
        <w:t>During 2007 and 2008, both Title IV and private student loan programs came under increased scrutiny by the Department of Education, Congress, state attorneys general, and other parties. Issues that received extensive attention included allegations of conflicts of interest between some institutions and lenders that provide student loans, questionable incentives given by lenders to some schools and school employees, allegations of deceptive practices in the marketing of student loans, and schools leading students to use certain lenders. Several institutions and lenders were cited for these problems and paid several million dollars in the aggregate to settle those claims. The practices of numerous other schools and lenders were, and in some cases continue to be, examined by government agencies at the federal and state level. The Attorney General of the State of Arizona requested extensive documentation from us and other institutions in Arizona concerning student loan practices, and we provided testimony in response to a subpoena from the Attorney General of the State of Arizona about such practices. In 2008, without admitting any wrongdoing, we agreed with the Attorney General of the State of Arizona to conclude its investigation of us by executing a Letter of Assurance, whereby we agreed to conduct referrals of students to lenders in accordance with our existing</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13" w:name="page14"/>
    <w:bookmarkEnd w:id="13"/>
    <w:p>
      <w:pPr>
        <w:ind w:right="120"/>
        <w:spacing w:after="0" w:line="277" w:lineRule="auto"/>
        <w:rPr>
          <w:sz w:val="20"/>
          <w:szCs w:val="20"/>
          <w:color w:val="auto"/>
        </w:rPr>
      </w:pPr>
      <w:r>
        <w:rPr>
          <w:rFonts w:ascii="Arial" w:cs="Arial" w:eastAsia="Arial" w:hAnsi="Arial"/>
          <w:sz w:val="18"/>
          <w:szCs w:val="18"/>
          <w:color w:val="auto"/>
        </w:rPr>
        <w:t>policies or any new policies promulgated by the State of Arizona in the future and to reimburse the state for the costs of its investigation in the amount of approximately $20,000.</w:t>
      </w:r>
    </w:p>
    <w:p>
      <w:pPr>
        <w:spacing w:after="0" w:line="76" w:lineRule="exact"/>
        <w:rPr>
          <w:sz w:val="20"/>
          <w:szCs w:val="20"/>
          <w:color w:val="auto"/>
        </w:rPr>
      </w:pPr>
    </w:p>
    <w:p>
      <w:pPr>
        <w:ind w:right="80" w:firstLine="397"/>
        <w:spacing w:after="0" w:line="269" w:lineRule="auto"/>
        <w:rPr>
          <w:sz w:val="20"/>
          <w:szCs w:val="20"/>
          <w:color w:val="auto"/>
        </w:rPr>
      </w:pPr>
      <w:r>
        <w:rPr>
          <w:rFonts w:ascii="Arial" w:cs="Arial" w:eastAsia="Arial" w:hAnsi="Arial"/>
          <w:sz w:val="17"/>
          <w:szCs w:val="17"/>
          <w:color w:val="auto"/>
        </w:rPr>
        <w:t>As a result of the increased scrutiny of student loan programs, Congress has passed new laws, the Department of Education and the Board of Governors of the Federal Reserve System have promulgated or proposed new and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loans to students in exchange for Title IV loan volume from schools, and require schools and lenders to provide additional information to students concerning institutionally preferred lenders and the terms of available student loans. The environment surrounding access to and cost of student loans remains in a state of flux, with additional legislation and regulatory changes being considered at the state and federal levels. The Department of Education proposed new regulations regarding student loans in July 2009, which could go into effect on July 1, 2010, and Congress is considering legislation to eliminate the FFEL loan program and move all federal student lending into the FDL program. This uncertainty, and any resolution of these issues that increases loan costs or reduces students’ access to student loans, may adversely affect our student enrollments, which could have an adverse effect on us.</w:t>
      </w:r>
    </w:p>
    <w:p>
      <w:pPr>
        <w:spacing w:after="0" w:line="193" w:lineRule="exact"/>
        <w:rPr>
          <w:sz w:val="20"/>
          <w:szCs w:val="20"/>
          <w:color w:val="auto"/>
        </w:rPr>
      </w:pPr>
    </w:p>
    <w:p>
      <w:pPr>
        <w:ind w:left="200" w:right="240"/>
        <w:spacing w:after="0" w:line="340" w:lineRule="auto"/>
        <w:rPr>
          <w:sz w:val="20"/>
          <w:szCs w:val="20"/>
          <w:color w:val="auto"/>
        </w:rPr>
      </w:pPr>
      <w:r>
        <w:rPr>
          <w:rFonts w:ascii="Arial" w:cs="Arial" w:eastAsia="Arial" w:hAnsi="Arial"/>
          <w:sz w:val="15"/>
          <w:szCs w:val="15"/>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cause us to pay monetary damages, be sanctioned or limited in our operations, and expend significant resources to defend against those claims.</w:t>
      </w:r>
    </w:p>
    <w:p>
      <w:pPr>
        <w:spacing w:after="0" w:line="37" w:lineRule="exact"/>
        <w:rPr>
          <w:sz w:val="20"/>
          <w:szCs w:val="20"/>
          <w:color w:val="auto"/>
        </w:rPr>
      </w:pPr>
    </w:p>
    <w:p>
      <w:pPr>
        <w:ind w:firstLine="397"/>
        <w:spacing w:after="0" w:line="285" w:lineRule="auto"/>
        <w:rPr>
          <w:sz w:val="20"/>
          <w:szCs w:val="20"/>
          <w:color w:val="auto"/>
        </w:rPr>
      </w:pPr>
      <w:r>
        <w:rPr>
          <w:rFonts w:ascii="Arial" w:cs="Arial" w:eastAsia="Arial" w:hAnsi="Arial"/>
          <w:sz w:val="16"/>
          <w:szCs w:val="16"/>
          <w:color w:val="auto"/>
        </w:rPr>
        <w:t xml:space="preserve">Because we operate in a highly regulated industry, we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As we grow larger, this scrutiny of our business may increase.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In this regard, we are currently subject to an investigation by the Department of Education’s Office of Inspector General, which is focused on the manner in which we have compensated our enrollment counselors and managers, and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brought by a former employee alleging violations in the same area. See “Risk Factors — The Office of Inspector General of the Department of Education has commenced an investigation of Grand Canyon University, which is ongoing and which may result in fines, penalties, other sanctions, and damage to our reputation in the industry,” “Risk Factors —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and “Regulation — Regulation of Federal Student Financial Aid Programs — Incentive compensation rule.”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86"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A decline in the overall growth of enrollment in postsecondary institutions, or in the number of students seeking degrees online or in our core disciplines, could cause us to experience lower enrollment at our schools, which could negatively impact our future growth.</w:t>
      </w:r>
    </w:p>
    <w:p>
      <w:pPr>
        <w:spacing w:after="0" w:line="87" w:lineRule="exact"/>
        <w:rPr>
          <w:sz w:val="20"/>
          <w:szCs w:val="20"/>
          <w:color w:val="auto"/>
        </w:rPr>
      </w:pPr>
    </w:p>
    <w:p>
      <w:pPr>
        <w:ind w:right="220" w:firstLine="397"/>
        <w:spacing w:after="0" w:line="277" w:lineRule="auto"/>
        <w:rPr>
          <w:sz w:val="20"/>
          <w:szCs w:val="20"/>
          <w:color w:val="auto"/>
        </w:rPr>
      </w:pPr>
      <w:r>
        <w:rPr>
          <w:rFonts w:ascii="Arial" w:cs="Arial" w:eastAsia="Arial" w:hAnsi="Arial"/>
          <w:sz w:val="18"/>
          <w:szCs w:val="18"/>
          <w:color w:val="auto"/>
        </w:rPr>
        <w:t>According to a March 2009 report from the NCES, enrollment in degree-granting, postsecondary institutions is projected to grow 10.0% over the ten-year period ending fall 2017 to approximately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14" w:name="page15"/>
    <w:bookmarkEnd w:id="14"/>
    <w:p>
      <w:pPr>
        <w:spacing w:after="0" w:line="268" w:lineRule="auto"/>
        <w:rPr>
          <w:sz w:val="20"/>
          <w:szCs w:val="20"/>
          <w:color w:val="auto"/>
        </w:rPr>
      </w:pPr>
      <w:r>
        <w:rPr>
          <w:rFonts w:ascii="Arial" w:cs="Arial" w:eastAsia="Arial" w:hAnsi="Arial"/>
          <w:sz w:val="17"/>
          <w:szCs w:val="17"/>
          <w:color w:val="auto"/>
        </w:rPr>
        <w:t>20.1 million. This growth is slower than the 25.8% increase reported in the prior ten-year period ended in fall 2007, when enrollment increased from 14.5 million in 1997 to 18.2 million in 2007. Similarly, a 2008 study by Eduventures, LLC, projects a compound annual growth rate of 12.5% in online postsecondary education enrollment over the five-year period ending fall 2013, which represents an aggregate increase in online enrollment of 1.5 million. This growth is slower than the 25.3% compound annual growth rate in the prior five-year period ending fall 2008, which represented an aggregate increase in online enrollment of 1.3 million. In addition, according to a March 2008 report from the Western Interstate Commission for Higher Education, the number of high school graduates that are eligible to enroll in degree-granting, postsecondary institutions is expected to peak at approximately 3.3 million for the class of 2008, falling in the period between 2007-08 and 2013-14 by about 150,000 in total before resuming a growth pattern for the foreseeable future thereafter.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fewer students may seek the types of degrees that we offer. Our failure to attract new students, or the decisions by prospective students to seek degrees in other disciplines, would have an adverse impact on our future growth.</w:t>
      </w:r>
    </w:p>
    <w:p>
      <w:pPr>
        <w:spacing w:after="0" w:line="20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auto"/>
        </w:rPr>
        <w:t>If our students were unable to obtain private loans from third-party lenders, our business could be adversely affected given our students’ reliance on such loans to satisfy their educational expenses.</w:t>
      </w:r>
    </w:p>
    <w:p>
      <w:pPr>
        <w:spacing w:after="0" w:line="76" w:lineRule="exact"/>
        <w:rPr>
          <w:sz w:val="20"/>
          <w:szCs w:val="20"/>
          <w:color w:val="auto"/>
        </w:rPr>
      </w:pPr>
    </w:p>
    <w:p>
      <w:pPr>
        <w:ind w:right="20" w:firstLine="397"/>
        <w:spacing w:after="0" w:line="286" w:lineRule="auto"/>
        <w:rPr>
          <w:sz w:val="20"/>
          <w:szCs w:val="20"/>
          <w:color w:val="auto"/>
        </w:rPr>
      </w:pPr>
      <w:r>
        <w:rPr>
          <w:rFonts w:ascii="Arial" w:cs="Arial" w:eastAsia="Arial" w:hAnsi="Arial"/>
          <w:sz w:val="16"/>
          <w:szCs w:val="16"/>
          <w:color w:val="auto"/>
        </w:rPr>
        <w:t>During the fiscal year ended December 31, 2008, private loans to students at our school represented approximately 2.9% of our revenue (calculated on a cash basis) as compared to 5.1% of revenue in fiscal 2007. These loans were provided pursuant to private loan programs and were made available to eligible students to fund a portion of the students’ costs of education not covered by the Title IV programs and state financial aid sources. Private loans are made to our students by lending institutions and are non-recourse to us. The 2008 reauthorization of the Higher Education Act and related proposed and final regulations place significant new restrictions on the relationships between institutions and the providers of private loans, and require that certain specific terms and disclosures accompany such loans. This increased regulatory burden, coupled with recent adverse market conditions for consumer and federally guaranteed student loans (including lenders’ difficulties in reselling or syndicating student loan portfolios) have resulted, and could continue to result, in providers of private loans reducing the availability of or increasing the costs associated with providing private loans to postsecondary students. In particular, loans to students with low credit scores who would not otherwise be eligible for credit-based private loans have become increasingly difficult to obtain. Prospective students may find that these increased financing costs make borrowing prohibitively expensive and abandon or delay enrollment in postsecondary education programs. If any of these scenarios were to occur, our students’ ability to finance their education could be adversely affected and our student population could decrease, which could have a material adverse effect on our business, prospects, financial condition, and results of operations.</w:t>
      </w:r>
    </w:p>
    <w:p>
      <w:pPr>
        <w:spacing w:after="0" w:line="185"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We are subject to sanctions if we pay impermissible commissions, bonuses, or other incentive payments to persons involved in certain recruiting, admissions, or financial aid activities.</w:t>
      </w:r>
    </w:p>
    <w:p>
      <w:pPr>
        <w:spacing w:after="0" w:line="76" w:lineRule="exact"/>
        <w:rPr>
          <w:sz w:val="20"/>
          <w:szCs w:val="20"/>
          <w:color w:val="auto"/>
        </w:rPr>
      </w:pPr>
    </w:p>
    <w:p>
      <w:pPr>
        <w:ind w:right="40" w:firstLine="397"/>
        <w:spacing w:after="0" w:line="253" w:lineRule="auto"/>
        <w:rPr>
          <w:sz w:val="20"/>
          <w:szCs w:val="20"/>
          <w:color w:val="auto"/>
        </w:rPr>
      </w:pPr>
      <w:r>
        <w:rPr>
          <w:rFonts w:ascii="Arial" w:cs="Arial" w:eastAsia="Arial" w:hAnsi="Arial"/>
          <w:sz w:val="18"/>
          <w:szCs w:val="18"/>
          <w:color w:val="auto"/>
        </w:rPr>
        <w:t>A school participating in the Title IV programs may not provide, or contract with a third party that provides, any commission, bonus, or other incentive payment based on success in enrolling students or securing financial aid to any person involved in student recruiting or admission activities or in making decisions regarding the awarding of Title IV program funds.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In addition, such safe harbors do not address non-cash awards to enrollment personnel.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5" w:right="1079" w:bottom="1440" w:gutter="0" w:footer="0" w:header="0"/>
        </w:sectPr>
      </w:pPr>
    </w:p>
    <w:bookmarkStart w:id="15" w:name="page16"/>
    <w:bookmarkEnd w:id="15"/>
    <w:p>
      <w:pPr>
        <w:ind w:firstLine="397"/>
        <w:spacing w:after="0" w:line="285" w:lineRule="auto"/>
        <w:rPr>
          <w:sz w:val="20"/>
          <w:szCs w:val="20"/>
          <w:color w:val="auto"/>
        </w:rPr>
      </w:pPr>
      <w:r>
        <w:rPr>
          <w:rFonts w:ascii="Arial" w:cs="Arial" w:eastAsia="Arial" w:hAnsi="Arial"/>
          <w:sz w:val="16"/>
          <w:szCs w:val="16"/>
          <w:color w:val="auto"/>
        </w:rPr>
        <w:t xml:space="preserve">As described in “Risk Factors — The Office of Inspector General of the Department of Education has commenced an investigation of Grand Canyon University, which is ongoing and which may result in fines, penalties, other sanctions, and damage to our reputation in the industry,” and in “Regulation — Regulation of Federal Student Financial Aid Programs — Incentive compensation rule,” we are currently subject to an investigation by the Department of Education’s Office of Inspector General, which is focused on the manner in which we have compensated our enrollment counselors and managers. In addition, in recent years several for-profit education companies, including us, have been faced with whistleblower lawsuits,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cases, by current or former employees alleging violations of this prohibition. See “Risk Factors — A qui tam lawsuit has been filed against us alleging, among other things, that we have improperly compensated certain of our enrollment counselors, and we may incur liability, be subject to sanctions, or experience damage to our reputation as a result of this lawsuit.”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If the Department of Education determines as a result of the pending investigation that we have violated this law, if we are found to be liable in the pending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or if we or any third parties we have engaged otherwise violate this law, we could be fined or sanctioned by the Department of Education, or subjected to other monetary liability or penalties that could be substantial, any of which could harm our reputation, impose significant costs on us, and have a material adverse effect on our business, prospects, financial condition, and results of operations.</w:t>
      </w:r>
    </w:p>
    <w:p>
      <w:pPr>
        <w:spacing w:after="0" w:line="189"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b w:val="1"/>
          <w:bCs w:val="1"/>
          <w:i w:val="1"/>
          <w:iCs w:val="1"/>
          <w:color w:val="auto"/>
        </w:rPr>
        <w:t>Our reputation and our stock price may be negatively affected by adverse publicity or by the actions of other postsecondary educational institutions.</w:t>
      </w:r>
    </w:p>
    <w:p>
      <w:pPr>
        <w:spacing w:after="0" w:line="76" w:lineRule="exact"/>
        <w:rPr>
          <w:sz w:val="20"/>
          <w:szCs w:val="20"/>
          <w:color w:val="auto"/>
        </w:rPr>
      </w:pPr>
    </w:p>
    <w:p>
      <w:pPr>
        <w:ind w:right="100" w:firstLine="397"/>
        <w:spacing w:after="0" w:line="288" w:lineRule="auto"/>
        <w:rPr>
          <w:sz w:val="20"/>
          <w:szCs w:val="20"/>
          <w:color w:val="auto"/>
        </w:rPr>
      </w:pPr>
      <w:r>
        <w:rPr>
          <w:rFonts w:ascii="Arial" w:cs="Arial" w:eastAsia="Arial" w:hAnsi="Arial"/>
          <w:sz w:val="16"/>
          <w:szCs w:val="16"/>
          <w:color w:val="auto"/>
        </w:rPr>
        <w:t>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183"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If the percentage of our revenue that is derived from the Title IV programs is too high, we may lose our eligibility to participate in those programs.</w:t>
      </w:r>
    </w:p>
    <w:p>
      <w:pPr>
        <w:spacing w:after="0" w:line="76" w:lineRule="exact"/>
        <w:rPr>
          <w:sz w:val="20"/>
          <w:szCs w:val="20"/>
          <w:color w:val="auto"/>
        </w:rPr>
      </w:pPr>
    </w:p>
    <w:p>
      <w:pPr>
        <w:ind w:right="160" w:firstLine="397"/>
        <w:spacing w:after="0" w:line="269" w:lineRule="auto"/>
        <w:rPr>
          <w:sz w:val="20"/>
          <w:szCs w:val="20"/>
          <w:color w:val="auto"/>
        </w:rPr>
      </w:pPr>
      <w:r>
        <w:rPr>
          <w:rFonts w:ascii="Arial" w:cs="Arial" w:eastAsia="Arial" w:hAnsi="Arial"/>
          <w:sz w:val="17"/>
          <w:szCs w:val="17"/>
          <w:color w:val="auto"/>
        </w:rPr>
        <w:t>A for-profit institution loses its eligibility to participate in the Title IV programs if, under a formula that requires cash basis accounting and other adjustments to the calculation of revenue, it derives more than 90% of its revenues from those programs in two consecutive fiscal years. The period of ineligibility covers at least the next two succeeding fiscal years and any Title IV funds already received by the institution and its students during the period of ineligibility would have to be returned to the applicable lender or the Department of Education. An institution whose rate exceeds 90% for any single year will be placed on provisional certification for at least two fiscal years. The August 2008 reauthorization of the Higher Education Act made significant changes to this revenue requirement, including certain changes to the formula used to calculate a school’s ratio. Using the Department of Education’s formula that was in effect prior to the August 2008 reauthorization of the Higher Education Act, we have calculated that, for our 2007 and 2008 fiscal years, we derived approximately 74.0% and 78.6%, respectively, of our revenue from the Title IV programs. We are currently assessing what impact, if any, the revised formula and other changes in federal law will have on our 90/10 calculation. As a result of recent changes in federal law that increased Title IV grant and loan limits, as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16" w:name="page17"/>
    <w:bookmarkEnd w:id="16"/>
    <w:p>
      <w:pPr>
        <w:spacing w:after="0" w:line="257" w:lineRule="auto"/>
        <w:rPr>
          <w:sz w:val="20"/>
          <w:szCs w:val="20"/>
          <w:color w:val="auto"/>
        </w:rPr>
      </w:pPr>
      <w:r>
        <w:rPr>
          <w:rFonts w:ascii="Arial" w:cs="Arial" w:eastAsia="Arial" w:hAnsi="Arial"/>
          <w:sz w:val="18"/>
          <w:szCs w:val="18"/>
          <w:color w:val="auto"/>
        </w:rPr>
        <w:t>well as the current economic downturn, which has adversely affected the employment circumstances of our students and their parents and increased their reliance on Title IV programs, we expect the percentage of our revenue that we receive from the Title IV programs to continue to increase in the future, making it more difficult for us to satisfy this requirement. Exceeding the 90% threshold such that we lost our eligibility to participate in the Title IV programs would have a material adverse effect on our business, prospects, financial condition, and results of operations.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lose our eligibility to participate in the Title IV programs if our student loan default rates are too high.</w:t>
      </w:r>
    </w:p>
    <w:p>
      <w:pPr>
        <w:spacing w:after="0" w:line="131" w:lineRule="exact"/>
        <w:rPr>
          <w:sz w:val="20"/>
          <w:szCs w:val="20"/>
          <w:color w:val="auto"/>
        </w:rPr>
      </w:pPr>
    </w:p>
    <w:p>
      <w:pPr>
        <w:ind w:right="20" w:firstLine="397"/>
        <w:spacing w:after="0" w:line="267" w:lineRule="auto"/>
        <w:rPr>
          <w:sz w:val="20"/>
          <w:szCs w:val="20"/>
          <w:color w:val="auto"/>
        </w:rPr>
      </w:pPr>
      <w:r>
        <w:rPr>
          <w:rFonts w:ascii="Arial" w:cs="Arial" w:eastAsia="Arial" w:hAnsi="Arial"/>
          <w:sz w:val="17"/>
          <w:szCs w:val="17"/>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August 2008 reauthorization of the Higher Education Act extends by one year the period for which students’ defaults on their loans will be included in the calculation of an institution’s default rate, a change that is expected to increase our cohort default rates. The new law also increases the threshold for an institution to lose its eligibility to participate in the relevant Title IV programs from 25% to 30% over three consecutive years, while leaving the threshold at 40% for a single year. These changes to the law take effect for institutions’ cohort default rates for federal fiscal year 2009, which are expected to be calculated and issued by the Department of Education in 2012. While our cohort default rates have historically been significantly below these levels, we cannot assure you that this will continue to be the case. For example, we expect our cohort default rate for the 2008 federal fiscal year to increase (but remain well below the Department of Education’s thresholds) due primarily to the impact of current economic conditions on our students and former students. In addition, increases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206"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auto"/>
        </w:rPr>
        <w:t>We are subject to sanctions if we fail to correctly calculate and timely return Title IV program funds for students who withdraw before completing their educational program.</w:t>
      </w:r>
    </w:p>
    <w:p>
      <w:pPr>
        <w:spacing w:after="0" w:line="76" w:lineRule="exact"/>
        <w:rPr>
          <w:sz w:val="20"/>
          <w:szCs w:val="20"/>
          <w:color w:val="auto"/>
        </w:rPr>
      </w:pPr>
    </w:p>
    <w:p>
      <w:pPr>
        <w:ind w:right="20" w:firstLine="397"/>
        <w:spacing w:after="0" w:line="270" w:lineRule="auto"/>
        <w:rPr>
          <w:sz w:val="20"/>
          <w:szCs w:val="20"/>
          <w:color w:val="auto"/>
        </w:rPr>
      </w:pPr>
      <w:r>
        <w:rPr>
          <w:rFonts w:ascii="Arial" w:cs="Arial" w:eastAsia="Arial" w:hAnsi="Arial"/>
          <w:sz w:val="17"/>
          <w:szCs w:val="17"/>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funds that should have been returned for such students in the prior fiscal year, we may be liable for repayment of Title IV funds and related interest and we could be fined or otherwise sanctioned by the Department of Education, which could increase our cost of regulatory compliance and materially adversely affect us. Further, a failure to comply with these regulatory requirements could result in termination of our ability to participate in the Title IV programs, which would materially affect us.</w:t>
      </w:r>
    </w:p>
    <w:p>
      <w:pPr>
        <w:spacing w:after="0" w:line="195" w:lineRule="exact"/>
        <w:rPr>
          <w:sz w:val="20"/>
          <w:szCs w:val="20"/>
          <w:color w:val="auto"/>
        </w:rPr>
      </w:pPr>
    </w:p>
    <w:p>
      <w:pPr>
        <w:ind w:left="200" w:right="220"/>
        <w:spacing w:after="0" w:line="286" w:lineRule="auto"/>
        <w:rPr>
          <w:sz w:val="20"/>
          <w:szCs w:val="20"/>
          <w:color w:val="auto"/>
        </w:rPr>
      </w:pPr>
      <w:r>
        <w:rPr>
          <w:rFonts w:ascii="Arial" w:cs="Arial" w:eastAsia="Arial" w:hAnsi="Arial"/>
          <w:sz w:val="17"/>
          <w:szCs w:val="17"/>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71" w:lineRule="exact"/>
        <w:rPr>
          <w:sz w:val="20"/>
          <w:szCs w:val="20"/>
          <w:color w:val="auto"/>
        </w:rPr>
      </w:pPr>
    </w:p>
    <w:p>
      <w:pPr>
        <w:ind w:right="160" w:firstLine="397"/>
        <w:spacing w:after="0" w:line="277" w:lineRule="auto"/>
        <w:rPr>
          <w:sz w:val="20"/>
          <w:szCs w:val="20"/>
          <w:color w:val="auto"/>
        </w:rPr>
      </w:pPr>
      <w:r>
        <w:rPr>
          <w:rFonts w:ascii="Arial" w:cs="Arial" w:eastAsia="Arial" w:hAnsi="Arial"/>
          <w:sz w:val="18"/>
          <w:szCs w:val="18"/>
          <w:color w:val="auto"/>
        </w:rPr>
        <w:t>Our expansion efforts include offering new educational programs. In addition, we may increase our operations in additional states and seek to acquire existing schools from other companies. If we are unable to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17" w:name="page18"/>
    <w:bookmarkEnd w:id="17"/>
    <w:p>
      <w:pPr>
        <w:ind w:right="120"/>
        <w:spacing w:after="0" w:line="293" w:lineRule="auto"/>
        <w:rPr>
          <w:sz w:val="20"/>
          <w:szCs w:val="20"/>
          <w:color w:val="auto"/>
        </w:rPr>
      </w:pPr>
      <w:r>
        <w:rPr>
          <w:rFonts w:ascii="Arial" w:cs="Arial" w:eastAsia="Arial" w:hAnsi="Arial"/>
          <w:sz w:val="16"/>
          <w:szCs w:val="16"/>
          <w:color w:val="auto"/>
        </w:rPr>
        <w:t>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If we were to determine erroneously that any such action did not need approval or that we had all required approvals, we could be liable for repayment of the Title IV program funds provided to students in that program or at that 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success depends, in part, on the effectiveness of our marketing and advertising programs in recruiting new students.</w:t>
      </w:r>
    </w:p>
    <w:p>
      <w:pPr>
        <w:spacing w:after="0" w:line="154"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92" w:lineRule="exact"/>
        <w:rPr>
          <w:sz w:val="20"/>
          <w:szCs w:val="20"/>
          <w:color w:val="auto"/>
        </w:rPr>
      </w:pPr>
    </w:p>
    <w:p>
      <w:pPr>
        <w:ind w:left="1000" w:right="220" w:hanging="211"/>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reduced availability of, or higher interest rates and other costs associated with, Title IV loan funds or other sources of financial aid;</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more successful competitors;</w:t>
      </w:r>
    </w:p>
    <w:p>
      <w:pPr>
        <w:spacing w:after="0" w:line="117" w:lineRule="exact"/>
        <w:rPr>
          <w:rFonts w:ascii="Arial" w:cs="Arial" w:eastAsia="Arial" w:hAnsi="Arial"/>
          <w:sz w:val="18"/>
          <w:szCs w:val="18"/>
          <w:color w:val="auto"/>
        </w:rPr>
      </w:pPr>
    </w:p>
    <w:p>
      <w:pPr>
        <w:ind w:left="1000" w:right="380" w:hanging="211"/>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related to our marketing, including the costs and effectiveness of Internet advertising and broad-based branding campaigns and recruiting efforts;</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problems with our online systems;</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institutional and specialized accreditations;</w:t>
      </w:r>
    </w:p>
    <w:p>
      <w:pPr>
        <w:spacing w:after="0" w:line="117" w:lineRule="exact"/>
        <w:rPr>
          <w:rFonts w:ascii="Arial" w:cs="Arial" w:eastAsia="Arial" w:hAnsi="Arial"/>
          <w:sz w:val="18"/>
          <w:szCs w:val="18"/>
          <w:color w:val="auto"/>
        </w:rPr>
      </w:pPr>
    </w:p>
    <w:p>
      <w:pPr>
        <w:ind w:left="1000" w:right="780" w:hanging="211"/>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us which restrict schools’ initiation of new programs and modification of existing programs;</w:t>
      </w:r>
    </w:p>
    <w:p>
      <w:pPr>
        <w:spacing w:after="0" w:line="62" w:lineRule="exact"/>
        <w:rPr>
          <w:rFonts w:ascii="Arial" w:cs="Arial" w:eastAsia="Arial" w:hAnsi="Arial"/>
          <w:sz w:val="18"/>
          <w:szCs w:val="18"/>
          <w:color w:val="auto"/>
        </w:rPr>
      </w:pPr>
    </w:p>
    <w:p>
      <w:pPr>
        <w:ind w:left="1000" w:right="860" w:hanging="211"/>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us which restrict the ways schools can compensate their recruitment personnel;</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regulation of online education, including in states in which we do not have a physical presence;</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restrictions that may be imposed on graduates of online programs that seek certification or licensure in certain states;</w:t>
      </w:r>
    </w:p>
    <w:p>
      <w:pPr>
        <w:spacing w:after="0" w:line="128" w:lineRule="exact"/>
        <w:rPr>
          <w:rFonts w:ascii="Arial" w:cs="Arial" w:eastAsia="Arial" w:hAnsi="Arial"/>
          <w:sz w:val="17"/>
          <w:szCs w:val="17"/>
          <w:color w:val="auto"/>
        </w:rPr>
      </w:pPr>
    </w:p>
    <w:p>
      <w:pPr>
        <w:ind w:left="1000" w:hanging="211"/>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student dissatisfaction with our services and programs;</w:t>
      </w:r>
    </w:p>
    <w:p>
      <w:pPr>
        <w:spacing w:after="0" w:line="117" w:lineRule="exact"/>
        <w:rPr>
          <w:rFonts w:ascii="Arial" w:cs="Arial" w:eastAsia="Arial" w:hAnsi="Arial"/>
          <w:sz w:val="18"/>
          <w:szCs w:val="18"/>
          <w:color w:val="auto"/>
        </w:rPr>
      </w:pPr>
    </w:p>
    <w:p>
      <w:pPr>
        <w:ind w:left="1000" w:right="40" w:hanging="211"/>
        <w:spacing w:after="0" w:line="264"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results of the ongoing investigation by the Department of Education’s Office of Inspector General and the pending </w:t>
      </w:r>
      <w:r>
        <w:rPr>
          <w:rFonts w:ascii="Arial" w:cs="Arial" w:eastAsia="Arial" w:hAnsi="Arial"/>
          <w:sz w:val="18"/>
          <w:szCs w:val="18"/>
          <w:i w:val="1"/>
          <w:iCs w:val="1"/>
          <w:color w:val="auto"/>
        </w:rPr>
        <w:t>qui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tam </w:t>
      </w:r>
      <w:r>
        <w:rPr>
          <w:rFonts w:ascii="Arial" w:cs="Arial" w:eastAsia="Arial" w:hAnsi="Arial"/>
          <w:sz w:val="18"/>
          <w:szCs w:val="18"/>
          <w:color w:val="auto"/>
        </w:rPr>
        <w:t>action regarding the manner in which we have compensated our enrollment personnel, and possible remedial actions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liability resulting therefrom;</w:t>
      </w:r>
    </w:p>
    <w:p>
      <w:pPr>
        <w:spacing w:after="0" w:line="73" w:lineRule="exact"/>
        <w:rPr>
          <w:rFonts w:ascii="Arial" w:cs="Arial" w:eastAsia="Arial" w:hAnsi="Arial"/>
          <w:sz w:val="18"/>
          <w:szCs w:val="18"/>
          <w:color w:val="auto"/>
        </w:rPr>
      </w:pPr>
    </w:p>
    <w:p>
      <w:pPr>
        <w:ind w:left="1000" w:right="60" w:hanging="211"/>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38" w:lineRule="exact"/>
        <w:rPr>
          <w:rFonts w:ascii="Arial" w:cs="Arial" w:eastAsia="Arial" w:hAnsi="Arial"/>
          <w:sz w:val="17"/>
          <w:szCs w:val="17"/>
          <w:color w:val="auto"/>
        </w:rPr>
      </w:pPr>
    </w:p>
    <w:p>
      <w:pPr>
        <w:ind w:left="1000" w:hanging="211"/>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reductions by competitors that we are unwilling or unable to match;</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the acceptance of online education;</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 and</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in the perceived or actual economic benefits that students derive from our programs.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18" w:name="page19"/>
    <w:bookmarkEnd w:id="18"/>
    <w:p>
      <w:pPr>
        <w:jc w:val="both"/>
        <w:ind w:right="260" w:firstLine="397"/>
        <w:spacing w:after="0" w:line="264" w:lineRule="auto"/>
        <w:rPr>
          <w:sz w:val="20"/>
          <w:szCs w:val="20"/>
          <w:color w:val="auto"/>
        </w:rPr>
      </w:pPr>
      <w:r>
        <w:rPr>
          <w:rFonts w:ascii="Arial" w:cs="Arial" w:eastAsia="Arial" w:hAnsi="Arial"/>
          <w:sz w:val="18"/>
          <w:szCs w:val="18"/>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19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If we are unable to hire and train new and existing employees responsible for student recruitment, the effectiveness of our student recruiting efforts would be adversely affected.</w:t>
      </w:r>
    </w:p>
    <w:p>
      <w:pPr>
        <w:spacing w:after="0" w:line="76" w:lineRule="exact"/>
        <w:rPr>
          <w:sz w:val="20"/>
          <w:szCs w:val="20"/>
          <w:color w:val="auto"/>
        </w:rPr>
      </w:pPr>
    </w:p>
    <w:p>
      <w:pPr>
        <w:ind w:right="120" w:firstLine="397"/>
        <w:spacing w:after="0" w:line="272" w:lineRule="auto"/>
        <w:rPr>
          <w:sz w:val="20"/>
          <w:szCs w:val="20"/>
          <w:color w:val="auto"/>
        </w:rPr>
      </w:pPr>
      <w:r>
        <w:rPr>
          <w:rFonts w:ascii="Arial" w:cs="Arial" w:eastAsia="Arial" w:hAnsi="Arial"/>
          <w:sz w:val="17"/>
          <w:szCs w:val="17"/>
          <w:color w:val="auto"/>
        </w:rPr>
        <w:t>In order to support our planned revenue growth we intend to hire, develop, and train a significant number of additional employees responsible for student recruitment and retain and continue to develop and train our current student recruitment personnel. Our ability to develop and maintain a strong student recruiting function may be affected by a number of factors, including our ability to integrate and motivate our enrollment counselors, our ability to effectively train our enrollment counselors, the length of time it takes new enrollment counselors to become productive, regulatory restrictions on the method of compensating enrollment counselors, and the competition in hiring and retaining enrollment counselors. If we are unable to hire, develop, and retain a sufficient number of qualified enrollment counselors, our ability to increase enrollments would be adversely affected.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operate in a highly competitive industry, and competitors with greater resources could harm our business.</w:t>
      </w:r>
    </w:p>
    <w:p>
      <w:pPr>
        <w:spacing w:after="0" w:line="131" w:lineRule="exact"/>
        <w:rPr>
          <w:sz w:val="20"/>
          <w:szCs w:val="20"/>
          <w:color w:val="auto"/>
        </w:rPr>
      </w:pPr>
    </w:p>
    <w:p>
      <w:pPr>
        <w:ind w:right="60" w:firstLine="397"/>
        <w:spacing w:after="0" w:line="286" w:lineRule="auto"/>
        <w:rPr>
          <w:sz w:val="20"/>
          <w:szCs w:val="20"/>
          <w:color w:val="auto"/>
        </w:rPr>
      </w:pPr>
      <w:r>
        <w:rPr>
          <w:rFonts w:ascii="Arial" w:cs="Arial" w:eastAsia="Arial" w:hAnsi="Arial"/>
          <w:sz w:val="16"/>
          <w:szCs w:val="16"/>
          <w:color w:val="auto"/>
        </w:rPr>
        <w:t>The postsecondary education market is highly fragmented and competitive. We compete for students with traditional public and private two-year and four-year colleges and universities and other for-profit schools, including those that offer online learning programs. Many public and private schools, colleges, and universities, including most major colleges and universities, offer online programs. We expect to experience additional competition in the future as more colleges, universities, and for-profit schools offer an increasing number of online programs. Each of these competitors may develop platforms or other technologies, including technologies such as streaming video, that allow for greater levels of interactivity between faculty and students and that are superior to the platform and technology we use, and these differences may affect our ability to recruit and retain students.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can offer substantially lower tuition prices. Some of our competitors in both the public and private sectors also have substantially greater financial and other resources than we do. We may not be able to compete successfully against current or future competitors, including with respect to our ability to acquire or compete with technologies being developed by our competitors, and may face competitive pressures that could adversely affect our business, prospects, financial condition, and results of operations. These competitive factors could cause our enrollments, revenues, and profitability to significantly decrease and could render our online delivery format less competitive or obsolete.</w:t>
      </w:r>
    </w:p>
    <w:p>
      <w:pPr>
        <w:spacing w:after="0" w:line="182"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Capacity constraints, system disruptions, or security breaches in our online computer networks could have a material adverse effect on our ability to attract and retain students.</w:t>
      </w:r>
    </w:p>
    <w:p>
      <w:pPr>
        <w:spacing w:after="0" w:line="76" w:lineRule="exact"/>
        <w:rPr>
          <w:sz w:val="20"/>
          <w:szCs w:val="20"/>
          <w:color w:val="auto"/>
        </w:rPr>
      </w:pPr>
    </w:p>
    <w:p>
      <w:pPr>
        <w:ind w:firstLine="397"/>
        <w:spacing w:after="0" w:line="289" w:lineRule="auto"/>
        <w:rPr>
          <w:sz w:val="20"/>
          <w:szCs w:val="20"/>
          <w:color w:val="auto"/>
        </w:rPr>
      </w:pPr>
      <w:r>
        <w:rPr>
          <w:rFonts w:ascii="Arial" w:cs="Arial" w:eastAsia="Arial" w:hAnsi="Arial"/>
          <w:sz w:val="16"/>
          <w:szCs w:val="16"/>
          <w:color w:val="auto"/>
        </w:rPr>
        <w:t>The performance and reliability of the infrastructure of our online operations are critical to our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whether as a result of third-party actions or in connection with planned upgrades and conversions,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and other security problems. A user who circumvents security measures could misappropriate proprietary information or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19" w:name="page20"/>
    <w:bookmarkEnd w:id="19"/>
    <w:p>
      <w:pPr>
        <w:ind w:right="20"/>
        <w:spacing w:after="0" w:line="312" w:lineRule="auto"/>
        <w:rPr>
          <w:sz w:val="20"/>
          <w:szCs w:val="20"/>
          <w:color w:val="auto"/>
        </w:rPr>
      </w:pPr>
      <w:r>
        <w:rPr>
          <w:rFonts w:ascii="Arial" w:cs="Arial" w:eastAsia="Arial" w:hAnsi="Arial"/>
          <w:sz w:val="16"/>
          <w:szCs w:val="16"/>
          <w:color w:val="auto"/>
        </w:rPr>
        <w:t>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60"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b w:val="1"/>
          <w:bCs w:val="1"/>
          <w:i w:val="1"/>
          <w:iCs w:val="1"/>
          <w:color w:val="auto"/>
        </w:rPr>
        <w:t>The implementation of our new back office systems could impact our ability to timely and accurately admit students to the university and register them for classes, bill students, certify and disburse financial aid, prepare financial reports, or impact the effectiveness of our internal controls over financial reporting.</w:t>
      </w:r>
    </w:p>
    <w:p>
      <w:pPr>
        <w:spacing w:after="0" w:line="87" w:lineRule="exact"/>
        <w:rPr>
          <w:sz w:val="20"/>
          <w:szCs w:val="20"/>
          <w:color w:val="auto"/>
        </w:rPr>
      </w:pPr>
    </w:p>
    <w:p>
      <w:pPr>
        <w:ind w:firstLine="397"/>
        <w:spacing w:after="0" w:line="286" w:lineRule="auto"/>
        <w:rPr>
          <w:sz w:val="20"/>
          <w:szCs w:val="20"/>
          <w:color w:val="auto"/>
        </w:rPr>
      </w:pPr>
      <w:r>
        <w:rPr>
          <w:rFonts w:ascii="Arial" w:cs="Arial" w:eastAsia="Arial" w:hAnsi="Arial"/>
          <w:sz w:val="16"/>
          <w:szCs w:val="16"/>
          <w:color w:val="auto"/>
        </w:rPr>
        <w:t>We plan to transition our online programs from a “term-based” financial aid system (where all students, including online students, begin programs and are eligible to receive financial aid at periodic start dates pursuant to a calendar-based term system) to a “borrower-based” financial aid system (where each student may begin a program and be eligible to receive financial aid at any time throughout the year). As part of this transition, we are converting our back office system from Datatel, Inc. to a series of programs developed by Campus Management Corp., including CampusVue and CampusPortal, and also implementing Microsoft’s Great Plains accounting system. These new systems are intended to allow us to manage our non-traditional online students with greater ease and flexibility by providing for rolling and flexible start dates. While we intend to maintain redundancies between our old and new systems for a period of time while we complete the conversions and ensure the that the new systems operate as intended, if we do not effectively transition our student and financial aid data to these systems or if these systems do not operate as intended, it could adversely impact the effectiveness of our internal controls over financial reporting, as well as our ability to timely and accurately admit students to the university and register them for classes, bill students, certify and disburse financial aid, and prepare financial reports. This may in turn affect our ability to comply with the Department of Education’s administrative capability standards, as discussed under “Risk Factors — 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185" w:lineRule="exact"/>
        <w:rPr>
          <w:sz w:val="20"/>
          <w:szCs w:val="20"/>
          <w:color w:val="auto"/>
        </w:rPr>
      </w:pPr>
    </w:p>
    <w:p>
      <w:pPr>
        <w:ind w:left="200" w:right="700"/>
        <w:spacing w:after="0" w:line="342" w:lineRule="auto"/>
        <w:rPr>
          <w:sz w:val="20"/>
          <w:szCs w:val="20"/>
          <w:color w:val="auto"/>
        </w:rPr>
      </w:pPr>
      <w:r>
        <w:rPr>
          <w:rFonts w:ascii="Arial" w:cs="Arial" w:eastAsia="Arial" w:hAnsi="Arial"/>
          <w:sz w:val="16"/>
          <w:szCs w:val="16"/>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29" w:lineRule="exact"/>
        <w:rPr>
          <w:sz w:val="20"/>
          <w:szCs w:val="20"/>
          <w:color w:val="auto"/>
        </w:rPr>
      </w:pPr>
    </w:p>
    <w:p>
      <w:pPr>
        <w:ind w:right="120" w:firstLine="397"/>
        <w:spacing w:after="0" w:line="270" w:lineRule="auto"/>
        <w:rPr>
          <w:sz w:val="20"/>
          <w:szCs w:val="20"/>
          <w:color w:val="auto"/>
        </w:rPr>
      </w:pPr>
      <w:r>
        <w:rPr>
          <w:rFonts w:ascii="Arial" w:cs="Arial" w:eastAsia="Arial" w:hAnsi="Arial"/>
          <w:sz w:val="17"/>
          <w:szCs w:val="17"/>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We developed many of our online programs based on our existing ground programs. In the future, we may develop programs solely, or initially, for online use, which may pose new challenges, including the need to develop course content without having an existing program on which such content can 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83" w:lineRule="exact"/>
        <w:rPr>
          <w:sz w:val="20"/>
          <w:szCs w:val="20"/>
          <w:color w:val="auto"/>
        </w:rPr>
      </w:pPr>
    </w:p>
    <w:p>
      <w:pPr>
        <w:ind w:firstLine="397"/>
        <w:spacing w:after="0" w:line="272" w:lineRule="auto"/>
        <w:rPr>
          <w:sz w:val="20"/>
          <w:szCs w:val="20"/>
          <w:color w:val="auto"/>
        </w:rPr>
      </w:pPr>
      <w:r>
        <w:rPr>
          <w:rFonts w:ascii="Arial" w:cs="Arial" w:eastAsia="Arial" w:hAnsi="Arial"/>
          <w:sz w:val="17"/>
          <w:szCs w:val="17"/>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our newly approved doctoral program in education,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20" w:name="page21"/>
    <w:bookmarkEnd w:id="20"/>
    <w:p>
      <w:pPr>
        <w:jc w:val="both"/>
        <w:ind w:right="100" w:firstLine="397"/>
        <w:spacing w:after="0" w:line="264" w:lineRule="auto"/>
        <w:rPr>
          <w:sz w:val="20"/>
          <w:szCs w:val="20"/>
          <w:color w:val="auto"/>
        </w:rPr>
      </w:pPr>
      <w:r>
        <w:rPr>
          <w:rFonts w:ascii="Arial" w:cs="Arial" w:eastAsia="Arial" w:hAnsi="Arial"/>
          <w:sz w:val="18"/>
          <w:szCs w:val="18"/>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failure to keep pace with changing market needs and technology could harm our ability to attract students.</w:t>
      </w:r>
    </w:p>
    <w:p>
      <w:pPr>
        <w:spacing w:after="0" w:line="131" w:lineRule="exact"/>
        <w:rPr>
          <w:sz w:val="20"/>
          <w:szCs w:val="20"/>
          <w:color w:val="auto"/>
        </w:rPr>
      </w:pPr>
    </w:p>
    <w:p>
      <w:pPr>
        <w:ind w:right="80" w:firstLine="397"/>
        <w:spacing w:after="0" w:line="288" w:lineRule="auto"/>
        <w:rPr>
          <w:sz w:val="20"/>
          <w:szCs w:val="20"/>
          <w:color w:val="auto"/>
        </w:rPr>
      </w:pPr>
      <w:r>
        <w:rPr>
          <w:rFonts w:ascii="Arial" w:cs="Arial" w:eastAsia="Arial" w:hAnsi="Arial"/>
          <w:sz w:val="16"/>
          <w:szCs w:val="16"/>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If we do not maintain existing, and develop additional, relationships with employers, our future growth may be impaired.</w:t>
      </w:r>
    </w:p>
    <w:p>
      <w:pPr>
        <w:spacing w:after="0" w:line="154" w:lineRule="exact"/>
        <w:rPr>
          <w:sz w:val="20"/>
          <w:szCs w:val="20"/>
          <w:color w:val="auto"/>
        </w:rPr>
      </w:pPr>
    </w:p>
    <w:p>
      <w:pPr>
        <w:ind w:right="80" w:firstLine="397"/>
        <w:spacing w:after="0" w:line="270" w:lineRule="auto"/>
        <w:rPr>
          <w:sz w:val="20"/>
          <w:szCs w:val="20"/>
          <w:color w:val="auto"/>
        </w:rPr>
      </w:pPr>
      <w:r>
        <w:rPr>
          <w:rFonts w:ascii="Arial" w:cs="Arial" w:eastAsia="Arial" w:hAnsi="Arial"/>
          <w:sz w:val="17"/>
          <w:szCs w:val="17"/>
          <w:color w:val="auto"/>
        </w:rPr>
        <w:t>We currently have relationships with large school districts and healthcare systems, primarily in Arizona, and also recently began seeking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As a result of economic conditions, a number of employers we work with have reduced the extent to which they reimburse their employees for participating in our programs. If we are unable to develop new relationships, or if our existing relationships deteriorate or end as a result of current or future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failure to effectively manage our growth could harm our business.</w:t>
      </w:r>
    </w:p>
    <w:p>
      <w:pPr>
        <w:spacing w:after="0" w:line="131"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Our business recently has experienced rapid growth. Growth and expansion of our operations may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unable to finance our expansion activities, and interest and other expenses may increase.</w:t>
      </w:r>
    </w:p>
    <w:p>
      <w:pPr>
        <w:spacing w:after="0" w:line="131" w:lineRule="exact"/>
        <w:rPr>
          <w:sz w:val="20"/>
          <w:szCs w:val="20"/>
          <w:color w:val="auto"/>
        </w:rPr>
      </w:pPr>
    </w:p>
    <w:p>
      <w:pPr>
        <w:ind w:right="60" w:firstLine="397"/>
        <w:spacing w:after="0" w:line="273" w:lineRule="auto"/>
        <w:rPr>
          <w:sz w:val="20"/>
          <w:szCs w:val="20"/>
          <w:color w:val="auto"/>
        </w:rPr>
      </w:pPr>
      <w:r>
        <w:rPr>
          <w:rFonts w:ascii="Arial" w:cs="Arial" w:eastAsia="Arial" w:hAnsi="Arial"/>
          <w:sz w:val="17"/>
          <w:szCs w:val="17"/>
          <w:color w:val="auto"/>
        </w:rPr>
        <w:t>We intend to expand the size and enhance the profile and reputation of our ground campus by, among other things, adding faculty and expanding upon and modernizing our campus infrastructure and technological capabilities over the next several years. These activities may require significant capital expenditures and may cause us to incur significant expenses, and there can be no guarantee that we will be able, or that it will be advantageous, to fund such expenditures or expenses with cash flow from operations. If we do not fund such activities with cash flow from operations, we will be required to finance such activities. Financing may take the form of, among other things, loans under a credit facility, sale-leaseback transactions, the issuance of</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5" w:right="1079" w:bottom="1440" w:gutter="0" w:footer="0" w:header="0"/>
        </w:sectPr>
      </w:pPr>
    </w:p>
    <w:bookmarkStart w:id="21" w:name="page22"/>
    <w:bookmarkEnd w:id="21"/>
    <w:p>
      <w:pPr>
        <w:ind w:right="140"/>
        <w:spacing w:after="0" w:line="264" w:lineRule="auto"/>
        <w:rPr>
          <w:sz w:val="20"/>
          <w:szCs w:val="20"/>
          <w:color w:val="auto"/>
        </w:rPr>
      </w:pPr>
      <w:r>
        <w:rPr>
          <w:rFonts w:ascii="Arial" w:cs="Arial" w:eastAsia="Arial" w:hAnsi="Arial"/>
          <w:sz w:val="18"/>
          <w:szCs w:val="18"/>
          <w:color w:val="auto"/>
        </w:rPr>
        <w:t>equity securities, or a combination of the foregoing. There can be no guarantee that any such financing will be available on terms acceptable to us, or at all. Furthermore, our loan agreement contains covenants that restrict our ability to incur debt, and there can be no guarantee that we will be able to secure the consent of our lender for any financing.</w:t>
      </w:r>
    </w:p>
    <w:p>
      <w:pPr>
        <w:spacing w:after="0" w:line="87"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color w:val="auto"/>
        </w:rPr>
        <w:t>If we obtain financing, we may incur increased interest or lease expenses, or other financing charges, that could have an adverse effect on our cash flow. In addition, any financing accomplished through the issuance of any additional equity securities could be dilutive to holders of our common stock. If we are unable to fund our expansion activities, our ability to implement our business plan will be adversely affected.</w:t>
      </w:r>
    </w:p>
    <w:p>
      <w:pPr>
        <w:spacing w:after="0" w:line="20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b w:val="1"/>
          <w:bCs w:val="1"/>
          <w:i w:val="1"/>
          <w:iCs w:val="1"/>
          <w:color w:val="auto"/>
        </w:rPr>
        <w:t>If we fail to maintain proper and effective disclosure controls and procedures and internal controls over financial reporting, our ability to produce accurate financial statements could be impaired, which could adversely affect our stock price, our ability to operate our business and investors’ views of us.</w:t>
      </w:r>
    </w:p>
    <w:p>
      <w:pPr>
        <w:spacing w:after="0" w:line="87" w:lineRule="exact"/>
        <w:rPr>
          <w:sz w:val="20"/>
          <w:szCs w:val="20"/>
          <w:color w:val="auto"/>
        </w:rPr>
      </w:pPr>
    </w:p>
    <w:p>
      <w:pPr>
        <w:ind w:firstLine="397"/>
        <w:spacing w:after="0" w:line="291" w:lineRule="auto"/>
        <w:rPr>
          <w:sz w:val="20"/>
          <w:szCs w:val="20"/>
          <w:color w:val="auto"/>
        </w:rPr>
      </w:pPr>
      <w:r>
        <w:rPr>
          <w:rFonts w:ascii="Arial" w:cs="Arial" w:eastAsia="Arial" w:hAnsi="Arial"/>
          <w:sz w:val="16"/>
          <w:szCs w:val="16"/>
          <w:color w:val="auto"/>
        </w:rPr>
        <w:t>Ensuring that we have adequate disclosure controls and procedures, including internal controls over financial reporting, in place so that we can produce accurate financial statements on a timely basis is a costly and time- consuming effort that needs to be re-evaluated frequently. We are continuing the process of documenting, reviewing and, if appropriate, improving our internal controls and procedures as we will eventually be subject to the requirements of Section 404 of the Sarbanes-Oxley Act of 2002, or the Sarbanes-Oxley Act, which will require annual management assessments of the effectiveness of our internal controls over financial reporting and a report by our independent auditors addressing these assessments. We will be required to comply with the internal controls evaluation and certification requirements of Section 404 of the Sarbanes-Oxley Act by no later than the end of our 2009 fiscal year.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success depends upon our ability to recruit and retain key personnel.</w:t>
      </w:r>
    </w:p>
    <w:p>
      <w:pPr>
        <w:spacing w:after="0" w:line="131" w:lineRule="exact"/>
        <w:rPr>
          <w:sz w:val="20"/>
          <w:szCs w:val="20"/>
          <w:color w:val="auto"/>
        </w:rPr>
      </w:pPr>
    </w:p>
    <w:p>
      <w:pPr>
        <w:ind w:right="140" w:firstLine="397"/>
        <w:spacing w:after="0" w:line="270" w:lineRule="auto"/>
        <w:rPr>
          <w:sz w:val="20"/>
          <w:szCs w:val="20"/>
          <w:color w:val="auto"/>
        </w:rPr>
      </w:pPr>
      <w:r>
        <w:rPr>
          <w:rFonts w:ascii="Arial" w:cs="Arial" w:eastAsia="Arial" w:hAnsi="Arial"/>
          <w:sz w:val="17"/>
          <w:szCs w:val="17"/>
          <w:color w:val="auto"/>
        </w:rPr>
        <w:t>Our success to date has largely depended on, and will continue to depend on, the skills, efforts, and motivation of our executive officers, who generally have significant experience with our company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9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87" w:lineRule="exact"/>
        <w:rPr>
          <w:sz w:val="20"/>
          <w:szCs w:val="20"/>
          <w:color w:val="auto"/>
        </w:rPr>
      </w:pPr>
    </w:p>
    <w:p>
      <w:pPr>
        <w:ind w:firstLine="397"/>
        <w:spacing w:after="0" w:line="288" w:lineRule="auto"/>
        <w:rPr>
          <w:sz w:val="20"/>
          <w:szCs w:val="20"/>
          <w:color w:val="auto"/>
        </w:rPr>
      </w:pPr>
      <w:r>
        <w:rPr>
          <w:rFonts w:ascii="Arial" w:cs="Arial" w:eastAsia="Arial" w:hAnsi="Arial"/>
          <w:sz w:val="16"/>
          <w:szCs w:val="16"/>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22" w:name="page23"/>
    <w:bookmarkEnd w:id="22"/>
    <w:p>
      <w:pPr>
        <w:ind w:right="100"/>
        <w:spacing w:after="0" w:line="264" w:lineRule="auto"/>
        <w:rPr>
          <w:sz w:val="20"/>
          <w:szCs w:val="20"/>
          <w:color w:val="auto"/>
        </w:rPr>
      </w:pPr>
      <w:r>
        <w:rPr>
          <w:rFonts w:ascii="Arial" w:cs="Arial" w:eastAsia="Arial" w:hAnsi="Arial"/>
          <w:sz w:val="18"/>
          <w:szCs w:val="18"/>
          <w:color w:val="auto"/>
        </w:rPr>
        <w:t>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87" w:lineRule="exact"/>
        <w:rPr>
          <w:sz w:val="20"/>
          <w:szCs w:val="20"/>
          <w:color w:val="auto"/>
        </w:rPr>
      </w:pPr>
    </w:p>
    <w:p>
      <w:pPr>
        <w:ind w:right="20" w:firstLine="397"/>
        <w:spacing w:after="0" w:line="255" w:lineRule="auto"/>
        <w:rPr>
          <w:sz w:val="20"/>
          <w:szCs w:val="20"/>
          <w:color w:val="auto"/>
        </w:rPr>
      </w:pPr>
      <w:r>
        <w:rPr>
          <w:rFonts w:ascii="Arial" w:cs="Arial" w:eastAsia="Arial" w:hAnsi="Arial"/>
          <w:sz w:val="18"/>
          <w:szCs w:val="18"/>
          <w:color w:val="auto"/>
        </w:rPr>
        <w:t>In particular, we license the right to utilize the name of Ken Blanchard in connection with our business school and Executive MBA programs and have spent significant resources in related branding efforts. Nevertheless, our license agreement with Blanchard Education, LLC has a fixed term and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95" w:lineRule="exact"/>
        <w:rPr>
          <w:sz w:val="20"/>
          <w:szCs w:val="20"/>
          <w:color w:val="auto"/>
        </w:rPr>
      </w:pPr>
    </w:p>
    <w:p>
      <w:pPr>
        <w:ind w:firstLine="397"/>
        <w:spacing w:after="0" w:line="272" w:lineRule="auto"/>
        <w:rPr>
          <w:sz w:val="20"/>
          <w:szCs w:val="20"/>
          <w:color w:val="auto"/>
        </w:rPr>
      </w:pPr>
      <w:r>
        <w:rPr>
          <w:rFonts w:ascii="Arial" w:cs="Arial" w:eastAsia="Arial" w:hAnsi="Arial"/>
          <w:sz w:val="17"/>
          <w:szCs w:val="17"/>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191" w:lineRule="exact"/>
        <w:rPr>
          <w:sz w:val="20"/>
          <w:szCs w:val="20"/>
          <w:color w:val="auto"/>
        </w:rPr>
      </w:pPr>
    </w:p>
    <w:p>
      <w:pPr>
        <w:ind w:left="200" w:right="340"/>
        <w:spacing w:after="0" w:line="381" w:lineRule="auto"/>
        <w:rPr>
          <w:sz w:val="20"/>
          <w:szCs w:val="20"/>
          <w:color w:val="auto"/>
        </w:rPr>
      </w:pPr>
      <w:r>
        <w:rPr>
          <w:rFonts w:ascii="Arial" w:cs="Arial" w:eastAsia="Arial" w:hAnsi="Arial"/>
          <w:sz w:val="15"/>
          <w:szCs w:val="15"/>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6" w:lineRule="exact"/>
        <w:rPr>
          <w:sz w:val="20"/>
          <w:szCs w:val="20"/>
          <w:color w:val="auto"/>
        </w:rPr>
      </w:pPr>
    </w:p>
    <w:p>
      <w:pPr>
        <w:ind w:right="40" w:firstLine="397"/>
        <w:spacing w:after="0" w:line="293" w:lineRule="auto"/>
        <w:rPr>
          <w:sz w:val="20"/>
          <w:szCs w:val="20"/>
          <w:color w:val="auto"/>
        </w:rPr>
      </w:pPr>
      <w:r>
        <w:rPr>
          <w:rFonts w:ascii="Arial" w:cs="Arial" w:eastAsia="Arial" w:hAnsi="Arial"/>
          <w:sz w:val="16"/>
          <w:szCs w:val="16"/>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70" w:lineRule="exact"/>
        <w:rPr>
          <w:sz w:val="20"/>
          <w:szCs w:val="20"/>
          <w:color w:val="auto"/>
        </w:rPr>
      </w:pPr>
    </w:p>
    <w:p>
      <w:pPr>
        <w:ind w:right="320" w:firstLine="397"/>
        <w:spacing w:after="0" w:line="279" w:lineRule="auto"/>
        <w:rPr>
          <w:sz w:val="20"/>
          <w:szCs w:val="20"/>
          <w:color w:val="auto"/>
        </w:rPr>
      </w:pPr>
      <w:r>
        <w:rPr>
          <w:rFonts w:ascii="Arial" w:cs="Arial" w:eastAsia="Arial" w:hAnsi="Arial"/>
          <w:sz w:val="17"/>
          <w:szCs w:val="17"/>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77" w:lineRule="exact"/>
        <w:rPr>
          <w:sz w:val="20"/>
          <w:szCs w:val="20"/>
          <w:color w:val="auto"/>
        </w:rPr>
      </w:pPr>
    </w:p>
    <w:p>
      <w:pPr>
        <w:ind w:right="20" w:firstLine="397"/>
        <w:spacing w:after="0" w:line="269" w:lineRule="auto"/>
        <w:rPr>
          <w:sz w:val="20"/>
          <w:szCs w:val="20"/>
          <w:color w:val="auto"/>
        </w:rPr>
      </w:pPr>
      <w:r>
        <w:rPr>
          <w:rFonts w:ascii="Arial" w:cs="Arial" w:eastAsia="Arial" w:hAnsi="Arial"/>
          <w:sz w:val="17"/>
          <w:szCs w:val="17"/>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Federal Trade Commission, or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A violation of any laws or regulations relating to the collection or use of personal information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23" w:name="page24"/>
    <w:bookmarkEnd w:id="23"/>
    <w:p>
      <w:pPr>
        <w:ind w:right="80"/>
        <w:spacing w:after="0" w:line="257" w:lineRule="auto"/>
        <w:rPr>
          <w:sz w:val="20"/>
          <w:szCs w:val="20"/>
          <w:color w:val="auto"/>
        </w:rPr>
      </w:pPr>
      <w:r>
        <w:rPr>
          <w:rFonts w:ascii="Arial" w:cs="Arial" w:eastAsia="Arial" w:hAnsi="Arial"/>
          <w:sz w:val="18"/>
          <w:szCs w:val="18"/>
          <w:color w:val="auto"/>
        </w:rPr>
        <w:t>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20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are incurring increased costs as a result of being a public company, and the requirements of being a public company may divert management attention from our business.</w:t>
      </w:r>
    </w:p>
    <w:p>
      <w:pPr>
        <w:spacing w:after="0" w:line="76" w:lineRule="exact"/>
        <w:rPr>
          <w:sz w:val="20"/>
          <w:szCs w:val="20"/>
          <w:color w:val="auto"/>
        </w:rPr>
      </w:pPr>
    </w:p>
    <w:p>
      <w:pPr>
        <w:ind w:right="40" w:firstLine="397"/>
        <w:spacing w:after="0" w:line="287" w:lineRule="auto"/>
        <w:rPr>
          <w:sz w:val="20"/>
          <w:szCs w:val="20"/>
          <w:color w:val="auto"/>
        </w:rPr>
      </w:pPr>
      <w:r>
        <w:rPr>
          <w:rFonts w:ascii="Arial" w:cs="Arial" w:eastAsia="Arial" w:hAnsi="Arial"/>
          <w:sz w:val="16"/>
          <w:szCs w:val="16"/>
          <w:color w:val="auto"/>
        </w:rPr>
        <w:t>We have operated as a public company since November 19, 2008. As a public company, we incur significant legal, accounting and other expenses that we did not incur as a private company. In addition, we are subject to a number of additional requirements, including the reporting requirements of the Securities Exchange Act of 1934, as amended, or the Exchange Act, the Sarbanes-Oxley Act, and the listing standards of Nasdaq. These requirements have caused us to incur increased costs and might place a strain on our systems and resources. The Exchange Act requires, among other things, that we file annual, quarterly, and current reports with respect to our business and financial condition. The Sarbanes-Oxley Act requires, among other things, that we maintain effective disclosure controls and procedures and internal control over financial reporting, and also requires that our internal controls be assessed by management and attested to by our auditors as of December 31 of each fiscal year commencing with our fiscal year ending December 31, 2009. In order to maintain and improve the effectiveness of our disclosure controls and procedures and internal control over financial reporting, significant resources and management oversight is required. As a result, our management’s attention might be diverted from other business concerns, which could have a material adverse effect on our business, prospects, financial condition, and results of operations.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At present we derive a significant portion of our revenues and operating income from our graduate programs.</w:t>
      </w:r>
    </w:p>
    <w:p>
      <w:pPr>
        <w:spacing w:after="0" w:line="131" w:lineRule="exact"/>
        <w:rPr>
          <w:sz w:val="20"/>
          <w:szCs w:val="20"/>
          <w:color w:val="auto"/>
        </w:rPr>
      </w:pPr>
    </w:p>
    <w:p>
      <w:pPr>
        <w:ind w:right="20" w:firstLine="397"/>
        <w:spacing w:after="0" w:line="276" w:lineRule="auto"/>
        <w:rPr>
          <w:sz w:val="20"/>
          <w:szCs w:val="20"/>
          <w:color w:val="auto"/>
        </w:rPr>
      </w:pPr>
      <w:r>
        <w:rPr>
          <w:rFonts w:ascii="Arial" w:cs="Arial" w:eastAsia="Arial" w:hAnsi="Arial"/>
          <w:sz w:val="17"/>
          <w:szCs w:val="17"/>
          <w:color w:val="auto"/>
        </w:rPr>
        <w:t>As of December 31, 2008, 52.9% of our students were graduate students, which includes master’s and doctoral students. This percentage has declined in recent periods, and we anticipate that this percentage will continue to decline over time, due to our recent growth emphasis in our undergraduate business and liberal arts programs. If we were to experience any event that adversely affected our graduate offerings or the attractiveness of our programs to prospective graduate students, our business, prospects, financial condition, and results of operations could be significantly and adversely affected.</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may incur liability for the unauthorized duplication or distribution of class materials posted online for class discussions.</w:t>
      </w:r>
    </w:p>
    <w:p>
      <w:pPr>
        <w:spacing w:after="0" w:line="154" w:lineRule="exact"/>
        <w:rPr>
          <w:sz w:val="20"/>
          <w:szCs w:val="20"/>
          <w:color w:val="auto"/>
        </w:rPr>
      </w:pPr>
    </w:p>
    <w:p>
      <w:pPr>
        <w:ind w:right="200" w:firstLine="397"/>
        <w:spacing w:after="0" w:line="297" w:lineRule="auto"/>
        <w:rPr>
          <w:sz w:val="20"/>
          <w:szCs w:val="20"/>
          <w:color w:val="auto"/>
        </w:rPr>
      </w:pPr>
      <w:r>
        <w:rPr>
          <w:rFonts w:ascii="Arial" w:cs="Arial" w:eastAsia="Arial" w:hAnsi="Arial"/>
          <w:sz w:val="16"/>
          <w:szCs w:val="16"/>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72"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b w:val="1"/>
          <w:bCs w:val="1"/>
          <w:i w:val="1"/>
          <w:iCs w:val="1"/>
          <w:color w:val="auto"/>
        </w:rPr>
        <w:t>The provider of third-party software for our online classroom has been acquired by a competitor, and we may have difficulty maintaining the software required for our online classroom or updating it for future technological changes, which could adversely affect our performance.</w:t>
      </w:r>
    </w:p>
    <w:p>
      <w:pPr>
        <w:spacing w:after="0" w:line="87" w:lineRule="exact"/>
        <w:rPr>
          <w:sz w:val="20"/>
          <w:szCs w:val="20"/>
          <w:color w:val="auto"/>
        </w:rPr>
      </w:pPr>
    </w:p>
    <w:p>
      <w:pPr>
        <w:ind w:right="20" w:firstLine="397"/>
        <w:spacing w:after="0" w:line="302" w:lineRule="auto"/>
        <w:rPr>
          <w:sz w:val="20"/>
          <w:szCs w:val="20"/>
          <w:color w:val="auto"/>
        </w:rPr>
      </w:pPr>
      <w:r>
        <w:rPr>
          <w:rFonts w:ascii="Arial" w:cs="Arial" w:eastAsia="Arial" w:hAnsi="Arial"/>
          <w:sz w:val="16"/>
          <w:szCs w:val="16"/>
          <w:color w:val="auto"/>
        </w:rPr>
        <w:t>Our online classroom employs the ANGEL Learning Management Suite pursuant to a license from ANGEL Learning, Inc. The ANGEL system is a web-based portal that stores, manages, and delivers course content; enables assignment uploading; provides interactive communication between students and faculty; and supplies online evaluation tools. In May 2009, ANGEL Learning, Inc. was acquired by Blackboard, Inc., a competitor in the provision of online educational software and tools. We now rely on Blackboard, Inc. for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24" w:name="page25"/>
    <w:bookmarkEnd w:id="24"/>
    <w:p>
      <w:pPr>
        <w:ind w:right="20"/>
        <w:spacing w:after="0" w:line="255" w:lineRule="auto"/>
        <w:rPr>
          <w:sz w:val="20"/>
          <w:szCs w:val="20"/>
          <w:color w:val="auto"/>
        </w:rPr>
      </w:pPr>
      <w:r>
        <w:rPr>
          <w:rFonts w:ascii="Arial" w:cs="Arial" w:eastAsia="Arial" w:hAnsi="Arial"/>
          <w:sz w:val="18"/>
          <w:szCs w:val="18"/>
          <w:color w:val="auto"/>
        </w:rPr>
        <w:t>administrative support of the ANGEL system and, if Blackboard, Inc. ceased to operate or was unable or unwilling to continue to provide us with services or upgrades on a timely basis, we may have difficulty maintaining the software required for our online classroom or updating it for future technological changes. We cannot predict what effect, if any, Blackboard, Inc.’s acquisition of ANGEL Learning, Inc. will have on our use of, or the support for or the efficacy of, the ANGEL Learning Management Suite. Any failure to maintain our online classroom would have an adverse impact on our operations, damage our reputation, and limit our ability to attract and retain students.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Seasonal and other fluctuations in our results of operations could adversely affect the trading price of our common stock.</w:t>
      </w:r>
    </w:p>
    <w:p>
      <w:pPr>
        <w:spacing w:after="0" w:line="154" w:lineRule="exact"/>
        <w:rPr>
          <w:sz w:val="20"/>
          <w:szCs w:val="20"/>
          <w:color w:val="auto"/>
        </w:rPr>
      </w:pPr>
    </w:p>
    <w:p>
      <w:pPr>
        <w:ind w:firstLine="397"/>
        <w:spacing w:after="0" w:line="254" w:lineRule="auto"/>
        <w:rPr>
          <w:sz w:val="20"/>
          <w:szCs w:val="20"/>
          <w:color w:val="auto"/>
        </w:rPr>
      </w:pPr>
      <w:r>
        <w:rPr>
          <w:rFonts w:ascii="Arial" w:cs="Arial" w:eastAsia="Arial" w:hAnsi="Arial"/>
          <w:sz w:val="18"/>
          <w:szCs w:val="18"/>
          <w:color w:val="auto"/>
        </w:rPr>
        <w:t>Our net revenue and operating results normally fluctuate as a result of seasonal variations in our business, principally due to changes in enrollment, and are typically lowest in our second fiscal quarter and highest in our fourth fiscal quarter. Accordingly, our results in any quarter may not indicate the results we may achieve in any subsequent quarter or for the full year. Student population varies as a result of new enrollments, graduations, and student attrition. A significant portion of our general and administrative expenses do not vary proportionately with fluctuations in revenues. We expect quarterly fluctuations in operating results to continue as a result of seasonal enrollment patterns. Such patterns may change, however, as a result of new program introductions, the timing of colloquia and events, and increased enrollments of students. These fluctuations may result in volatility or have an adverse effect on the market price of our common stock.</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loan agreement may restrict our operations and our ability to complete certain transactions.</w:t>
      </w:r>
    </w:p>
    <w:p>
      <w:pPr>
        <w:spacing w:after="0" w:line="131" w:lineRule="exact"/>
        <w:rPr>
          <w:sz w:val="20"/>
          <w:szCs w:val="20"/>
          <w:color w:val="auto"/>
        </w:rPr>
      </w:pPr>
    </w:p>
    <w:p>
      <w:pPr>
        <w:ind w:right="60" w:firstLine="397"/>
        <w:spacing w:after="0" w:line="342" w:lineRule="auto"/>
        <w:rPr>
          <w:sz w:val="20"/>
          <w:szCs w:val="20"/>
          <w:color w:val="auto"/>
        </w:rPr>
      </w:pPr>
      <w:r>
        <w:rPr>
          <w:rFonts w:ascii="Arial" w:cs="Arial" w:eastAsia="Arial" w:hAnsi="Arial"/>
          <w:sz w:val="16"/>
          <w:szCs w:val="16"/>
          <w:color w:val="auto"/>
        </w:rPr>
        <w:t>Our loan agreement, which we entered into in connection with the purchase of our campus in April 2009, imposes certain operating and financial restrictions on us. Without the consent of our lender, these restrictions generally limit our ability to, among other things:</w:t>
      </w:r>
    </w:p>
    <w:p>
      <w:pPr>
        <w:spacing w:after="0" w:line="29" w:lineRule="exact"/>
        <w:rPr>
          <w:sz w:val="20"/>
          <w:szCs w:val="20"/>
          <w:color w:val="auto"/>
        </w:rPr>
      </w:pPr>
    </w:p>
    <w:p>
      <w:pPr>
        <w:ind w:left="1000" w:hanging="211"/>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additional indebtedness or liens;</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sell, assign, lease, transfer or otherwise dispose of any part of our assets other than in the ordinary course of business;</w:t>
      </w:r>
    </w:p>
    <w:p>
      <w:pPr>
        <w:spacing w:after="0" w:line="140" w:lineRule="exact"/>
        <w:rPr>
          <w:rFonts w:ascii="Arial" w:cs="Arial" w:eastAsia="Arial" w:hAnsi="Arial"/>
          <w:sz w:val="16"/>
          <w:szCs w:val="16"/>
          <w:color w:val="auto"/>
        </w:rPr>
      </w:pPr>
    </w:p>
    <w:p>
      <w:pPr>
        <w:ind w:left="1000" w:hanging="211"/>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investments or capital contributions to any individual or entity;</w:t>
      </w:r>
    </w:p>
    <w:p>
      <w:pPr>
        <w:spacing w:after="0" w:line="117" w:lineRule="exact"/>
        <w:rPr>
          <w:rFonts w:ascii="Arial" w:cs="Arial" w:eastAsia="Arial" w:hAnsi="Arial"/>
          <w:sz w:val="18"/>
          <w:szCs w:val="18"/>
          <w:color w:val="auto"/>
        </w:rPr>
      </w:pPr>
    </w:p>
    <w:p>
      <w:pPr>
        <w:ind w:left="1000" w:right="540" w:hanging="211"/>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into any consolidation, merger, or other combination, or become a partner in a partnership, a member of a joint venture, or a member of a limited liability company;</w:t>
      </w:r>
    </w:p>
    <w:p>
      <w:pPr>
        <w:spacing w:after="0" w:line="62" w:lineRule="exact"/>
        <w:rPr>
          <w:rFonts w:ascii="Arial" w:cs="Arial" w:eastAsia="Arial" w:hAnsi="Arial"/>
          <w:sz w:val="18"/>
          <w:szCs w:val="18"/>
          <w:color w:val="auto"/>
        </w:rPr>
      </w:pPr>
    </w:p>
    <w:p>
      <w:pPr>
        <w:ind w:left="1000" w:right="320" w:hanging="211"/>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 or purchase a business or all or substantially all of the assets of a business in an aggregate amount exceeding an amount equal to 25% of our tangible net worth; and</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 in any business activities substantially different from our present business.</w:t>
      </w:r>
    </w:p>
    <w:p>
      <w:pPr>
        <w:spacing w:after="0" w:line="131" w:lineRule="exact"/>
        <w:rPr>
          <w:sz w:val="20"/>
          <w:szCs w:val="20"/>
          <w:color w:val="auto"/>
        </w:rPr>
      </w:pPr>
    </w:p>
    <w:p>
      <w:pPr>
        <w:ind w:firstLine="397"/>
        <w:spacing w:after="0" w:line="273" w:lineRule="auto"/>
        <w:rPr>
          <w:sz w:val="20"/>
          <w:szCs w:val="20"/>
          <w:color w:val="auto"/>
        </w:rPr>
      </w:pPr>
      <w:r>
        <w:rPr>
          <w:rFonts w:ascii="Arial" w:cs="Arial" w:eastAsia="Arial" w:hAnsi="Arial"/>
          <w:sz w:val="17"/>
          <w:szCs w:val="17"/>
          <w:color w:val="auto"/>
        </w:rPr>
        <w:t>In addition, the loan agreement requires us to maintain a maximum funded debt to adjusted EBITDA ratio, a minimum basic fixed charge coverage ratio and a minimum tangible net worth ratio, in each case as such terms are defined in the loan agreement.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in respect of the related indebtedness. If a default occurs, the affected lenders could elect to declare the indebtedness, together with accrued interest and other fees, to be immediately due and payable.</w:t>
      </w:r>
    </w:p>
    <w:p>
      <w:pPr>
        <w:spacing w:after="0" w:line="192"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Our current success and future growth depend on the continued acceptance of the Internet and the corresponding growth in users seeking educational services on the Internet.</w:t>
      </w:r>
    </w:p>
    <w:p>
      <w:pPr>
        <w:spacing w:after="0" w:line="76" w:lineRule="exact"/>
        <w:rPr>
          <w:sz w:val="20"/>
          <w:szCs w:val="20"/>
          <w:color w:val="auto"/>
        </w:rPr>
      </w:pPr>
    </w:p>
    <w:p>
      <w:pPr>
        <w:ind w:right="80" w:firstLine="397"/>
        <w:spacing w:after="0" w:line="277" w:lineRule="auto"/>
        <w:rPr>
          <w:sz w:val="20"/>
          <w:szCs w:val="20"/>
          <w:color w:val="auto"/>
        </w:rPr>
      </w:pPr>
      <w:r>
        <w:rPr>
          <w:rFonts w:ascii="Arial" w:cs="Arial" w:eastAsia="Arial" w:hAnsi="Arial"/>
          <w:sz w:val="18"/>
          <w:szCs w:val="18"/>
          <w:color w:val="auto"/>
        </w:rPr>
        <w:t>Our business relies in part on the Internet for its success. A number of factors could inhibit the continued acceptance of the Internet and adversely affect our profitability, including:</w:t>
      </w:r>
    </w:p>
    <w:p>
      <w:pPr>
        <w:spacing w:after="0" w:line="76" w:lineRule="exact"/>
        <w:rPr>
          <w:sz w:val="20"/>
          <w:szCs w:val="20"/>
          <w:color w:val="auto"/>
        </w:rPr>
      </w:pPr>
    </w:p>
    <w:p>
      <w:pPr>
        <w:ind w:left="1000" w:hanging="211"/>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inadequate Internet infrastructure;</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and privacy concerns;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25" w:name="page26"/>
    <w:bookmarkEnd w:id="25"/>
    <w:p>
      <w:pPr>
        <w:ind w:left="1000" w:hanging="211"/>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unavailability of cost-effective Internet service and other technological factors; and</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 regulation of Internet use.</w:t>
      </w:r>
    </w:p>
    <w:p>
      <w:pPr>
        <w:spacing w:after="0" w:line="131" w:lineRule="exact"/>
        <w:rPr>
          <w:sz w:val="20"/>
          <w:szCs w:val="20"/>
          <w:color w:val="auto"/>
        </w:rPr>
      </w:pPr>
    </w:p>
    <w:p>
      <w:pPr>
        <w:ind w:right="480" w:firstLine="397"/>
        <w:spacing w:after="0" w:line="277" w:lineRule="auto"/>
        <w:rPr>
          <w:sz w:val="20"/>
          <w:szCs w:val="20"/>
          <w:color w:val="auto"/>
        </w:rPr>
      </w:pPr>
      <w:r>
        <w:rPr>
          <w:rFonts w:ascii="Arial" w:cs="Arial" w:eastAsia="Arial" w:hAnsi="Arial"/>
          <w:sz w:val="18"/>
          <w:szCs w:val="18"/>
          <w:color w:val="auto"/>
        </w:rPr>
        <w:t>If Internet use decreases, or if the number of Internet users seeking educational services on the Internet does not increase, our business may not grow as planned.</w:t>
      </w:r>
    </w:p>
    <w:p>
      <w:pPr>
        <w:spacing w:after="0" w:line="184"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Government regulations relating to the Internet could increase our cost of doing business, affect our ability to grow or otherwise have a material adverse effect on our business.</w:t>
      </w:r>
    </w:p>
    <w:p>
      <w:pPr>
        <w:spacing w:after="0" w:line="76" w:lineRule="exact"/>
        <w:rPr>
          <w:sz w:val="20"/>
          <w:szCs w:val="20"/>
          <w:color w:val="auto"/>
        </w:rPr>
      </w:pPr>
    </w:p>
    <w:p>
      <w:pPr>
        <w:ind w:right="40" w:firstLine="397"/>
        <w:spacing w:after="0" w:line="255" w:lineRule="auto"/>
        <w:rPr>
          <w:sz w:val="20"/>
          <w:szCs w:val="20"/>
          <w:color w:val="auto"/>
        </w:rPr>
      </w:pPr>
      <w:r>
        <w:rPr>
          <w:rFonts w:ascii="Arial" w:cs="Arial" w:eastAsia="Arial" w:hAnsi="Arial"/>
          <w:sz w:val="18"/>
          <w:szCs w:val="18"/>
          <w:color w:val="auto"/>
        </w:rPr>
        <w:t>The increasing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materially and adversely affect our business, prospects, financial condition, and results of operations.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incur significant costs complying with the Americans with Disabilities Act and similar laws.</w:t>
      </w:r>
    </w:p>
    <w:p>
      <w:pPr>
        <w:spacing w:after="0" w:line="131" w:lineRule="exact"/>
        <w:rPr>
          <w:sz w:val="20"/>
          <w:szCs w:val="20"/>
          <w:color w:val="auto"/>
        </w:rPr>
      </w:pPr>
    </w:p>
    <w:p>
      <w:pPr>
        <w:ind w:firstLine="397"/>
        <w:spacing w:after="0" w:line="290" w:lineRule="auto"/>
        <w:rPr>
          <w:sz w:val="20"/>
          <w:szCs w:val="20"/>
          <w:color w:val="auto"/>
        </w:rPr>
      </w:pPr>
      <w:r>
        <w:rPr>
          <w:rFonts w:ascii="Arial" w:cs="Arial" w:eastAsia="Arial" w:hAnsi="Arial"/>
          <w:sz w:val="16"/>
          <w:szCs w:val="16"/>
          <w:color w:val="auto"/>
        </w:rPr>
        <w:t>Under the Americans with Disabilities Act of 1990, or the ADA, all public accommodations must meet federal requirements related to access and use by disabled persons. Additional federal, state, and local laws also may require modifications to our properties, or restrict our ability to renovate our properties. For example, the Fair Housing Amendments Act of 1988, or FHAA, requires apartment properties first occupied after March 13, 1990 to be accessible to the handicapped. We have not conducted an audit or investigation of all of our properties to determine our compliance with present requirements. Noncompliance with the ADA or FHAA could result in the imposition of fines or an award or damages to private litigants and also could result in an order to correct any non-complying feature. We cannot predict the ultimate amount of the cost of compliance with the ADA, FHAA, or other legislation. If we incur substantial costs to comply with the ADA, FHAA, or any other legislation, we could be materially and adversely affected.</w:t>
      </w:r>
    </w:p>
    <w:p>
      <w:pPr>
        <w:spacing w:after="0" w:line="18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Our failure to comply with environmental laws and regulations governing our activities could result in financial penalties and other costs.</w:t>
      </w:r>
    </w:p>
    <w:p>
      <w:pPr>
        <w:spacing w:after="0" w:line="76" w:lineRule="exact"/>
        <w:rPr>
          <w:sz w:val="20"/>
          <w:szCs w:val="20"/>
          <w:color w:val="auto"/>
        </w:rPr>
      </w:pPr>
    </w:p>
    <w:p>
      <w:pPr>
        <w:ind w:right="40" w:firstLine="397"/>
        <w:spacing w:after="0" w:line="293" w:lineRule="auto"/>
        <w:rPr>
          <w:sz w:val="20"/>
          <w:szCs w:val="20"/>
          <w:color w:val="auto"/>
        </w:rPr>
      </w:pPr>
      <w:r>
        <w:rPr>
          <w:rFonts w:ascii="Arial" w:cs="Arial" w:eastAsia="Arial" w:hAnsi="Arial"/>
          <w:sz w:val="16"/>
          <w:szCs w:val="16"/>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78"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If we expand in the future into new markets outside the United States, we would be subject to risks inherent in non-domestic operations.</w:t>
      </w:r>
    </w:p>
    <w:p>
      <w:pPr>
        <w:spacing w:after="0" w:line="76"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If we acquire schools or establish programs in new markets outside the United States, we will face risks that are inherent in non-domestic operations, including the complexity of operations across borders, new regulatory regimes, currency exchange rate fluctuations, monetary policy risks, such as inflation, hyperinflation and deflation, and potential political and economic instability in the countries into which we expand.</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failure to obtain additional capital in the future could adversely affect our ability to grow.</w:t>
      </w:r>
    </w:p>
    <w:p>
      <w:pPr>
        <w:spacing w:after="0" w:line="131" w:lineRule="exact"/>
        <w:rPr>
          <w:sz w:val="20"/>
          <w:szCs w:val="20"/>
          <w:color w:val="auto"/>
        </w:rPr>
      </w:pPr>
    </w:p>
    <w:p>
      <w:pPr>
        <w:ind w:right="240" w:firstLine="397"/>
        <w:spacing w:after="0" w:line="277" w:lineRule="auto"/>
        <w:rPr>
          <w:sz w:val="20"/>
          <w:szCs w:val="20"/>
          <w:color w:val="auto"/>
        </w:rPr>
      </w:pPr>
      <w:r>
        <w:rPr>
          <w:rFonts w:ascii="Arial" w:cs="Arial" w:eastAsia="Arial" w:hAnsi="Arial"/>
          <w:sz w:val="18"/>
          <w:szCs w:val="18"/>
          <w:color w:val="auto"/>
        </w:rPr>
        <w:t>We believe that funds from operations, cash on hand, and investments will be adequate to fund our current operating and growth plans for the foreseeable future. However, we may need additional financing in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49" w:right="1079" w:bottom="1440" w:gutter="0" w:footer="0" w:header="0"/>
        </w:sectPr>
      </w:pPr>
    </w:p>
    <w:bookmarkStart w:id="26" w:name="page27"/>
    <w:bookmarkEnd w:id="26"/>
    <w:p>
      <w:pPr>
        <w:ind w:right="140"/>
        <w:spacing w:after="0" w:line="257" w:lineRule="auto"/>
        <w:rPr>
          <w:sz w:val="20"/>
          <w:szCs w:val="20"/>
          <w:color w:val="auto"/>
        </w:rPr>
      </w:pPr>
      <w:r>
        <w:rPr>
          <w:rFonts w:ascii="Arial" w:cs="Arial" w:eastAsia="Arial" w:hAnsi="Arial"/>
          <w:sz w:val="18"/>
          <w:szCs w:val="18"/>
          <w:color w:val="auto"/>
        </w:rPr>
        <w:t>order to finance our continued growth, particularly if we pursue any acquisitions. The amount, timing, and terms of such additional financing will vary principally depending on the timing and size of new program offerings, the timing and size of acquisitions we may seek to consummate, and the amount of cash flows from our operations. To the extent that we require additional financing in the future, such financing may not be available on terms acceptable to us or at all, and, consequently, we may not be able to fully implement our growth strategy.</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not able to integrate acquired schools, our business could be harmed.</w:t>
      </w:r>
    </w:p>
    <w:p>
      <w:pPr>
        <w:spacing w:after="0" w:line="131" w:lineRule="exact"/>
        <w:rPr>
          <w:sz w:val="20"/>
          <w:szCs w:val="20"/>
          <w:color w:val="auto"/>
        </w:rPr>
      </w:pPr>
    </w:p>
    <w:p>
      <w:pPr>
        <w:ind w:right="520" w:firstLine="397"/>
        <w:spacing w:after="0" w:line="277" w:lineRule="auto"/>
        <w:rPr>
          <w:sz w:val="20"/>
          <w:szCs w:val="20"/>
          <w:color w:val="auto"/>
        </w:rPr>
      </w:pPr>
      <w:r>
        <w:rPr>
          <w:rFonts w:ascii="Arial" w:cs="Arial" w:eastAsia="Arial" w:hAnsi="Arial"/>
          <w:sz w:val="18"/>
          <w:szCs w:val="18"/>
          <w:color w:val="auto"/>
        </w:rPr>
        <w:t>From time to time, we may pursue acquisitions of other schools. Integrating acquired operations into our institution involves significant risks and uncertainties, including:</w:t>
      </w:r>
    </w:p>
    <w:p>
      <w:pPr>
        <w:spacing w:after="0" w:line="76" w:lineRule="exact"/>
        <w:rPr>
          <w:sz w:val="20"/>
          <w:szCs w:val="20"/>
          <w:color w:val="auto"/>
        </w:rPr>
      </w:pPr>
    </w:p>
    <w:p>
      <w:pPr>
        <w:ind w:left="1000" w:hanging="211"/>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policies, and procedures;</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distraction of management’s attention from normal business operations during the integration process;</w:t>
      </w:r>
    </w:p>
    <w:p>
      <w:pPr>
        <w:spacing w:after="0" w:line="117" w:lineRule="exact"/>
        <w:rPr>
          <w:rFonts w:ascii="Arial" w:cs="Arial" w:eastAsia="Arial" w:hAnsi="Arial"/>
          <w:sz w:val="18"/>
          <w:szCs w:val="18"/>
          <w:color w:val="auto"/>
        </w:rPr>
      </w:pPr>
    </w:p>
    <w:p>
      <w:pPr>
        <w:jc w:val="both"/>
        <w:ind w:left="1000" w:right="620" w:hanging="211"/>
        <w:spacing w:after="0" w:line="264"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73" w:lineRule="exact"/>
        <w:rPr>
          <w:rFonts w:ascii="Arial" w:cs="Arial" w:eastAsia="Arial" w:hAnsi="Arial"/>
          <w:sz w:val="18"/>
          <w:szCs w:val="18"/>
          <w:color w:val="auto"/>
        </w:rPr>
      </w:pPr>
    </w:p>
    <w:p>
      <w:pPr>
        <w:ind w:left="1000" w:hanging="211"/>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the integration efforts; and</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unidentified issues not discovered in our due diligence process, including legal contingencies.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If we complete one or more acquisitions and are unable to integrate acquired operations successfully, our business could suffer.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135"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b w:val="1"/>
          <w:bCs w:val="1"/>
          <w:i w:val="1"/>
          <w:iCs w:val="1"/>
          <w:color w:val="auto"/>
        </w:rPr>
        <w:t>Our executive officers, directors, and principal existing stockholders own a large percentage of our voting stock, which may allow them to collectively control substantially all matters requiring stockholder approval and, in the case of certain of our principal stockholders, will have other unique rights that may afford them access to our management.</w:t>
      </w:r>
    </w:p>
    <w:p>
      <w:pPr>
        <w:spacing w:after="0" w:line="71" w:lineRule="exact"/>
        <w:rPr>
          <w:sz w:val="20"/>
          <w:szCs w:val="20"/>
          <w:color w:val="auto"/>
        </w:rPr>
      </w:pPr>
    </w:p>
    <w:p>
      <w:pPr>
        <w:ind w:right="140" w:firstLine="397"/>
        <w:spacing w:after="0" w:line="290" w:lineRule="auto"/>
        <w:rPr>
          <w:sz w:val="20"/>
          <w:szCs w:val="20"/>
          <w:color w:val="auto"/>
        </w:rPr>
      </w:pPr>
      <w:r>
        <w:rPr>
          <w:rFonts w:ascii="Arial" w:cs="Arial" w:eastAsia="Arial" w:hAnsi="Arial"/>
          <w:sz w:val="16"/>
          <w:szCs w:val="16"/>
          <w:color w:val="auto"/>
        </w:rPr>
        <w:t>In connection with our initial public offering, certain of our stockholders entered into a proxy and voting agreement, pursuant to which such persons granted to the Richardson Voting Group a five-year irrevocable proxy to exercise voting authority with respect to certain shares of our common stock held by such persons, for so long as such shares are held by such persons. Upon the completion of our initial public offering, as a result of the proxy and voting agreement, the Richardson Voting Group had the power to exercise voting authority with respect to 42.9% of our common stock. Under the terms of the proxy and voting agreement, if any person party to the voting agreement transfers shares covered by the proxy in registered or open-market transactions, the proxy is no longer effective as to such shares. Accordingly, the number of shares as to which the Richardson Voting Group has voting power will decrease over time as shares held by other parties to the proxy and voting agreement are sold. See “Beneficial Ownership of Common Stock.”</w:t>
      </w:r>
    </w:p>
    <w:p>
      <w:pPr>
        <w:spacing w:after="0" w:line="72"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As a result of the proxy and voting agreement, the Richardson Voting Group could significantly influence the outcome of any actions requiring the vote or consent of stockholders, including elections of directors, amendments to our certificate of incorporation and bylaws, mergers, going private transactions, and other extraordinary transactions, and any decisions concerning the terms of any of these transactions. The ownership and voting positions of these stockholders may have the effect of delaying, deterring, or preventing a change in control or a change in the composition of our Board of Directors. These stockholders may also use their contractual rights, including access to management, and their large ownership position to address their own interests, which may be different from those of our other stockholders.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5" w:right="1079" w:bottom="1440" w:gutter="0" w:footer="0" w:header="0"/>
        </w:sectPr>
      </w:pPr>
    </w:p>
    <w:bookmarkStart w:id="27" w:name="page28"/>
    <w:bookmarkEnd w:id="27"/>
    <w:p>
      <w:pPr>
        <w:ind w:left="200" w:right="480"/>
        <w:spacing w:after="0" w:line="277" w:lineRule="auto"/>
        <w:rPr>
          <w:sz w:val="20"/>
          <w:szCs w:val="20"/>
          <w:color w:val="auto"/>
        </w:rPr>
      </w:pPr>
      <w:r>
        <w:rPr>
          <w:rFonts w:ascii="Arial" w:cs="Arial" w:eastAsia="Arial" w:hAnsi="Arial"/>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76" w:lineRule="exact"/>
        <w:rPr>
          <w:sz w:val="20"/>
          <w:szCs w:val="20"/>
          <w:color w:val="auto"/>
        </w:rPr>
      </w:pPr>
    </w:p>
    <w:p>
      <w:pPr>
        <w:ind w:right="200" w:firstLine="397"/>
        <w:spacing w:after="0" w:line="297" w:lineRule="auto"/>
        <w:rPr>
          <w:sz w:val="20"/>
          <w:szCs w:val="20"/>
          <w:color w:val="auto"/>
        </w:rPr>
      </w:pPr>
      <w:r>
        <w:rPr>
          <w:rFonts w:ascii="Arial" w:cs="Arial" w:eastAsia="Arial" w:hAnsi="Arial"/>
          <w:sz w:val="16"/>
          <w:szCs w:val="16"/>
          <w:color w:val="auto"/>
        </w:rPr>
        <w:t>Our Board of Directors has the authority, without action or vote of our stockholders, to issue all or any part of our authorized but unissued shares of common stock, including shares issuable upon the exercise of options,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172"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76" w:lineRule="exact"/>
        <w:rPr>
          <w:sz w:val="20"/>
          <w:szCs w:val="20"/>
          <w:color w:val="auto"/>
        </w:rPr>
      </w:pPr>
    </w:p>
    <w:p>
      <w:pPr>
        <w:ind w:firstLine="397"/>
        <w:spacing w:after="0" w:line="286" w:lineRule="auto"/>
        <w:rPr>
          <w:sz w:val="20"/>
          <w:szCs w:val="20"/>
          <w:color w:val="auto"/>
        </w:rPr>
      </w:pPr>
      <w:r>
        <w:rPr>
          <w:rFonts w:ascii="Arial" w:cs="Arial" w:eastAsia="Arial" w:hAnsi="Arial"/>
          <w:sz w:val="16"/>
          <w:szCs w:val="16"/>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The price of our common stock may be volatile, and as a result returns on an investment in our common stock may be volatile.</w:t>
      </w:r>
    </w:p>
    <w:p>
      <w:pPr>
        <w:spacing w:after="0" w:line="154"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We completed our initial public offering in November 2008. Given the relatively limited public float since that time, trading in our common stock has also been limited and, at times, volatile. An active trading market for our common stock may not be sustained, and the trading price of our common stock may fluctuate substantially.</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market price of our common stock could fluctuate significantly for various reasons, which include:</w:t>
      </w:r>
    </w:p>
    <w:p>
      <w:pPr>
        <w:spacing w:after="0" w:line="131" w:lineRule="exact"/>
        <w:rPr>
          <w:sz w:val="20"/>
          <w:szCs w:val="20"/>
          <w:color w:val="auto"/>
        </w:rPr>
      </w:pPr>
    </w:p>
    <w:p>
      <w:pPr>
        <w:ind w:left="1000" w:hanging="211"/>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quarterly or annual earnings or earnings of other companies in our industry;</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17" w:lineRule="exact"/>
        <w:rPr>
          <w:rFonts w:ascii="Arial" w:cs="Arial" w:eastAsia="Arial" w:hAnsi="Arial"/>
          <w:sz w:val="18"/>
          <w:szCs w:val="18"/>
          <w:color w:val="auto"/>
        </w:rPr>
      </w:pPr>
    </w:p>
    <w:p>
      <w:pPr>
        <w:ind w:left="1000" w:right="60" w:hanging="211"/>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research analysts who track our common stock or the stocks of other companies in our industry;</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number of enrolled students;</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new or proposed laws or regulations or new or proposed interpretations of laws or regulations applicable to our business;</w:t>
      </w:r>
    </w:p>
    <w:p>
      <w:pPr>
        <w:spacing w:after="0" w:line="140" w:lineRule="exact"/>
        <w:rPr>
          <w:rFonts w:ascii="Arial" w:cs="Arial" w:eastAsia="Arial" w:hAnsi="Arial"/>
          <w:sz w:val="16"/>
          <w:szCs w:val="16"/>
          <w:color w:val="auto"/>
        </w:rPr>
      </w:pPr>
    </w:p>
    <w:p>
      <w:pPr>
        <w:ind w:left="1000" w:hanging="211"/>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variations in our student population;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28" w:name="page29"/>
    <w:bookmarkEnd w:id="28"/>
    <w:p>
      <w:pPr>
        <w:ind w:left="1000" w:right="60" w:hanging="211"/>
        <w:spacing w:after="0" w:line="308"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38" w:lineRule="exact"/>
        <w:rPr>
          <w:rFonts w:ascii="Arial" w:cs="Arial" w:eastAsia="Arial" w:hAnsi="Arial"/>
          <w:sz w:val="17"/>
          <w:szCs w:val="17"/>
          <w:color w:val="auto"/>
        </w:rPr>
      </w:pPr>
    </w:p>
    <w:p>
      <w:pPr>
        <w:ind w:left="1000" w:hanging="211"/>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and cost of Title IV funds, other student financial aid, and private loans;</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to maintain or keep in good standing our regulatory approvals and accreditations;</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1000" w:right="260" w:hanging="211"/>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general conditions in the U.S. and global economies or financial markets, including those resulting from war, incidents of terrorism, or responses to such events;</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w:t>
      </w:r>
    </w:p>
    <w:p>
      <w:pPr>
        <w:spacing w:after="0" w:line="117" w:lineRule="exact"/>
        <w:rPr>
          <w:rFonts w:ascii="Arial" w:cs="Arial" w:eastAsia="Arial" w:hAnsi="Arial"/>
          <w:sz w:val="18"/>
          <w:szCs w:val="18"/>
          <w:color w:val="auto"/>
        </w:rPr>
      </w:pPr>
    </w:p>
    <w:p>
      <w:pPr>
        <w:ind w:left="1000" w:right="140" w:hanging="211"/>
        <w:spacing w:after="0" w:line="259"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litigation involving our company, or investigations or audits by regulators into the operations of our company or our competitors, including the investigation of Grand Canyon University currently being conducted by the Office of Inspector General of the Department of Education, and the pending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regarding the manner in which we have compensated our enrollment personnel; and</w:t>
      </w:r>
    </w:p>
    <w:p>
      <w:pPr>
        <w:spacing w:after="0" w:line="78" w:lineRule="exact"/>
        <w:rPr>
          <w:rFonts w:ascii="Arial" w:cs="Arial" w:eastAsia="Arial" w:hAnsi="Arial"/>
          <w:sz w:val="18"/>
          <w:szCs w:val="18"/>
          <w:color w:val="auto"/>
        </w:rPr>
      </w:pPr>
    </w:p>
    <w:p>
      <w:pPr>
        <w:ind w:left="1000" w:hanging="211"/>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common stock by our directors, executive officers, and significant stockholders.</w:t>
      </w:r>
    </w:p>
    <w:p>
      <w:pPr>
        <w:spacing w:after="0" w:line="131" w:lineRule="exact"/>
        <w:rPr>
          <w:sz w:val="20"/>
          <w:szCs w:val="20"/>
          <w:color w:val="auto"/>
        </w:rPr>
      </w:pPr>
    </w:p>
    <w:p>
      <w:pPr>
        <w:ind w:right="180" w:firstLine="397"/>
        <w:spacing w:after="0" w:line="257"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company, and these fluctuations could materially reduce our stock price.</w:t>
      </w:r>
    </w:p>
    <w:p>
      <w:pPr>
        <w:spacing w:after="0" w:line="94" w:lineRule="exact"/>
        <w:rPr>
          <w:sz w:val="20"/>
          <w:szCs w:val="20"/>
          <w:color w:val="auto"/>
        </w:rPr>
      </w:pPr>
    </w:p>
    <w:p>
      <w:pPr>
        <w:ind w:firstLine="397"/>
        <w:spacing w:after="0" w:line="312"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6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their evaluations of our stock, the price of our stock could decline.</w:t>
      </w:r>
    </w:p>
    <w:p>
      <w:pPr>
        <w:spacing w:after="0" w:line="76"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industry or financial analysts publish about us or our business. If one or more of the analysts covering us downgrade their estimates or evaluations of our stock, the price of our stock could decline. If one or more of these analysts cease coverage of our company, we could lose visibility in the market for our stock, which in turn could cause our stock price to decline.</w:t>
      </w:r>
    </w:p>
    <w:p>
      <w:pPr>
        <w:spacing w:after="0" w:line="20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76" w:lineRule="exact"/>
        <w:rPr>
          <w:sz w:val="20"/>
          <w:szCs w:val="20"/>
          <w:color w:val="auto"/>
        </w:rPr>
      </w:pPr>
    </w:p>
    <w:p>
      <w:pPr>
        <w:ind w:right="100" w:firstLine="397"/>
        <w:spacing w:after="0" w:line="257" w:lineRule="auto"/>
        <w:rPr>
          <w:sz w:val="20"/>
          <w:szCs w:val="20"/>
          <w:color w:val="auto"/>
        </w:rPr>
      </w:pPr>
      <w:r>
        <w:rPr>
          <w:rFonts w:ascii="Arial" w:cs="Arial" w:eastAsia="Arial" w:hAnsi="Arial"/>
          <w:sz w:val="18"/>
          <w:szCs w:val="18"/>
          <w:color w:val="auto"/>
        </w:rPr>
        <w:t>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29" w:name="page30"/>
    <w:bookmarkEnd w:id="29"/>
    <w:p>
      <w:pPr>
        <w:ind w:left="200" w:right="62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applying the net proceeds of this offering and may not use those proceeds in ways that will enhance the market value of our common stock.</w:t>
      </w:r>
    </w:p>
    <w:p>
      <w:pPr>
        <w:spacing w:after="0" w:line="76" w:lineRule="exact"/>
        <w:rPr>
          <w:sz w:val="20"/>
          <w:szCs w:val="20"/>
          <w:color w:val="auto"/>
        </w:rPr>
      </w:pPr>
    </w:p>
    <w:p>
      <w:pPr>
        <w:ind w:firstLine="397"/>
        <w:spacing w:after="0" w:line="257" w:lineRule="auto"/>
        <w:rPr>
          <w:sz w:val="20"/>
          <w:szCs w:val="20"/>
          <w:color w:val="auto"/>
        </w:rPr>
      </w:pPr>
      <w:r>
        <w:rPr>
          <w:rFonts w:ascii="Arial" w:cs="Arial" w:eastAsia="Arial" w:hAnsi="Arial"/>
          <w:sz w:val="18"/>
          <w:szCs w:val="18"/>
          <w:color w:val="auto"/>
        </w:rPr>
        <w:t>We have significant flexibility in applying the net proceeds we will receive in this offering. We will use the proceeds that we receive from the sale of stock in this offering to pay the expenses of this offering and for general corporate purposes. As part of your investment decision, you will not be able to assess or direct how we apply these net proceeds. If we do not apply these funds effectively, we may lose significant business opportunities. Furthermore, our stock price could decline if the market does not view our use of the net proceeds from this offering favorably.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REGULATION</w:t>
      </w:r>
    </w:p>
    <w:p>
      <w:pPr>
        <w:spacing w:after="0" w:line="135" w:lineRule="exact"/>
        <w:rPr>
          <w:sz w:val="20"/>
          <w:szCs w:val="20"/>
          <w:color w:val="auto"/>
        </w:rPr>
      </w:pPr>
    </w:p>
    <w:p>
      <w:pPr>
        <w:ind w:right="220" w:firstLine="397"/>
        <w:spacing w:after="0" w:line="279" w:lineRule="auto"/>
        <w:rPr>
          <w:sz w:val="20"/>
          <w:szCs w:val="20"/>
          <w:color w:val="auto"/>
        </w:rPr>
      </w:pPr>
      <w:r>
        <w:rPr>
          <w:rFonts w:ascii="Arial" w:cs="Arial" w:eastAsia="Arial" w:hAnsi="Arial"/>
          <w:sz w:val="17"/>
          <w:szCs w:val="17"/>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and financial condition.</w:t>
      </w:r>
    </w:p>
    <w:p>
      <w:pPr>
        <w:spacing w:after="0" w:line="77" w:lineRule="exact"/>
        <w:rPr>
          <w:sz w:val="20"/>
          <w:szCs w:val="20"/>
          <w:color w:val="auto"/>
        </w:rPr>
      </w:pPr>
    </w:p>
    <w:p>
      <w:pPr>
        <w:ind w:right="40" w:firstLine="397"/>
        <w:spacing w:after="0" w:line="272" w:lineRule="auto"/>
        <w:rPr>
          <w:sz w:val="20"/>
          <w:szCs w:val="20"/>
          <w:color w:val="auto"/>
        </w:rPr>
      </w:pPr>
      <w:r>
        <w:rPr>
          <w:rFonts w:ascii="Arial" w:cs="Arial" w:eastAsia="Arial" w:hAnsi="Arial"/>
          <w:sz w:val="17"/>
          <w:szCs w:val="17"/>
          <w:color w:val="auto"/>
        </w:rPr>
        <w:t>As an institution of higher education that grants degrees and certificates, we are required to be authorized by appropriate state education authorities. In addition, in order to participate in the federal student financial aid programs,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83" w:lineRule="exact"/>
        <w:rPr>
          <w:sz w:val="20"/>
          <w:szCs w:val="20"/>
          <w:color w:val="auto"/>
        </w:rPr>
      </w:pPr>
    </w:p>
    <w:p>
      <w:pPr>
        <w:ind w:firstLine="397"/>
        <w:spacing w:after="0" w:line="273" w:lineRule="auto"/>
        <w:rPr>
          <w:sz w:val="20"/>
          <w:szCs w:val="20"/>
          <w:color w:val="auto"/>
        </w:rPr>
      </w:pPr>
      <w:r>
        <w:rPr>
          <w:rFonts w:ascii="Arial" w:cs="Arial" w:eastAsia="Arial" w:hAnsi="Arial"/>
          <w:sz w:val="17"/>
          <w:szCs w:val="17"/>
          <w:color w:val="auto"/>
        </w:rPr>
        <w:t>Our operations are also subject to regulation by the Department of Education due to our participation in federal student financial aid programs under Title IV of the Higher Education Act. Those Title IV programs include educational loans with below-market interest rates that are guaranteed by the federal government in the event of a student’s default on repaying the loan, and also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84" w:lineRule="exact"/>
        <w:rPr>
          <w:sz w:val="20"/>
          <w:szCs w:val="20"/>
          <w:color w:val="auto"/>
        </w:rPr>
      </w:pPr>
    </w:p>
    <w:p>
      <w:pPr>
        <w:ind w:right="40" w:firstLine="397"/>
        <w:spacing w:after="0" w:line="259" w:lineRule="auto"/>
        <w:rPr>
          <w:sz w:val="20"/>
          <w:szCs w:val="20"/>
          <w:color w:val="auto"/>
        </w:rPr>
      </w:pPr>
      <w:r>
        <w:rPr>
          <w:rFonts w:ascii="Arial" w:cs="Arial" w:eastAsia="Arial" w:hAnsi="Arial"/>
          <w:sz w:val="18"/>
          <w:szCs w:val="18"/>
          <w:color w:val="auto"/>
        </w:rPr>
        <w:t>Our business activities are planned and implemented to comply with the standards of these regulatory agencies. We employ a director of compliance who is knowledgeable about regulatory matters relevant to student financial aid programs and our Chief Financial Officer, Chief Risk Officer, and General Counsel also provide oversight designed to ensure that we meet the requirements of our regulated operating environment.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Education Licensure and Regulation</w:t>
      </w:r>
    </w:p>
    <w:p>
      <w:pPr>
        <w:spacing w:after="0" w:line="135" w:lineRule="exact"/>
        <w:rPr>
          <w:sz w:val="20"/>
          <w:szCs w:val="20"/>
          <w:color w:val="auto"/>
        </w:rPr>
      </w:pPr>
    </w:p>
    <w:p>
      <w:pPr>
        <w:ind w:firstLine="397"/>
        <w:spacing w:after="0" w:line="269" w:lineRule="auto"/>
        <w:rPr>
          <w:sz w:val="20"/>
          <w:szCs w:val="20"/>
          <w:color w:val="auto"/>
        </w:rPr>
      </w:pPr>
      <w:r>
        <w:rPr>
          <w:rFonts w:ascii="Arial" w:cs="Arial" w:eastAsia="Arial" w:hAnsi="Arial"/>
          <w:sz w:val="17"/>
          <w:szCs w:val="17"/>
          <w:color w:val="auto"/>
        </w:rPr>
        <w:t>We are authorized to offer our educational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Failure to comply with the requirements of the Arizona State Board for Private Postsecondary Education could result in us losing our authorization to offer our educational programs, which would cause us to lose our eligibility to participate in the Title IV programs and which, in turn, could force us to cease operations. Alternatively, the Arizona State Board for Private Postsecondary Education could restrict our ability to offer certain degree programs.</w:t>
      </w:r>
    </w:p>
    <w:p>
      <w:pPr>
        <w:spacing w:after="0" w:line="88" w:lineRule="exact"/>
        <w:rPr>
          <w:sz w:val="20"/>
          <w:szCs w:val="20"/>
          <w:color w:val="auto"/>
        </w:rPr>
      </w:pPr>
    </w:p>
    <w:p>
      <w:pPr>
        <w:ind w:right="20" w:firstLine="397"/>
        <w:spacing w:after="0" w:line="272" w:lineRule="auto"/>
        <w:rPr>
          <w:sz w:val="20"/>
          <w:szCs w:val="20"/>
          <w:color w:val="auto"/>
        </w:rPr>
      </w:pPr>
      <w:r>
        <w:rPr>
          <w:rFonts w:ascii="Arial" w:cs="Arial" w:eastAsia="Arial" w:hAnsi="Arial"/>
          <w:sz w:val="17"/>
          <w:szCs w:val="17"/>
          <w:color w:val="auto"/>
        </w:rPr>
        <w:t>Most other states impose regulatory requirements on out-of-state educational institutions operating within their boundaries, such as those having a physical facility or conducting certain academic activities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72" w:right="1059" w:bottom="1440" w:gutter="0" w:footer="0" w:header="0"/>
        </w:sectPr>
      </w:pPr>
    </w:p>
    <w:bookmarkStart w:id="31" w:name="page32"/>
    <w:bookmarkEnd w:id="31"/>
    <w:p>
      <w:pPr>
        <w:ind w:right="100" w:firstLine="397"/>
        <w:spacing w:after="0" w:line="291" w:lineRule="auto"/>
        <w:rPr>
          <w:sz w:val="20"/>
          <w:szCs w:val="20"/>
          <w:color w:val="auto"/>
        </w:rPr>
      </w:pPr>
      <w:r>
        <w:rPr>
          <w:rFonts w:ascii="Arial" w:cs="Arial" w:eastAsia="Arial" w:hAnsi="Arial"/>
          <w:sz w:val="16"/>
          <w:szCs w:val="16"/>
          <w:color w:val="auto"/>
        </w:rPr>
        <w:t>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New laws, regulations, or interpretations related to doing business over the Internet could increase our cost of doing business and affect our ability to recruit students in particular states, which could, in turn, negatively affect enrollments and revenues and have a material adverse effect on our business.</w:t>
      </w:r>
    </w:p>
    <w:p>
      <w:pPr>
        <w:spacing w:after="0" w:line="73" w:lineRule="exact"/>
        <w:rPr>
          <w:sz w:val="20"/>
          <w:szCs w:val="20"/>
          <w:color w:val="auto"/>
        </w:rPr>
      </w:pPr>
    </w:p>
    <w:p>
      <w:pPr>
        <w:ind w:right="40" w:firstLine="397"/>
        <w:spacing w:after="0" w:line="268" w:lineRule="auto"/>
        <w:rPr>
          <w:sz w:val="20"/>
          <w:szCs w:val="20"/>
          <w:color w:val="auto"/>
        </w:rPr>
      </w:pPr>
      <w:r>
        <w:rPr>
          <w:rFonts w:ascii="Arial" w:cs="Arial" w:eastAsia="Arial" w:hAnsi="Arial"/>
          <w:sz w:val="17"/>
          <w:szCs w:val="17"/>
          <w:color w:val="auto"/>
        </w:rPr>
        <w:t>We have determined that our activities in certain states constitute a presence requiring licensure or authorization under the requirements of the state education agency in those states.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requirements of other states when appropriate to determine whether our activities in those states constitute a presence or otherwise require licensure or authorization by the respective state education agencies. Because state regulatory requirements, including agency interpretations, can change frequently, and because we enroll students in all 50 states and the District of Columbia, we expect that state regulatory authorities in states where we are not currently licensed or authorized will request that we seek licensure or authorization in their states in the future. Although we believe that we will be able to comply with additional state licensing or authorization requirements that may arise or be asserted in the future,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While we do not believe that any of the states in which we are currently licensed or authorized, other than Arizona, are individually material to our operations, the loss of licensure or authorization in any state could prohibit us from recruiting prospective students or offering services to current students in that state, which could significantly reduce our enrollments.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Professional Licensure</w:t>
      </w:r>
    </w:p>
    <w:p>
      <w:pPr>
        <w:spacing w:after="0" w:line="135" w:lineRule="exact"/>
        <w:rPr>
          <w:sz w:val="20"/>
          <w:szCs w:val="20"/>
          <w:color w:val="auto"/>
        </w:rPr>
      </w:pPr>
    </w:p>
    <w:p>
      <w:pPr>
        <w:ind w:right="220" w:firstLine="397"/>
        <w:spacing w:after="0" w:line="259" w:lineRule="auto"/>
        <w:rPr>
          <w:sz w:val="20"/>
          <w:szCs w:val="20"/>
          <w:color w:val="auto"/>
        </w:rPr>
      </w:pPr>
      <w:r>
        <w:rPr>
          <w:rFonts w:ascii="Arial" w:cs="Arial" w:eastAsia="Arial" w:hAnsi="Arial"/>
          <w:sz w:val="18"/>
          <w:szCs w:val="18"/>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92" w:lineRule="exact"/>
        <w:rPr>
          <w:sz w:val="20"/>
          <w:szCs w:val="20"/>
          <w:color w:val="auto"/>
        </w:rPr>
      </w:pPr>
    </w:p>
    <w:p>
      <w:pPr>
        <w:ind w:left="1000" w:right="800" w:hanging="211"/>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institution and the program were approved by the state in which the graduate seeks licensure, or by a professional association;</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whether the program from which the student graduated meets all requirements for professional licensure in that state;</w:t>
      </w:r>
    </w:p>
    <w:p>
      <w:pPr>
        <w:spacing w:after="0" w:line="128" w:lineRule="exact"/>
        <w:rPr>
          <w:rFonts w:ascii="Arial" w:cs="Arial" w:eastAsia="Arial" w:hAnsi="Arial"/>
          <w:sz w:val="17"/>
          <w:szCs w:val="17"/>
          <w:color w:val="auto"/>
        </w:rPr>
      </w:pPr>
    </w:p>
    <w:p>
      <w:pPr>
        <w:ind w:left="1000" w:hanging="211"/>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institution and the program are accredited and, if so, by what accrediting commissions; and</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institution’s degrees are recognized by other states in which a student may seek to work.</w:t>
      </w:r>
    </w:p>
    <w:p>
      <w:pPr>
        <w:spacing w:after="0" w:line="13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52"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Services is approved by the Arizona State Board of Nursing for the Bachelor of Science in Nursing and Master of Science — Nursing degrees. Due to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32" w:name="page33"/>
    <w:bookmarkEnd w:id="32"/>
    <w:p>
      <w:pPr>
        <w:spacing w:after="0" w:line="264" w:lineRule="auto"/>
        <w:rPr>
          <w:sz w:val="20"/>
          <w:szCs w:val="20"/>
          <w:color w:val="auto"/>
        </w:rPr>
      </w:pPr>
      <w:r>
        <w:rPr>
          <w:rFonts w:ascii="Arial" w:cs="Arial" w:eastAsia="Arial" w:hAnsi="Arial"/>
          <w:sz w:val="18"/>
          <w:szCs w:val="18"/>
          <w:color w:val="auto"/>
        </w:rPr>
        <w:t>varying requirements for professional licensure in each state, we inform students of the risks associated with obtaining professional licensure and that it is each student’s responsibility to determine what state, local, or professional licensure and certification requirements are necessary in his or her individual state.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Accreditation</w:t>
      </w:r>
    </w:p>
    <w:p>
      <w:pPr>
        <w:spacing w:after="0" w:line="135" w:lineRule="exact"/>
        <w:rPr>
          <w:sz w:val="20"/>
          <w:szCs w:val="20"/>
          <w:color w:val="auto"/>
        </w:rPr>
      </w:pPr>
    </w:p>
    <w:p>
      <w:pPr>
        <w:ind w:right="120" w:firstLine="397"/>
        <w:spacing w:after="0" w:line="253" w:lineRule="auto"/>
        <w:rPr>
          <w:sz w:val="20"/>
          <w:szCs w:val="20"/>
          <w:color w:val="auto"/>
        </w:rPr>
      </w:pPr>
      <w:r>
        <w:rPr>
          <w:rFonts w:ascii="Arial" w:cs="Arial" w:eastAsia="Arial" w:hAnsi="Arial"/>
          <w:sz w:val="18"/>
          <w:szCs w:val="18"/>
          <w:color w:val="auto"/>
        </w:rPr>
        <w:t>We have been continuously accredited since 1968 by the Higher Learning Commission and its predecessor, each a regional accrediting commission recognized by the Department of Education. Our accreditation was reaffirmed in 2007, and the next scheduled comprehensive evaluation will be conducted in 2016-2017.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03" w:lineRule="exact"/>
        <w:rPr>
          <w:sz w:val="20"/>
          <w:szCs w:val="20"/>
          <w:color w:val="auto"/>
        </w:rPr>
      </w:pPr>
    </w:p>
    <w:p>
      <w:pPr>
        <w:ind w:firstLine="397"/>
        <w:spacing w:after="0" w:line="272" w:lineRule="auto"/>
        <w:rPr>
          <w:sz w:val="20"/>
          <w:szCs w:val="20"/>
          <w:color w:val="auto"/>
        </w:rPr>
      </w:pPr>
      <w:r>
        <w:rPr>
          <w:rFonts w:ascii="Arial" w:cs="Arial" w:eastAsia="Arial" w:hAnsi="Arial"/>
          <w:sz w:val="17"/>
          <w:szCs w:val="17"/>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and private colleges and universities in the states of Arizona, Arkansas, Colorado, Illinois, Indiana, Iowa, Kansas, Michigan, Minnesota, Missouri, Nebraska, New Mexico, North Dakota, Ohio, Oklahoma, South Dakota, West Virginia, Wisconsin, and Wyoming.</w:t>
      </w:r>
    </w:p>
    <w:p>
      <w:pPr>
        <w:spacing w:after="0" w:line="83"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95" w:lineRule="exact"/>
        <w:rPr>
          <w:sz w:val="20"/>
          <w:szCs w:val="20"/>
          <w:color w:val="auto"/>
        </w:rPr>
      </w:pPr>
    </w:p>
    <w:p>
      <w:pPr>
        <w:ind w:right="20" w:firstLine="397"/>
        <w:spacing w:after="0" w:line="269" w:lineRule="auto"/>
        <w:rPr>
          <w:sz w:val="20"/>
          <w:szCs w:val="20"/>
          <w:color w:val="auto"/>
        </w:rPr>
      </w:pPr>
      <w:r>
        <w:rPr>
          <w:rFonts w:ascii="Arial" w:cs="Arial" w:eastAsia="Arial" w:hAnsi="Arial"/>
          <w:sz w:val="17"/>
          <w:szCs w:val="17"/>
          <w:color w:val="auto"/>
        </w:rPr>
        <w:t>The reauthorization of the Higher Education Act in 2008, and proposed regulations issued by the Department of Education, require accreditors to monitor the growth of programs at institutions that are experiencing significant enrollment growth. The Higher Learning Commission requires all affiliated institutions to complete an annual data report. If the non-financial data, particularly enrollment information, and any other information submitted by the institution indicate problems, rapid change, or significant growth, the Higher Learning Commission staff may require that the institution address any concerns arising from the data report in the next self-study and visit process. The Higher Learning Commission staff may also recommend that its Institutional Actions Council require additional monitoring. In addition, the Department of Education has proposed regulations, which could take effect on July 1, 2010, that would require the Higher Learning Commission to notify the Department of Education if an institution it accredits that offers distance learning programs experiences an increase in its headcount enrollment of 50% or more in any fiscal year, which could include us based on our historical enrollment growth rates, and the Department of Education may consider that information in connection with its own regulatory oversight activities.</w:t>
      </w:r>
    </w:p>
    <w:p>
      <w:pPr>
        <w:spacing w:after="0" w:line="88" w:lineRule="exact"/>
        <w:rPr>
          <w:sz w:val="20"/>
          <w:szCs w:val="20"/>
          <w:color w:val="auto"/>
        </w:rPr>
      </w:pPr>
    </w:p>
    <w:p>
      <w:pPr>
        <w:ind w:right="40" w:firstLine="397"/>
        <w:spacing w:after="0" w:line="259" w:lineRule="auto"/>
        <w:rPr>
          <w:sz w:val="20"/>
          <w:szCs w:val="20"/>
          <w:color w:val="auto"/>
        </w:rPr>
      </w:pPr>
      <w:r>
        <w:rPr>
          <w:rFonts w:ascii="Arial" w:cs="Arial" w:eastAsia="Arial" w:hAnsi="Arial"/>
          <w:sz w:val="18"/>
          <w:szCs w:val="18"/>
          <w:color w:val="auto"/>
        </w:rPr>
        <w:t>In addition to institutional accreditation by the Higher Learning Commission,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5" w:right="107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agencies. In addition to being accredited by the Higher Learning Commission, we also have the following specialized accreditations:</w:t>
      </w:r>
    </w:p>
    <w:p>
      <w:pPr>
        <w:spacing w:after="0" w:line="154" w:lineRule="exact"/>
        <w:rPr>
          <w:sz w:val="20"/>
          <w:szCs w:val="20"/>
          <w:color w:val="auto"/>
        </w:rPr>
      </w:pPr>
    </w:p>
    <w:p>
      <w:pPr>
        <w:ind w:left="1000" w:right="360" w:hanging="211"/>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Association of Collegiate Business Schools and Programs accredits our Master of Business Administration degree program and our Bachelor of Science degree programs in Accounting, Business Administration, and Marketing;</w:t>
      </w:r>
    </w:p>
    <w:p>
      <w:pPr>
        <w:spacing w:after="0" w:line="15" w:lineRule="exact"/>
        <w:rPr>
          <w:rFonts w:ascii="Arial" w:cs="Arial" w:eastAsia="Arial" w:hAnsi="Arial"/>
          <w:sz w:val="16"/>
          <w:szCs w:val="16"/>
          <w:color w:val="auto"/>
        </w:rPr>
      </w:pPr>
    </w:p>
    <w:p>
      <w:pPr>
        <w:ind w:left="1000" w:right="120" w:hanging="211"/>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Commission on Collegiate Nursing Education accredits our Bachelor of Science in Nursing and Master of Science — Nursing degree programs; and</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Commission on Accreditation of Athletic Training Education accredits our Athletic Training Program.</w:t>
      </w:r>
    </w:p>
    <w:p>
      <w:pPr>
        <w:spacing w:after="0" w:line="131" w:lineRule="exact"/>
        <w:rPr>
          <w:sz w:val="20"/>
          <w:szCs w:val="20"/>
          <w:color w:val="auto"/>
        </w:rPr>
      </w:pPr>
    </w:p>
    <w:p>
      <w:pPr>
        <w:ind w:right="220" w:firstLine="397"/>
        <w:spacing w:after="0" w:line="277" w:lineRule="auto"/>
        <w:rPr>
          <w:sz w:val="20"/>
          <w:szCs w:val="20"/>
          <w:color w:val="auto"/>
        </w:rPr>
      </w:pPr>
      <w:r>
        <w:rPr>
          <w:rFonts w:ascii="Arial" w:cs="Arial" w:eastAsia="Arial" w:hAnsi="Arial"/>
          <w:sz w:val="18"/>
          <w:szCs w:val="18"/>
          <w:color w:val="auto"/>
        </w:rPr>
        <w:t>If we fail to satisfy the standards of any of these specialized accrediting commissions, we could lose the specialized accreditation for the affected programs, which could result in materially reduced student enrollments in those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Federal Student Financial Aid Programs</w:t>
      </w:r>
    </w:p>
    <w:p>
      <w:pPr>
        <w:spacing w:after="0" w:line="135" w:lineRule="exact"/>
        <w:rPr>
          <w:sz w:val="20"/>
          <w:szCs w:val="20"/>
          <w:color w:val="auto"/>
        </w:rPr>
      </w:pPr>
    </w:p>
    <w:p>
      <w:pPr>
        <w:ind w:firstLine="397"/>
        <w:spacing w:after="0" w:line="271" w:lineRule="auto"/>
        <w:rPr>
          <w:sz w:val="20"/>
          <w:szCs w:val="20"/>
          <w:color w:val="auto"/>
        </w:rPr>
      </w:pPr>
      <w:r>
        <w:rPr>
          <w:rFonts w:ascii="Arial" w:cs="Arial" w:eastAsia="Arial" w:hAnsi="Arial"/>
          <w:sz w:val="17"/>
          <w:szCs w:val="17"/>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We submitted our application for recertification to participate in the Title IV programs to the Department of Education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w:t>
      </w:r>
    </w:p>
    <w:p>
      <w:pPr>
        <w:spacing w:after="0" w:line="84"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(as it will do in 2009 in connection with the August 2008 reauthorization of the Higher Education Act described below) and changes its interpretations of existing laws and regulations, we cannot predict with certainty how the Title IV program requirements will be applied in all circumstances.</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factors relating to the Title IV programs that could adversely affect us include the following:</w:t>
      </w:r>
    </w:p>
    <w:p>
      <w:pPr>
        <w:spacing w:after="0" w:line="131" w:lineRule="exact"/>
        <w:rPr>
          <w:sz w:val="20"/>
          <w:szCs w:val="20"/>
          <w:color w:val="auto"/>
        </w:rPr>
      </w:pPr>
    </w:p>
    <w:p>
      <w:pPr>
        <w:ind w:right="20" w:firstLine="397"/>
        <w:spacing w:after="0" w:line="286" w:lineRule="auto"/>
        <w:rPr>
          <w:sz w:val="20"/>
          <w:szCs w:val="20"/>
          <w:color w:val="auto"/>
        </w:rPr>
      </w:pPr>
      <w:r>
        <w:rPr>
          <w:rFonts w:ascii="Arial" w:cs="Arial" w:eastAsia="Arial" w:hAnsi="Arial"/>
          <w:sz w:val="16"/>
          <w:szCs w:val="16"/>
          <w:i w:val="1"/>
          <w:iCs w:val="1"/>
          <w:color w:val="auto"/>
        </w:rPr>
        <w:t xml:space="preserve">Congressional action. </w:t>
      </w:r>
      <w:r>
        <w:rPr>
          <w:rFonts w:ascii="Arial" w:cs="Arial" w:eastAsia="Arial" w:hAnsi="Arial"/>
          <w:sz w:val="16"/>
          <w:szCs w:val="16"/>
          <w:color w:val="auto"/>
        </w:rPr>
        <w:t>Congress must reauthorize the Higher Education Act on a periodic basis, usually every five to six years,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most recent reauthorization occurred in August 2008. The reauthorized Higher Education Act reauthorized all of the Title IV programs in which we participate, but made numerous revisions to the requirements governing the Title IV programs, including provisions relating to the relationships between institutions and lenders that make student loans, student loan default rates, and the formula for revenue that institutions are permitted to derive from the Title IV programs. In addition, in 2007 Congress enacted legislation that reduces interest rates on certain Title IV loans and government subsidies to lenders that participate in the Title IV programs. In May 2008, Congress enacted additional legislation to attempt to ensure that all eligible students will be able to obtain Title IV loans in the future, and that a sufficient number of lenders will continue to provide Title IV loans. Additional legislation is also pending in Congress. In addition, Congress is currently considering the Student Aid and Fiscal Responsibility Act which, among other things, could eliminate the federally guaranteed student loan program and require all future student loans to be made through the FDL program. We are not in a position to predict with certainty whether any of the pending legislation will be enacted. Although we are approved to participate in the FDL program, because a significant percentage of our revenue is derived from the Title IV programs, any action by Congress that significantly reduces Title IV program funding or our ability or the ability of our students to participate in the Title IV</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34" w:name="page35"/>
    <w:bookmarkEnd w:id="34"/>
    <w:p>
      <w:pPr>
        <w:ind w:right="100"/>
        <w:spacing w:after="0" w:line="302" w:lineRule="auto"/>
        <w:rPr>
          <w:sz w:val="20"/>
          <w:szCs w:val="20"/>
          <w:color w:val="auto"/>
        </w:rPr>
      </w:pPr>
      <w:r>
        <w:rPr>
          <w:rFonts w:ascii="Arial" w:cs="Arial" w:eastAsia="Arial" w:hAnsi="Arial"/>
          <w:sz w:val="16"/>
          <w:szCs w:val="16"/>
          <w:color w:val="auto"/>
        </w:rPr>
        <w:t>programs could increase our costs of compliance, reduce the ability of some students to finance their education at our institution, require us to seek to arrange for other sources of financial aid for our students and materially decrease our student enrollment. In addition, a transition to the FDL program could cause disruptions in the administration of Title IV program loans to our students if we or the Department of Education encounter difficulties with the systems or processes necessary for increased FDL program loans.</w:t>
      </w:r>
    </w:p>
    <w:p>
      <w:pPr>
        <w:spacing w:after="0" w:line="60" w:lineRule="exact"/>
        <w:rPr>
          <w:sz w:val="20"/>
          <w:szCs w:val="20"/>
          <w:color w:val="auto"/>
        </w:rPr>
      </w:pPr>
    </w:p>
    <w:p>
      <w:pPr>
        <w:ind w:right="160" w:firstLine="397"/>
        <w:spacing w:after="0" w:line="259" w:lineRule="auto"/>
        <w:rPr>
          <w:sz w:val="20"/>
          <w:szCs w:val="20"/>
          <w:color w:val="auto"/>
        </w:rPr>
      </w:pPr>
      <w:r>
        <w:rPr>
          <w:rFonts w:ascii="Arial" w:cs="Arial" w:eastAsia="Arial" w:hAnsi="Arial"/>
          <w:sz w:val="18"/>
          <w:szCs w:val="18"/>
          <w:color w:val="auto"/>
        </w:rPr>
        <w:t>In addition, Congress must determine the funding levels for the Title IV programs on an annual basis through the budget and appropriations process, and may adjust those levels at other times. A reduction in federal funding levels for the Title IV programs could reduce the ability of some of our students to finance their education. The loss of or a significant reduction in Title IV program funds available to our students could reduce our enrollments and revenue.</w:t>
      </w:r>
    </w:p>
    <w:p>
      <w:pPr>
        <w:spacing w:after="0" w:line="92" w:lineRule="exact"/>
        <w:rPr>
          <w:sz w:val="20"/>
          <w:szCs w:val="20"/>
          <w:color w:val="auto"/>
        </w:rPr>
      </w:pPr>
    </w:p>
    <w:p>
      <w:pPr>
        <w:ind w:firstLine="397"/>
        <w:spacing w:after="0" w:line="289" w:lineRule="auto"/>
        <w:rPr>
          <w:sz w:val="20"/>
          <w:szCs w:val="20"/>
          <w:color w:val="auto"/>
        </w:rPr>
      </w:pPr>
      <w:r>
        <w:rPr>
          <w:rFonts w:ascii="Arial" w:cs="Arial" w:eastAsia="Arial" w:hAnsi="Arial"/>
          <w:sz w:val="16"/>
          <w:szCs w:val="16"/>
          <w:i w:val="1"/>
          <w:iCs w:val="1"/>
          <w:color w:val="auto"/>
        </w:rPr>
        <w:t xml:space="preserve">Pending regulatory changes. </w:t>
      </w:r>
      <w:r>
        <w:rPr>
          <w:rFonts w:ascii="Arial" w:cs="Arial" w:eastAsia="Arial" w:hAnsi="Arial"/>
          <w:sz w:val="16"/>
          <w:szCs w:val="16"/>
          <w:color w:val="auto"/>
        </w:rPr>
        <w:t>In connection with the 2008 reauthorization of the Higher Education Act, Congress directed the</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 of Education to promulgate regulations to clarify and carry out the numerous revisions made in such reauthorization. In December 2008, the Department of Education established five negotiated rulemaking committees to begin to work on developing such regulations. Negotiated rulemaking is a process whereby the Department of Education consults with members of the postsecondary education community to identify issues of concern and attempts to agree on proposed regulatory revisions to address those issues before the Department of Education formally proposes any regulations. If the Department of Education and negotiators cannot reach consensus on their entire package of draft regulations, the Department of Education is authorized to propose regulations without being bound by any agreements made in the negotiation process. The five negotiated rulemaking committees established by the Department of Education were divided as follows, based on the regulatory issues to be covered by each committee:</w:t>
      </w:r>
    </w:p>
    <w:p>
      <w:pPr>
        <w:spacing w:after="0" w:line="7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Committee I — Lender and General Loan Issues</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Committee II — School-Based Loan Issues</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Committee III — Accreditation</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Committee IV — Discretionary Grants</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Committee V — General and Non-Loan Programmatic Issues</w:t>
      </w:r>
    </w:p>
    <w:p>
      <w:pPr>
        <w:spacing w:after="0" w:line="131" w:lineRule="exact"/>
        <w:rPr>
          <w:sz w:val="20"/>
          <w:szCs w:val="20"/>
          <w:color w:val="auto"/>
        </w:rPr>
      </w:pPr>
    </w:p>
    <w:p>
      <w:pPr>
        <w:ind w:right="120" w:firstLine="397"/>
        <w:spacing w:after="0" w:line="255" w:lineRule="auto"/>
        <w:rPr>
          <w:sz w:val="20"/>
          <w:szCs w:val="20"/>
          <w:color w:val="auto"/>
        </w:rPr>
      </w:pPr>
      <w:r>
        <w:rPr>
          <w:rFonts w:ascii="Arial" w:cs="Arial" w:eastAsia="Arial" w:hAnsi="Arial"/>
          <w:sz w:val="18"/>
          <w:szCs w:val="18"/>
          <w:color w:val="auto"/>
        </w:rPr>
        <w:t>In July and August 2009, the Department of Education proposed and invited public comment on regulations relating to the issues covered by Committees I, II, and III, each of which reached consensus, and issues covered by Committee V, which did not reach consensus. The Department of Education has yet to propose regulations with regard to the topics covered by Committee IV, but the Department of Education is expected to issue such proposed regulations in the near future. Following review and consideration of any public comments, the Department of Education will publish final regulations relating to the issues covered by the negotiated rulemaking committees. If such final regulations are published by November 1, 2009, which is expected, such new regulations will take effect on July 1, 2010.</w:t>
      </w:r>
    </w:p>
    <w:p>
      <w:pPr>
        <w:spacing w:after="0" w:line="95" w:lineRule="exact"/>
        <w:rPr>
          <w:sz w:val="20"/>
          <w:szCs w:val="20"/>
          <w:color w:val="auto"/>
        </w:rPr>
      </w:pPr>
    </w:p>
    <w:p>
      <w:pPr>
        <w:ind w:right="20" w:firstLine="397"/>
        <w:spacing w:after="0" w:line="270" w:lineRule="auto"/>
        <w:rPr>
          <w:sz w:val="20"/>
          <w:szCs w:val="20"/>
          <w:color w:val="auto"/>
        </w:rPr>
      </w:pPr>
      <w:r>
        <w:rPr>
          <w:rFonts w:ascii="Arial" w:cs="Arial" w:eastAsia="Arial" w:hAnsi="Arial"/>
          <w:sz w:val="17"/>
          <w:szCs w:val="17"/>
          <w:color w:val="auto"/>
        </w:rPr>
        <w:t>In May 2009, the Department of Education announced its intent to initiate another round of negotiated rulemaking to address regulations to improve the administration of the Title IV programs. The Department of Education has not yet identified the participants in this next round of negotiated rulemaking, but the process is expected to begin as soon as the fall of 2009, and is expected to address a number of significant issues, including: compensation paid by institutions to persons or entities engaged in student recruiting or admission activities; the determination of satisfactory academic progress under different academic calendars; state authorization as a component of institutional eligibility; the definition of a credit hour for purposes of determining program eligibility status, particularly in the context of awarding Pell Grants; verification of information included on student aid applications; and the definition of a high school diploma as a condition of a student’s receipt of Title IV aid. We are still assessing the impact of these proposed regulations and the upcoming negotiated rulemaking on our financial aid policies and other plans and strategies.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35" w:name="page36"/>
    <w:bookmarkEnd w:id="35"/>
    <w:p>
      <w:pPr>
        <w:ind w:right="40" w:firstLine="397"/>
        <w:spacing w:after="0" w:line="268" w:lineRule="auto"/>
        <w:rPr>
          <w:sz w:val="20"/>
          <w:szCs w:val="20"/>
          <w:color w:val="auto"/>
        </w:rPr>
      </w:pPr>
      <w:r>
        <w:rPr>
          <w:rFonts w:ascii="Arial" w:cs="Arial" w:eastAsia="Arial" w:hAnsi="Arial"/>
          <w:sz w:val="17"/>
          <w:szCs w:val="17"/>
          <w:i w:val="1"/>
          <w:iCs w:val="1"/>
          <w:color w:val="auto"/>
        </w:rPr>
        <w:t xml:space="preserve">Eligibility and certification procedures. </w:t>
      </w:r>
      <w:r>
        <w:rPr>
          <w:rFonts w:ascii="Arial" w:cs="Arial" w:eastAsia="Arial" w:hAnsi="Arial"/>
          <w:sz w:val="17"/>
          <w:szCs w:val="17"/>
          <w:color w:val="auto"/>
        </w:rPr>
        <w:t>Each institution must apply periodically to the Department of Education for 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certification to participate in the Title IV programs. 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91" w:lineRule="exact"/>
        <w:rPr>
          <w:sz w:val="20"/>
          <w:szCs w:val="20"/>
          <w:color w:val="auto"/>
        </w:rPr>
      </w:pPr>
    </w:p>
    <w:p>
      <w:pPr>
        <w:ind w:firstLine="397"/>
        <w:spacing w:after="0" w:line="267" w:lineRule="auto"/>
        <w:rPr>
          <w:sz w:val="20"/>
          <w:szCs w:val="20"/>
          <w:color w:val="auto"/>
        </w:rPr>
      </w:pPr>
      <w:r>
        <w:rPr>
          <w:rFonts w:ascii="Arial" w:cs="Arial" w:eastAsia="Arial" w:hAnsi="Arial"/>
          <w:sz w:val="17"/>
          <w:szCs w:val="17"/>
          <w:color w:val="auto"/>
        </w:rPr>
        <w:t xml:space="preserve">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Since June 2008, we have filed updates with the Department of Education and communicated with Department of Education personnel in order to update our pending recertification application with relevant information, such as our status as a publicly-traded corporation and the identity of the members of our board of directors. Based on our provisional certification, the Department of Education may more closely review any application we may file for recertification, new locations, new educational programs, acquisitions of other schools, or other significant changes.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 For the foreseeable future, we do not have plans to initiate new educational programs, acquire other schools, or make other significant changes in our operations that would require approval of the Department of Education. Accordingly, we do not believe that our continued provisional certification on a month-to-month basis has had or will have any material impact on our day-to-day operations. However, there can be no assurance that the Department of Education will recertify us while the investigation by the Office of Inspector General of the Department of Education is being conducted, while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is pending, or at all, or that it will not impose restrictions as a condition of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that could be similar to, or more or less restrictive than, the restrictions that the Department of Education imposed on us in connection with our recertification in 2005. Any of these outcomes would have a material adverse effect on our enrollments and us.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36" w:name="page37"/>
    <w:bookmarkEnd w:id="36"/>
    <w:p>
      <w:pPr>
        <w:ind w:right="300" w:firstLine="397"/>
        <w:spacing w:after="0" w:line="264" w:lineRule="auto"/>
        <w:rPr>
          <w:sz w:val="20"/>
          <w:szCs w:val="20"/>
          <w:color w:val="auto"/>
        </w:rPr>
      </w:pPr>
      <w:r>
        <w:rPr>
          <w:rFonts w:ascii="Arial" w:cs="Arial" w:eastAsia="Arial" w:hAnsi="Arial"/>
          <w:sz w:val="18"/>
          <w:szCs w:val="18"/>
          <w:i w:val="1"/>
          <w:iCs w:val="1"/>
          <w:color w:val="auto"/>
        </w:rPr>
        <w:t xml:space="preserve">Administrative capability. </w:t>
      </w:r>
      <w:r>
        <w:rPr>
          <w:rFonts w:ascii="Arial" w:cs="Arial" w:eastAsia="Arial" w:hAnsi="Arial"/>
          <w:sz w:val="18"/>
          <w:szCs w:val="18"/>
          <w:color w:val="auto"/>
        </w:rPr>
        <w:t>Department of Education regulations specify extensive criteria by which an institution must establish</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has the requisite “administrative capability” to participate in the Title IV programs. To meet the administrative capability standards, an institution must, among other things:</w:t>
      </w:r>
    </w:p>
    <w:p>
      <w:pPr>
        <w:spacing w:after="0" w:line="87" w:lineRule="exact"/>
        <w:rPr>
          <w:sz w:val="20"/>
          <w:szCs w:val="20"/>
          <w:color w:val="auto"/>
        </w:rPr>
      </w:pPr>
    </w:p>
    <w:p>
      <w:pPr>
        <w:ind w:left="1000" w:hanging="211"/>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the Title IV programs;</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have student loan cohort default rates above specified levels;</w:t>
      </w:r>
    </w:p>
    <w:p>
      <w:pPr>
        <w:spacing w:after="0" w:line="117" w:lineRule="exact"/>
        <w:rPr>
          <w:rFonts w:ascii="Arial" w:cs="Arial" w:eastAsia="Arial" w:hAnsi="Arial"/>
          <w:sz w:val="18"/>
          <w:szCs w:val="18"/>
          <w:color w:val="auto"/>
        </w:rPr>
      </w:pPr>
    </w:p>
    <w:p>
      <w:pPr>
        <w:ind w:left="1000" w:right="320" w:hanging="211"/>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various procedures in place for awarding, disbursing and safeguarding Title IV funds and for maintaining required records;</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 the Title IV programs with adequate checks and balances in its system of internal controls;</w:t>
      </w:r>
    </w:p>
    <w:p>
      <w:pPr>
        <w:spacing w:after="0" w:line="117" w:lineRule="exact"/>
        <w:rPr>
          <w:rFonts w:ascii="Arial" w:cs="Arial" w:eastAsia="Arial" w:hAnsi="Arial"/>
          <w:sz w:val="18"/>
          <w:szCs w:val="18"/>
          <w:color w:val="auto"/>
        </w:rPr>
      </w:pPr>
    </w:p>
    <w:p>
      <w:pPr>
        <w:ind w:left="1000" w:right="580" w:hanging="211"/>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financial aid counseling to its students;</w:t>
      </w:r>
    </w:p>
    <w:p>
      <w:pPr>
        <w:spacing w:after="0" w:line="117" w:lineRule="exact"/>
        <w:rPr>
          <w:rFonts w:ascii="Arial" w:cs="Arial" w:eastAsia="Arial" w:hAnsi="Arial"/>
          <w:sz w:val="18"/>
          <w:szCs w:val="18"/>
          <w:color w:val="auto"/>
        </w:rPr>
      </w:pPr>
    </w:p>
    <w:p>
      <w:pPr>
        <w:jc w:val="both"/>
        <w:ind w:left="1000" w:right="300" w:hanging="211"/>
        <w:spacing w:after="0" w:line="264"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73" w:lineRule="exact"/>
        <w:rPr>
          <w:rFonts w:ascii="Arial" w:cs="Arial" w:eastAsia="Arial" w:hAnsi="Arial"/>
          <w:sz w:val="18"/>
          <w:szCs w:val="18"/>
          <w:color w:val="auto"/>
        </w:rPr>
      </w:pPr>
    </w:p>
    <w:p>
      <w:pPr>
        <w:ind w:left="1000" w:hanging="211"/>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 all required reports and financial statements in a timely manner; and</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If an institution fails to satisfy any of these criteria, the Department of Education may:</w:t>
      </w:r>
    </w:p>
    <w:p>
      <w:pPr>
        <w:spacing w:after="0" w:line="131" w:lineRule="exact"/>
        <w:rPr>
          <w:sz w:val="20"/>
          <w:szCs w:val="20"/>
          <w:color w:val="auto"/>
        </w:rPr>
      </w:pPr>
    </w:p>
    <w:p>
      <w:pPr>
        <w:ind w:left="1000" w:hanging="211"/>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the institution to repay Title IV funds its students previously received;</w:t>
      </w:r>
    </w:p>
    <w:p>
      <w:pPr>
        <w:spacing w:after="0" w:line="117" w:lineRule="exact"/>
        <w:rPr>
          <w:rFonts w:ascii="Arial" w:cs="Arial" w:eastAsia="Arial" w:hAnsi="Arial"/>
          <w:sz w:val="18"/>
          <w:szCs w:val="18"/>
          <w:color w:val="auto"/>
        </w:rPr>
      </w:pPr>
    </w:p>
    <w:p>
      <w:pPr>
        <w:ind w:left="1000" w:right="200" w:hanging="211"/>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the institution from the advance method of payment of Title IV funds to heightened cash monitoring status or the reimbursement system of payment;</w:t>
      </w:r>
    </w:p>
    <w:p>
      <w:pPr>
        <w:spacing w:after="0" w:line="62" w:lineRule="exact"/>
        <w:rPr>
          <w:rFonts w:ascii="Arial" w:cs="Arial" w:eastAsia="Arial" w:hAnsi="Arial"/>
          <w:sz w:val="18"/>
          <w:szCs w:val="18"/>
          <w:color w:val="auto"/>
        </w:rPr>
      </w:pPr>
    </w:p>
    <w:p>
      <w:pPr>
        <w:ind w:left="1000" w:hanging="211"/>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place the institution on provisional certification status; or</w:t>
      </w:r>
    </w:p>
    <w:p>
      <w:pPr>
        <w:spacing w:after="0" w:line="117" w:lineRule="exact"/>
        <w:rPr>
          <w:rFonts w:ascii="Arial" w:cs="Arial" w:eastAsia="Arial" w:hAnsi="Arial"/>
          <w:sz w:val="18"/>
          <w:szCs w:val="18"/>
          <w:color w:val="auto"/>
        </w:rPr>
      </w:pPr>
    </w:p>
    <w:p>
      <w:pPr>
        <w:ind w:left="1000" w:right="440" w:hanging="211"/>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commence a proceeding to impose a fine or to limit, suspend or terminate the institution’s participation in the Title IV programs.</w:t>
      </w:r>
    </w:p>
    <w:p>
      <w:pPr>
        <w:spacing w:after="0" w:line="76" w:lineRule="exact"/>
        <w:rPr>
          <w:sz w:val="20"/>
          <w:szCs w:val="20"/>
          <w:color w:val="auto"/>
        </w:rPr>
      </w:pPr>
    </w:p>
    <w:p>
      <w:pPr>
        <w:ind w:firstLine="397"/>
        <w:spacing w:after="0" w:line="268" w:lineRule="auto"/>
        <w:rPr>
          <w:sz w:val="20"/>
          <w:szCs w:val="20"/>
          <w:color w:val="auto"/>
        </w:rPr>
      </w:pPr>
      <w:r>
        <w:rPr>
          <w:rFonts w:ascii="Arial" w:cs="Arial" w:eastAsia="Arial" w:hAnsi="Arial"/>
          <w:sz w:val="17"/>
          <w:szCs w:val="17"/>
          <w:color w:val="auto"/>
        </w:rPr>
        <w:t>The Department of Education also recently published proposed revisions to the administrative capability regulations. These revisions include provisions related to (i) reporting to the Department of Education any reasonable reimbursements paid or provided by a lender to institutional employees with loan or other financial aid responsibilities and (ii) implementation of the new three year cohort default rate rules. Following review of any comments, the Department of Education will publish final regulations. If such final regulations are published by November 1, 2009, which is expected, such new regulations will be effective on July 1, 2010. We will have to make certain administrative and reporting changes to adapt our systems and practices to meet the requirements of these new regulations when they take effect, and we are still assessing the other potential impacts, if any, of these proposed regulations on our business. In addition, as part of our transition from a “term-based” financial aid system (where all students, including online students, begin programs and are eligible to receive financial aid at periodic start dates pursuant to a calendar-based term system) to a “borrower-based” financial aid system (where each student may begin a program and be eligible to receive financial aid at any time throughout the year), we are converting our back office system from Datatel to a series of programs developed by Campus Management Corp., including CampusVue and CampusPortal. This conversion is intended to allow us to manage our non-traditional online students with greater ease and flexibility by providing for rolling and flexible start dates. If we do not effectively implement this system or if the system does not operate as intended, it could affect our ability to comply with the Department of Education’s administrative capability requirements. If we are found not to have satisfied the Department of</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Education’s administrative capability requirements, our students could lose, or be limited in their access to, Title IV program funding.</w:t>
      </w:r>
    </w:p>
    <w:p>
      <w:pPr>
        <w:spacing w:after="0" w:line="154" w:lineRule="exact"/>
        <w:rPr>
          <w:sz w:val="20"/>
          <w:szCs w:val="20"/>
          <w:color w:val="auto"/>
        </w:rPr>
      </w:pPr>
    </w:p>
    <w:p>
      <w:pPr>
        <w:ind w:right="80" w:firstLine="397"/>
        <w:spacing w:after="0" w:line="293" w:lineRule="auto"/>
        <w:rPr>
          <w:sz w:val="20"/>
          <w:szCs w:val="20"/>
          <w:color w:val="auto"/>
        </w:rPr>
      </w:pPr>
      <w:r>
        <w:rPr>
          <w:rFonts w:ascii="Arial" w:cs="Arial" w:eastAsia="Arial" w:hAnsi="Arial"/>
          <w:sz w:val="16"/>
          <w:szCs w:val="16"/>
          <w:i w:val="1"/>
          <w:iCs w:val="1"/>
          <w:color w:val="auto"/>
        </w:rPr>
        <w:t xml:space="preserve">Financial responsibility. </w:t>
      </w:r>
      <w:r>
        <w:rPr>
          <w:rFonts w:ascii="Arial" w:cs="Arial" w:eastAsia="Arial" w:hAnsi="Arial"/>
          <w:sz w:val="16"/>
          <w:szCs w:val="16"/>
          <w:color w:val="auto"/>
        </w:rPr>
        <w:t>The Higher Education Act and Department of Education regulations establish extensive standards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responsibility that institutions such as Grand Canyon University must satisfy in order to participate in the Title IV programs. The Department of Education evaluates institutions for compliance with these standards on an annual basis, based on the institution’s annual audited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70" w:lineRule="exact"/>
        <w:rPr>
          <w:sz w:val="20"/>
          <w:szCs w:val="20"/>
          <w:color w:val="auto"/>
        </w:rPr>
      </w:pPr>
    </w:p>
    <w:p>
      <w:pPr>
        <w:ind w:left="1000" w:hanging="211"/>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 ratio, which measures the institution’s capital resources, financial viability and ability to borrow;</w:t>
      </w:r>
    </w:p>
    <w:p>
      <w:pPr>
        <w:spacing w:after="0" w:line="117" w:lineRule="exact"/>
        <w:rPr>
          <w:rFonts w:ascii="Arial" w:cs="Arial" w:eastAsia="Arial" w:hAnsi="Arial"/>
          <w:sz w:val="18"/>
          <w:szCs w:val="18"/>
          <w:color w:val="auto"/>
        </w:rPr>
      </w:pPr>
    </w:p>
    <w:p>
      <w:pPr>
        <w:ind w:left="1000" w:hanging="211"/>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primary reserve ratio, which measures the institution’s ability to support current operations from expendable resources; and</w:t>
      </w:r>
    </w:p>
    <w:p>
      <w:pPr>
        <w:spacing w:after="0" w:line="140" w:lineRule="exact"/>
        <w:rPr>
          <w:rFonts w:ascii="Arial" w:cs="Arial" w:eastAsia="Arial" w:hAnsi="Arial"/>
          <w:sz w:val="16"/>
          <w:szCs w:val="16"/>
          <w:color w:val="auto"/>
        </w:rPr>
      </w:pPr>
    </w:p>
    <w:p>
      <w:pPr>
        <w:ind w:left="1000" w:hanging="211"/>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ratio, which measures the institution’s ability to operate at a profit or within its means.</w:t>
      </w:r>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for the institution’s most recent fiscal year must be at least 1.5 for the institution to be deemed financially responsible without the need for further Department of Education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financial statements.</w:t>
      </w:r>
    </w:p>
    <w:p>
      <w:pPr>
        <w:spacing w:after="0" w:line="72" w:lineRule="exact"/>
        <w:rPr>
          <w:sz w:val="20"/>
          <w:szCs w:val="20"/>
          <w:color w:val="auto"/>
        </w:rPr>
      </w:pPr>
    </w:p>
    <w:p>
      <w:pPr>
        <w:ind w:right="60" w:firstLine="397"/>
        <w:spacing w:after="0" w:line="270" w:lineRule="auto"/>
        <w:rPr>
          <w:sz w:val="20"/>
          <w:szCs w:val="20"/>
          <w:color w:val="auto"/>
        </w:rPr>
      </w:pPr>
      <w:r>
        <w:rPr>
          <w:rFonts w:ascii="Arial" w:cs="Arial" w:eastAsia="Arial" w:hAnsi="Arial"/>
          <w:sz w:val="17"/>
          <w:szCs w:val="17"/>
          <w:color w:val="auto"/>
        </w:rPr>
        <w:t>When we were recertified by the Department of Education in 2005 to continue participating in the Title IV programs, the Department of Education advised us that we did not satisfy its standards of financial responsibility, based on our fiscal year 2004 financial statements, as submitted to the Department of Education.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based upon its review of our fiscal year 2005 financial statements. We have subsequently submitted our fiscal year 2006, 2007, and 2008 financial statements to the Department of Education as required, and we calculated that our composite score for each such fiscal year exceeded 1.5. We therefore believe that we meet the Department of Education’s financial responsibility standards for our most recently completed fiscal year.</w:t>
      </w:r>
    </w:p>
    <w:p>
      <w:pPr>
        <w:spacing w:after="0" w:line="83" w:lineRule="exact"/>
        <w:rPr>
          <w:sz w:val="20"/>
          <w:szCs w:val="20"/>
          <w:color w:val="auto"/>
        </w:rPr>
      </w:pPr>
    </w:p>
    <w:p>
      <w:pPr>
        <w:ind w:firstLine="397"/>
        <w:spacing w:after="0" w:line="272" w:lineRule="auto"/>
        <w:rPr>
          <w:sz w:val="20"/>
          <w:szCs w:val="20"/>
          <w:color w:val="auto"/>
        </w:rPr>
      </w:pPr>
      <w:r>
        <w:rPr>
          <w:rFonts w:ascii="Arial" w:cs="Arial" w:eastAsia="Arial" w:hAnsi="Arial"/>
          <w:sz w:val="17"/>
          <w:szCs w:val="17"/>
          <w:color w:val="auto"/>
        </w:rPr>
        <w:t>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 complying with or accepting other limitations on our ability to increase the number of programs we offer or the number of students we enroll.</w:t>
      </w:r>
    </w:p>
    <w:p>
      <w:pPr>
        <w:spacing w:after="0" w:line="83" w:lineRule="exact"/>
        <w:rPr>
          <w:sz w:val="20"/>
          <w:szCs w:val="20"/>
          <w:color w:val="auto"/>
        </w:rPr>
      </w:pPr>
    </w:p>
    <w:p>
      <w:pPr>
        <w:ind w:right="240" w:firstLine="397"/>
        <w:spacing w:after="0" w:line="264" w:lineRule="auto"/>
        <w:rPr>
          <w:sz w:val="20"/>
          <w:szCs w:val="20"/>
          <w:color w:val="auto"/>
        </w:rPr>
      </w:pPr>
      <w:r>
        <w:rPr>
          <w:rFonts w:ascii="Arial" w:cs="Arial" w:eastAsia="Arial" w:hAnsi="Arial"/>
          <w:sz w:val="18"/>
          <w:szCs w:val="18"/>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38" w:name="page39"/>
    <w:bookmarkEnd w:id="38"/>
    <w:p>
      <w:pPr>
        <w:ind w:right="180"/>
        <w:spacing w:after="0" w:line="277" w:lineRule="auto"/>
        <w:rPr>
          <w:sz w:val="20"/>
          <w:szCs w:val="20"/>
          <w:color w:val="auto"/>
        </w:rPr>
      </w:pPr>
      <w:r>
        <w:rPr>
          <w:rFonts w:ascii="Arial" w:cs="Arial" w:eastAsia="Arial" w:hAnsi="Arial"/>
          <w:sz w:val="18"/>
          <w:szCs w:val="18"/>
          <w:color w:val="auto"/>
        </w:rPr>
        <w:t>post a required letter of credit or comply with the alternative bases for establishing financial responsibility, our students could lose their access to Title IV program funding.</w:t>
      </w:r>
    </w:p>
    <w:p>
      <w:pPr>
        <w:spacing w:after="0" w:line="76" w:lineRule="exact"/>
        <w:rPr>
          <w:sz w:val="20"/>
          <w:szCs w:val="20"/>
          <w:color w:val="auto"/>
        </w:rPr>
      </w:pPr>
    </w:p>
    <w:p>
      <w:pPr>
        <w:ind w:right="40" w:firstLine="397"/>
        <w:spacing w:after="0" w:line="287" w:lineRule="auto"/>
        <w:rPr>
          <w:sz w:val="20"/>
          <w:szCs w:val="20"/>
          <w:color w:val="auto"/>
        </w:rPr>
      </w:pPr>
      <w:r>
        <w:rPr>
          <w:rFonts w:ascii="Arial" w:cs="Arial" w:eastAsia="Arial" w:hAnsi="Arial"/>
          <w:sz w:val="16"/>
          <w:szCs w:val="16"/>
          <w:i w:val="1"/>
          <w:iCs w:val="1"/>
          <w:color w:val="auto"/>
        </w:rPr>
        <w:t xml:space="preserve">Return of Title IV funds for students who withdraw. </w:t>
      </w:r>
      <w:r>
        <w:rPr>
          <w:rFonts w:ascii="Arial" w:cs="Arial" w:eastAsia="Arial" w:hAnsi="Arial"/>
          <w:sz w:val="16"/>
          <w:szCs w:val="16"/>
          <w:color w:val="auto"/>
        </w:rPr>
        <w:t>When a student who has received Title IV funds withdraws from school, the</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institution must determine the amount of Title IV program funds the student has “earned.” If the student withdraws during the first 60% of any period of enrollment or payment period, the amount of Title IV program funds that the student has earned is equal to a pro rata portion of the funds the student received or for which the student would otherwise be eligible. If the student withdraws after the 60% threshold, then the student is deemed to have earned 100% of the Title IV program funds he or she received. The institution must return the unearned Title IV program funds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late returns of Title IV program funds for 5% or more of the withdrawn students in the audit sample in the institution’s annual Title IV compliance audit for either of the institution’s two most recent fiscal years or in a Department of Education program review triggers this letter of credit requirement. We did not exceed this 5% threshold in our annual Title IV compliance audit in our 2006, 2007, or 2008 fiscal years.</w:t>
      </w:r>
    </w:p>
    <w:p>
      <w:pPr>
        <w:spacing w:after="0" w:line="74" w:lineRule="exact"/>
        <w:rPr>
          <w:sz w:val="20"/>
          <w:szCs w:val="20"/>
          <w:color w:val="auto"/>
        </w:rPr>
      </w:pPr>
    </w:p>
    <w:p>
      <w:pPr>
        <w:ind w:firstLine="397"/>
        <w:spacing w:after="0" w:line="269" w:lineRule="auto"/>
        <w:rPr>
          <w:sz w:val="20"/>
          <w:szCs w:val="20"/>
          <w:color w:val="auto"/>
        </w:rPr>
      </w:pPr>
      <w:r>
        <w:rPr>
          <w:rFonts w:ascii="Arial" w:cs="Arial" w:eastAsia="Arial" w:hAnsi="Arial"/>
          <w:sz w:val="17"/>
          <w:szCs w:val="17"/>
          <w:i w:val="1"/>
          <w:iCs w:val="1"/>
          <w:color w:val="auto"/>
        </w:rPr>
        <w:t xml:space="preserve">The “90/10 Rule.” </w:t>
      </w:r>
      <w:r>
        <w:rPr>
          <w:rFonts w:ascii="Arial" w:cs="Arial" w:eastAsia="Arial" w:hAnsi="Arial"/>
          <w:sz w:val="17"/>
          <w:szCs w:val="17"/>
          <w:color w:val="auto"/>
        </w:rPr>
        <w:t>A requirement of the Higher Education Act, commonly referred to as the “90/10 Rule,” that is applicable only</w:t>
      </w:r>
      <w:r>
        <w:rPr>
          <w:rFonts w:ascii="Arial" w:cs="Arial" w:eastAsia="Arial" w:hAnsi="Arial"/>
          <w:sz w:val="17"/>
          <w:szCs w:val="17"/>
          <w:i w:val="1"/>
          <w:iCs w:val="1"/>
          <w:color w:val="auto"/>
        </w:rPr>
        <w:t xml:space="preserve"> </w:t>
      </w:r>
      <w:r>
        <w:rPr>
          <w:rFonts w:ascii="Arial" w:cs="Arial" w:eastAsia="Arial" w:hAnsi="Arial"/>
          <w:sz w:val="17"/>
          <w:szCs w:val="17"/>
          <w:color w:val="auto"/>
        </w:rPr>
        <w:t>to for-profit, postsecondary educational institutions like us, provides that an institution loses its eligibility to participate in the Title IV programs, if, under a complex regulatory formula that requires cash basis accounting and other adjustments to the calculation of revenue, the institution derives more than 90% of its revenues for each of two consecutive fiscal years from Title IV program funds. This rule provides that an institution that violates this revenue limit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period of ineligibility, the institution will be required to return those funds to the applicable lender or the Department of Education. If an institution’s rate exceeds 90% for any single fiscal year, it will be placed on provisional certification for at least two fiscal years. The August 2008 reauthorization of the Higher Education Act included significant revisions to the “90/10 Rule” that became effective upon the date of the law’s enactment.</w:t>
      </w:r>
    </w:p>
    <w:p>
      <w:pPr>
        <w:spacing w:after="0" w:line="88" w:lineRule="exact"/>
        <w:rPr>
          <w:sz w:val="20"/>
          <w:szCs w:val="20"/>
          <w:color w:val="auto"/>
        </w:rPr>
      </w:pPr>
    </w:p>
    <w:p>
      <w:pPr>
        <w:ind w:right="20" w:firstLine="397"/>
        <w:spacing w:after="0" w:line="284" w:lineRule="auto"/>
        <w:rPr>
          <w:sz w:val="20"/>
          <w:szCs w:val="20"/>
          <w:color w:val="auto"/>
        </w:rPr>
      </w:pPr>
      <w:r>
        <w:rPr>
          <w:rFonts w:ascii="Arial" w:cs="Arial" w:eastAsia="Arial" w:hAnsi="Arial"/>
          <w:sz w:val="16"/>
          <w:szCs w:val="16"/>
          <w:color w:val="auto"/>
        </w:rPr>
        <w:t>Recent changes in federal law that increased Title IV grant and loan limits, and any additional increases in the future, may result in an increase in the revenues we receive from the Title IV programs, which could make it more difficult for us to satisfy the “90/10 Rule.” In addition, economic downturns that adversely affect the employment circumstances of our students or their parents, or that reduce the availability of private loans for our students, could also increase their reliance on Title IV programs. However, such effects may be mitigated by other provisions of the 2008 Higher Education Act reauthorization that allow institutions, when calculating their compliance with this revenue test, to exclude from their Title IV revenues for a three-year period the additional federal student loan amounts that became available through the Unsubsidized Stafford Loan Program starting in July 2008, and to include more non-Title IV revenues, such as revenues from institutional loans under certain circumstances. Using the Department of Education’s formula under the</w:t>
      </w:r>
    </w:p>
    <w:p>
      <w:pPr>
        <w:spacing w:after="0" w:line="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“90/10 Rule” that was in effect prior to the August 2008 reauthorization of the Higher Education Act, for our 2007 and 2008 fiscal years, we derived approximately 74.0% and 78.6%, respectively, of our revenues (calculated on a cash basis) from Title IV program funds. These rates have been reviewed by our financial accounting firm as reflected in the notes to our audited financial statements for each fiscal year. We are reviewing the Department of Education’s proposed regulations and other factors bearing on the trends in our percentage under the 90/10 Rule for our 2009 fiscal year and future years. However, as a result of recent changes in federal law that increased Title IV grant and loan limits, as well as the current economic downturn, which has adversely affected the employment circumstances of our students and their parents and increased their reliance on Title IV programs, we expect the percentage of our revenue that we receive from the Title IV programs to continue to increase in the future, making it more difficult for us to satisfy this requirement.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39" w:name="page40"/>
    <w:bookmarkEnd w:id="39"/>
    <w:p>
      <w:pPr>
        <w:ind w:right="60"/>
        <w:spacing w:after="0" w:line="277" w:lineRule="auto"/>
        <w:rPr>
          <w:sz w:val="20"/>
          <w:szCs w:val="20"/>
          <w:color w:val="auto"/>
        </w:rPr>
      </w:pPr>
      <w:r>
        <w:rPr>
          <w:rFonts w:ascii="Arial" w:cs="Arial" w:eastAsia="Arial" w:hAnsi="Arial"/>
          <w:sz w:val="18"/>
          <w:szCs w:val="18"/>
          <w:color w:val="auto"/>
        </w:rPr>
        <w:t>Exceeding the 90% threshold such that we lost our eligibility to participate in the Title IV programs would have a material adverse effect on our business, prospects, financial condition, and results of operations.</w:t>
      </w:r>
    </w:p>
    <w:p>
      <w:pPr>
        <w:spacing w:after="0" w:line="76" w:lineRule="exact"/>
        <w:rPr>
          <w:sz w:val="20"/>
          <w:szCs w:val="20"/>
          <w:color w:val="auto"/>
        </w:rPr>
      </w:pPr>
    </w:p>
    <w:p>
      <w:pPr>
        <w:ind w:right="60" w:firstLine="397"/>
        <w:spacing w:after="0" w:line="289" w:lineRule="auto"/>
        <w:rPr>
          <w:sz w:val="20"/>
          <w:szCs w:val="20"/>
          <w:color w:val="auto"/>
        </w:rPr>
      </w:pPr>
      <w:r>
        <w:rPr>
          <w:rFonts w:ascii="Arial" w:cs="Arial" w:eastAsia="Arial" w:hAnsi="Arial"/>
          <w:sz w:val="16"/>
          <w:szCs w:val="16"/>
          <w:i w:val="1"/>
          <w:iCs w:val="1"/>
          <w:color w:val="auto"/>
        </w:rPr>
        <w:t xml:space="preserve">Student loan defaults. </w:t>
      </w:r>
      <w:r>
        <w:rPr>
          <w:rFonts w:ascii="Arial" w:cs="Arial" w:eastAsia="Arial" w:hAnsi="Arial"/>
          <w:sz w:val="16"/>
          <w:szCs w:val="16"/>
          <w:color w:val="auto"/>
        </w:rPr>
        <w:t>Under the Higher Education Act, an educational institution may lose its eligibility to participate in some or</w:t>
      </w:r>
      <w:r>
        <w:rPr>
          <w:rFonts w:ascii="Arial" w:cs="Arial" w:eastAsia="Arial" w:hAnsi="Arial"/>
          <w:sz w:val="16"/>
          <w:szCs w:val="16"/>
          <w:i w:val="1"/>
          <w:iCs w:val="1"/>
          <w:color w:val="auto"/>
        </w:rPr>
        <w:t xml:space="preserve"> </w:t>
      </w:r>
      <w:r>
        <w:rPr>
          <w:rFonts w:ascii="Arial" w:cs="Arial" w:eastAsia="Arial" w:hAnsi="Arial"/>
          <w:sz w:val="16"/>
          <w:szCs w:val="16"/>
          <w:color w:val="auto"/>
        </w:rPr>
        <w:t>all of the Title IV programs if defaults by its students on the repayment of their FFEL student loans or Federal Direct Loans exceed certain levels. For each federal fiscal year, the Department of Education calculates a rate of student defaults for each institution (known as a “cohort default rate”). An institution’s cohort default rate for a federal fiscal year historically has been calculated by determining the rate at which borrowers who became subject to their repayment obligation in one federal fiscal year default in that same year or by the end of the following federal fiscal year (the “two-year method”). The reauthorization of the Higher Education Act in 2008 extended the measurement period for cohort default rates so that the rate is calculated by determining the rate at which borrowers who became subject to their repayment obligation in one federal fiscal year default in that same year or by the end of the second following federal fiscal year (the “three-year method”), which is expected to increase cohort default rates for most if not all institutions.</w:t>
      </w:r>
    </w:p>
    <w:p>
      <w:pPr>
        <w:spacing w:after="0" w:line="72" w:lineRule="exact"/>
        <w:rPr>
          <w:sz w:val="20"/>
          <w:szCs w:val="20"/>
          <w:color w:val="auto"/>
        </w:rPr>
      </w:pPr>
    </w:p>
    <w:p>
      <w:pPr>
        <w:ind w:right="100" w:firstLine="397"/>
        <w:spacing w:after="0" w:line="255" w:lineRule="auto"/>
        <w:rPr>
          <w:sz w:val="20"/>
          <w:szCs w:val="20"/>
          <w:color w:val="auto"/>
        </w:rPr>
      </w:pPr>
      <w:r>
        <w:rPr>
          <w:rFonts w:ascii="Arial" w:cs="Arial" w:eastAsia="Arial" w:hAnsi="Arial"/>
          <w:sz w:val="18"/>
          <w:szCs w:val="18"/>
          <w:color w:val="auto"/>
        </w:rPr>
        <w:t>The Department of Education has proposed a regulation indicating that it will begin to implement this extended measurement period for the cohort default rates that will be calculated for loans that enter repayment in federal fiscal year 2009, which is the year that ends on September 30, 2009. The Department of Education has proposed a transition period of three years during which it will calculate two cohort default rates for each institution for each of federal fiscal years 2009, 2010 and 2011, with one such rate measured under the two-year method and the other such rate measured under the three-year method. The cohort default rates for federal fiscal year 2009, 2010 and 2011, as calculated under the new three-year method, are not expected to be published until calendar years 2012, 2013 and 2014.</w:t>
      </w:r>
    </w:p>
    <w:p>
      <w:pPr>
        <w:spacing w:after="0" w:line="95" w:lineRule="exact"/>
        <w:rPr>
          <w:sz w:val="20"/>
          <w:szCs w:val="20"/>
          <w:color w:val="auto"/>
        </w:rPr>
      </w:pPr>
    </w:p>
    <w:p>
      <w:pPr>
        <w:ind w:firstLine="397"/>
        <w:spacing w:after="0" w:line="287" w:lineRule="auto"/>
        <w:rPr>
          <w:sz w:val="20"/>
          <w:szCs w:val="20"/>
          <w:color w:val="auto"/>
        </w:rPr>
      </w:pPr>
      <w:r>
        <w:rPr>
          <w:rFonts w:ascii="Arial" w:cs="Arial" w:eastAsia="Arial" w:hAnsi="Arial"/>
          <w:sz w:val="16"/>
          <w:szCs w:val="16"/>
          <w:color w:val="auto"/>
        </w:rPr>
        <w:t>The Department of Education will apply different legal thresholds to measure an institution’s compliance under each set of rates. If the Department of Education notifies an institution that its cohort default rates exceed 25%, as calculated under the two-year method, for each of its three most recent federal fiscal years, or exceed 30%, as calculated under the three-year method, for each of the three most recent federal fiscal years, the institution’s participation in the FFEL program, the FDL program and the Pell program ends 30 days after that notification, unless the institution appeals that determination in a timely manner on specified grounds and according to specified procedures. In addition, an institution’s participation in the FFEL program and the FDL program ends 30 days after notification by the Department of Education that its most recent cohort default rate, as calculated under either the two-year method or the three-year method,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and for the next two fiscal years. If an institution’s cohort default rate for any single federal fiscal year equals or exceeds 25% under the two-year method, or 30% under the three-year method, the Department of Education may place the institution on provisional certification status.</w:t>
      </w:r>
    </w:p>
    <w:p>
      <w:pPr>
        <w:spacing w:after="0" w:line="74" w:lineRule="exact"/>
        <w:rPr>
          <w:sz w:val="20"/>
          <w:szCs w:val="20"/>
          <w:color w:val="auto"/>
        </w:rPr>
      </w:pPr>
    </w:p>
    <w:p>
      <w:pPr>
        <w:ind w:right="140" w:firstLine="397"/>
        <w:spacing w:after="0" w:line="257" w:lineRule="auto"/>
        <w:rPr>
          <w:sz w:val="20"/>
          <w:szCs w:val="20"/>
          <w:color w:val="auto"/>
        </w:rPr>
      </w:pPr>
      <w:r>
        <w:rPr>
          <w:rFonts w:ascii="Arial" w:cs="Arial" w:eastAsia="Arial" w:hAnsi="Arial"/>
          <w:sz w:val="18"/>
          <w:szCs w:val="18"/>
          <w:color w:val="auto"/>
        </w:rPr>
        <w:t>Our cohort default rates on FFEL program loans for the 2004, 2005 and 2006 federal fiscal years, the three most recent years for which such rates have been calculated, were 1.4%, 1.8% and 1.6%, respectively. Our draft cohort default rate for the 2007 federal fiscal year is 1.4%. We expect our cohort default rate for the 2008 federal fiscal year to increase due primarily to the impact of current economic conditions on our students and former students, although we expect such rate to remain well below the Department of Education’s thresholds.</w:t>
      </w:r>
    </w:p>
    <w:p>
      <w:pPr>
        <w:spacing w:after="0" w:line="94" w:lineRule="exact"/>
        <w:rPr>
          <w:sz w:val="20"/>
          <w:szCs w:val="20"/>
          <w:color w:val="auto"/>
        </w:rPr>
      </w:pPr>
    </w:p>
    <w:p>
      <w:pPr>
        <w:ind w:right="160" w:firstLine="397"/>
        <w:spacing w:after="0" w:line="286" w:lineRule="auto"/>
        <w:rPr>
          <w:sz w:val="20"/>
          <w:szCs w:val="20"/>
          <w:color w:val="auto"/>
        </w:rPr>
      </w:pPr>
      <w:r>
        <w:rPr>
          <w:rFonts w:ascii="Arial" w:cs="Arial" w:eastAsia="Arial" w:hAnsi="Arial"/>
          <w:sz w:val="17"/>
          <w:szCs w:val="17"/>
          <w:color w:val="auto"/>
        </w:rPr>
        <w:t>Our students have begun the process of applying for loans under the FDL program for the fall of 2009. When these loans are disbursed, they will be combined with our students’ FFEL loans in calculating our annual student loan cohort default rate. In such case, the potential sanctions discussed in this section would be based on the combined cohort default rate.</w:t>
      </w:r>
    </w:p>
    <w:p>
      <w:pPr>
        <w:spacing w:after="0" w:line="71"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i w:val="1"/>
          <w:iCs w:val="1"/>
          <w:color w:val="auto"/>
        </w:rPr>
        <w:t xml:space="preserve">Incentive compensation rule. </w:t>
      </w:r>
      <w:r>
        <w:rPr>
          <w:rFonts w:ascii="Arial" w:cs="Arial" w:eastAsia="Arial" w:hAnsi="Arial"/>
          <w:sz w:val="18"/>
          <w:szCs w:val="18"/>
          <w:color w:val="auto"/>
        </w:rPr>
        <w:t>An institution that participates in the Title IV programs may not provide any commission, bonus,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incentive payment based directly or indirectly on success in securing enrollments or financial aid to any person or entity engaged in any student recruitment, admissions, or financial aid awarding activity. The Department of Education’s regulations set forth 12 “safe harbors” which</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40" w:name="page41"/>
    <w:bookmarkEnd w:id="40"/>
    <w:p>
      <w:pPr>
        <w:ind w:right="120"/>
        <w:spacing w:after="0" w:line="254" w:lineRule="auto"/>
        <w:rPr>
          <w:sz w:val="20"/>
          <w:szCs w:val="20"/>
          <w:color w:val="auto"/>
        </w:rPr>
      </w:pPr>
      <w:r>
        <w:rPr>
          <w:rFonts w:ascii="Arial" w:cs="Arial" w:eastAsia="Arial" w:hAnsi="Arial"/>
          <w:sz w:val="18"/>
          <w:szCs w:val="18"/>
          <w:color w:val="auto"/>
        </w:rPr>
        <w:t>describe payments and arrangements that do not violate the incentive compensation rule. The Department of Education’s regulations make clear that the safe harbors are not a complete list of permissible practices under this law. For example,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but the regulations do not address other practices, such as the provision of non-cash awards to enrollment personnel. The restrictions of the incentive compensation rule also extend to any third-party companies that an educational institution contracts with for student recruitment, admissions, or financial aid awarding services. Since 2005, we have engaged Mind Streams, LLC to assist us with student recruitment activities.</w:t>
      </w:r>
    </w:p>
    <w:p>
      <w:pPr>
        <w:spacing w:after="0" w:line="98" w:lineRule="exact"/>
        <w:rPr>
          <w:sz w:val="20"/>
          <w:szCs w:val="20"/>
          <w:color w:val="auto"/>
        </w:rPr>
      </w:pPr>
    </w:p>
    <w:p>
      <w:pPr>
        <w:ind w:right="80" w:firstLine="397"/>
        <w:spacing w:after="0" w:line="291" w:lineRule="auto"/>
        <w:rPr>
          <w:sz w:val="20"/>
          <w:szCs w:val="20"/>
          <w:color w:val="auto"/>
        </w:rPr>
      </w:pPr>
      <w:r>
        <w:rPr>
          <w:rFonts w:ascii="Arial" w:cs="Arial" w:eastAsia="Arial" w:hAnsi="Arial"/>
          <w:sz w:val="16"/>
          <w:szCs w:val="16"/>
          <w:color w:val="auto"/>
        </w:rPr>
        <w:t xml:space="preserve">In recent years, several for-profit education companies have been faced with whistleblower lawsuits, known as “qui tam” cases, brought by current or former employees alleging that their institution had made impermissible incentive payments.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w:t>
      </w:r>
    </w:p>
    <w:p>
      <w:pPr>
        <w:spacing w:after="0" w:line="73" w:lineRule="exact"/>
        <w:rPr>
          <w:sz w:val="20"/>
          <w:szCs w:val="20"/>
          <w:color w:val="auto"/>
        </w:rPr>
      </w:pPr>
    </w:p>
    <w:p>
      <w:pPr>
        <w:ind w:right="40" w:firstLine="397"/>
        <w:spacing w:after="0" w:line="286" w:lineRule="auto"/>
        <w:rPr>
          <w:sz w:val="20"/>
          <w:szCs w:val="20"/>
          <w:color w:val="auto"/>
        </w:rPr>
      </w:pPr>
      <w:r>
        <w:rPr>
          <w:rFonts w:ascii="Arial" w:cs="Arial" w:eastAsia="Arial" w:hAnsi="Arial"/>
          <w:sz w:val="16"/>
          <w:szCs w:val="16"/>
          <w:color w:val="auto"/>
        </w:rPr>
        <w:t xml:space="preserve">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We filed a motion to dismiss this case in November 2008, which was denied by the court in February 2009, and we have continued to vigorously contest this lawsuit.</w:t>
      </w:r>
    </w:p>
    <w:p>
      <w:pPr>
        <w:spacing w:after="0" w:line="74" w:lineRule="exact"/>
        <w:rPr>
          <w:sz w:val="20"/>
          <w:szCs w:val="20"/>
          <w:color w:val="auto"/>
        </w:rPr>
      </w:pPr>
    </w:p>
    <w:p>
      <w:pPr>
        <w:ind w:firstLine="397"/>
        <w:spacing w:after="0" w:line="270" w:lineRule="auto"/>
        <w:rPr>
          <w:sz w:val="20"/>
          <w:szCs w:val="20"/>
          <w:color w:val="auto"/>
        </w:rPr>
      </w:pPr>
      <w:r>
        <w:rPr>
          <w:rFonts w:ascii="Arial" w:cs="Arial" w:eastAsia="Arial" w:hAnsi="Arial"/>
          <w:sz w:val="17"/>
          <w:szCs w:val="17"/>
          <w:color w:val="auto"/>
        </w:rPr>
        <w:t xml:space="preserve">Pursuant to the court’s mandatory scheduling order, we have entered into settlement discussions with respect to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matter with the relator. In connection with such discussions, we are negotiating for a comprehensive settlement that would include, among other things, the resolution by the Office of Inspector General of its investigation. Accordingly, any such settlement would need to be approved not only by the relator, but by the U.S. Department of Justice (which has authority to approve settlements of False Claims Act matters), and the Department of Education. While we cannot assure you that this matter will be settled on terms acceptable to us or at all, we do not believe that any potential settlement, if in the amount (which we believe is generally in the range of other settlements of similar </w:t>
      </w:r>
      <w:r>
        <w:rPr>
          <w:rFonts w:ascii="Arial" w:cs="Arial" w:eastAsia="Arial" w:hAnsi="Arial"/>
          <w:sz w:val="17"/>
          <w:szCs w:val="17"/>
          <w:i w:val="1"/>
          <w:iCs w:val="1"/>
          <w:color w:val="auto"/>
        </w:rPr>
        <w:t>qui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tam </w:t>
      </w:r>
      <w:r>
        <w:rPr>
          <w:rFonts w:ascii="Arial" w:cs="Arial" w:eastAsia="Arial" w:hAnsi="Arial"/>
          <w:sz w:val="17"/>
          <w:szCs w:val="17"/>
          <w:color w:val="auto"/>
        </w:rPr>
        <w:t>litigation against other for-profit education companies) and on the terms currently under discussion, will materially adversely affect</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operations, or liquidity, although any charge taken in connection with such a potential settlement would likely be material to our operating results and cash flow for the periods affected by the charge. If such settlement does not occur, we would continue to vigorously defend this lawsuit.</w:t>
      </w:r>
    </w:p>
    <w:p>
      <w:pPr>
        <w:spacing w:after="0" w:line="83" w:lineRule="exact"/>
        <w:rPr>
          <w:sz w:val="20"/>
          <w:szCs w:val="20"/>
          <w:color w:val="auto"/>
        </w:rPr>
      </w:pPr>
    </w:p>
    <w:p>
      <w:pPr>
        <w:ind w:right="60" w:firstLine="397"/>
        <w:spacing w:after="0" w:line="277" w:lineRule="auto"/>
        <w:rPr>
          <w:sz w:val="20"/>
          <w:szCs w:val="20"/>
          <w:color w:val="auto"/>
        </w:rPr>
      </w:pPr>
      <w:r>
        <w:rPr>
          <w:rFonts w:ascii="Arial" w:cs="Arial" w:eastAsia="Arial" w:hAnsi="Arial"/>
          <w:sz w:val="18"/>
          <w:szCs w:val="18"/>
          <w:color w:val="auto"/>
        </w:rPr>
        <w:t>The Office of Inspector General of the Department of Education is responsible for, among other things, promoting the effectiveness and integrity of the Department of Education’s programs and operations, including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41" w:name="page42"/>
    <w:bookmarkEnd w:id="41"/>
    <w:p>
      <w:pPr>
        <w:ind w:right="20"/>
        <w:spacing w:after="0" w:line="287" w:lineRule="auto"/>
        <w:rPr>
          <w:sz w:val="20"/>
          <w:szCs w:val="20"/>
          <w:color w:val="auto"/>
        </w:rPr>
      </w:pPr>
      <w:r>
        <w:rPr>
          <w:rFonts w:ascii="Arial" w:cs="Arial" w:eastAsia="Arial" w:hAnsi="Arial"/>
          <w:sz w:val="16"/>
          <w:szCs w:val="16"/>
          <w:color w:val="auto"/>
        </w:rPr>
        <w:t>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including matters related to the incentive compensation rule.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The Office of Inspector General’s investigation is focused on whether we have compensated any of our enrollment counselors or managers in a manner that violated the Title IV statutory requirements or the related Department of Education regulations concerning the payment of incentive compensation based on success in securing enrollments or financial aid. We have been cooperating with the Office of Inspector General to facilitate its investigation and have completed production of all requested documents. See “Risk Factors — The Office of Inspector General of the Department of Education has commenced an investigation of Grand Canyon University, which is ongoing and which may result in fines, penalties, other sanctions, and damage to our reputation in the industry.”</w:t>
      </w:r>
    </w:p>
    <w:p>
      <w:pPr>
        <w:spacing w:after="0" w:line="78" w:lineRule="exact"/>
        <w:rPr>
          <w:sz w:val="20"/>
          <w:szCs w:val="20"/>
          <w:color w:val="auto"/>
        </w:rPr>
      </w:pPr>
    </w:p>
    <w:p>
      <w:pPr>
        <w:ind w:right="140" w:firstLine="397"/>
        <w:spacing w:after="0" w:line="279" w:lineRule="auto"/>
        <w:rPr>
          <w:sz w:val="20"/>
          <w:szCs w:val="20"/>
          <w:color w:val="auto"/>
        </w:rPr>
      </w:pPr>
      <w:r>
        <w:rPr>
          <w:rFonts w:ascii="Arial" w:cs="Arial" w:eastAsia="Arial" w:hAnsi="Arial"/>
          <w:sz w:val="17"/>
          <w:szCs w:val="17"/>
          <w:color w:val="auto"/>
        </w:rPr>
        <w:t xml:space="preserve">Any fine or other sanction resulting from the Office of Inspector General investigation or otherwise, or any monetary liability resulting from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could damage our reputation and impose significant costs on us, which could have a material adverse effect on our business, prospects, financial condition, and results of operations. We cannot presently predict the ultimate outcome of the qui tam lawsuit or the Office of Inspector General investigation or any liability or other sanctions that might result.</w:t>
      </w:r>
    </w:p>
    <w:p>
      <w:pPr>
        <w:spacing w:after="0" w:line="77" w:lineRule="exact"/>
        <w:rPr>
          <w:sz w:val="20"/>
          <w:szCs w:val="20"/>
          <w:color w:val="auto"/>
        </w:rPr>
      </w:pPr>
    </w:p>
    <w:p>
      <w:pPr>
        <w:ind w:right="60" w:firstLine="397"/>
        <w:spacing w:after="0" w:line="270" w:lineRule="auto"/>
        <w:rPr>
          <w:sz w:val="20"/>
          <w:szCs w:val="20"/>
          <w:color w:val="auto"/>
        </w:rPr>
      </w:pPr>
      <w:r>
        <w:rPr>
          <w:rFonts w:ascii="Arial" w:cs="Arial" w:eastAsia="Arial" w:hAnsi="Arial"/>
          <w:sz w:val="17"/>
          <w:szCs w:val="17"/>
          <w:color w:val="auto"/>
        </w:rPr>
        <w:t>In May 2009, the Department of Education announced that it was initiating a process to revise its regulations in certain areas, including the regulations implementing the incentive compensation rule. The process will involve convening one or more “negotiated rulemaking” teams composed of various representatives of the postsecondary education community nationally, as well as Department of Education employees, to consider how the current regulations should be revised. The Department of Education has stated that it intends for the committees to be appointed and to begin their work in the fall of 2009. Following a committee’s review and drafting of possible revisions to the incentive compensation regulations, the Department of Education will develop and publish proposed revisions to the regulations, on which members of the public will be invited to provide comments. Following review of any public comments, the Department of Education will publish final new regulations. Under current law, any such revisions to the current incentive compensation regulations would not take effect any earlier than July 1, 2011.</w:t>
      </w:r>
    </w:p>
    <w:p>
      <w:pPr>
        <w:spacing w:after="0" w:line="87" w:lineRule="exact"/>
        <w:rPr>
          <w:sz w:val="20"/>
          <w:szCs w:val="20"/>
          <w:color w:val="auto"/>
        </w:rPr>
      </w:pPr>
    </w:p>
    <w:p>
      <w:pPr>
        <w:ind w:right="60" w:firstLine="397"/>
        <w:spacing w:after="0" w:line="271" w:lineRule="auto"/>
        <w:rPr>
          <w:sz w:val="20"/>
          <w:szCs w:val="20"/>
          <w:color w:val="auto"/>
        </w:rPr>
      </w:pPr>
      <w:r>
        <w:rPr>
          <w:rFonts w:ascii="Arial" w:cs="Arial" w:eastAsia="Arial" w:hAnsi="Arial"/>
          <w:sz w:val="17"/>
          <w:szCs w:val="17"/>
          <w:i w:val="1"/>
          <w:iCs w:val="1"/>
          <w:color w:val="auto"/>
        </w:rPr>
        <w:t xml:space="preserve">Compliance reviews. </w:t>
      </w:r>
      <w:r>
        <w:rPr>
          <w:rFonts w:ascii="Arial" w:cs="Arial" w:eastAsia="Arial" w:hAnsi="Arial"/>
          <w:sz w:val="17"/>
          <w:szCs w:val="17"/>
          <w:color w:val="auto"/>
        </w:rPr>
        <w:t>We are subject to announced and unannounced compliance reviews and audits by various external agencies,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Department of Education, its Office of Inspector General, state licensing agencies, agencies that guarantee FFEL loans, the applicable state approving agencies for financial assistance to veterans,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84" w:lineRule="exact"/>
        <w:rPr>
          <w:sz w:val="20"/>
          <w:szCs w:val="20"/>
          <w:color w:val="auto"/>
        </w:rPr>
      </w:pPr>
    </w:p>
    <w:p>
      <w:pPr>
        <w:ind w:firstLine="397"/>
        <w:spacing w:after="0" w:line="289" w:lineRule="auto"/>
        <w:rPr>
          <w:sz w:val="20"/>
          <w:szCs w:val="20"/>
          <w:color w:val="auto"/>
        </w:rPr>
      </w:pPr>
      <w:r>
        <w:rPr>
          <w:rFonts w:ascii="Arial" w:cs="Arial" w:eastAsia="Arial" w:hAnsi="Arial"/>
          <w:sz w:val="16"/>
          <w:szCs w:val="16"/>
          <w:i w:val="1"/>
          <w:iCs w:val="1"/>
          <w:color w:val="auto"/>
        </w:rPr>
        <w:t xml:space="preserve">Privacy of student records. </w:t>
      </w:r>
      <w:r>
        <w:rPr>
          <w:rFonts w:ascii="Arial" w:cs="Arial" w:eastAsia="Arial" w:hAnsi="Arial"/>
          <w:sz w:val="16"/>
          <w:szCs w:val="16"/>
          <w:color w:val="auto"/>
        </w:rPr>
        <w:t>The Family Educational Rights and Privacy Act of 1974, or FERPA, and the Department of Education’s</w:t>
      </w:r>
      <w:r>
        <w:rPr>
          <w:rFonts w:ascii="Arial" w:cs="Arial" w:eastAsia="Arial" w:hAnsi="Arial"/>
          <w:sz w:val="16"/>
          <w:szCs w:val="16"/>
          <w:i w:val="1"/>
          <w:iCs w:val="1"/>
          <w:color w:val="auto"/>
        </w:rPr>
        <w:t xml:space="preserve"> </w:t>
      </w:r>
      <w:r>
        <w:rPr>
          <w:rFonts w:ascii="Arial" w:cs="Arial" w:eastAsia="Arial" w:hAnsi="Arial"/>
          <w:sz w:val="16"/>
          <w:szCs w:val="16"/>
          <w:color w:val="auto"/>
        </w:rPr>
        <w:t>FERPA regulations require educational 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42" w:name="page43"/>
    <w:bookmarkEnd w:id="42"/>
    <w:p>
      <w:pPr>
        <w:ind w:right="20"/>
        <w:spacing w:after="0" w:line="290" w:lineRule="auto"/>
        <w:rPr>
          <w:sz w:val="20"/>
          <w:szCs w:val="20"/>
          <w:color w:val="auto"/>
        </w:rPr>
      </w:pPr>
      <w:r>
        <w:rPr>
          <w:rFonts w:ascii="Arial" w:cs="Arial" w:eastAsia="Arial" w:hAnsi="Arial"/>
          <w:sz w:val="16"/>
          <w:szCs w:val="16"/>
          <w:color w:val="auto"/>
        </w:rPr>
        <w:t>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FTC, and be subject to fines or penalties imposed by the FTC. For-profit educational institutions are also subject to the general deceptive practices jurisdiction of the FTC with respect to their collection, use, and disclosure of student information. The institution must also comply with the FTC Red Flags Rule, a section of the federal Fair Credit Reporting Act, that requires the establishment of guidelines and policies regarding identity theft related to student credit accounts.</w:t>
      </w:r>
    </w:p>
    <w:p>
      <w:pPr>
        <w:spacing w:after="0" w:line="72" w:lineRule="exact"/>
        <w:rPr>
          <w:sz w:val="20"/>
          <w:szCs w:val="20"/>
          <w:color w:val="auto"/>
        </w:rPr>
      </w:pPr>
    </w:p>
    <w:p>
      <w:pPr>
        <w:ind w:firstLine="397"/>
        <w:spacing w:after="0" w:line="269" w:lineRule="auto"/>
        <w:rPr>
          <w:sz w:val="20"/>
          <w:szCs w:val="20"/>
          <w:color w:val="auto"/>
        </w:rPr>
      </w:pPr>
      <w:r>
        <w:rPr>
          <w:rFonts w:ascii="Arial" w:cs="Arial" w:eastAsia="Arial" w:hAnsi="Arial"/>
          <w:sz w:val="17"/>
          <w:szCs w:val="17"/>
          <w:i w:val="1"/>
          <w:iCs w:val="1"/>
          <w:color w:val="auto"/>
        </w:rPr>
        <w:t xml:space="preserve">Potential effect of regulatory violations. </w:t>
      </w:r>
      <w:r>
        <w:rPr>
          <w:rFonts w:ascii="Arial" w:cs="Arial" w:eastAsia="Arial" w:hAnsi="Arial"/>
          <w:sz w:val="17"/>
          <w:szCs w:val="17"/>
          <w:color w:val="auto"/>
        </w:rPr>
        <w:t>If we fail to comply with the regulatory standards governing the Title IV programs, the</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Education could impose one or more sanctions, including transferring us to the reimbursement or cash monitoring system of payment, requiring us to repay Title IV program funds, 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Since we are provisionally certified to participate in the Title IV programs on a month-to-month basis, the Department of Education could allow our certification to expire at the end of any month without advance notice and without any formal procedure for review of such action. In addition, the agencies that guarantee FFEL loans for our students could initiate proceedings to limit, suspend, or terminate our eligibility to provide FFEL loans in the event of certain regulatory violations.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88" w:lineRule="exact"/>
        <w:rPr>
          <w:sz w:val="20"/>
          <w:szCs w:val="20"/>
          <w:color w:val="auto"/>
        </w:rPr>
      </w:pPr>
    </w:p>
    <w:p>
      <w:pPr>
        <w:ind w:right="100" w:firstLine="397"/>
        <w:spacing w:after="0" w:line="270" w:lineRule="auto"/>
        <w:rPr>
          <w:sz w:val="20"/>
          <w:szCs w:val="20"/>
          <w:color w:val="auto"/>
        </w:rPr>
      </w:pPr>
      <w:r>
        <w:rPr>
          <w:rFonts w:ascii="Arial" w:cs="Arial" w:eastAsia="Arial" w:hAnsi="Arial"/>
          <w:sz w:val="17"/>
          <w:szCs w:val="17"/>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have a material adverse effect on our results of operations, even if we could arrange or provide alternative sources of revenue or student financial aid.</w:t>
      </w:r>
    </w:p>
    <w:p>
      <w:pPr>
        <w:spacing w:after="0" w:line="87" w:lineRule="exact"/>
        <w:rPr>
          <w:sz w:val="20"/>
          <w:szCs w:val="20"/>
          <w:color w:val="auto"/>
        </w:rPr>
      </w:pPr>
    </w:p>
    <w:p>
      <w:pPr>
        <w:ind w:right="20" w:firstLine="397"/>
        <w:spacing w:after="0" w:line="286" w:lineRule="auto"/>
        <w:rPr>
          <w:sz w:val="20"/>
          <w:szCs w:val="20"/>
          <w:color w:val="auto"/>
        </w:rPr>
      </w:pPr>
      <w:r>
        <w:rPr>
          <w:rFonts w:ascii="Arial" w:cs="Arial" w:eastAsia="Arial" w:hAnsi="Arial"/>
          <w:sz w:val="17"/>
          <w:szCs w:val="17"/>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71" w:lineRule="exact"/>
        <w:rPr>
          <w:sz w:val="20"/>
          <w:szCs w:val="20"/>
          <w:color w:val="auto"/>
        </w:rPr>
      </w:pPr>
    </w:p>
    <w:p>
      <w:pPr>
        <w:ind w:firstLine="397"/>
        <w:spacing w:after="0" w:line="272" w:lineRule="auto"/>
        <w:rPr>
          <w:sz w:val="20"/>
          <w:szCs w:val="20"/>
          <w:color w:val="auto"/>
        </w:rPr>
      </w:pPr>
      <w:r>
        <w:rPr>
          <w:rFonts w:ascii="Arial" w:cs="Arial" w:eastAsia="Arial" w:hAnsi="Arial"/>
          <w:sz w:val="17"/>
          <w:szCs w:val="17"/>
          <w:i w:val="1"/>
          <w:iCs w:val="1"/>
          <w:color w:val="auto"/>
        </w:rPr>
        <w:t xml:space="preserve">Uncertainties, increased oversight, and changes in student loan environment. </w:t>
      </w:r>
      <w:r>
        <w:rPr>
          <w:rFonts w:ascii="Arial" w:cs="Arial" w:eastAsia="Arial" w:hAnsi="Arial"/>
          <w:sz w:val="17"/>
          <w:szCs w:val="17"/>
          <w:color w:val="auto"/>
        </w:rPr>
        <w:t>Since 2007, student loan programs,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Title IV programs, have come under 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w:t>
      </w:r>
    </w:p>
    <w:p>
      <w:pPr>
        <w:spacing w:after="0" w:line="83" w:lineRule="exact"/>
        <w:rPr>
          <w:sz w:val="20"/>
          <w:szCs w:val="20"/>
          <w:color w:val="auto"/>
        </w:rPr>
      </w:pPr>
    </w:p>
    <w:p>
      <w:pPr>
        <w:jc w:val="both"/>
        <w:ind w:right="260" w:firstLine="397"/>
        <w:spacing w:after="0" w:line="264" w:lineRule="auto"/>
        <w:rPr>
          <w:sz w:val="20"/>
          <w:szCs w:val="20"/>
          <w:color w:val="auto"/>
        </w:rPr>
      </w:pPr>
      <w:r>
        <w:rPr>
          <w:rFonts w:ascii="Arial" w:cs="Arial" w:eastAsia="Arial" w:hAnsi="Arial"/>
          <w:sz w:val="18"/>
          <w:szCs w:val="18"/>
          <w:color w:val="auto"/>
        </w:rPr>
        <w:t>As a result of the increased scrutiny of student loan programs, Congress has passed new laws, the Department of Education has enacted stricter regulations, and several states have adopted codes of conduct or enacted state laws that further regulate the conduct of lenders, schools, and school personnel. These new laws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6" w:right="1059" w:bottom="1440" w:gutter="0" w:footer="0" w:header="0"/>
        </w:sectPr>
      </w:pPr>
    </w:p>
    <w:bookmarkStart w:id="43" w:name="page44"/>
    <w:bookmarkEnd w:id="43"/>
    <w:p>
      <w:pPr>
        <w:ind w:right="80"/>
        <w:spacing w:after="0" w:line="257" w:lineRule="auto"/>
        <w:rPr>
          <w:sz w:val="20"/>
          <w:szCs w:val="20"/>
          <w:color w:val="auto"/>
        </w:rPr>
      </w:pPr>
      <w:r>
        <w:rPr>
          <w:rFonts w:ascii="Arial" w:cs="Arial" w:eastAsia="Arial" w:hAnsi="Arial"/>
          <w:sz w:val="18"/>
          <w:szCs w:val="18"/>
          <w:color w:val="auto"/>
        </w:rPr>
        <w:t>and regulations, among other things, limit schools’ relationships with lenders, restrict the types of services that schools may receive from lenders, prohibit lenders from providing other types of funding to schools in exchange for Title IV loan volume, require schools to provide additional information to students concerning institutionally preferred lenders, and significantly reduce the amount of federal payments to lenders who participate in the Title IV loan programs. In addition, recent adverse market conditions for consumer loans in general have adversely affected the student lending marketplace.</w:t>
      </w:r>
    </w:p>
    <w:p>
      <w:pPr>
        <w:spacing w:after="0" w:line="94" w:lineRule="exact"/>
        <w:rPr>
          <w:sz w:val="20"/>
          <w:szCs w:val="20"/>
          <w:color w:val="auto"/>
        </w:rPr>
      </w:pPr>
    </w:p>
    <w:p>
      <w:pPr>
        <w:ind w:right="40" w:firstLine="397"/>
        <w:spacing w:after="0" w:line="255" w:lineRule="auto"/>
        <w:rPr>
          <w:sz w:val="20"/>
          <w:szCs w:val="20"/>
          <w:color w:val="auto"/>
        </w:rPr>
      </w:pPr>
      <w:r>
        <w:rPr>
          <w:rFonts w:ascii="Arial" w:cs="Arial" w:eastAsia="Arial" w:hAnsi="Arial"/>
          <w:sz w:val="18"/>
          <w:szCs w:val="18"/>
          <w:color w:val="auto"/>
        </w:rPr>
        <w:t>The cumulative impact of these developments and conditions has caused some lenders to cease providing Title IV loans to students, including some lenders that previously provided Title IV loans to our students. Other lenders have reduced the benefits and increased the fees associated with the Title IV loans they do provide. We and other schools have had to modify student loan practices in ways that result in higher administrative costs. If the costs of their Title IV loans increase, some students may decide not to take out loans and not enroll in a postsecondary institution. In May 2008, new federal legislation was enacted to attempt to ensure that all eligible students would be able to obtain Title IV loans in the future and that a sufficient number of lenders would continue to provide Title IV loans. Among other things, that legislation:</w:t>
      </w:r>
    </w:p>
    <w:p>
      <w:pPr>
        <w:spacing w:after="0" w:line="95" w:lineRule="exact"/>
        <w:rPr>
          <w:sz w:val="20"/>
          <w:szCs w:val="20"/>
          <w:color w:val="auto"/>
        </w:rPr>
      </w:pPr>
    </w:p>
    <w:p>
      <w:pPr>
        <w:ind w:left="1000" w:right="80" w:hanging="211"/>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authorized the Department of Education to purchase Title IV loans from lenders, thereby providing capital to the lenders to enable them to continue making Title IV loans to students; and</w:t>
      </w:r>
    </w:p>
    <w:p>
      <w:pPr>
        <w:spacing w:after="0" w:line="62" w:lineRule="exact"/>
        <w:rPr>
          <w:rFonts w:ascii="Arial" w:cs="Arial" w:eastAsia="Arial" w:hAnsi="Arial"/>
          <w:sz w:val="18"/>
          <w:szCs w:val="18"/>
          <w:color w:val="auto"/>
        </w:rPr>
      </w:pPr>
    </w:p>
    <w:p>
      <w:pPr>
        <w:ind w:left="1000" w:right="80" w:hanging="211"/>
        <w:spacing w:after="0" w:line="264"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permitted the Department of Education to designate institutions eligible to participate in a “lender of last resort” program, under which federally recognized student loan guaranty agencies would be required to make Title IV loans to all otherwise eligible students at those institutions.</w:t>
      </w:r>
    </w:p>
    <w:p>
      <w:pPr>
        <w:spacing w:after="0" w:line="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While this legislation appears to have provided some stability to the marketplace for Title IV loans, it is not yet clear if it ultimately will be effective in ensuring students’ access to Title IV loans. The environment surrounding access to and cost of student loans remains in a state of flux. The Department of Education proposed new regulations regarding student loans in July 2009, which could go into effect on July 1, 2010, and Congress is considering legislation to eliminate the FFEL loan program and move all federal student lending into the FDL program. The uncertainty surrounding these issues, and any resolution of these issues that increases loan costs or reduces students’ access to Title IV loans, may adversely affect our student enrollments. Although we are approved to participate in the FDL program,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 each of which could have a material adverse effect on us. In addition, a transition to the FDL program could cause disruptions in the administration of Title IV program loans to our students if we or the Department of Education encounter difficulties with the systems or processes necessary for increased FDL program loans.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Standards that May Restrict Institutional Expansion or Other Changes</w:t>
      </w:r>
    </w:p>
    <w:p>
      <w:pPr>
        <w:spacing w:after="0" w:line="135" w:lineRule="exact"/>
        <w:rPr>
          <w:sz w:val="20"/>
          <w:szCs w:val="20"/>
          <w:color w:val="auto"/>
        </w:rPr>
      </w:pPr>
    </w:p>
    <w:p>
      <w:pPr>
        <w:ind w:right="480" w:firstLine="397"/>
        <w:spacing w:after="0" w:line="277" w:lineRule="auto"/>
        <w:rPr>
          <w:sz w:val="20"/>
          <w:szCs w:val="20"/>
          <w:color w:val="auto"/>
        </w:rPr>
      </w:pPr>
      <w:r>
        <w:rPr>
          <w:rFonts w:ascii="Arial" w:cs="Arial" w:eastAsia="Arial" w:hAnsi="Arial"/>
          <w:sz w:val="18"/>
          <w:szCs w:val="18"/>
          <w:color w:val="auto"/>
        </w:rPr>
        <w:t>Many actions that we may wish to take in connection with expanding our operations or other changes are subject to review or approval by the applicable regulatory agencies.</w:t>
      </w:r>
    </w:p>
    <w:p>
      <w:pPr>
        <w:spacing w:after="0" w:line="76" w:lineRule="exact"/>
        <w:rPr>
          <w:sz w:val="20"/>
          <w:szCs w:val="20"/>
          <w:color w:val="auto"/>
        </w:rPr>
      </w:pPr>
    </w:p>
    <w:p>
      <w:pPr>
        <w:ind w:firstLine="397"/>
        <w:spacing w:after="0" w:line="289" w:lineRule="auto"/>
        <w:rPr>
          <w:sz w:val="20"/>
          <w:szCs w:val="20"/>
          <w:color w:val="auto"/>
        </w:rPr>
      </w:pPr>
      <w:r>
        <w:rPr>
          <w:rFonts w:ascii="Arial" w:cs="Arial" w:eastAsia="Arial" w:hAnsi="Arial"/>
          <w:sz w:val="16"/>
          <w:szCs w:val="16"/>
          <w:i w:val="1"/>
          <w:iCs w:val="1"/>
          <w:color w:val="auto"/>
        </w:rPr>
        <w:t xml:space="preserve">Adding teaching locations, implementing new educational programs, and increasing enrollment. </w:t>
      </w:r>
      <w:r>
        <w:rPr>
          <w:rFonts w:ascii="Arial" w:cs="Arial" w:eastAsia="Arial" w:hAnsi="Arial"/>
          <w:sz w:val="16"/>
          <w:szCs w:val="16"/>
          <w:color w:val="auto"/>
        </w:rPr>
        <w:t>The requirements and standards of</w:t>
      </w:r>
      <w:r>
        <w:rPr>
          <w:rFonts w:ascii="Arial" w:cs="Arial" w:eastAsia="Arial" w:hAnsi="Arial"/>
          <w:sz w:val="16"/>
          <w:szCs w:val="16"/>
          <w:i w:val="1"/>
          <w:iCs w:val="1"/>
          <w:color w:val="auto"/>
        </w:rPr>
        <w:t xml:space="preserve"> </w:t>
      </w:r>
      <w:r>
        <w:rPr>
          <w:rFonts w:ascii="Arial" w:cs="Arial" w:eastAsia="Arial" w:hAnsi="Arial"/>
          <w:sz w:val="16"/>
          <w:szCs w:val="16"/>
          <w:color w:val="auto"/>
        </w:rPr>
        <w:t>state education agencies, accrediting 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 For instance, following applications we filed in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44" w:name="page45"/>
    <w:bookmarkEnd w:id="44"/>
    <w:p>
      <w:pPr>
        <w:ind w:right="300"/>
        <w:spacing w:after="0" w:line="277" w:lineRule="auto"/>
        <w:rPr>
          <w:sz w:val="20"/>
          <w:szCs w:val="20"/>
          <w:color w:val="auto"/>
        </w:rPr>
      </w:pPr>
      <w:r>
        <w:rPr>
          <w:rFonts w:ascii="Arial" w:cs="Arial" w:eastAsia="Arial" w:hAnsi="Arial"/>
          <w:sz w:val="18"/>
          <w:szCs w:val="18"/>
          <w:color w:val="auto"/>
        </w:rPr>
        <w:t>December 2006, we received approval from the Higher Learning Commission and the Arizona State Board for Private Postsecondary Education in March 2008 to add our first doctoral level program.</w:t>
      </w:r>
    </w:p>
    <w:p>
      <w:pPr>
        <w:spacing w:after="0" w:line="76" w:lineRule="exact"/>
        <w:rPr>
          <w:sz w:val="20"/>
          <w:szCs w:val="20"/>
          <w:color w:val="auto"/>
        </w:rPr>
      </w:pPr>
    </w:p>
    <w:p>
      <w:pPr>
        <w:ind w:right="80" w:firstLine="397"/>
        <w:spacing w:after="0" w:line="268" w:lineRule="auto"/>
        <w:rPr>
          <w:sz w:val="20"/>
          <w:szCs w:val="20"/>
          <w:color w:val="auto"/>
        </w:rPr>
      </w:pPr>
      <w:r>
        <w:rPr>
          <w:rFonts w:ascii="Arial" w:cs="Arial" w:eastAsia="Arial" w:hAnsi="Arial"/>
          <w:sz w:val="17"/>
          <w:szCs w:val="17"/>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such as us is not required to obtain the Department of Education’s approval of additional programs that lead to an associate, bachelor’s, professional, or graduate degree at the same degree level as programs previously approved by the Department of Education. Similarly, an institution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to participate in the Title IV programs on a provisional basis, the Department of Education can require prior approval of such programs or otherwise restrict the number of programs an institution may add or the extent to which an institution can modify existing educational programs. If an institution that is required to obtain the Department of Education’s advance approval for the addition of a new program or new location fails to do so, the institution may be liable for repayment of the Title IV program funds received by the institution or students in connection with that program or enrolled at that location.</w:t>
      </w:r>
    </w:p>
    <w:p>
      <w:pPr>
        <w:spacing w:after="0" w:line="93" w:lineRule="exact"/>
        <w:rPr>
          <w:sz w:val="20"/>
          <w:szCs w:val="20"/>
          <w:color w:val="auto"/>
        </w:rPr>
      </w:pPr>
    </w:p>
    <w:p>
      <w:pPr>
        <w:ind w:firstLine="397"/>
        <w:spacing w:after="0" w:line="288" w:lineRule="auto"/>
        <w:rPr>
          <w:sz w:val="20"/>
          <w:szCs w:val="20"/>
          <w:color w:val="auto"/>
        </w:rPr>
      </w:pPr>
      <w:r>
        <w:rPr>
          <w:rFonts w:ascii="Arial" w:cs="Arial" w:eastAsia="Arial" w:hAnsi="Arial"/>
          <w:sz w:val="16"/>
          <w:szCs w:val="16"/>
          <w:i w:val="1"/>
          <w:iCs w:val="1"/>
          <w:color w:val="auto"/>
        </w:rPr>
        <w:t xml:space="preserve">Acquiring other schools. </w:t>
      </w:r>
      <w:r>
        <w:rPr>
          <w:rFonts w:ascii="Arial" w:cs="Arial" w:eastAsia="Arial" w:hAnsi="Arial"/>
          <w:sz w:val="16"/>
          <w:szCs w:val="16"/>
          <w:color w:val="auto"/>
        </w:rPr>
        <w:t>While we have not acquired any other schools in the past, we may seek to do so in the future. The</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 of Education and virtually all state education 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while others only consider approval after the acquisition has occurred. The Higher Learning Commission would require us to obtain its advance approval of such an acquisition.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75" w:lineRule="exact"/>
        <w:rPr>
          <w:sz w:val="20"/>
          <w:szCs w:val="20"/>
          <w:color w:val="auto"/>
        </w:rPr>
      </w:pPr>
    </w:p>
    <w:p>
      <w:pPr>
        <w:ind w:right="220" w:firstLine="397"/>
        <w:spacing w:after="0" w:line="259" w:lineRule="auto"/>
        <w:rPr>
          <w:sz w:val="20"/>
          <w:szCs w:val="20"/>
          <w:color w:val="auto"/>
        </w:rPr>
      </w:pPr>
      <w:r>
        <w:rPr>
          <w:rFonts w:ascii="Arial" w:cs="Arial" w:eastAsia="Arial" w:hAnsi="Arial"/>
          <w:sz w:val="18"/>
          <w:szCs w:val="18"/>
          <w:i w:val="1"/>
          <w:iCs w:val="1"/>
          <w:color w:val="auto"/>
        </w:rPr>
        <w:t xml:space="preserve">Provisional certification. </w:t>
      </w:r>
      <w:r>
        <w:rPr>
          <w:rFonts w:ascii="Arial" w:cs="Arial" w:eastAsia="Arial" w:hAnsi="Arial"/>
          <w:sz w:val="18"/>
          <w:szCs w:val="18"/>
          <w:color w:val="auto"/>
        </w:rPr>
        <w:t>Each institution must apply to the Department of Education for continued certification to participate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Title IV programs at least every six years, or 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92" w:lineRule="exact"/>
        <w:rPr>
          <w:sz w:val="20"/>
          <w:szCs w:val="20"/>
          <w:color w:val="auto"/>
        </w:rPr>
      </w:pPr>
    </w:p>
    <w:p>
      <w:pPr>
        <w:ind w:firstLine="397"/>
        <w:spacing w:after="0" w:line="288" w:lineRule="auto"/>
        <w:rPr>
          <w:sz w:val="20"/>
          <w:szCs w:val="20"/>
          <w:color w:val="auto"/>
        </w:rPr>
      </w:pPr>
      <w:r>
        <w:rPr>
          <w:rFonts w:ascii="Arial" w:cs="Arial" w:eastAsia="Arial" w:hAnsi="Arial"/>
          <w:sz w:val="16"/>
          <w:szCs w:val="16"/>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the acquired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 Students attending provisionally certified institutions remain eligible to receive Title IV program funds.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45" w:name="page46"/>
    <w:bookmarkEnd w:id="45"/>
    <w:p>
      <w:pPr>
        <w:ind w:firstLine="397"/>
        <w:spacing w:after="0" w:line="283" w:lineRule="auto"/>
        <w:rPr>
          <w:sz w:val="20"/>
          <w:szCs w:val="20"/>
          <w:color w:val="auto"/>
        </w:rPr>
      </w:pPr>
      <w:r>
        <w:rPr>
          <w:rFonts w:ascii="Arial" w:cs="Arial" w:eastAsia="Arial" w:hAnsi="Arial"/>
          <w:sz w:val="16"/>
          <w:szCs w:val="16"/>
          <w:color w:val="auto"/>
        </w:rPr>
        <w:t>We are currently provisionally certified to participate in the Title IV programs on a month-to-month basis. The Department of Education issued our current program participation agreement in May 2005, after an extended review following the change in control that occurred in February 2004. The Department of Education’s 2005 recertification imposed certain conditions on us, including a requirement that we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w:t>
      </w:r>
    </w:p>
    <w:p>
      <w:pPr>
        <w:spacing w:after="0" w:line="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Title IV programs has been automatically extended on a month-to-month basis until the Department of Education makes its decision. Since June 2008, we have filed updates with the Department of Education and communicated with Department of Education personnel in order to update our pending recertification application with relevant information, such as our status as a publicly-traded corporation after the initial public offering and the identity of the members of our board of directors. There can be no assurance that the Department of Education will recertify us while the investigation by the Office of Inspector General of the Department of Education is being conducted, while the qui tam lawsuit is pending, or at all, or that it will not impose restrictions as a condition of approving our pending recertification application or with respect to any future recertification.</w:t>
      </w:r>
    </w:p>
    <w:p>
      <w:pPr>
        <w:spacing w:after="0" w:line="86"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i w:val="1"/>
          <w:iCs w:val="1"/>
          <w:color w:val="auto"/>
        </w:rPr>
        <w:t xml:space="preserve">Change in ownership resulting in a change in control. </w:t>
      </w:r>
      <w:r>
        <w:rPr>
          <w:rFonts w:ascii="Arial" w:cs="Arial" w:eastAsia="Arial" w:hAnsi="Arial"/>
          <w:sz w:val="18"/>
          <w:szCs w:val="18"/>
          <w:color w:val="auto"/>
        </w:rPr>
        <w:t>The Department of Education and the Higher Learning Commission,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many accrediting commissions and states require institutions of higher education to report or obtain approval of certain changes in control and changes in other aspects of institutional organization or control. The types of and thresholds for such reporting and approval vary among the various regulatory bodies.</w:t>
      </w:r>
    </w:p>
    <w:p>
      <w:pPr>
        <w:spacing w:after="0" w:line="92" w:lineRule="exact"/>
        <w:rPr>
          <w:sz w:val="20"/>
          <w:szCs w:val="20"/>
          <w:color w:val="auto"/>
        </w:rPr>
      </w:pPr>
    </w:p>
    <w:p>
      <w:pPr>
        <w:ind w:right="20" w:firstLine="397"/>
        <w:spacing w:after="0" w:line="267" w:lineRule="auto"/>
        <w:rPr>
          <w:sz w:val="20"/>
          <w:szCs w:val="20"/>
          <w:color w:val="auto"/>
        </w:rPr>
      </w:pPr>
      <w:r>
        <w:rPr>
          <w:rFonts w:ascii="Arial" w:cs="Arial" w:eastAsia="Arial" w:hAnsi="Arial"/>
          <w:sz w:val="17"/>
          <w:szCs w:val="17"/>
          <w:color w:val="auto"/>
        </w:rPr>
        <w:t>Under Department of Education regulations, an institution that undergoes a change in control as defined by the Department of Education loses its eligibility to participate in the Title IV programs and must apply to the Department of Education in order to reestablish such eligibility. In connection with our initial public offering in November 2008, we submitted a description of the offering to the Department of Education, including a description of the voting agreement that forms the basis for the Richardson Voting Group. Based on this description, the Department of Education concluded that our initial public offering did not result in a change in control under the Department of Education’s regulations that were applicable to us before we became a publicly-traded corporation. With respect to publicly-traded corporations, like us, Department of Education regulations provide that a change in control occurs if either: (i) there is an event that would obligate the corporation to file a Current Report on Form 8-K with the SEC disclosing a change in control, or (ii) the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Based on the number of shares of common stock expected to be sold by us and the selling stockholders in this offering, we believe that the Richardson Voting Group will continue to hold voting power with respect to 25% or more of our total outstanding voting stock after the completion of the offering and that this offering will not constitute a change in control under the Department of Education’s regulations. See “Beneficial Ownership of Common Stock.” We have notified the Department of Education of this offering and we plan to initiate further communications with the Department of Education to seek its confirmation that the offering will not constitute a change in control under its standards.</w:t>
      </w:r>
    </w:p>
    <w:p>
      <w:pPr>
        <w:spacing w:after="0" w:line="98" w:lineRule="exact"/>
        <w:rPr>
          <w:sz w:val="20"/>
          <w:szCs w:val="20"/>
          <w:color w:val="auto"/>
        </w:rPr>
      </w:pPr>
    </w:p>
    <w:p>
      <w:pPr>
        <w:ind w:right="280" w:firstLine="397"/>
        <w:spacing w:after="0" w:line="257" w:lineRule="auto"/>
        <w:rPr>
          <w:sz w:val="20"/>
          <w:szCs w:val="20"/>
          <w:color w:val="auto"/>
        </w:rPr>
      </w:pPr>
      <w:r>
        <w:rPr>
          <w:rFonts w:ascii="Arial" w:cs="Arial" w:eastAsia="Arial" w:hAnsi="Arial"/>
          <w:sz w:val="18"/>
          <w:szCs w:val="18"/>
          <w:color w:val="auto"/>
        </w:rPr>
        <w:t>The Higher Learning Commission provides that an institution must obtain its approval in advance of a change in ownership, corporate control or structure in order for the institution to retain its accredited status. In June 2009, the Higher Learning Commission adopted new policies and standards for the review of transactions that may constitute such a change in control. One standard provides that a transaction may be considered a change in control if an individual, entity or group increases or decreases its control of shares to greater than 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46" w:name="page47"/>
    <w:bookmarkEnd w:id="46"/>
    <w:p>
      <w:pPr>
        <w:spacing w:after="0" w:line="268" w:lineRule="auto"/>
        <w:rPr>
          <w:sz w:val="20"/>
          <w:szCs w:val="20"/>
          <w:color w:val="auto"/>
        </w:rPr>
      </w:pPr>
      <w:r>
        <w:rPr>
          <w:rFonts w:ascii="Arial" w:cs="Arial" w:eastAsia="Arial" w:hAnsi="Arial"/>
          <w:sz w:val="17"/>
          <w:szCs w:val="17"/>
          <w:color w:val="auto"/>
        </w:rPr>
        <w:t>less than 25% of the total outstanding shares of the stock of a parent corporation that owns or controls the accredited institution. In addition, in the event of a change in control, the Higher Learning Commission requires the institution to obtain its approval in advance of the change, and in certain circumstances that process may require several weeks or several months or more to complete. In addition, following a change in control, the Higher Learning Commission will conduct an onsite evaluation within six months in order to continue the institution’s accreditation. The Higher Learning Commission did consider our initial public offering in November 2008 to be a change in control under its policies and, while it approved our consummation of the offering, it informed us that it would conduct a site visit to confirm the appropriateness of the approval and to evaluate whether we continue to meet the Higher Learning Commission’s eligibility criteria. The Higher Learning Commission, after conducting its site visit in March 2009, determined, among other things, that the initial public offering was conducted in a manner that did not disrupt our ongoing operations and that no further action would be required as a result of the change in control, and formally approved the change in control in June 2009. Based on the number of shares of common stock expected to be sold by us and the selling stockholders in this offering, we believe that the Richardson Voting Group will continue to hold voting power with respect to 25% or more of our total outstanding voting stock after the completion of the offering and that this offering will not constitute a change in control under the Higher Learning Commission’s policies. See “Beneficial Ownership of Common Stock.” We have submitted a description of this offering to the Higher Learning Commission and requested its confirmation that the offering will not constitute a change in control under its policies and standards, and the Higher Learning Commission has informed us that it is reviewing our inquiry.</w:t>
      </w:r>
    </w:p>
    <w:p>
      <w:pPr>
        <w:spacing w:after="0" w:line="86" w:lineRule="exact"/>
        <w:rPr>
          <w:sz w:val="20"/>
          <w:szCs w:val="20"/>
          <w:color w:val="auto"/>
        </w:rPr>
      </w:pPr>
    </w:p>
    <w:p>
      <w:pPr>
        <w:ind w:firstLine="397"/>
        <w:spacing w:after="0" w:line="284" w:lineRule="auto"/>
        <w:rPr>
          <w:sz w:val="20"/>
          <w:szCs w:val="20"/>
          <w:color w:val="auto"/>
        </w:rPr>
      </w:pPr>
      <w:r>
        <w:rPr>
          <w:rFonts w:ascii="Arial" w:cs="Arial" w:eastAsia="Arial" w:hAnsi="Arial"/>
          <w:sz w:val="16"/>
          <w:szCs w:val="16"/>
          <w:color w:val="auto"/>
        </w:rPr>
        <w:t>Even if this offering will not constitute a change of control under the Department of Education’s regulations or the Higher Learning Commission’s policies, under the terms of the voting agreement with the Richardson Voting Group, if any person party to the voting agreement transfers shares covered by the proxy in registered or open-market sales, the proxy is no longer effective as to such shares. Accordingly, the number of shares over which the Richardson Voting Group will continue to hold voting power will decrease over time as shares held by other parties to the voting agreement are sold, and we may not be aware of these sales since many of the shares subject to the voting agreement are held in “street name.” If at any time in the future, as a result of such future registered or open-market sales, the number of shares over which the Richardson Voting Group holds voting power falls below 25%, a change in control will occur. At that point, with respect to the Department of Education, if we file a timely and materially complete application, the Department of Education may temporarily certify us on a provisional basis following the change in control, so that our students would retain access to Title IV program funds until the Department of Education completes its full review. In addition, the Department of Education will extend our temporary provisional certification if we timely file other required materials, including any approval of the change of control by the Higher Learning Commission and the Arizona State Board for Private Postsecondary Education, as required, and certain required financial information (consisting of our recent SEC filings) showing our financial condition. As a general matter, an institution is required to file the materially complete application within ten business days after the change in control, as measured from the date of the event that constitutes the change in control. The deadline for an institution to timely file the other materials, including the financial documentation, that are required following a change in control is the last day of the month following the month in which the change of control occurs. For an institution that is owned by a publicly traded corporation, like us, a related Department of Education regulation provides that the deadline to notify the Department of Education of a significant change in the distribution of the ownership of the institution is ten days, as measured from the date on which management of the corporation learns of such significant change or, alternatively, the date that the institution notifies its accrediting agency of such change. If the Department of Education were to determine that we failed to meet any of these application and other deadlines, our certification would expire and our students would not be eligible to receive Title IV program funds until the Department of Education completes its full review, which commonly takes several months and may take longer. If the Department of Education approves the application after a change in control, it would normally certify us on a provisional basis for a period of up to approximately three years. The precise conditions and duration of our provisional certification in this circumstance and what restrictions, if any, may be imposed, are difficult to predict because we have been certified on a month-to-month basis for an extended period and are subject to the ongoing investigation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47" w:name="page48"/>
    <w:bookmarkEnd w:id="47"/>
    <w:p>
      <w:pPr>
        <w:ind w:right="700"/>
        <w:spacing w:after="0" w:line="277" w:lineRule="auto"/>
        <w:rPr>
          <w:sz w:val="20"/>
          <w:szCs w:val="20"/>
          <w:color w:val="auto"/>
        </w:rPr>
      </w:pPr>
      <w:r>
        <w:rPr>
          <w:rFonts w:ascii="Arial" w:cs="Arial" w:eastAsia="Arial" w:hAnsi="Arial"/>
          <w:sz w:val="18"/>
          <w:szCs w:val="18"/>
          <w:color w:val="auto"/>
        </w:rPr>
        <w:t xml:space="preserve">by the Office of Inspector General of the Department of Education and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which may affect the Department of Education’s decision regarding the terms to attach when it next renews our certification.</w:t>
      </w:r>
    </w:p>
    <w:p>
      <w:pPr>
        <w:spacing w:after="0" w:line="76" w:lineRule="exact"/>
        <w:rPr>
          <w:sz w:val="20"/>
          <w:szCs w:val="20"/>
          <w:color w:val="auto"/>
        </w:rPr>
      </w:pPr>
    </w:p>
    <w:p>
      <w:pPr>
        <w:ind w:firstLine="397"/>
        <w:spacing w:after="0" w:line="286" w:lineRule="auto"/>
        <w:rPr>
          <w:sz w:val="20"/>
          <w:szCs w:val="20"/>
          <w:color w:val="auto"/>
        </w:rPr>
      </w:pPr>
      <w:r>
        <w:rPr>
          <w:rFonts w:ascii="Arial" w:cs="Arial" w:eastAsia="Arial" w:hAnsi="Arial"/>
          <w:sz w:val="16"/>
          <w:szCs w:val="16"/>
          <w:color w:val="auto"/>
        </w:rPr>
        <w:t>With respect to the Higher Learning Commission, if we anticipate that the number of shares over which the Richardson Voting Group holds voting power will fall below 25% at any time in the future, we would be required to obtain the approval of the Higher Learning Commission before such event occurs. However, because we may be unaware when such event occurs, we would plan to seek the cooperation of the Higher Learning Commission to allow us to arrange an appropriate review procedure at that time since there may not be an opportunity to obtain the Higher Learning Commission’s advance review and approval, as is typically required by its policies. Another policy of the Higher Learning Commission provides that an institution is obligated to provide notice of certain transactions, such as the transfer of stock by an investor, promptly after the institution becomes reasonably knowledgeable of such transaction. This policy suggests that, in certain circumstances, the Higher Learning Commission can adapt its procedures to allow an institution, like us, to provide notice and seek the necessary approval after the institution gains knowledge of an investor transaction such as the sale of shares by other parties to the voting agreement, but there can be no assurance that would be the case with respect to this offering or any such sales of stock that may occur following the completion of this offering. In such a circumstance, we cannot predict whether the Higher Learning Commission would impose any limitations or conditions on us, or identify any compliance issues related to us in the context of the change in control process, that could result in our loss of accreditation by the Higher Learning Commission. Any such loss would result in our loss of eligibility to participate in the Title IV programs and cause a significant decline in our student enrollments.</w:t>
      </w:r>
    </w:p>
    <w:p>
      <w:pPr>
        <w:spacing w:after="0" w:line="77" w:lineRule="exact"/>
        <w:rPr>
          <w:sz w:val="20"/>
          <w:szCs w:val="20"/>
          <w:color w:val="auto"/>
        </w:rPr>
      </w:pPr>
    </w:p>
    <w:p>
      <w:pPr>
        <w:ind w:right="80" w:firstLine="397"/>
        <w:spacing w:after="0" w:line="254" w:lineRule="auto"/>
        <w:rPr>
          <w:sz w:val="20"/>
          <w:szCs w:val="20"/>
          <w:color w:val="auto"/>
        </w:rPr>
      </w:pPr>
      <w:r>
        <w:rPr>
          <w:rFonts w:ascii="Arial" w:cs="Arial" w:eastAsia="Arial" w:hAnsi="Arial"/>
          <w:sz w:val="18"/>
          <w:szCs w:val="18"/>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that is owned by a publicly-traded company whose control is vested in the voting members of the board of directors, such as Grand Canyon Education, undergoes a change in control if 50% or more of the voting members of the board of directors change within a 12-month period or the chief executive officer of the corporation changes. A change in control under the definition of one of the other state agencies that regulate us might require us to obtain approval of the change in control in order to maintain our authorization to operate in that state, and in some cases such states could require us to obtain advance approval of the change in control.</w:t>
      </w:r>
    </w:p>
    <w:p>
      <w:pPr>
        <w:spacing w:after="0" w:line="98" w:lineRule="exact"/>
        <w:rPr>
          <w:sz w:val="20"/>
          <w:szCs w:val="20"/>
          <w:color w:val="auto"/>
        </w:rPr>
      </w:pPr>
    </w:p>
    <w:p>
      <w:pPr>
        <w:ind w:right="20" w:firstLine="397"/>
        <w:spacing w:after="0" w:line="268" w:lineRule="auto"/>
        <w:rPr>
          <w:sz w:val="20"/>
          <w:szCs w:val="20"/>
          <w:color w:val="auto"/>
        </w:rPr>
      </w:pPr>
      <w:r>
        <w:rPr>
          <w:rFonts w:ascii="Arial" w:cs="Arial" w:eastAsia="Arial" w:hAnsi="Arial"/>
          <w:sz w:val="17"/>
          <w:szCs w:val="17"/>
          <w:color w:val="auto"/>
        </w:rPr>
        <w:t>We notified the Arizona State Board for Private Postsecondary Education of our initial public offering and, based on our communications with that agency before and after the consummation of the initial public offering , we do not believe that our initial public offering constituted a change in control under Arizona law that was applicable to us before we were a publicly traded corporation. We believe that this offering will not constitute a change in control under the standards of the Arizona State Board for Private Postsecondary Education that are applicable to publicly-traded companies because it will not result in a change to 50% or more of the voting members of the board of directors in a 12-month period or since the date that we became a publicly-traded corporation, and because it will not result in a change to the chief executive officer of the corporation. If we were to undergo a change in control under the standards of the Arizona State Board of Private Postsecondary Education at any time in the future, we would be required to file an application with the Arizona State Board for Private Postsecondary Education in order to obtain approval for such change in control. We cannot predict whether the Arizona State Board for Private Postsecondary Education would impose any limitations or conditions on us, or identify any compliance issues related to us in the context of the change in control process, that could result in our loss of authorization in Arizona. Any such loss would result in our loss of eligibility to participate in the Title IV programs and cause a significant decline in our student enrollments.</w:t>
      </w:r>
    </w:p>
    <w:p>
      <w:pPr>
        <w:spacing w:after="0" w:line="93" w:lineRule="exact"/>
        <w:rPr>
          <w:sz w:val="20"/>
          <w:szCs w:val="20"/>
          <w:color w:val="auto"/>
        </w:rPr>
      </w:pPr>
    </w:p>
    <w:p>
      <w:pPr>
        <w:ind w:right="180" w:firstLine="397"/>
        <w:spacing w:after="0" w:line="297" w:lineRule="auto"/>
        <w:rPr>
          <w:sz w:val="20"/>
          <w:szCs w:val="20"/>
          <w:color w:val="auto"/>
        </w:rPr>
      </w:pPr>
      <w:r>
        <w:rPr>
          <w:rFonts w:ascii="Arial" w:cs="Arial" w:eastAsia="Arial" w:hAnsi="Arial"/>
          <w:sz w:val="16"/>
          <w:szCs w:val="16"/>
          <w:color w:val="auto"/>
        </w:rPr>
        <w:t>We also notified other accrediting commissions and state agencies, as we believed necessary, of our initial public offering and the reasons why we believed that offering did not constitute a change in control under their respective standards, or to determine what was required if any such commission or agency did consider the offering to constitute a change in control. None of the other accrediting commissions and state agencies that we notified of our initial public offering advised us that it concluded that the offering constituted a change in control under its policies or that it required us to take any further action. We plan to provide each of these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6" w:right="1059" w:bottom="1440" w:gutter="0" w:footer="0" w:header="0"/>
        </w:sectPr>
      </w:pPr>
    </w:p>
    <w:bookmarkStart w:id="48" w:name="page49"/>
    <w:bookmarkEnd w:id="48"/>
    <w:p>
      <w:pPr>
        <w:ind w:right="140"/>
        <w:spacing w:after="0" w:line="257" w:lineRule="auto"/>
        <w:rPr>
          <w:sz w:val="20"/>
          <w:szCs w:val="20"/>
          <w:color w:val="auto"/>
        </w:rPr>
      </w:pPr>
      <w:r>
        <w:rPr>
          <w:rFonts w:ascii="Arial" w:cs="Arial" w:eastAsia="Arial" w:hAnsi="Arial"/>
          <w:sz w:val="18"/>
          <w:szCs w:val="18"/>
          <w:color w:val="auto"/>
        </w:rPr>
        <w:t>other accrediting commissions and state agencies with a notice and description of this offering before the consummation of the offering. We do not believe that any of them will require us to obtain their approval in connection with this offering, but we cannot be certain of that. If this offering were considered a change of control under the standards of any of these commissions or agencies, and we failed to obtain the approval of that commission or agency, we could lose accreditation, state licensure, or be subject to other limitations or penalties.</w:t>
      </w:r>
    </w:p>
    <w:p>
      <w:pPr>
        <w:spacing w:after="0" w:line="94" w:lineRule="exact"/>
        <w:rPr>
          <w:sz w:val="20"/>
          <w:szCs w:val="20"/>
          <w:color w:val="auto"/>
        </w:rPr>
      </w:pPr>
    </w:p>
    <w:p>
      <w:pPr>
        <w:ind w:firstLine="397"/>
        <w:spacing w:after="0" w:line="267" w:lineRule="auto"/>
        <w:rPr>
          <w:sz w:val="20"/>
          <w:szCs w:val="20"/>
          <w:color w:val="auto"/>
        </w:rPr>
      </w:pPr>
      <w:r>
        <w:rPr>
          <w:rFonts w:ascii="Arial" w:cs="Arial" w:eastAsia="Arial" w:hAnsi="Arial"/>
          <w:sz w:val="17"/>
          <w:szCs w:val="17"/>
          <w:i w:val="1"/>
          <w:iCs w:val="1"/>
          <w:color w:val="auto"/>
        </w:rPr>
        <w:t xml:space="preserve">Additional state regulation. </w:t>
      </w:r>
      <w:r>
        <w:rPr>
          <w:rFonts w:ascii="Arial" w:cs="Arial" w:eastAsia="Arial" w:hAnsi="Arial"/>
          <w:sz w:val="17"/>
          <w:szCs w:val="17"/>
          <w:color w:val="auto"/>
        </w:rPr>
        <w:t>Most state education agencies impose regulatory requirements on educational institutions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their boundaries. Some states have sought to assert jurisdiction over out-of-state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addition to Arizona, we have determined that our activities in certain states constitute a presence requiring licensure or authorization under the requirements of the state education agency in those states, and in other states we have obtained approvals as we have determined necessary in connection with our marketing and recruiting activities. We review the licensure requirements of other states when appropriate to determine whether our activities in those states require licensure or authorization by the respective state education agencies. Because state regulatory requirements, including agency interpretations, can change frequently, and because we enroll students from all 50 states and the District of Columbia, we expect we will have to seek licensure or authorization in additional states in the future. If we fail to comply with state licensing or authorization requirements for any state, we may be subject to the loss of state licensure or authorization by that state, or be subject to other sanctions, including restrictions on our activities in that state, fines, and penalties. While we do not believe that any of the states in which we are currently licensed or authorized, other than Arizona, are individually material to our operations, the loss of licensure or authorization in a state other than Arizona could prohibit us from recruiting prospective students or offering services to current students in that state, which could significantly reduce our enrollments.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sectPr>
      <w:pgSz w:w="11900" w:h="16838" w:orient="portrait"/>
      <w:cols w:equalWidth="0" w:num="1">
        <w:col w:w="9920"/>
      </w:cols>
      <w:pgMar w:left="940" w:top="936"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2019-12-11T04:55:40Z</dcterms:created>
  <dcterms:modified xsi:type="dcterms:W3CDTF">2019-12-11T04:55:40Z</dcterms:modified>
</cp:coreProperties>
</file>