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total number of shares of common stock outstanding as of July 27, 2017, was 48,115,342.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6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960" w:type="dxa"/>
            <w:vAlign w:val="bottom"/>
            <w:gridSpan w:val="2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r>
      <w:tr>
        <w:trPr>
          <w:trHeight w:val="515"/>
        </w:trPr>
        <w:tc>
          <w:tcPr>
            <w:tcW w:w="3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40" w:type="dxa"/>
            <w:vAlign w:val="bottom"/>
            <w:gridSpan w:val="7"/>
          </w:tcPr>
          <w:p>
            <w:pPr>
              <w:jc w:val="center"/>
              <w:ind w:right="3660"/>
              <w:spacing w:after="0"/>
              <w:rPr>
                <w:sz w:val="20"/>
                <w:szCs w:val="20"/>
                <w:color w:val="auto"/>
              </w:rPr>
            </w:pPr>
            <w:r>
              <w:rPr>
                <w:rFonts w:ascii="Arial" w:cs="Arial" w:eastAsia="Arial" w:hAnsi="Arial"/>
                <w:sz w:val="18"/>
                <w:szCs w:val="18"/>
                <w:b w:val="1"/>
                <w:bCs w:val="1"/>
                <w:color w:val="auto"/>
              </w:rPr>
              <w:t>GRAND CANYON EDUCATION, INC.</w:t>
            </w:r>
          </w:p>
        </w:tc>
        <w:tc>
          <w:tcPr>
            <w:tcW w:w="4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gridSpan w:val="2"/>
          </w:tcPr>
          <w:p>
            <w:pPr>
              <w:jc w:val="center"/>
              <w:ind w:right="4480"/>
              <w:spacing w:after="0"/>
              <w:rPr>
                <w:sz w:val="20"/>
                <w:szCs w:val="20"/>
                <w:color w:val="auto"/>
              </w:rPr>
            </w:pPr>
            <w:r>
              <w:rPr>
                <w:rFonts w:ascii="Arial" w:cs="Arial" w:eastAsia="Arial" w:hAnsi="Arial"/>
                <w:sz w:val="18"/>
                <w:szCs w:val="18"/>
                <w:b w:val="1"/>
                <w:bCs w:val="1"/>
                <w:color w:val="auto"/>
                <w:w w:val="99"/>
              </w:rPr>
              <w:t>FORM 10-Q</w:t>
            </w:r>
          </w:p>
        </w:tc>
        <w:tc>
          <w:tcPr>
            <w:tcW w:w="4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2"/>
          </w:tcPr>
          <w:p>
            <w:pPr>
              <w:jc w:val="center"/>
              <w:ind w:right="4480"/>
              <w:spacing w:after="0"/>
              <w:rPr>
                <w:sz w:val="20"/>
                <w:szCs w:val="20"/>
                <w:color w:val="auto"/>
              </w:rPr>
            </w:pPr>
            <w:r>
              <w:rPr>
                <w:rFonts w:ascii="Arial" w:cs="Arial" w:eastAsia="Arial" w:hAnsi="Arial"/>
                <w:sz w:val="18"/>
                <w:szCs w:val="18"/>
                <w:b w:val="1"/>
                <w:bCs w:val="1"/>
                <w:color w:val="auto"/>
              </w:rPr>
              <w:t>INDEX</w:t>
            </w:r>
          </w:p>
        </w:tc>
        <w:tc>
          <w:tcPr>
            <w:tcW w:w="400" w:type="dxa"/>
            <w:vAlign w:val="bottom"/>
          </w:tcPr>
          <w:p>
            <w:pPr>
              <w:spacing w:after="0"/>
              <w:rPr>
                <w:sz w:val="20"/>
                <w:szCs w:val="20"/>
                <w:color w:val="auto"/>
              </w:rPr>
            </w:pPr>
          </w:p>
        </w:tc>
      </w:tr>
      <w:tr>
        <w:trPr>
          <w:trHeight w:val="459"/>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Page</w:t>
            </w:r>
          </w:p>
        </w:tc>
      </w:tr>
      <w:tr>
        <w:trPr>
          <w:trHeight w:val="264"/>
        </w:trPr>
        <w:tc>
          <w:tcPr>
            <w:tcW w:w="1096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0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w:t>
              </w:r>
            </w:hyperlink>
          </w:p>
        </w:tc>
        <w:tc>
          <w:tcPr>
            <w:tcW w:w="10580" w:type="dxa"/>
            <w:vAlign w:val="bottom"/>
            <w:gridSpan w:val="23"/>
          </w:tcPr>
          <w:p>
            <w:pPr>
              <w:ind w:left="4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2 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w:t>
              </w:r>
            </w:hyperlink>
          </w:p>
        </w:tc>
        <w:tc>
          <w:tcPr>
            <w:tcW w:w="4560" w:type="dxa"/>
            <w:vAlign w:val="bottom"/>
            <w:tcBorders>
              <w:top w:val="single" w:sz="8" w:color="0000EE"/>
              <w:bottom w:val="single" w:sz="8" w:color="0000EE"/>
            </w:tcBorders>
            <w:gridSpan w:val="21"/>
          </w:tcPr>
          <w:p>
            <w:pPr>
              <w:ind w:left="40"/>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9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3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4 Controls and Procedures</w:t>
              </w:r>
            </w:hyperlink>
          </w:p>
        </w:tc>
        <w:tc>
          <w:tcPr>
            <w:tcW w:w="866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04"/>
        </w:trPr>
        <w:tc>
          <w:tcPr>
            <w:tcW w:w="10960" w:type="dxa"/>
            <w:vAlign w:val="bottom"/>
            <w:gridSpan w:val="24"/>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6"/>
          </w:tcPr>
          <w:p>
            <w:pPr>
              <w:spacing w:after="0"/>
              <w:rPr>
                <w:sz w:val="17"/>
                <w:szCs w:val="17"/>
                <w:color w:val="auto"/>
              </w:rPr>
            </w:pPr>
          </w:p>
        </w:tc>
        <w:tc>
          <w:tcPr>
            <w:tcW w:w="81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 Risk Factors</w:t>
              </w:r>
            </w:hyperlink>
          </w:p>
        </w:tc>
        <w:tc>
          <w:tcPr>
            <w:tcW w:w="94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80" w:type="dxa"/>
            <w:vAlign w:val="bottom"/>
            <w:tcBorders>
              <w:bottom w:val="single" w:sz="8" w:color="0000EE"/>
            </w:tcBorders>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w:t>
              </w:r>
            </w:hyperlink>
          </w:p>
        </w:tc>
        <w:tc>
          <w:tcPr>
            <w:tcW w:w="4540" w:type="dxa"/>
            <w:vAlign w:val="bottom"/>
            <w:tcBorders>
              <w:bottom w:val="single" w:sz="8" w:color="0000EE"/>
            </w:tcBorders>
            <w:gridSpan w:val="20"/>
          </w:tcPr>
          <w:p>
            <w:pPr>
              <w:ind w:left="40"/>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 Unregistered Sales of Equity Securities and Use of Proceeds</w:t>
              </w:r>
            </w:hyperlink>
          </w:p>
        </w:tc>
        <w:tc>
          <w:tcPr>
            <w:tcW w:w="60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960" w:type="dxa"/>
            <w:vAlign w:val="bottom"/>
            <w:gridSpan w:val="2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Defaults Upon Senior 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 Mine Safety Disclosures</w:t>
              </w:r>
            </w:hyperlink>
          </w:p>
        </w:tc>
        <w:tc>
          <w:tcPr>
            <w:tcW w:w="812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Item 5 Other Information</w:t>
              </w:r>
            </w:hyperlink>
          </w:p>
        </w:tc>
        <w:tc>
          <w:tcPr>
            <w:tcW w:w="440" w:type="dxa"/>
            <w:vAlign w:val="bottom"/>
            <w:tcBorders>
              <w:top w:val="single" w:sz="8" w:color="0000EE"/>
            </w:tcBorders>
            <w:gridSpan w:val="3"/>
          </w:tcPr>
          <w:p>
            <w:pPr>
              <w:spacing w:after="0"/>
              <w:rPr>
                <w:sz w:val="17"/>
                <w:szCs w:val="17"/>
                <w:color w:val="auto"/>
              </w:rPr>
            </w:pPr>
          </w:p>
        </w:tc>
        <w:tc>
          <w:tcPr>
            <w:tcW w:w="868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Item 6 Exhibits</w:t>
              </w:r>
            </w:hyperlink>
          </w:p>
        </w:tc>
        <w:tc>
          <w:tcPr>
            <w:tcW w:w="984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960" w:type="dxa"/>
            <w:vAlign w:val="bottom"/>
            <w:gridSpan w:val="2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INS</w:t>
            </w:r>
          </w:p>
        </w:tc>
        <w:tc>
          <w:tcPr>
            <w:tcW w:w="2000" w:type="dxa"/>
            <w:vAlign w:val="bottom"/>
            <w:tcBorders>
              <w:bottom w:val="single" w:sz="8" w:color="0000EE"/>
            </w:tcBorders>
            <w:gridSpan w:val="10"/>
          </w:tcPr>
          <w:p>
            <w:pPr>
              <w:ind w:left="80"/>
              <w:spacing w:after="0" w:line="196" w:lineRule="exact"/>
              <w:rPr>
                <w:sz w:val="20"/>
                <w:szCs w:val="20"/>
                <w:color w:val="auto"/>
              </w:rPr>
            </w:pPr>
            <w:r>
              <w:rPr>
                <w:rFonts w:ascii="Arial" w:cs="Arial" w:eastAsia="Arial" w:hAnsi="Arial"/>
                <w:sz w:val="18"/>
                <w:szCs w:val="18"/>
                <w:color w:val="0000EE"/>
                <w:w w:val="91"/>
              </w:rPr>
              <w:t>XBRL Instance Document</w:t>
            </w:r>
          </w:p>
        </w:tc>
        <w:tc>
          <w:tcPr>
            <w:tcW w:w="8200" w:type="dxa"/>
            <w:vAlign w:val="bottom"/>
            <w:gridSpan w:val="12"/>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760" w:type="dxa"/>
            <w:vAlign w:val="bottom"/>
            <w:gridSpan w:val="2"/>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SCH</w:t>
            </w:r>
          </w:p>
        </w:tc>
        <w:tc>
          <w:tcPr>
            <w:tcW w:w="10200" w:type="dxa"/>
            <w:vAlign w:val="bottom"/>
            <w:gridSpan w:val="22"/>
          </w:tcPr>
          <w:p>
            <w:pPr>
              <w:ind w:left="100"/>
              <w:spacing w:after="0" w:line="196" w:lineRule="exact"/>
              <w:rPr>
                <w:sz w:val="20"/>
                <w:szCs w:val="20"/>
                <w:color w:val="auto"/>
              </w:rPr>
            </w:pPr>
            <w:r>
              <w:rPr>
                <w:rFonts w:ascii="Arial" w:cs="Arial" w:eastAsia="Arial" w:hAnsi="Arial"/>
                <w:sz w:val="18"/>
                <w:szCs w:val="18"/>
                <w:color w:val="0000EE"/>
              </w:rPr>
              <w:t>XBRL Taxonomy Extension Schema</w:t>
            </w:r>
          </w:p>
        </w:tc>
        <w:tc>
          <w:tcPr>
            <w:tcW w:w="40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760" w:type="dxa"/>
            <w:vAlign w:val="bottom"/>
            <w:gridSpan w:val="1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CAL</w:t>
            </w:r>
          </w:p>
        </w:tc>
        <w:tc>
          <w:tcPr>
            <w:tcW w:w="3780" w:type="dxa"/>
            <w:vAlign w:val="bottom"/>
            <w:tcBorders>
              <w:bottom w:val="single" w:sz="8" w:color="0000EE"/>
            </w:tcBorders>
            <w:gridSpan w:val="17"/>
          </w:tcPr>
          <w:p>
            <w:pPr>
              <w:ind w:left="140"/>
              <w:spacing w:after="0" w:line="196" w:lineRule="exact"/>
              <w:rPr>
                <w:sz w:val="20"/>
                <w:szCs w:val="20"/>
                <w:color w:val="auto"/>
              </w:rPr>
            </w:pPr>
            <w:r>
              <w:rPr>
                <w:rFonts w:ascii="Arial" w:cs="Arial" w:eastAsia="Arial" w:hAnsi="Arial"/>
                <w:sz w:val="18"/>
                <w:szCs w:val="18"/>
                <w:color w:val="0000EE"/>
                <w:w w:val="92"/>
              </w:rPr>
              <w:t>XBRL Taxonomy Extension Calculation Linkbase</w:t>
            </w:r>
          </w:p>
        </w:tc>
        <w:tc>
          <w:tcPr>
            <w:tcW w:w="642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760" w:type="dxa"/>
            <w:vAlign w:val="bottom"/>
            <w:gridSpan w:val="2"/>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LAB</w:t>
            </w:r>
          </w:p>
        </w:tc>
        <w:tc>
          <w:tcPr>
            <w:tcW w:w="10200" w:type="dxa"/>
            <w:vAlign w:val="bottom"/>
            <w:gridSpan w:val="22"/>
          </w:tcPr>
          <w:p>
            <w:pPr>
              <w:ind w:left="140"/>
              <w:spacing w:after="0" w:line="196" w:lineRule="exact"/>
              <w:rPr>
                <w:sz w:val="20"/>
                <w:szCs w:val="20"/>
                <w:color w:val="auto"/>
              </w:rPr>
            </w:pPr>
            <w:r>
              <w:rPr>
                <w:rFonts w:ascii="Arial" w:cs="Arial" w:eastAsia="Arial" w:hAnsi="Arial"/>
                <w:sz w:val="18"/>
                <w:szCs w:val="18"/>
                <w:color w:val="0000EE"/>
              </w:rPr>
              <w:t>XBRL Taxonomy Extension Label Linkbase</w:t>
            </w:r>
          </w:p>
        </w:tc>
        <w:tc>
          <w:tcPr>
            <w:tcW w:w="40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360" w:type="dxa"/>
            <w:vAlign w:val="bottom"/>
            <w:gridSpan w:val="1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PRE</w:t>
            </w:r>
          </w:p>
        </w:tc>
        <w:tc>
          <w:tcPr>
            <w:tcW w:w="3820" w:type="dxa"/>
            <w:vAlign w:val="bottom"/>
            <w:tcBorders>
              <w:bottom w:val="single" w:sz="8" w:color="0000EE"/>
            </w:tcBorders>
            <w:gridSpan w:val="18"/>
          </w:tcPr>
          <w:p>
            <w:pPr>
              <w:ind w:left="120"/>
              <w:spacing w:after="0" w:line="196" w:lineRule="exact"/>
              <w:rPr>
                <w:sz w:val="20"/>
                <w:szCs w:val="20"/>
                <w:color w:val="auto"/>
              </w:rPr>
            </w:pPr>
            <w:r>
              <w:rPr>
                <w:rFonts w:ascii="Arial" w:cs="Arial" w:eastAsia="Arial" w:hAnsi="Arial"/>
                <w:sz w:val="18"/>
                <w:szCs w:val="18"/>
                <w:color w:val="0000EE"/>
                <w:w w:val="91"/>
              </w:rPr>
              <w:t>XBRL Taxonomy Extension Presentation Linkbase</w:t>
            </w:r>
          </w:p>
        </w:tc>
        <w:tc>
          <w:tcPr>
            <w:tcW w:w="63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7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DEF</w:t>
            </w:r>
          </w:p>
        </w:tc>
        <w:tc>
          <w:tcPr>
            <w:tcW w:w="3680" w:type="dxa"/>
            <w:vAlign w:val="bottom"/>
            <w:tcBorders>
              <w:bottom w:val="single" w:sz="8" w:color="0000EE"/>
            </w:tcBorders>
            <w:gridSpan w:val="16"/>
          </w:tcPr>
          <w:p>
            <w:pPr>
              <w:ind w:left="120"/>
              <w:spacing w:after="0" w:line="196" w:lineRule="exact"/>
              <w:rPr>
                <w:sz w:val="20"/>
                <w:szCs w:val="20"/>
                <w:color w:val="auto"/>
              </w:rPr>
            </w:pPr>
            <w:r>
              <w:rPr>
                <w:rFonts w:ascii="Arial" w:cs="Arial" w:eastAsia="Arial" w:hAnsi="Arial"/>
                <w:sz w:val="18"/>
                <w:szCs w:val="18"/>
                <w:color w:val="0000EE"/>
                <w:w w:val="93"/>
              </w:rPr>
              <w:t>XBRL Taxonomy Extension Definition Linkbase</w:t>
            </w:r>
          </w:p>
        </w:tc>
        <w:tc>
          <w:tcPr>
            <w:tcW w:w="652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r>
      <w:tr>
        <w:trPr>
          <w:trHeight w:val="385"/>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60" w:type="dxa"/>
            <w:vAlign w:val="bottom"/>
            <w:gridSpan w:val="21"/>
          </w:tcPr>
          <w:p>
            <w:pPr>
              <w:jc w:val="center"/>
              <w:ind w:left="3550"/>
              <w:spacing w:after="0"/>
              <w:rPr>
                <w:sz w:val="20"/>
                <w:szCs w:val="20"/>
                <w:color w:val="auto"/>
              </w:rPr>
            </w:pPr>
            <w:r>
              <w:rPr>
                <w:rFonts w:ascii="Arial" w:cs="Arial" w:eastAsia="Arial" w:hAnsi="Arial"/>
                <w:sz w:val="18"/>
                <w:szCs w:val="18"/>
                <w:color w:val="auto"/>
                <w:w w:val="99"/>
              </w:rPr>
              <w:t>2</w:t>
            </w:r>
          </w:p>
        </w:tc>
        <w:tc>
          <w:tcPr>
            <w:tcW w:w="39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9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7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GRAND CANYON EDUCATION, INC.</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7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Consolidated Income Statements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7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3"/>
            <w:vMerge w:val="continue"/>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revenue</w:t>
            </w:r>
          </w:p>
        </w:tc>
        <w:tc>
          <w:tcPr>
            <w:tcW w:w="29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218,301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191,279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466,507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Instructional costs and services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197,604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Admissions advisory and related</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31,085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28,866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63,057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Marketing and promotional</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Total costs and expenses</w:t>
            </w:r>
          </w:p>
        </w:tc>
        <w:tc>
          <w:tcPr>
            <w:tcW w:w="3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163,213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146,531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334,791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304,798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131,716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3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55,332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131,382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44,002</w:t>
            </w:r>
          </w:p>
        </w:tc>
        <w:tc>
          <w:tcPr>
            <w:tcW w:w="0" w:type="dxa"/>
            <w:vAlign w:val="bottom"/>
          </w:tcPr>
          <w:p>
            <w:pPr>
              <w:spacing w:after="0"/>
              <w:rPr>
                <w:sz w:val="1"/>
                <w:szCs w:val="1"/>
                <w:color w:val="auto"/>
              </w:rPr>
            </w:pP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8"/>
              </w:rPr>
              <w:t>Net income</w:t>
            </w:r>
          </w:p>
        </w:tc>
        <w:tc>
          <w:tcPr>
            <w:tcW w:w="29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95,759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b w:val="1"/>
                <w:bCs w:val="1"/>
                <w:color w:val="auto"/>
              </w:rPr>
              <w:t>Basic income per share</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Diluted income per share</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w w:val="98"/>
              </w:rPr>
              <w:t>Basic weighted average shares outstanding</w:t>
            </w:r>
          </w:p>
        </w:tc>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vMerge w:val="continue"/>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47,151</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46,949</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5"/>
              </w:rPr>
              <w:t>Diluted weighted average shares outstanding</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7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68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$39,847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$27,626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$95,759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Unrealized (losses) gains on available-for-sale securities, net of taxes of $10 and $59 for the three</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months ended June 30, 2017 and 2016, respectively, and $232 and $83 for the six months ended</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30, 2017 and 2016, respectively</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7"/>
              </w:rPr>
              <w:t>Unrealized losses on hedging derivatives, net of taxes of $42 and $53 for the three months ended</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w w:val="91"/>
              </w:rPr>
              <w:t>June 30, 2017 and 2016, respectively, and $45 and $201 for the six months ended June 30, 2017 and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2016, respectively</w:t>
            </w:r>
          </w:p>
        </w:tc>
        <w:tc>
          <w:tcPr>
            <w:tcW w:w="1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39,761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27,636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96,061</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712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5"/>
                <w:szCs w:val="15"/>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66,282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79,440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6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89,414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6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21,880</w:t>
            </w:r>
          </w:p>
        </w:tc>
        <w:tc>
          <w:tcPr>
            <w:tcW w:w="0" w:type="dxa"/>
            <w:vAlign w:val="bottom"/>
          </w:tcPr>
          <w:p>
            <w:pPr>
              <w:spacing w:after="0"/>
              <w:rPr>
                <w:sz w:val="1"/>
                <w:szCs w:val="1"/>
                <w:color w:val="auto"/>
              </w:rPr>
            </w:pPr>
          </w:p>
        </w:tc>
      </w:tr>
      <w:tr>
        <w:trPr>
          <w:trHeight w:val="223"/>
        </w:trPr>
        <w:tc>
          <w:tcPr>
            <w:tcW w:w="910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272,771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888,184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12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22,489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20,641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60"/>
              <w:spacing w:after="0"/>
              <w:rPr>
                <w:sz w:val="20"/>
                <w:szCs w:val="20"/>
                <w:color w:val="auto"/>
              </w:rPr>
            </w:pPr>
            <w:r>
              <w:rPr>
                <w:rFonts w:ascii="Arial" w:cs="Arial" w:eastAsia="Arial" w:hAnsi="Arial"/>
                <w:sz w:val="18"/>
                <w:szCs w:val="18"/>
                <w:color w:val="auto"/>
              </w:rPr>
              <w:t>Student deposits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79,520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ind w:left="160"/>
              <w:spacing w:after="0"/>
              <w:rPr>
                <w:sz w:val="20"/>
                <w:szCs w:val="20"/>
                <w:color w:val="auto"/>
              </w:rPr>
            </w:pPr>
            <w:r>
              <w:rPr>
                <w:rFonts w:ascii="Arial" w:cs="Arial" w:eastAsia="Arial" w:hAnsi="Arial"/>
                <w:sz w:val="18"/>
                <w:szCs w:val="18"/>
                <w:color w:val="auto"/>
              </w:rPr>
              <w:t>Current portion of notes payable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204,868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296,349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318,807</w:t>
            </w:r>
          </w:p>
        </w:tc>
        <w:tc>
          <w:tcPr>
            <w:tcW w:w="0" w:type="dxa"/>
            <w:vAlign w:val="bottom"/>
          </w:tcPr>
          <w:p>
            <w:pPr>
              <w:spacing w:after="0"/>
              <w:rPr>
                <w:sz w:val="1"/>
                <w:szCs w:val="1"/>
                <w:color w:val="auto"/>
              </w:rPr>
            </w:pPr>
          </w:p>
        </w:tc>
      </w:tr>
      <w:tr>
        <w:trPr>
          <w:trHeight w:val="223"/>
        </w:trPr>
        <w:tc>
          <w:tcPr>
            <w:tcW w:w="91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gridSpan w:val="2"/>
          </w:tcPr>
          <w:p>
            <w:pPr>
              <w:spacing w:after="0" w:line="201" w:lineRule="exact"/>
              <w:rPr>
                <w:sz w:val="20"/>
                <w:szCs w:val="20"/>
                <w:color w:val="auto"/>
              </w:rPr>
            </w:pPr>
            <w:r>
              <w:rPr>
                <w:rFonts w:ascii="Arial" w:cs="Arial" w:eastAsia="Arial" w:hAnsi="Arial"/>
                <w:sz w:val="18"/>
                <w:szCs w:val="18"/>
                <w:color w:val="auto"/>
                <w:w w:val="99"/>
              </w:rPr>
              <w:t>Preferred stock, $0.01 par value, 10,000 shares authorized; 0 shares issued and outstanding at June 30, 2017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gridSpan w:val="2"/>
          </w:tcPr>
          <w:p>
            <w:pPr>
              <w:ind w:left="160"/>
              <w:spacing w:after="0"/>
              <w:rPr>
                <w:sz w:val="20"/>
                <w:szCs w:val="20"/>
                <w:color w:val="auto"/>
              </w:rPr>
            </w:pPr>
            <w:r>
              <w:rPr>
                <w:rFonts w:ascii="Arial" w:cs="Arial" w:eastAsia="Arial" w:hAnsi="Arial"/>
                <w:sz w:val="18"/>
                <w:szCs w:val="18"/>
                <w:color w:val="auto"/>
              </w:rPr>
              <w:t>December 31, 2016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100,000 shares authorized; 52,168 and 51,509 shares issued and 48,053 and 47,559 shares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at June 30, 2017 and December 31, 2016,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w w:val="94"/>
              </w:rPr>
              <w:t>Treasury stock, at cost, 4,115 and 3,950 shares of common stock at June 30, 2017 and December 31, 2016,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(99,051)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224,735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746,616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650,916</w:t>
            </w:r>
          </w:p>
        </w:tc>
        <w:tc>
          <w:tcPr>
            <w:tcW w:w="0" w:type="dxa"/>
            <w:vAlign w:val="bottom"/>
          </w:tcPr>
          <w:p>
            <w:pPr>
              <w:spacing w:after="0"/>
              <w:rPr>
                <w:sz w:val="1"/>
                <w:szCs w:val="1"/>
                <w:color w:val="auto"/>
              </w:rPr>
            </w:pPr>
          </w:p>
        </w:tc>
      </w:tr>
      <w:tr>
        <w:trPr>
          <w:trHeight w:val="230"/>
        </w:trPr>
        <w:tc>
          <w:tcPr>
            <w:tcW w:w="910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872,214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3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7"/>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2"/>
                <w:szCs w:val="12"/>
                <w:color w:val="auto"/>
              </w:rPr>
            </w:pPr>
          </w:p>
        </w:tc>
        <w:tc>
          <w:tcPr>
            <w:tcW w:w="1320" w:type="dxa"/>
            <w:vAlign w:val="bottom"/>
            <w:gridSpan w:val="8"/>
            <w:vMerge w:val="restart"/>
          </w:tcPr>
          <w:p>
            <w:pPr>
              <w:jc w:val="right"/>
              <w:ind w:right="380"/>
              <w:spacing w:after="0"/>
              <w:rPr>
                <w:sz w:val="20"/>
                <w:szCs w:val="20"/>
                <w:color w:val="auto"/>
              </w:rPr>
            </w:pPr>
            <w:r>
              <w:rPr>
                <w:rFonts w:ascii="Arial" w:cs="Arial" w:eastAsia="Arial" w:hAnsi="Arial"/>
                <w:sz w:val="14"/>
                <w:szCs w:val="14"/>
                <w:b w:val="1"/>
                <w:bCs w:val="1"/>
                <w:color w:val="auto"/>
                <w:w w:val="90"/>
              </w:rPr>
              <w:t>Treasury Stock</w:t>
            </w:r>
          </w:p>
        </w:tc>
        <w:tc>
          <w:tcPr>
            <w:tcW w:w="1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rPr>
              <w:t>Other</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40"/>
              <w:spacing w:after="0" w:line="14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320" w:type="dxa"/>
            <w:vAlign w:val="bottom"/>
            <w:gridSpan w:val="5"/>
          </w:tcPr>
          <w:p>
            <w:pPr>
              <w:jc w:val="center"/>
              <w:ind w:right="3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8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98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vMerge w:val="restart"/>
          </w:tcPr>
          <w:p>
            <w:pPr>
              <w:spacing w:after="0"/>
              <w:rPr>
                <w:sz w:val="2"/>
                <w:szCs w:val="2"/>
                <w:color w:val="auto"/>
              </w:rPr>
            </w:pPr>
          </w:p>
        </w:tc>
        <w:tc>
          <w:tcPr>
            <w:tcW w:w="6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900" w:type="dxa"/>
            <w:vAlign w:val="bottom"/>
            <w:gridSpan w:val="4"/>
          </w:tcPr>
          <w:p>
            <w:pPr>
              <w:ind w:left="20"/>
              <w:spacing w:after="0" w:line="115" w:lineRule="exact"/>
              <w:rPr>
                <w:sz w:val="20"/>
                <w:szCs w:val="20"/>
                <w:color w:val="auto"/>
              </w:rPr>
            </w:pPr>
            <w:r>
              <w:rPr>
                <w:rFonts w:ascii="Arial" w:cs="Arial" w:eastAsia="Arial" w:hAnsi="Arial"/>
                <w:sz w:val="13"/>
                <w:szCs w:val="13"/>
                <w:b w:val="1"/>
                <w:bCs w:val="1"/>
                <w:color w:val="auto"/>
              </w:rPr>
              <w:t>Par Value</w:t>
            </w:r>
          </w:p>
        </w:tc>
        <w:tc>
          <w:tcPr>
            <w:tcW w:w="540" w:type="dxa"/>
            <w:vAlign w:val="bottom"/>
            <w:gridSpan w:val="3"/>
          </w:tcPr>
          <w:p>
            <w:pPr>
              <w:jc w:val="right"/>
              <w:ind w:right="140"/>
              <w:spacing w:after="0" w:line="115"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15" w:lineRule="exact"/>
              <w:rPr>
                <w:sz w:val="20"/>
                <w:szCs w:val="20"/>
                <w:color w:val="auto"/>
              </w:rPr>
            </w:pPr>
            <w:r>
              <w:rPr>
                <w:rFonts w:ascii="Arial" w:cs="Arial" w:eastAsia="Arial" w:hAnsi="Arial"/>
                <w:sz w:val="13"/>
                <w:szCs w:val="13"/>
                <w:b w:val="1"/>
                <w:bCs w:val="1"/>
                <w:color w:val="auto"/>
                <w:w w:val="89"/>
              </w:rPr>
              <w:t>Cost</w:t>
            </w:r>
          </w:p>
        </w:tc>
        <w:tc>
          <w:tcPr>
            <w:tcW w:w="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Balance at December 31, 2016</w:t>
            </w: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w w:val="79"/>
              </w:rPr>
              <w:t>51,509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515</w:t>
            </w:r>
          </w:p>
        </w:tc>
        <w:tc>
          <w:tcPr>
            <w:tcW w:w="28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w w:val="84"/>
              </w:rPr>
              <w:t>3,950</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w w:val="77"/>
              </w:rPr>
              <w:t>(89,394)</w:t>
            </w:r>
          </w:p>
        </w:tc>
        <w:tc>
          <w:tcPr>
            <w:tcW w:w="24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2"/>
              </w:rPr>
              <w:t>212,559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8"/>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300"/>
              <w:spacing w:after="0" w:line="183" w:lineRule="exact"/>
              <w:rPr>
                <w:sz w:val="20"/>
                <w:szCs w:val="20"/>
                <w:color w:val="auto"/>
              </w:rPr>
            </w:pPr>
            <w:r>
              <w:rPr>
                <w:rFonts w:ascii="Arial" w:cs="Arial" w:eastAsia="Arial" w:hAnsi="Arial"/>
                <w:sz w:val="18"/>
                <w:szCs w:val="18"/>
                <w:color w:val="auto"/>
                <w:w w:val="90"/>
              </w:rPr>
              <w:t>(910)</w:t>
            </w:r>
          </w:p>
        </w:tc>
        <w:tc>
          <w:tcPr>
            <w:tcW w:w="90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8"/>
                <w:szCs w:val="18"/>
                <w:color w:val="auto"/>
                <w:w w:val="79"/>
              </w:rPr>
              <w:t>$650,916</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w w:val="76"/>
              </w:rPr>
              <w:t>773,686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Cumulative effect from the adoption of accounting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pronouncements, net of taxes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5"/>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4"/>
            <w:shd w:val="clear" w:color="auto" w:fill="CCEEFF"/>
          </w:tcPr>
          <w:p>
            <w:pPr>
              <w:ind w:left="500"/>
              <w:spacing w:after="0"/>
              <w:rPr>
                <w:sz w:val="20"/>
                <w:szCs w:val="20"/>
                <w:color w:val="auto"/>
              </w:rPr>
            </w:pPr>
            <w:r>
              <w:rPr>
                <w:rFonts w:ascii="Arial" w:cs="Arial" w:eastAsia="Arial" w:hAnsi="Arial"/>
                <w:sz w:val="18"/>
                <w:szCs w:val="18"/>
                <w:color w:val="auto"/>
              </w:rPr>
              <w:t>302</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95,759</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9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(9,657)</w:t>
            </w:r>
          </w:p>
        </w:tc>
        <w:tc>
          <w:tcPr>
            <w:tcW w:w="9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6,227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4"/>
          </w:tcPr>
          <w:p>
            <w:pPr>
              <w:ind w:left="30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120"/>
              <w:spacing w:after="0"/>
              <w:rPr>
                <w:sz w:val="20"/>
                <w:szCs w:val="20"/>
                <w:color w:val="auto"/>
              </w:rPr>
            </w:pPr>
            <w:r>
              <w:rPr>
                <w:rFonts w:ascii="Arial" w:cs="Arial" w:eastAsia="Arial" w:hAnsi="Arial"/>
                <w:sz w:val="18"/>
                <w:szCs w:val="18"/>
                <w:color w:val="auto"/>
              </w:rPr>
              <w:t>5,890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6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52,168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4,115</w:t>
            </w:r>
          </w:p>
        </w:tc>
        <w:tc>
          <w:tcPr>
            <w:tcW w:w="9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(99,051)</w:t>
            </w:r>
          </w:p>
        </w:tc>
        <w:tc>
          <w:tcPr>
            <w:tcW w:w="9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224,735</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(608)</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746,616</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872,214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10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95,759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bad debts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26,856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(8,764)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 and employee related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Income taxes receivable/payable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30"/>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133,660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112,464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(50,491)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land, building and golf course improvements related to off-site development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Proceeds received from note receivable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Return of equity method investment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Purchases of investments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(52,181)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or maturity of investments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57,449</w:t>
            </w:r>
          </w:p>
        </w:tc>
        <w:tc>
          <w:tcPr>
            <w:tcW w:w="0" w:type="dxa"/>
            <w:vAlign w:val="bottom"/>
          </w:tcPr>
          <w:p>
            <w:pPr>
              <w:spacing w:after="0"/>
              <w:rPr>
                <w:sz w:val="1"/>
                <w:szCs w:val="1"/>
                <w:color w:val="auto"/>
              </w:rPr>
            </w:pPr>
          </w:p>
        </w:tc>
      </w:tr>
      <w:tr>
        <w:trPr>
          <w:trHeight w:val="230"/>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(86,683)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(104,210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Net borrowings from revolving line of credit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(25,000)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(9,657)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(32,162)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23"/>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130,907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98,420</w:t>
            </w:r>
          </w:p>
        </w:tc>
        <w:tc>
          <w:tcPr>
            <w:tcW w:w="0" w:type="dxa"/>
            <w:vAlign w:val="bottom"/>
          </w:tcPr>
          <w:p>
            <w:pPr>
              <w:spacing w:after="0"/>
              <w:rPr>
                <w:sz w:val="1"/>
                <w:szCs w:val="1"/>
                <w:color w:val="auto"/>
              </w:rPr>
            </w:pPr>
          </w:p>
        </w:tc>
      </w:tr>
      <w:tr>
        <w:trPr>
          <w:trHeight w:val="223"/>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1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145,722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Cash paid for interest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Tax benefit of Spirit warrant intangible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Shortfall tax expense from share-based compensation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Grand Canyon Education, Inc. (together with its subsidiaries, the “University”) is a comprehensive regionally accredited university that offers over 220 graduate and undergraduate degree programs, emphases and certificates across nine colleges both online and on ground at our over 270 acre campus in Phoenix, Arizona, at leased facilities and at facilities owned by third party employers. Our undergraduate programs are designed to be innovative and to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wholly-owned subsidiaries are primarily used to facilitate expansion of the University campus.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2016 from which the December 31, 2016 balance sheet information was derived.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and cash equivalents. The majority of these funds remains as restricted for an average of 60 to 90 days from the date of receipt.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February 27, 2013, the University entered into an interest rate corridor to manage its 30 Day LIBOR interest exposure related to its variable rate debt. The fair value of the interest rate corridor instrument as of June 30, 2017 and December 31, 2016 was $372 and $490,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$119 and $526 for the six months ended June 30, 2017 and 2016, respectively, for the effective portion of the losses on the derivatives is included as a component of other comprehensive income, net of taxes.</w:t>
      </w:r>
    </w:p>
    <w:p>
      <w:pPr>
        <w:spacing w:after="0" w:line="193"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$70,000 as of June 30, 2017.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2017, no derivative ineffectiveness was identified. Any ineffectiveness in the University’s derivative instrument designated as a hedge is reported in interest expense in the income statement. At June 30, 2017, the University does not expect to reclassify gains or losses on derivative instruments from accumulated other comprehensive income (loss) into earnings during the next 12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carrying value of cash and cash equivalents, investments, accounts receivable, accounts payable,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fair value of investments, primarily municipal securities,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over 270 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six months ended June 30, 2017 and 2016, the University’s revenue was reduced by approximately $91,703 and $85,308,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of such money to the Department of Education under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2017</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2016, the FASB issued “Compensation – Stock Compensation: Improvement to Employee Share-Based Payment Accounting,” to simplify certain aspects of the accounting for share-based payment transactions to employees. The new standard requires excess tax benefits and tax deficiencies to be recorded in the consolidated statements of income as a component of the provision for income taxes when stock awards vest or options are exercised. In addition, it eliminates the requirement to reclassify cash flows related to excess tax benefits from operating activities to financing activities on the consolidated statements of cash flows. The standard also provides an accounting policy election to account for forfeitures as they occur, allows us to withhold more of an employee’s vesting shares for tax withholding purposes without triggering liability accounting, and clarifies that all cash payments made to tax authorities on an employee’s behalf for withheld shares should be presented as a financing activity on our consolidated cash flows statement.</w:t>
      </w:r>
    </w:p>
    <w:p>
      <w:pPr>
        <w:spacing w:after="0" w:line="16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University adopted the new guidance in the first quarter of 2017 which required us to reflect any adjustments as of January 1, 2017. Upon adoption, excess tax benefits or deficiencies from share-based awards or options are now reflected in the consolidated statement of income as a component of the provision for income taxes, whereas previously they were recognized in equity. The University elected to account for forfeitures as they occur, rather than estimate expected forfeitures. The net cumulative effect of this change increased additional paid-in capital and decreased retained earnings as of January 1, 2017 by $59, net of tax. The University did not have any previously unrecognized excess tax effects that had not been recorded as a reduction to tax liability.</w:t>
      </w:r>
    </w:p>
    <w:p>
      <w:pPr>
        <w:spacing w:after="0" w:line="15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University adopted the provisions of the standard impacting the cash flow presentation retrospectively, and accordingly, to conform to the current period presentation, we reclassified $5,484 of excess tax benefits which had been included as a financing activity to an operating activity for the six months ended June 30, 2016 in our consolidated statement of cash flows. The presentation requirement for cash flows related to employee taxes paid for withheld shares had no impact on our consolidated statement of cash flows since such cash flows have historically been presented as a financing activity.</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Adoption of the provision of the new standard related to income taxes was adopted prospectively and resulted in a reduction to our provision for income taxes of $13,752 for the six months ended June 30, 2017, due to the recognition of excess tax benefits from restricted stock awards that vested or stock options that were exercised in 2017. Our restricted stock awards vest in March each year so the excess tax benefits and deficiencies is greatest in the first quarter each year.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w:t>
      </w:r>
    </w:p>
    <w:p>
      <w:pPr>
        <w:spacing w:after="0" w:line="16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August 2016, the FASB issued a new standard that clarifies how certain cash receipts and cash payments are presented and classified in the consolidated statement of cash flows. The University elected to early adopt this guidance in the first quarter of 2017 on a retrospective basis. There was no reclassification impact of the adoption on our consolidated statement of cash flows for the six months ended June 30, 2017 and 2016, as our historical statements have been presented in accordance with this new guidance.</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November 2016, the FASB issued a new standard that requires restricted cash and cash equivalents to be included with the amount of cash and cash equivalents that are reconciled on the consolidated statement of cash flows. The University elected to early adopt this guidance in the first quarter of 2017 on a retrospective basis, and accordingly, to conform to the current period presentation, we reclassified our restricted cash and cash equivalents to be included in the total of cash and cash equivalents presented at the bottom of our consolidated statement of cash flows for both the beginning and ending periods for our six months ended June 30, 2017 and 2016. As a result, the amount of the change in our net cash provided by operating activities no longer includes the impact of the change in restricted cash and cash equivalents for either period.</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summarizes the effects related to the adoption of both accounting standards (share-based compensation and restricted cash and cash equivalents) for the six months ended June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Data:</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June 30, 2016</w:t>
            </w:r>
          </w:p>
        </w:tc>
      </w:tr>
      <w:tr>
        <w:trPr>
          <w:trHeight w:val="142"/>
        </w:trPr>
        <w:tc>
          <w:tcPr>
            <w:tcW w:w="5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As reported</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20" w:type="dxa"/>
            <w:vAlign w:val="bottom"/>
          </w:tcPr>
          <w:p>
            <w:pPr>
              <w:spacing w:after="0"/>
              <w:rPr>
                <w:sz w:val="12"/>
                <w:szCs w:val="12"/>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114,024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112,464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(106,710)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(104,210)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21,518</w:t>
            </w:r>
          </w:p>
        </w:tc>
        <w:tc>
          <w:tcPr>
            <w:tcW w:w="2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16,974</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beginning of period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98,420</w:t>
            </w:r>
          </w:p>
        </w:tc>
        <w:tc>
          <w:tcPr>
            <w:tcW w:w="120" w:type="dxa"/>
            <w:vAlign w:val="bottom"/>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44,544</w:t>
            </w:r>
          </w:p>
        </w:tc>
        <w:tc>
          <w:tcPr>
            <w:tcW w:w="2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115,394</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May 2014, the FASB issued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amended.”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In July 2015, the FASB approved a one-year delay in the effective date. The University will adopt this new standard January 1, 2018 using either of two acceptable adoption methods: (i) retrospective adoption to each prior reporting period presented with the option to elect certain practical expedients as defined within the standard; or (ii) adoption with the cumulative effect of initially applying the standard recognized at the date of initial application and providing certain additional disclosure as defined within the standard. Management is in the diagnostic phase of assessing the financial and business impacts of implementing,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including identifying revenue sources within the University and developing a preliminary assessment. The majority of our revenues are related to tuition due from our students. Tuition revenues are recognized pro-rata over the applicable period of instruction which the University believes is consistent with the revenue recognition method required by the new standard. Thus, we anticipate the adoption of this standard will not have a material impact on our consolidated financial statements or results of operations. The University is continuing to evaluate the impact the adoption of this standard will have on our other revenues and fees in our consolidated financial statements and the method of adoption to be used. Management expects that there may be some changes as a result of implementing the new standard.</w:t>
      </w:r>
    </w:p>
    <w:p>
      <w:pPr>
        <w:spacing w:after="0" w:line="17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January 2016, the FASB issued “</w:t>
      </w:r>
      <w:r>
        <w:rPr>
          <w:rFonts w:ascii="Arial" w:cs="Arial" w:eastAsia="Arial" w:hAnsi="Arial"/>
          <w:sz w:val="18"/>
          <w:szCs w:val="18"/>
          <w:i w:val="1"/>
          <w:iCs w:val="1"/>
          <w:color w:val="auto"/>
        </w:rPr>
        <w:t>Financial Instruments – Overall: Recognition and Measurement of Financial Assets and Financial Liabilities</w:t>
      </w:r>
      <w:r>
        <w:rPr>
          <w:rFonts w:ascii="Arial" w:cs="Arial" w:eastAsia="Arial" w:hAnsi="Arial"/>
          <w:sz w:val="18"/>
          <w:szCs w:val="18"/>
          <w:color w:val="auto"/>
        </w:rPr>
        <w:t>.” The standard addresses certain aspects of recognition, measurement, presentation, and disclosure of financial instruments. Most prominent among the amendments is the requirement for changes in the fair value of equity investments, with</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certain exceptions, to be recognized through net income rather than other comprehensive income (“OCI”). This standard is effective for fiscal years, and interim periods within those years, beginning after December 15, 2017, and early adoption is not permitted. Accordingly, the standard is effective for us on January 1, 2018. We are currently evaluating the impact that the standard will have on our consolidated financial statements.</w:t>
      </w:r>
    </w:p>
    <w:p>
      <w:pPr>
        <w:spacing w:after="0" w:line="166"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February 2016, the FASB issued “</w:t>
      </w:r>
      <w:r>
        <w:rPr>
          <w:rFonts w:ascii="Arial" w:cs="Arial" w:eastAsia="Arial" w:hAnsi="Arial"/>
          <w:sz w:val="17"/>
          <w:szCs w:val="17"/>
          <w:i w:val="1"/>
          <w:iCs w:val="1"/>
          <w:color w:val="auto"/>
        </w:rPr>
        <w:t>Leases</w:t>
      </w:r>
      <w:r>
        <w:rPr>
          <w:rFonts w:ascii="Arial" w:cs="Arial" w:eastAsia="Arial" w:hAnsi="Arial"/>
          <w:sz w:val="17"/>
          <w:szCs w:val="17"/>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University has begun evaluating the impact that the future adoption of this standard will have on our consolidated financial statements and we believe the adoption will slightly increase our assets and liabilities, and will increase our financial statement disclosures.</w:t>
      </w:r>
    </w:p>
    <w:p>
      <w:pPr>
        <w:spacing w:after="0" w:line="17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June 2016, the FASB issued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The new guidance revises the accounting requirements related to the measurement of credit losses on financial instruments and the timing of when such losses are recorded. The standard is effective for fiscal years, and interim periods within those years, beginning after December 15, 2019. Early adoption is permitted for fiscal years and interim periods within those years, beginning after December 15, 2018. Accordingly, the standard is effective for us on January 1, 2020 using a modified retrospective approach, and we are currently evaluating the impact that the standard will have on our consolidated financial statements.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could otherwise have a material impact on its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investments as of June 30, 2017 and December 31, 2016. The University considers all investments as available for sale.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As of June 30, 2017</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60" w:type="dxa"/>
            <w:vAlign w:val="bottom"/>
          </w:tcPr>
          <w:p>
            <w:pPr>
              <w:spacing w:after="0"/>
              <w:rPr>
                <w:sz w:val="10"/>
                <w:szCs w:val="10"/>
                <w:color w:val="auto"/>
              </w:rPr>
            </w:pPr>
          </w:p>
        </w:tc>
        <w:tc>
          <w:tcPr>
            <w:tcW w:w="10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56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60" w:type="dxa"/>
            <w:vAlign w:val="bottom"/>
          </w:tcPr>
          <w:p>
            <w:pPr>
              <w:spacing w:after="0"/>
              <w:rPr>
                <w:sz w:val="12"/>
                <w:szCs w:val="12"/>
                <w:color w:val="auto"/>
              </w:rPr>
            </w:pPr>
          </w:p>
        </w:tc>
        <w:tc>
          <w:tcPr>
            <w:tcW w:w="11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6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(Losses)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89,501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$ 89,414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4"/>
              </w:rPr>
              <w:t>As of December 31, 2016</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360" w:type="dxa"/>
            <w:vAlign w:val="bottom"/>
          </w:tcPr>
          <w:p>
            <w:pPr>
              <w:spacing w:after="0"/>
              <w:rPr>
                <w:sz w:val="10"/>
                <w:szCs w:val="10"/>
                <w:color w:val="auto"/>
              </w:rPr>
            </w:pPr>
          </w:p>
        </w:tc>
        <w:tc>
          <w:tcPr>
            <w:tcW w:w="10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56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60" w:type="dxa"/>
            <w:vAlign w:val="bottom"/>
          </w:tcPr>
          <w:p>
            <w:pPr>
              <w:spacing w:after="0"/>
              <w:rPr>
                <w:sz w:val="12"/>
                <w:szCs w:val="12"/>
                <w:color w:val="auto"/>
              </w:rPr>
            </w:pPr>
          </w:p>
        </w:tc>
        <w:tc>
          <w:tcPr>
            <w:tcW w:w="11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6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(Losses)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62,769</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$ 62,596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cash flows of municipal securities are backed by the issuing municipality’s credit worthiness. All municipal securities are due in one year or less as of June 30, 2017. For the six months ended June 30, 2017, the net unrealized losses on available-for-sale securities was $54, net of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862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3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6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6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47,151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46,004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46,949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45,813</w:t>
            </w:r>
          </w:p>
        </w:tc>
      </w:tr>
      <w:tr>
        <w:trPr>
          <w:trHeight w:val="216"/>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1,112</w:t>
            </w:r>
          </w:p>
        </w:tc>
      </w:tr>
      <w:tr>
        <w:trPr>
          <w:trHeight w:val="223"/>
        </w:trPr>
        <w:tc>
          <w:tcPr>
            <w:tcW w:w="862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48,192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46,990</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48,131</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46,925</w:t>
            </w:r>
          </w:p>
        </w:tc>
        <w:tc>
          <w:tcPr>
            <w:tcW w:w="6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Diluted weighted average shares outstanding exclude the incremental effect of unvested restricted stock and shares that would be issued upon the assumed exercise of stock options in accordance with the treasury stock method. For the six months ended June 30, 2017 and 2016, approximately 4 and 434, respectively, of the University’s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Charged to</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16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2"/>
                <w:szCs w:val="12"/>
                <w:b w:val="1"/>
                <w:bCs w:val="1"/>
                <w:color w:val="auto"/>
                <w:w w:val="90"/>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Period</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Expense</w:t>
            </w: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ended June 30, 2017</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Six months ended June 30, 2016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5,137</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7,963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Land improvements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24,684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110,702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Computer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114,327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33,029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37,964</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1,097,750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1,040,375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(209,566)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(184,847)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The University reserve is not material for tax matters where its ultimate exposure is considered probable and the potential loss can be reasonably estimated.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Plans</w:t>
      </w:r>
    </w:p>
    <w:p>
      <w:pPr>
        <w:spacing w:after="0" w:line="11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Prior to June 2017, the University made grants of restricted stock and stock options under its 2008 Equity Incentive Plan (the “2008 Plan”). In January 2017, the Board of Directors of the University approved, and at the University’s 2017 annual meeting of stockholders held on June 14, 2017, the University’s stockholders adopted, a 2017 Equity Incentive Plan (the “2017 Plan”). All future grants of equity incentives will be made from the 2017 Plan.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six months ended June 30, 2017, the University granted 188 shares of common stock under the 2008 Plan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six months ended June 30, 2017, the University withheld 149 shares of common stock in lieu of taxes at a cost of $9,657 on the restricted stock vesting dates. In June 2017, following the annual stockholders meeting, the University granted 4 shares of common stock under the 2017 Plan to the non-employee members of the University’s board of directors. The restricted shares granted to these directors have voting rights and vest on the earlier of (a) the one year anniversary of the date of grant or (b) immediately prior to the following year’s annual stockholders’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activity related to restricted stock granted under the 2008 Plan and the 2017 Plan since December 31, 2016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7"/>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4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5840" w:type="dxa"/>
            <w:vAlign w:val="bottom"/>
            <w:gridSpan w:val="3"/>
          </w:tcPr>
          <w:p>
            <w:pPr>
              <w:jc w:val="right"/>
              <w:ind w:right="72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8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47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2017</w:t>
            </w:r>
          </w:p>
        </w:tc>
        <w:tc>
          <w:tcPr>
            <w:tcW w:w="4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700" w:type="dxa"/>
            <w:vAlign w:val="bottom"/>
            <w:vMerge w:val="restart"/>
          </w:tcPr>
          <w:p>
            <w:pPr>
              <w:jc w:val="right"/>
              <w:ind w:right="3050"/>
              <w:spacing w:after="0"/>
              <w:rPr>
                <w:sz w:val="20"/>
                <w:szCs w:val="20"/>
                <w:color w:val="auto"/>
              </w:rPr>
            </w:pPr>
            <w:r>
              <w:rPr>
                <w:rFonts w:ascii="Arial" w:cs="Arial" w:eastAsia="Arial" w:hAnsi="Arial"/>
                <w:sz w:val="18"/>
                <w:szCs w:val="18"/>
                <w:color w:val="auto"/>
              </w:rPr>
              <w:t>15</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six months ended June 30, 2017, no options were granted. A summary of the activity since December 31, 2016 related to stock options granted under the 2008 Plan is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Summary of Stock Options Outstanding</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0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(Years)</w:t>
            </w:r>
          </w:p>
        </w:tc>
        <w:tc>
          <w:tcPr>
            <w:tcW w:w="18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Forfeited, canceled or expired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49,517</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Exercisable as of June 30, 2017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3"/>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3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7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June 30, 2017 ($78.41) in excess of the exercise price multiplied by the number of shares underlying options outstanding or exercisable,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2017 and 2016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8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(2,491)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(2,332)</w:t>
            </w:r>
          </w:p>
        </w:tc>
      </w:tr>
      <w:tr>
        <w:trPr>
          <w:trHeight w:val="27"/>
        </w:trPr>
        <w:tc>
          <w:tcPr>
            <w:tcW w:w="6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Share-based compensation expense, net of tax</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$ 3,738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$ 3,499</w:t>
            </w:r>
          </w:p>
        </w:tc>
        <w:tc>
          <w:tcPr>
            <w:tcW w:w="120" w:type="dxa"/>
            <w:vAlign w:val="bottom"/>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University’s accreditation has been reaffirmed by the Higher Learning Commission (“HLC”) after a comprehensive review of the institution’s academic offerings, governance and administration, mission, finances and resources during an on-site visit in November 2016. The accreditation was reaffirmed by the HLC’s Institutional Actions council at its meeting on February 28, 2017 with no requirements for any monitoring or interim reports. The comprehensive review occurs every 10 years, along with a mid-term report in year four. As of June 30, 2017, management believes the University is in compliance with the applicable regulations in all material respects.</w:t>
      </w:r>
    </w:p>
    <w:p>
      <w:pPr>
        <w:spacing w:after="0" w:line="182"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900" w:right="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900" w:right="36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other universities in our geographic region and market sector, including competition for students, qualified executives and other personnel;</w:t>
      </w:r>
    </w:p>
    <w:p>
      <w:pPr>
        <w:spacing w:after="0" w:line="75" w:lineRule="exact"/>
        <w:rPr>
          <w:rFonts w:ascii="Arial" w:cs="Arial" w:eastAsia="Arial" w:hAnsi="Arial"/>
          <w:sz w:val="18"/>
          <w:szCs w:val="18"/>
          <w:color w:val="auto"/>
        </w:rPr>
      </w:pPr>
    </w:p>
    <w:p>
      <w:pPr>
        <w:ind w:left="900" w:right="66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the expansion of our campus, potential acquisitions of, or investments in, new businesses, acquisitions of new properties, or the development of new campuses;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2016,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are a comprehensive regionally accredited university that offers over 220 graduate and undergraduate degree programs, emphases and certificates across nine colleges both online and on ground at our over 270 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students) or online, has enabled us to increase enrollment to approximately 74,500 at June 30, 2017.</w:t>
      </w:r>
    </w:p>
    <w:p>
      <w:pPr>
        <w:spacing w:after="0" w:line="17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End-of-period enrollment increased 10.5% between June 30, 2017 and June 30, 2016, as ground enrollment increased 10.8% and online enrollment increased 10.4% over the prior year. Ground enrollment at June 30, 2017 only includes traditional-aged students that are taking Summer school classes, which is a small percentage of our traditional-aged student body. As of March 31, 2017 ground enrollment had increased 12.0% over the prior year. The Spring semester ends near the end of April each year. We attribute the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$490 to $633 per credit hour and its graduate tuition for online programs ranges from $492 to $1,132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Net revenues increased 11.5% over the first six months of the prior year primarily due to the enrollment growth and due to an increase in ancillary revenues resulting from the increased traditional student enrollment (e.g. housing, food, etc.). The increase in revenue per student between years is primarily due to our residential traditional campus enrollment growing at a rate higher than our working adult enrollment. We have not raised our tuition for our traditional ground programs in eight years and we have not raised tuition for our working adult students since September 2015. Operating income was $131.7 million for the six months ended June 30, 2017, an increase of 16.1% over the $113.4 million in operating income for the six months ended June 30,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June 30, 2017 and 2016 by degree type and by instructional delivery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2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 of Total</w:t>
            </w:r>
          </w:p>
        </w:tc>
        <w:tc>
          <w:tcPr>
            <w:tcW w:w="580" w:type="dxa"/>
            <w:vAlign w:val="bottom"/>
          </w:tcPr>
          <w:p>
            <w:pPr>
              <w:spacing w:after="0"/>
              <w:rPr>
                <w:sz w:val="12"/>
                <w:szCs w:val="12"/>
                <w:color w:val="auto"/>
              </w:rPr>
            </w:pPr>
          </w:p>
        </w:tc>
        <w:tc>
          <w:tcPr>
            <w:tcW w:w="12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8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44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31,136</w:t>
            </w:r>
          </w:p>
        </w:tc>
        <w:tc>
          <w:tcPr>
            <w:tcW w:w="4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Undergraduate degree</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38,783</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52.1%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36,288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74,485</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67,424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2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 of Total</w:t>
            </w:r>
          </w:p>
        </w:tc>
        <w:tc>
          <w:tcPr>
            <w:tcW w:w="580" w:type="dxa"/>
            <w:vAlign w:val="bottom"/>
          </w:tcPr>
          <w:p>
            <w:pPr>
              <w:spacing w:after="0"/>
              <w:rPr>
                <w:sz w:val="12"/>
                <w:szCs w:val="12"/>
                <w:color w:val="auto"/>
              </w:rPr>
            </w:pPr>
          </w:p>
        </w:tc>
        <w:tc>
          <w:tcPr>
            <w:tcW w:w="12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8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68,470</w:t>
            </w:r>
          </w:p>
        </w:tc>
        <w:tc>
          <w:tcPr>
            <w:tcW w:w="44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61,994</w:t>
            </w:r>
          </w:p>
        </w:tc>
        <w:tc>
          <w:tcPr>
            <w:tcW w:w="4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6,015</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5,430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74,485</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67,424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40" w:hanging="452"/>
        <w:spacing w:after="0" w:line="274"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Enrollment at June 30, 2017 and 2016 represents individual students who attended a course during the last two months of the calendar quarter. Included in enrollment at June 30, 2017 and 2016 are students pursuing non-degree certificates of 1,190 and 1,048, respectively.</w:t>
      </w: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7,324 and 6,739 students pursuing doctoral degrees at June 30, 2017 and 2016, respectively.</w:t>
      </w:r>
    </w:p>
    <w:p>
      <w:pPr>
        <w:spacing w:after="0" w:line="9" w:lineRule="exact"/>
        <w:rPr>
          <w:rFonts w:ascii="Arial" w:cs="Arial" w:eastAsia="Arial" w:hAnsi="Arial"/>
          <w:sz w:val="15"/>
          <w:szCs w:val="15"/>
          <w:color w:val="auto"/>
        </w:rPr>
      </w:pPr>
    </w:p>
    <w:p>
      <w:pPr>
        <w:ind w:left="460" w:right="180" w:hanging="452"/>
        <w:spacing w:after="0" w:line="25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of June 30, 2017 and 2016, 50.3% and 48.6%, respectively, of our working adult students (online and professional studies students) were pursuing graduate degrees.</w:t>
      </w: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attending our Summer semester, as well as our professional studies students.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2016. During the six months ended June 30, 2017,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2016. During the six months ended June 30, 2017, there have been no significant changes in these trends. See Item 7, “Management’s Discussion and Analysis of Financial Condition and Results of Operations – Key Trends, Developments and Challenges” in our Annual Report on Form 10-K for our fiscal year ended December 31, 2016, which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100.0%</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Instructional costs and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Admissions advisory and related</w:t>
            </w: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Marketing and promotional</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4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June 30, 2017 was $218.3 million, an increase of $27.0 million, or 14.1%,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$191.3 million for the three months ended June 30, 2016. This increase was primarily due to an increase in ground and online enrollment and, to a lesser extent, an increase in room and board and other student fees, partially offset by an increase in institutional scholarships. We have not raised our tuition for our traditional ground program in eight years and we have not raised tuition for our working adult students since September 2015. End-of-period enrollment increased 10.5% between June 30, 2017 and June 30, 2016, as ground enrollment increased 10.8%, and online enrollment increased 10.4% over the prior year. Ground enrollment at June 30, 2017 includes traditional-aged students that are taking Summer school classes which is a small percentage of our total traditional-aged student body and professional studies students. The Spring semester for our traditional-aged student body ends near the end of April each year. The ground enrollment growth between years is primarily due to an increase in professional studies students between years. The number of ground traditional students taking summer semester courses is flat year over year. Our Spring 2017 ground enrollment increased 12.0% year over year to 15,900 students and the majority of that increase between years was residential students at our ground traditional campus in Phoenix, Arizona. We attribute the growth in our enrollment between years to our increasing brand recognition and the value proposition we believe we provide to students and their parents. After scholarships, our ground traditional students pay an amount for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that compete with us.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increase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students. In addition, we had six additional days of traditional campus revenue in the second quarter of 2017 than in the same quarter in 2016 due to a favorable shift in the timing of our residential traditional campus end dates, as the Spring semester ended later in 2017 than in 2016.</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three months ended June 30, 2017 were $95.0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$10.4 million, or 12.3%, as compared to instructional costs and services expenses of $84.6 million for the three months ended June 30, 2016. This increase was primarily due to increases in faculty compensation, employee compensation and related expenses including share based compensation, depreciation and amortization and occupancy expense, and other instructional costs and services, of $3.1 million, $2.3 million, $2.9 million, and $2.1 million, respectively. The increase in employee compensation and related expenses and faculty compensation are primarily due to the increase in the number of staff and faculty needed to support the increasing number of students attending the University. The increase in depreciation and amortization and occupancy costs is the result of our placing into service additional buildings to support the growing number of ground traditional students in the Fall of 2016. Our instructional costs and services expenses as a percentage of net revenues decreased 0.7% to 43.5% for the three months ended June 30, 2017, from 44.2% for the three months ended June 30, 2016 primarily due to a decrease in employee compensation and related expenses and other instructional costs and services as a percentage of revenue, partially offset by an increase in depreciation and amortization and occupancy expense as a percentage of revenue over the prior year. Bad debt expense decreased to 1.6% for the three months ended June 30, 2017 from 1.8% for the three months ended June 30, 2016. The decrease in these expenses as a percentage of revenue is due to our ability to leverage them across an increasing revenue base and due to the additional revenue earned during the second quarter as a result of the shift in the timing of our residential traditional end dates.</w:t>
      </w:r>
    </w:p>
    <w:p>
      <w:pPr>
        <w:spacing w:after="0" w:line="17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Admissions advisory and related expenses</w:t>
      </w:r>
      <w:r>
        <w:rPr>
          <w:rFonts w:ascii="Arial" w:cs="Arial" w:eastAsia="Arial" w:hAnsi="Arial"/>
          <w:sz w:val="18"/>
          <w:szCs w:val="18"/>
          <w:color w:val="auto"/>
        </w:rPr>
        <w:t>. Our admissions advisory and related expenses for the three months ended June 30, 2017 were $31.1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$2.2 million, or 7.7%, as compared to admissions advisory and related expenses of $28.9 million for the three months ended June 30, 2016. This increase is primarily the result of increases in employee compensation and related expenses including share based compensation of $2.2 million, primarily due to tenure based salary adjustments. Our admissions advisory and related expenses as a percentage of revenue decreased 0.9% to 14.2% for the three months ended June 30, 2017, from 15.1% for the six months ended June 30, 2016 primarily due to our ability to leverage our admissions advisory personnel across an increasing revenue base and due to the additional revenue earned during the second quarter as a result of the shift in the timing of our residential traditional end dates.</w:t>
      </w:r>
    </w:p>
    <w:p>
      <w:pPr>
        <w:spacing w:after="0" w:line="18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June 30, 2017 were $24.8 million, an increase of $2.7 million, or 11.9%,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$22.1 million for the three months ended June 30, 2016. This increase is primarily the result of increased national brand advertising. Our advertising expenses as a percentage of net revenue decreased by 0.3% to 11.3% for the three months ended June 30, 2017, from 11.6% for the three months ended June 30, 2016.</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three months ended June 30, 2017 were $2.3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$0.2 million, or 7.5%, as compared to marketing and promotional expenses of $2.1 million for the three months ended June 30, 2016. This increase is primarily the result of increases in employee compensation and related expenses including stock based compensation, partially offset by decreases in other promotional expenses of $0.3 million and $0.1 million, respectively. Our marketing and promotional expenses as a percentage of net revenue declined slightly to 1.0% for the three months ended June 30, 2017, from 1.1% for the three months ended June 30, 2016.</w:t>
      </w:r>
    </w:p>
    <w:p>
      <w:pPr>
        <w:spacing w:after="0" w:line="173" w:lineRule="exact"/>
        <w:rPr>
          <w:sz w:val="20"/>
          <w:szCs w:val="20"/>
          <w:color w:val="auto"/>
        </w:rPr>
      </w:pPr>
    </w:p>
    <w:p>
      <w:pPr>
        <w:ind w:right="500" w:firstLine="456"/>
        <w:spacing w:after="0" w:line="297"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three months ended June 30, 2017 were $10.1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$1.3 million, or 14.2%, as compared to general and administrative expenses of $8.8 million for the three months ended June 30, 2016. This increase was primarily due to increases in employee compensation and related expenses including share based compensation, and increases in outside professional costs, including legal, accounting, insurance and other costs, of $0.7 million and $0.6 million, respectively. Our general and administrative expenses as a percentage of net revenue stayed flat at 4.6% for both the three months ended June 30, 2017 and 2016.</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three months ended June 30, 2017 was $0.5 million, an increase of $0.3 million, as compared to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$0.2 million for the three months ended June 30, 2016. This increase was primarily due to lower capitalized interest as compared to the prior year due to a decrease in capital spending in 2017, partially offset by the decrease in the average balance of our loan facility. Our interest expense increased as a percentage of net revenue by 0.1% to 0.2% for the three months ended June 30, 2017, from 0.1% for the three months ended June 30, 2016.</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June 30, 2017 was $0.7 million, an increase of $0.4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and other income of $0.3 million in the three months ended June 30, 2016. The increase was primarily due to higher average investment balances between years.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June 30, 2017 was $15.5 million, a decrease of $1.8 million, or 10.3%,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$17.3 million for the three months ended June 30, 2016. This decrease is the result of a decrease in our effective tax rate from 38.4% during the second quarter of 2016 to 28.0% during the second quarter of 2017 partially offset by higher taxable income between periods. The lower effective tax rate year over year is due to our adoption of the share-based compensation standard in the first quarter of 2017, which resulted in the recognition of excess tax benefits from share-based compensation awards that vested or settled in 2017 in the consolidated income statement.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w:t>
      </w:r>
    </w:p>
    <w:p>
      <w:pPr>
        <w:spacing w:after="0" w:line="1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2017 was $39.8 million, an increase of $12.2 million, as compared to $27.6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2016,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to Six Months Ended June 30, 2016</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2017 was $466.5 million, an increase of $48.3 million, or 11.5%,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$418.2 million for the six months ended June 30, 2016. This increase was primarily due to an increase in ground and online enrollment and, to a lesser extent, an increase in room and board and other student fees, partially offset by an increase in institutional scholarships. We have not raised our tuition for our traditional ground program in eight years and we have not raised tuition for our working adult students since September 2015. End-of-period enrollment increased 10.5% between June 30, 2017 and June 30, 2016, as ground enrollment increased 10.8%, and online enrollment increased 10.4% over the prior year. Ground enrollment at June 30, 2017 includes traditional-aged students that are taking Summer school classes which is a small percentage of our total traditional-aged student body and professional studies students. The Spring semester for our traditional-aged student body ends near the end of April each year. The ground enrollment growth between years is primarily due to an increase in professional studies students between years. The number of ground traditional students taking summer semester courses is flat year over year. Our Spring 2017 ground enrollment increased 12.0% year over year to 15,900 students and the majority of that increase between years was residential students at our ground traditional campus in Phoenix, Arizona. We attribute the growth in our enrollment between years to our increasing brand recognition and the value proposition we believe we provide to students and their parents. After scholarships, our ground traditional students pay an amount for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that compete with us.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increase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six months ended June 30, 2017 were $197.6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$18.3 million, or 10.2%, as compared to instructional costs and services expenses of $179.3 million for the six months ended June 30, 2016. This increase was primarily due to increases in faculty compensation, employee compensation and related expenses including share based compensation, depreciation and amortization and occupancy expense, and other instructional compensation and related expenses, of $5.1 million, $4.6 million, $5.5 million, and $3.1 million, respectively. The increase in employee compensation and related expenses and faculty compensation are primarily due to the increase in the number of staff and faculty needed to support the increasing number of students attending the University. In addition, we have incurred an increase in benefit costs between years. The increase in depreciation and amortization and occupancy costs is the result of our placing into service additional buildings to support the growing number of ground traditional students in the Fall of 2016. Our instructional costs and services expenses as a percentage of net revenues decreased 0.5% to 42.4% for the three months ended June 30, 2017, from 42.9% for the six months ended June 30, 2016 primarily due to a decrease in employee compensation and related expenses, other instructions costs and services, and dues, fees, subscriptions and other instructional supplies as a percentage of revenue, partially offset by an increase in depreciation and amortization and occupancy expense as a percentage of revenue over the prior year. The decrease in these expenses as a percentage of revenue between years is due to our ability to leverage them across an increasing revenue base. Bad debt expense decreased to 1.7% for the six months ended June 30, 2017 from 1.9% for the six months ended June 30, 2016.</w:t>
      </w:r>
    </w:p>
    <w:p>
      <w:pPr>
        <w:spacing w:after="0" w:line="17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Admissions advisory and related expenses</w:t>
      </w:r>
      <w:r>
        <w:rPr>
          <w:rFonts w:ascii="Arial" w:cs="Arial" w:eastAsia="Arial" w:hAnsi="Arial"/>
          <w:sz w:val="18"/>
          <w:szCs w:val="18"/>
          <w:color w:val="auto"/>
        </w:rPr>
        <w:t>. Our admissions advisory and related expenses for the six months ended June 30, 2017 were $63.1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$4.7 million, or 8.0%, as compared to admissions advisory and related expenses of $58.4 million for the six months ended June 30, 2016. This increase is primarily the result of increases in employee compensation and related expenses including share based compensation of $5.0 million, partially offset by a decrease in other advisory related expenses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$0.3 million. The increase in employee compensation and related expenses is primarily due to tenure based salary adjustments and an increase in benefit costs between years. Our admissions advisory and related expenses as a percentage of revenue decreased 0.5% to 13.5% for the six months ended June 30, 2017, from 14.0% for the six months ended June 30, 2016 primarily due to our ability to leverage our admissions advisory personnel across an increasing revenue base.</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six months ended June 30, 2017 were $49.4 million, an increase of $6.1 million, or 14.2%,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$43.3 million for the six months ended June 30, 2016. This increase is primarily the result of increased national brand advertising. Our advertising expenses as a percentage of net revenue increased 0.3% to 10.6% for the six months ended June 30, 2017, from 10.3% for the six months ended June 30, 2016.</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six months ended June 30, 2017 were $4.7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$0.4 million, or 8.6%, as compared to marketing and promotional expenses of $4.3 million for the six months ended June 30, 2016. This increase is primarily the result of increases in employee compensation and related expenses including stock based compensation and benefit expenses, partially offset by a decrease in other promotional expenses of $0.5 million and $0.1 million, respectively. Our marketing and promotional expenses as a percentage of net revenue stayed flat at 1.0% for both the six months ended June 30, 2017 and 2016.</w:t>
      </w:r>
    </w:p>
    <w:p>
      <w:pPr>
        <w:spacing w:after="0" w:line="17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six months ended June 30, 2017 were $20.0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$0.5 million, or 2.4%, as compared to general and administrative expenses of $19.5 million for the six months ended June 30, 2016. This increase was primarily due to increases in employee compensation and related expenses included shared based compensation and benefit costs, partially offset by a decrease in outside professional costs including legal, accounting, insurance and other costs of $1.3 million and $0.8 million, respectively. Our general and administrative expenses as a percentage of net revenue decreased by 0.4% to 4.3% for the six months ended June 30, 2017, from 4.7% for the six months ended June 30, 2016 due to the reduction in outside professional costs between periods.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six months ended June 30, 2017 was $1.1 million, an increase of $0.6 million, as compared to interest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$0.5 million for the six months ended June 30, 2016. This increase was primarily due to higher interest costs from the draw on our revolving line of credit during the first quarter of 2017 and lower capitalized interest due to a decrease in capital spending in 2017. Our interest expense increased as a percentage of net revenue by 0.1% to 0.2% for the six months ended June 30, 2017, from 0.1% for the six months ended June 30, 2016.</w:t>
      </w:r>
    </w:p>
    <w:p>
      <w:pPr>
        <w:spacing w:after="0" w:line="154"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 Interest and other income for the six months ended June 30, 2017 was $0.7 million, a decrease of $1.6 million,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interest and other income of $2.3 million in the six months ended June 30, 2016. The decrease was primarily due to the University’s proportional share of equity interest income of $1.8 million related to our ownership interest in LoudCloud that was received in the first quarter of 2016.</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six months ended June 30, 2017 was $35.6 million, a decrease of $8.4 million, or 19.0%,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income tax expense of $44.0 million for the six months ended June 30, 2016. This decrease is the result of a decrease in our effective tax rate from 38.2% in the first six months of 2016 to 27.1% during the first six months of 2017 partially offset by higher taxable income between periods. The lower effective tax rate year over year is due to our adoption of the share-based compensation standard in the first quarter of 2017, which resulted in the recognition of excess tax benefits from share-based compensation awards that vested or settled in 2017 in the consolidated income statement.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is greatest in the first quarter each year.</w:t>
      </w:r>
    </w:p>
    <w:p>
      <w:pPr>
        <w:spacing w:after="0" w:line="18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2017 was $95.8 million, an increase of $24.5 million, as compared to $71.3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2016,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We financed our operating activities and capital expenditures during the six months ended June 30, 2017 and 2016 primarily through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operating activities. Our unrestricted cash and cash equivalents and investments were $155.7 million and $108.6 million at June 30, 2017 and December 31, 2016, respectively. Our restricted cash and cash equivalents at June 30, 2017 and December 31, 2016 were $79.4 million and $84.9 million, respectively. In December 2012, we entered into a new credit agreement, which increased our term loan to $100 million with a maturity date of December 2019. Additionally, this facility, as amended in January 2016, provides a revolving line of credit in the amount of $150 million through December 2017 to be utilized for working capital, capital expenditures and other general corporate purposes. Indebtedness under the credit facility is secured by our assets and is guaranteed by certain of our subsidiaries. No amounts were drawn on the revolver as of June 30, 2017.</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our common stock, from time to time, depending on market conditions and other considerations. The current expiration date on the repurchase authorization by our Board of Directors is December 31, 2017. Repurchases occur at the University’s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the inception of our share repurchase program, the University has purchased 3.5 million shares of common stock at an aggregate cost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$75.8 million. During the six months ended June 30, 2017 no shares were repurchased by the University. At June 30, 2017, there remains $99.2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available under our share repurchase authorization.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three months ended June 30, 2017 was $133.7 million as compared to</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$112.5 million for the six months ended June 30, 2016. The increase in cash generated from operating activities between the six months ended June 30, 2016 and the six months ended June 30, 2017 is primarily due to increased net income and non-cash charges such as depreciation expense as well as changes in other working capital such as accrued liabilities and deferred revenue.</w:t>
      </w:r>
    </w:p>
    <w:p>
      <w:pPr>
        <w:spacing w:after="0" w:line="19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$86.7 million and $104.2 million for the six months ended June 30, 2017 and 2016,</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Our cash used in investing activities was primarily related to the purchase of short-term investments and capital expenditures. Purchases of short-term investments net of proceeds of these investments was $26.8 million for the six months ended June 30, 2017. Proceeds from investment, net of purchases of short term investments was $33.9 million for the six months ended June 30, 2016. Capital expenditures were $50.5 million and $115.6 million for the six months ended June 30, 2017 and 2016, respectively. During the six-month period for 2017, capital expenditures primarily consisted of ground campus building projects such as the construction of an additional dormitory to support our growing traditional student enrollment, land acquisitions adjacent to our campus, and purchases of computer equipment, other internal use software projects and furniture and equipment to support our increasing employee headcount. Included in off-site development for 2017 is $9.4 million we spent to finish the building and parking garage in close proximity to our ground traditional campus. Employees that work in two leased office buildings in the Phoenix area were relocated to this new building by the end of 2016. During the six-month period for 2016, capital expenditures primarily consisted of ground campus building projects that started in late 2015 such as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2016 is $24.8 million related to the off-site office building and parking garage. In addition, during the first six months of 2016, we received a $1.8 million distribution related to our ownership interest in LoudCloud upon its sale to a third party.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was $32.2 million for the six months ended June 30, 2017. Net cash provided by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$8.7 million for the six months ended June 30, 2016. During the six-month period for 2017, $25.0 million was used to repay the revolving line of credit, $9.7 million was used to purchase common shares withheld in lieu of income taxes resulting from restricted share awards and principal payments on notes payable and capital leases totaled $3.4 million, which amounts were partially offset by proceeds from the exercise of stock options of $5.9 million. During the six-month period for 2016, net cash provided by financing activities consisted of proceeds received from the revolving line of credit of $25.0 million and proceeds from the exercise of stock options of $7.0 million, partially offset by $14.6 million was used to purchase treasury stock in accordance with the University’s share repurchase program and $4.6 million was used to purchase common shares withheld in lieu of income taxes resulting from restricted share awards while principal payments on notes payable and capital leases totaled $3.8 million and debt issuance costs for the increase in our revolving line of credit totaled $0.2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sets forth, as of June 30, 2017,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Payments Due by Period</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2"/>
              </w:rPr>
              <w:t>Less than</w:t>
            </w:r>
          </w:p>
        </w:tc>
        <w:tc>
          <w:tcPr>
            <w:tcW w:w="10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89"/>
              </w:rPr>
              <w:t>2-3 Years</w:t>
            </w: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4-5 Years</w:t>
            </w:r>
          </w:p>
        </w:tc>
        <w:tc>
          <w:tcPr>
            <w:tcW w:w="11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1 Year </w:t>
            </w:r>
            <w:r>
              <w:rPr>
                <w:rFonts w:ascii="Arial" w:cs="Arial" w:eastAsia="Arial" w:hAnsi="Arial"/>
                <w:sz w:val="14"/>
                <w:szCs w:val="14"/>
                <w:color w:val="auto"/>
              </w:rPr>
              <w:t>(1)</w:t>
            </w:r>
          </w:p>
        </w:tc>
        <w:tc>
          <w:tcPr>
            <w:tcW w:w="108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110.2</w:t>
            </w:r>
          </w:p>
        </w:tc>
        <w:tc>
          <w:tcPr>
            <w:tcW w:w="6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July 1, 2017 through December 31, 2017.</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June 30,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six months ended June 30, 2017 or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operating results and financial condition.</w:t>
      </w:r>
    </w:p>
    <w:p>
      <w:pPr>
        <w:spacing w:after="0" w:line="21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the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$70.0 million as of June 30, 2017,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58"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 cash equivalents,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mutual funds tied to various market indices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June 30, 2017, a 10% increase or decrease in interest rates would not have a material impact on our future earnings, fair values, or cash flows. For information regarding our variable rate debt, see “Market risk” above.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2017,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common stock, from time to time, depending on market conditions and other considerations. The current expiration date on the repurchase authorization is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six months ended June 30, 2017, we did not repurchase any shares of common stock. At June 30, 2017, there remains $99.2 million available under our share repurchase authorization.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720"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2017:</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960" w:type="dxa"/>
            <w:vAlign w:val="bottom"/>
            <w:tcBorders>
              <w:top w:val="single" w:sz="8" w:color="auto"/>
              <w:left w:val="single" w:sz="8" w:color="auto"/>
            </w:tcBorders>
          </w:tcPr>
          <w:p>
            <w:pPr>
              <w:spacing w:after="0"/>
              <w:rPr>
                <w:sz w:val="12"/>
                <w:szCs w:val="12"/>
                <w:color w:val="auto"/>
              </w:rPr>
            </w:pPr>
          </w:p>
        </w:tc>
        <w:tc>
          <w:tcPr>
            <w:tcW w:w="3560" w:type="dxa"/>
            <w:vAlign w:val="bottom"/>
            <w:tcBorders>
              <w:top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9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Total Number of</w:t>
            </w:r>
          </w:p>
        </w:tc>
        <w:tc>
          <w:tcPr>
            <w:tcW w:w="1780" w:type="dxa"/>
            <w:vAlign w:val="bottom"/>
            <w:tcBorders>
              <w:top w:val="single" w:sz="8" w:color="auto"/>
              <w:right w:val="single" w:sz="8" w:color="auto"/>
            </w:tcBorders>
            <w:gridSpan w:val="2"/>
          </w:tcPr>
          <w:p>
            <w:pPr>
              <w:ind w:left="340"/>
              <w:spacing w:after="0" w:line="139" w:lineRule="exact"/>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Average</w:t>
            </w: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780" w:type="dxa"/>
            <w:vAlign w:val="bottom"/>
            <w:tcBorders>
              <w:right w:val="single" w:sz="8" w:color="auto"/>
            </w:tcBorders>
            <w:gridSpan w:val="2"/>
          </w:tcPr>
          <w:p>
            <w:pPr>
              <w:ind w:left="40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340" w:type="dxa"/>
            <w:vAlign w:val="bottom"/>
            <w:tcBorders>
              <w:right w:val="single" w:sz="8" w:color="auto"/>
            </w:tcBorders>
            <w:gridSpan w:val="2"/>
            <w:vMerge w:val="continue"/>
          </w:tcPr>
          <w:p>
            <w:pPr>
              <w:spacing w:after="0"/>
              <w:rPr>
                <w:sz w:val="12"/>
                <w:szCs w:val="12"/>
                <w:color w:val="auto"/>
              </w:rPr>
            </w:pP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780" w:type="dxa"/>
            <w:vAlign w:val="bottom"/>
            <w:tcBorders>
              <w:right w:val="single" w:sz="8" w:color="auto"/>
            </w:tcBorders>
            <w:gridSpan w:val="2"/>
          </w:tcPr>
          <w:p>
            <w:pPr>
              <w:ind w:left="34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Period</w:t>
            </w:r>
          </w:p>
        </w:tc>
        <w:tc>
          <w:tcPr>
            <w:tcW w:w="35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gridSpan w:val="2"/>
          </w:tcPr>
          <w:p>
            <w:pPr>
              <w:ind w:left="340"/>
              <w:spacing w:after="0" w:line="149" w:lineRule="exact"/>
              <w:rPr>
                <w:sz w:val="20"/>
                <w:szCs w:val="20"/>
                <w:color w:val="auto"/>
              </w:rPr>
            </w:pPr>
            <w:r>
              <w:rPr>
                <w:rFonts w:ascii="Arial" w:cs="Arial" w:eastAsia="Arial" w:hAnsi="Arial"/>
                <w:sz w:val="14"/>
                <w:szCs w:val="14"/>
                <w:b w:val="1"/>
                <w:bCs w:val="1"/>
                <w:color w:val="auto"/>
              </w:rPr>
              <w:t>Price Paid</w:t>
            </w: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780" w:type="dxa"/>
            <w:vAlign w:val="bottom"/>
            <w:tcBorders>
              <w:right w:val="single" w:sz="8" w:color="auto"/>
            </w:tcBorders>
            <w:gridSpan w:val="2"/>
          </w:tcPr>
          <w:p>
            <w:pPr>
              <w:ind w:left="340"/>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tcBorders>
            <w:vMerge w:val="continue"/>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134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 Repurchases</w:t>
            </w: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980" w:type="dxa"/>
            <w:vAlign w:val="bottom"/>
            <w:tcBorders>
              <w:bottom w:val="single" w:sz="8" w:color="auto"/>
              <w:right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April 1, 2017 – April 30, 2017</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May 1, 2017 – May 31, 2017</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June 1, 2017 – June 30, 2017</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56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Tax Withholdings</w:t>
            </w:r>
          </w:p>
        </w:tc>
        <w:tc>
          <w:tcPr>
            <w:tcW w:w="18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April 1, 2017 – April 30, 2017</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May 1, 2017 – May 31, 2017</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June 1, 2017 – June 30, 2017</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1,822</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93"/>
              </w:rPr>
              <w:t>77.33</w:t>
            </w:r>
          </w:p>
        </w:tc>
        <w:tc>
          <w:tcPr>
            <w:tcW w:w="1980" w:type="dxa"/>
            <w:vAlign w:val="bottom"/>
            <w:tcBorders>
              <w:bottom w:val="single" w:sz="8" w:color="auto"/>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356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1,822</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77.33</w:t>
            </w:r>
          </w:p>
        </w:tc>
        <w:tc>
          <w:tcPr>
            <w:tcW w:w="198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74"/>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560" w:type="dxa"/>
            <w:vAlign w:val="bottom"/>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3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56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3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56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3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tcPr>
          <w:p>
            <w:pPr>
              <w:jc w:val="right"/>
              <w:ind w:right="453"/>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0" w:type="dxa"/>
            <w:vAlign w:val="bottom"/>
          </w:tcPr>
          <w:p>
            <w:pPr>
              <w:spacing w:after="0"/>
              <w:rPr>
                <w:sz w:val="20"/>
                <w:szCs w:val="20"/>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5240" w:type="dxa"/>
            <w:vAlign w:val="bottom"/>
          </w:tcPr>
          <w:p>
            <w:pPr>
              <w:spacing w:after="0"/>
              <w:rPr>
                <w:sz w:val="20"/>
                <w:szCs w:val="20"/>
                <w:color w:val="auto"/>
              </w:rPr>
            </w:pPr>
          </w:p>
        </w:tc>
      </w:tr>
      <w:tr>
        <w:trPr>
          <w:trHeight w:val="324"/>
        </w:trPr>
        <w:tc>
          <w:tcPr>
            <w:tcW w:w="6180" w:type="dxa"/>
            <w:vAlign w:val="bottom"/>
            <w:gridSpan w:val="4"/>
          </w:tcPr>
          <w:p>
            <w:pPr>
              <w:ind w:left="460"/>
              <w:spacing w:after="0"/>
              <w:rPr>
                <w:sz w:val="20"/>
                <w:szCs w:val="20"/>
                <w:color w:val="auto"/>
              </w:rPr>
            </w:pPr>
            <w:r>
              <w:rPr>
                <w:rFonts w:ascii="Arial" w:cs="Arial" w:eastAsia="Arial" w:hAnsi="Arial"/>
                <w:sz w:val="18"/>
                <w:szCs w:val="18"/>
                <w:color w:val="auto"/>
              </w:rPr>
              <w:t>(a) Exhibits</w:t>
            </w:r>
          </w:p>
        </w:tc>
        <w:tc>
          <w:tcPr>
            <w:tcW w:w="5240" w:type="dxa"/>
            <w:vAlign w:val="bottom"/>
          </w:tcPr>
          <w:p>
            <w:pPr>
              <w:spacing w:after="0"/>
              <w:rPr>
                <w:sz w:val="24"/>
                <w:szCs w:val="24"/>
                <w:color w:val="auto"/>
              </w:rPr>
            </w:pPr>
          </w:p>
        </w:tc>
      </w:tr>
      <w:tr>
        <w:trPr>
          <w:trHeight w:val="405"/>
        </w:trPr>
        <w:tc>
          <w:tcPr>
            <w:tcW w:w="7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Description</w:t>
            </w:r>
          </w:p>
        </w:tc>
        <w:tc>
          <w:tcPr>
            <w:tcW w:w="5240" w:type="dxa"/>
            <w:vAlign w:val="bottom"/>
          </w:tcPr>
          <w:p>
            <w:pPr>
              <w:spacing w:after="0"/>
              <w:rPr>
                <w:sz w:val="20"/>
                <w:szCs w:val="20"/>
                <w:color w:val="auto"/>
              </w:rPr>
            </w:pPr>
            <w:r>
              <w:rPr>
                <w:rFonts w:ascii="Arial" w:cs="Arial" w:eastAsia="Arial" w:hAnsi="Arial"/>
                <w:sz w:val="14"/>
                <w:szCs w:val="14"/>
                <w:b w:val="1"/>
                <w:bCs w:val="1"/>
                <w:color w:val="auto"/>
              </w:rPr>
              <w:t>Method of Filing</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Amended and Restated Certificate of Incorporation.</w:t>
            </w:r>
          </w:p>
        </w:tc>
        <w:tc>
          <w:tcPr>
            <w:tcW w:w="5240" w:type="dxa"/>
            <w:vAlign w:val="bottom"/>
          </w:tcPr>
          <w:p>
            <w:pPr>
              <w:spacing w:after="0"/>
              <w:rPr>
                <w:sz w:val="20"/>
                <w:szCs w:val="20"/>
                <w:color w:val="auto"/>
              </w:rPr>
            </w:pPr>
            <w:r>
              <w:rPr>
                <w:rFonts w:ascii="Arial" w:cs="Arial" w:eastAsia="Arial" w:hAnsi="Arial"/>
                <w:sz w:val="18"/>
                <w:szCs w:val="18"/>
                <w:color w:val="auto"/>
                <w:w w:val="97"/>
              </w:rPr>
              <w:t>Incorporated by reference to Exhibit 3.1 to Amendment No. 6 to the</w:t>
            </w: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University’s Registration Statement on Form S-1 filed with the SEC on</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Certificate of Amendment of Amended and Restated Certificate of</w:t>
            </w:r>
          </w:p>
        </w:tc>
        <w:tc>
          <w:tcPr>
            <w:tcW w:w="5240" w:type="dxa"/>
            <w:vAlign w:val="bottom"/>
          </w:tcPr>
          <w:p>
            <w:pPr>
              <w:spacing w:after="0"/>
              <w:rPr>
                <w:sz w:val="20"/>
                <w:szCs w:val="20"/>
                <w:color w:val="auto"/>
              </w:rPr>
            </w:pPr>
            <w:r>
              <w:rPr>
                <w:rFonts w:ascii="Arial" w:cs="Arial" w:eastAsia="Arial" w:hAnsi="Arial"/>
                <w:sz w:val="18"/>
                <w:szCs w:val="18"/>
                <w:color w:val="auto"/>
              </w:rPr>
              <w:t>Incorporated by reference to Appendix A to the University’s Proxy</w:t>
            </w:r>
          </w:p>
        </w:tc>
      </w:tr>
      <w:tr>
        <w:trPr>
          <w:trHeight w:val="216"/>
        </w:trPr>
        <w:tc>
          <w:tcPr>
            <w:tcW w:w="76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Incorporation.</w:t>
            </w:r>
          </w:p>
        </w:tc>
        <w:tc>
          <w:tcPr>
            <w:tcW w:w="5240" w:type="dxa"/>
            <w:vAlign w:val="bottom"/>
          </w:tcPr>
          <w:p>
            <w:pPr>
              <w:spacing w:after="0"/>
              <w:rPr>
                <w:sz w:val="20"/>
                <w:szCs w:val="20"/>
                <w:color w:val="auto"/>
              </w:rPr>
            </w:pPr>
            <w:r>
              <w:rPr>
                <w:rFonts w:ascii="Arial" w:cs="Arial" w:eastAsia="Arial" w:hAnsi="Arial"/>
                <w:sz w:val="18"/>
                <w:szCs w:val="18"/>
                <w:color w:val="auto"/>
                <w:w w:val="95"/>
              </w:rPr>
              <w:t>Statement for its 2016 Annual meeting of Stockholders, filed with the</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SEC on April 29, 2016.</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Third Amended and Restated Bylaws.</w:t>
            </w:r>
          </w:p>
        </w:tc>
        <w:tc>
          <w:tcPr>
            <w:tcW w:w="5240" w:type="dxa"/>
            <w:vAlign w:val="bottom"/>
          </w:tcPr>
          <w:p>
            <w:pPr>
              <w:spacing w:after="0"/>
              <w:rPr>
                <w:sz w:val="20"/>
                <w:szCs w:val="20"/>
                <w:color w:val="auto"/>
              </w:rPr>
            </w:pPr>
            <w:r>
              <w:rPr>
                <w:rFonts w:ascii="Arial" w:cs="Arial" w:eastAsia="Arial" w:hAnsi="Arial"/>
                <w:sz w:val="18"/>
                <w:szCs w:val="18"/>
                <w:color w:val="auto"/>
                <w:w w:val="99"/>
              </w:rPr>
              <w:t>Incorporated by reference to Exhibit 3.1 to the University’s Current</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Report on Form 8-K filed with the SEC on October 29, 2014.</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Specimen of Stock Certificate.</w:t>
            </w:r>
          </w:p>
        </w:tc>
        <w:tc>
          <w:tcPr>
            <w:tcW w:w="5240" w:type="dxa"/>
            <w:vAlign w:val="bottom"/>
          </w:tcPr>
          <w:p>
            <w:pPr>
              <w:spacing w:after="0"/>
              <w:rPr>
                <w:sz w:val="20"/>
                <w:szCs w:val="20"/>
                <w:color w:val="auto"/>
              </w:rPr>
            </w:pPr>
            <w:r>
              <w:rPr>
                <w:rFonts w:ascii="Arial" w:cs="Arial" w:eastAsia="Arial" w:hAnsi="Arial"/>
                <w:sz w:val="18"/>
                <w:szCs w:val="18"/>
                <w:color w:val="auto"/>
                <w:w w:val="97"/>
              </w:rPr>
              <w:t>Incorporated by reference to Exhibit 4.1 to Amendment No. 2 to the</w:t>
            </w: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University’s Registration Statement on Form S-1 filed with the SEC on</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September 29, 2008.</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5420" w:type="dxa"/>
            <w:vAlign w:val="bottom"/>
            <w:gridSpan w:val="3"/>
          </w:tcPr>
          <w:p>
            <w:pPr>
              <w:ind w:left="80"/>
              <w:spacing w:after="0"/>
              <w:rPr>
                <w:sz w:val="20"/>
                <w:szCs w:val="20"/>
                <w:color w:val="auto"/>
              </w:rPr>
            </w:pPr>
            <w:r>
              <w:rPr>
                <w:rFonts w:ascii="Arial" w:cs="Arial" w:eastAsia="Arial" w:hAnsi="Arial"/>
                <w:sz w:val="18"/>
                <w:szCs w:val="18"/>
                <w:color w:val="auto"/>
                <w:w w:val="95"/>
              </w:rPr>
              <w:t>Certification of Principal Executive Officer pursuant to Rules 13a-14(a)</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76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w w:val="97"/>
              </w:rPr>
              <w:t>and 15d-14(a), as adopted pursuant to Section 302 of the Sarbanes-</w:t>
            </w:r>
          </w:p>
        </w:tc>
        <w:tc>
          <w:tcPr>
            <w:tcW w:w="5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Oxley Act of 2002.</w:t>
            </w:r>
          </w:p>
        </w:tc>
        <w:tc>
          <w:tcPr>
            <w:tcW w:w="5240" w:type="dxa"/>
            <w:vAlign w:val="bottom"/>
          </w:tcPr>
          <w:p>
            <w:pPr>
              <w:spacing w:after="0"/>
              <w:rPr>
                <w:sz w:val="20"/>
                <w:szCs w:val="20"/>
                <w:color w:val="auto"/>
              </w:rPr>
            </w:pP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5420" w:type="dxa"/>
            <w:vAlign w:val="bottom"/>
            <w:gridSpan w:val="3"/>
          </w:tcPr>
          <w:p>
            <w:pPr>
              <w:ind w:left="80"/>
              <w:spacing w:after="0"/>
              <w:rPr>
                <w:sz w:val="20"/>
                <w:szCs w:val="20"/>
                <w:color w:val="auto"/>
              </w:rPr>
            </w:pPr>
            <w:r>
              <w:rPr>
                <w:rFonts w:ascii="Arial" w:cs="Arial" w:eastAsia="Arial" w:hAnsi="Arial"/>
                <w:sz w:val="18"/>
                <w:szCs w:val="18"/>
                <w:color w:val="auto"/>
                <w:w w:val="96"/>
              </w:rPr>
              <w:t>Certification of Principal Financial Officer pursuant to Rules 13a-14(a)</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76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w w:val="97"/>
              </w:rPr>
              <w:t>and 15d-14(a), as adopted pursuant to Section 302 of the Sarbanes-</w:t>
            </w:r>
          </w:p>
        </w:tc>
        <w:tc>
          <w:tcPr>
            <w:tcW w:w="5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Oxley Act of 2002.</w:t>
            </w:r>
          </w:p>
        </w:tc>
        <w:tc>
          <w:tcPr>
            <w:tcW w:w="5240" w:type="dxa"/>
            <w:vAlign w:val="bottom"/>
          </w:tcPr>
          <w:p>
            <w:pPr>
              <w:spacing w:after="0"/>
              <w:rPr>
                <w:sz w:val="20"/>
                <w:szCs w:val="20"/>
                <w:color w:val="auto"/>
              </w:rPr>
            </w:pP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Certification of Principal Executive Officer pursuant to 18 U.S.C.</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76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w w:val="91"/>
              </w:rPr>
              <w:t>Section 1350, as adopted pursuant to Section 906 of the Sarbanes-Oxley</w:t>
            </w:r>
          </w:p>
        </w:tc>
        <w:tc>
          <w:tcPr>
            <w:tcW w:w="5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Act of 2002. ††</w:t>
            </w:r>
          </w:p>
        </w:tc>
        <w:tc>
          <w:tcPr>
            <w:tcW w:w="5240" w:type="dxa"/>
            <w:vAlign w:val="bottom"/>
          </w:tcPr>
          <w:p>
            <w:pPr>
              <w:spacing w:after="0"/>
              <w:rPr>
                <w:sz w:val="20"/>
                <w:szCs w:val="20"/>
                <w:color w:val="auto"/>
              </w:rPr>
            </w:pP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Certification of Principal Financial Officer pursuant to 18 U.S.C.</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76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w w:val="91"/>
              </w:rPr>
              <w:t>Section 1350, as adopted pursuant to Section 906 of the Sarbanes-Oxley</w:t>
            </w:r>
          </w:p>
        </w:tc>
        <w:tc>
          <w:tcPr>
            <w:tcW w:w="5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Arial" w:cs="Arial" w:eastAsia="Arial" w:hAnsi="Arial"/>
                <w:sz w:val="18"/>
                <w:szCs w:val="18"/>
                <w:color w:val="auto"/>
              </w:rPr>
              <w:t>Act of 2002. ††</w:t>
            </w:r>
          </w:p>
        </w:tc>
        <w:tc>
          <w:tcPr>
            <w:tcW w:w="524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c>
          <w:tcPr>
            <w:tcW w:w="524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w:t>
            </w:r>
          </w:p>
        </w:tc>
        <w:tc>
          <w:tcPr>
            <w:tcW w:w="524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w:t>
            </w:r>
          </w:p>
        </w:tc>
        <w:tc>
          <w:tcPr>
            <w:tcW w:w="524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w:t>
            </w:r>
          </w:p>
        </w:tc>
        <w:tc>
          <w:tcPr>
            <w:tcW w:w="524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524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0"/>
                <w:szCs w:val="20"/>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w:t>
            </w:r>
          </w:p>
        </w:tc>
        <w:tc>
          <w:tcPr>
            <w:tcW w:w="5240" w:type="dxa"/>
            <w:vAlign w:val="bottom"/>
          </w:tcPr>
          <w:p>
            <w:pPr>
              <w:ind w:left="180"/>
              <w:spacing w:after="0"/>
              <w:rPr>
                <w:sz w:val="20"/>
                <w:szCs w:val="20"/>
                <w:color w:val="auto"/>
              </w:rPr>
            </w:pPr>
            <w:r>
              <w:rPr>
                <w:rFonts w:ascii="Arial" w:cs="Arial" w:eastAsia="Arial" w:hAnsi="Arial"/>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4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 2017</w:t>
            </w:r>
          </w:p>
        </w:tc>
        <w:tc>
          <w:tcPr>
            <w:tcW w:w="7840" w:type="dxa"/>
            <w:vAlign w:val="bottom"/>
            <w:gridSpan w:val="2"/>
          </w:tcPr>
          <w:p>
            <w:pPr>
              <w:ind w:left="2320"/>
              <w:spacing w:after="0"/>
              <w:rPr>
                <w:sz w:val="20"/>
                <w:szCs w:val="20"/>
                <w:color w:val="auto"/>
              </w:rPr>
            </w:pPr>
            <w:r>
              <w:rPr>
                <w:rFonts w:ascii="Arial" w:cs="Arial" w:eastAsia="Arial" w:hAnsi="Arial"/>
                <w:sz w:val="18"/>
                <w:szCs w:val="18"/>
                <w:color w:val="auto"/>
              </w:rPr>
              <w:t>By:  /s/ Daniel E. Bachus</w:t>
            </w:r>
          </w:p>
        </w:tc>
      </w:tr>
      <w:tr>
        <w:trPr>
          <w:trHeight w:val="20"/>
        </w:trPr>
        <w:tc>
          <w:tcPr>
            <w:tcW w:w="3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2"/>
        </w:trPr>
        <w:tc>
          <w:tcPr>
            <w:tcW w:w="3580" w:type="dxa"/>
            <w:vAlign w:val="bottom"/>
          </w:tcPr>
          <w:p>
            <w:pPr>
              <w:spacing w:after="0"/>
              <w:rPr>
                <w:sz w:val="15"/>
                <w:szCs w:val="15"/>
                <w:color w:val="auto"/>
              </w:rPr>
            </w:pPr>
          </w:p>
        </w:tc>
        <w:tc>
          <w:tcPr>
            <w:tcW w:w="7840" w:type="dxa"/>
            <w:vAlign w:val="bottom"/>
            <w:gridSpan w:val="2"/>
          </w:tcPr>
          <w:p>
            <w:pPr>
              <w:ind w:left="232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580" w:type="dxa"/>
            <w:vAlign w:val="bottom"/>
          </w:tcPr>
          <w:p>
            <w:pPr>
              <w:spacing w:after="0"/>
              <w:rPr>
                <w:sz w:val="18"/>
                <w:szCs w:val="18"/>
                <w:color w:val="auto"/>
              </w:rPr>
            </w:pPr>
          </w:p>
        </w:tc>
        <w:tc>
          <w:tcPr>
            <w:tcW w:w="7840" w:type="dxa"/>
            <w:vAlign w:val="bottom"/>
            <w:gridSpan w:val="2"/>
          </w:tcPr>
          <w:p>
            <w:pPr>
              <w:ind w:left="2320"/>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3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65"/>
        </w:trPr>
        <w:tc>
          <w:tcPr>
            <w:tcW w:w="3580" w:type="dxa"/>
            <w:vAlign w:val="bottom"/>
          </w:tcPr>
          <w:p>
            <w:pPr>
              <w:spacing w:after="0"/>
              <w:rPr>
                <w:sz w:val="24"/>
                <w:szCs w:val="24"/>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29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320"/>
          </w:cols>
          <w:pgMar w:left="240" w:top="459" w:right="3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3.1</w:t>
            </w:r>
          </w:p>
        </w:tc>
        <w:tc>
          <w:tcPr>
            <w:tcW w:w="514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42"/>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5140" w:type="dxa"/>
            <w:vAlign w:val="bottom"/>
          </w:tcPr>
          <w:p>
            <w:pPr>
              <w:spacing w:after="0"/>
              <w:rPr>
                <w:sz w:val="20"/>
                <w:szCs w:val="20"/>
                <w:color w:val="auto"/>
              </w:rPr>
            </w:pPr>
            <w:r>
              <w:rPr>
                <w:rFonts w:ascii="Arial" w:cs="Arial" w:eastAsia="Arial" w:hAnsi="Arial"/>
                <w:sz w:val="18"/>
                <w:szCs w:val="18"/>
                <w:color w:val="auto"/>
                <w:w w:val="97"/>
              </w:rPr>
              <w:t>Certificate of Amendment of Amended and Restated Certificate of</w:t>
            </w:r>
          </w:p>
        </w:tc>
      </w:tr>
      <w:tr>
        <w:trPr>
          <w:trHeight w:val="230"/>
        </w:trPr>
        <w:tc>
          <w:tcPr>
            <w:tcW w:w="10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Incorporation.</w:t>
            </w:r>
          </w:p>
        </w:tc>
      </w:tr>
      <w:tr>
        <w:trPr>
          <w:trHeight w:val="540"/>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5140" w:type="dxa"/>
            <w:vAlign w:val="bottom"/>
          </w:tcPr>
          <w:p>
            <w:pPr>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1060" w:type="dxa"/>
            <w:vAlign w:val="bottom"/>
          </w:tcPr>
          <w:p>
            <w:pPr>
              <w:spacing w:after="0"/>
              <w:rPr>
                <w:sz w:val="20"/>
                <w:szCs w:val="20"/>
                <w:color w:val="auto"/>
              </w:rPr>
            </w:pPr>
            <w:r>
              <w:rPr>
                <w:rFonts w:ascii="Arial" w:cs="Arial" w:eastAsia="Arial" w:hAnsi="Arial"/>
                <w:sz w:val="18"/>
                <w:szCs w:val="18"/>
                <w:color w:val="auto"/>
              </w:rPr>
              <w:t>4.1</w:t>
            </w:r>
          </w:p>
        </w:tc>
        <w:tc>
          <w:tcPr>
            <w:tcW w:w="514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514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Rules</w:t>
            </w:r>
          </w:p>
        </w:tc>
      </w:tr>
      <w:tr>
        <w:trPr>
          <w:trHeight w:val="216"/>
        </w:trPr>
        <w:tc>
          <w:tcPr>
            <w:tcW w:w="10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13a-14(a) and 15d-14(a), as adopted pursuant to Section 302 of the</w:t>
            </w:r>
          </w:p>
        </w:tc>
      </w:tr>
      <w:tr>
        <w:trPr>
          <w:trHeight w:val="230"/>
        </w:trPr>
        <w:tc>
          <w:tcPr>
            <w:tcW w:w="10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5140" w:type="dxa"/>
            <w:vAlign w:val="bottom"/>
          </w:tcPr>
          <w:p>
            <w:pPr>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10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10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514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10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10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Oxley Act of 2002. ††</w:t>
            </w: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514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10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16"/>
        </w:trPr>
        <w:tc>
          <w:tcPr>
            <w:tcW w:w="10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Oxley Act of 2002. ††</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51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51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51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51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51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514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Incorporated by reference to Exhibit 3.1 to Amendment No. 6 to the</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University’s Registration Statement on Form S-1 filed with the SEC</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on November 12, 2008.</w:t>
        </w:r>
      </w:hyperlink>
    </w:p>
    <w:p>
      <w:pPr>
        <w:spacing w:after="0" w:line="73" w:lineRule="exact"/>
        <w:rPr>
          <w:rFonts w:ascii="Arial" w:cs="Arial" w:eastAsia="Arial" w:hAnsi="Arial"/>
          <w:sz w:val="18"/>
          <w:szCs w:val="18"/>
          <w:u w:val="single" w:color="auto"/>
          <w:color w:val="0000EE"/>
        </w:rPr>
      </w:pPr>
    </w:p>
    <w:p>
      <w:pPr>
        <w:jc w:val="both"/>
        <w:ind w:right="80"/>
        <w:spacing w:after="0" w:line="264" w:lineRule="auto"/>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Incorporated by reference to Appendix A to the University’s Proxy</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Statement for its 2016 Annual meeting of Stockholders, filed with</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the SEC on April 29, 2016.</w:t>
        </w:r>
      </w:hyperlink>
    </w:p>
    <w:p>
      <w:pPr>
        <w:spacing w:after="0" w:line="73" w:lineRule="exact"/>
        <w:rPr>
          <w:rFonts w:ascii="Arial" w:cs="Arial" w:eastAsia="Arial" w:hAnsi="Arial"/>
          <w:sz w:val="18"/>
          <w:szCs w:val="18"/>
          <w:u w:val="single" w:color="auto"/>
          <w:color w:val="0000EE"/>
        </w:rPr>
      </w:pPr>
    </w:p>
    <w:p>
      <w:pPr>
        <w:ind w:right="60"/>
        <w:spacing w:after="0" w:line="342" w:lineRule="auto"/>
        <w:rPr>
          <w:rFonts w:ascii="Arial" w:cs="Arial" w:eastAsia="Arial" w:hAnsi="Arial"/>
          <w:sz w:val="16"/>
          <w:szCs w:val="16"/>
          <w:u w:val="single" w:color="auto"/>
          <w:color w:val="0000EE"/>
        </w:rPr>
      </w:pPr>
      <w:hyperlink r:id="rId55">
        <w:r>
          <w:rPr>
            <w:rFonts w:ascii="Arial" w:cs="Arial" w:eastAsia="Arial" w:hAnsi="Arial"/>
            <w:sz w:val="16"/>
            <w:szCs w:val="16"/>
            <w:u w:val="single" w:color="auto"/>
            <w:color w:val="0000EE"/>
          </w:rPr>
          <w:t>Incorporated by reference to Exhibit 3.1 to the University’s Current</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Report on Form 8-K filed with the SEC on October 29, 2014.</w:t>
        </w:r>
      </w:hyperlink>
    </w:p>
    <w:p>
      <w:pPr>
        <w:spacing w:after="0" w:line="16" w:lineRule="exact"/>
        <w:rPr>
          <w:sz w:val="20"/>
          <w:szCs w:val="20"/>
          <w:color w:val="auto"/>
        </w:rPr>
      </w:pPr>
    </w:p>
    <w:p>
      <w:pPr>
        <w:jc w:val="both"/>
        <w:spacing w:after="0" w:line="264" w:lineRule="auto"/>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Incorporated by reference to Exhibit 4.1 to Amendment No. 2 to the</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University’s Registration Statement on Form S-1 filed with the SEC</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on September 29, 2008.</w:t>
        </w:r>
      </w:hyperlink>
    </w:p>
    <w:p>
      <w:pPr>
        <w:spacing w:after="0" w:line="7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Filed herewith.</w:t>
        </w:r>
      </w:hyperlink>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Filed herewith.</w:t>
        </w:r>
      </w:hyperlink>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Filed herewith.</w:t>
        </w:r>
      </w:hyperlink>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Filed herewith.</w:t>
        </w:r>
      </w:hyperlink>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184" w:lineRule="exact"/>
        <w:rPr>
          <w:rFonts w:ascii="Arial" w:cs="Arial" w:eastAsia="Arial" w:hAnsi="Arial"/>
          <w:sz w:val="18"/>
          <w:szCs w:val="18"/>
          <w:u w:val="single" w:color="auto"/>
          <w:color w:val="0000EE"/>
        </w:rPr>
      </w:pPr>
    </w:p>
    <w:p>
      <w:pPr>
        <w:sectPr>
          <w:pgSz w:w="11900" w:h="16838" w:orient="portrait"/>
          <w:cols w:equalWidth="0" w:num="2">
            <w:col w:w="6200" w:space="200"/>
            <w:col w:w="4920"/>
          </w:cols>
          <w:pgMar w:left="240" w:top="459" w:right="339" w:bottom="1440" w:gutter="0" w:footer="0" w:header="0"/>
          <w:type w:val="continuous"/>
        </w:sect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rFonts w:ascii="Arial" w:cs="Arial" w:eastAsia="Arial" w:hAnsi="Arial"/>
          <w:sz w:val="18"/>
          <w:szCs w:val="18"/>
          <w:u w:val="single" w:color="auto"/>
          <w:color w:val="0000EE"/>
        </w:rPr>
      </w:pPr>
    </w:p>
    <w:p>
      <w:pPr>
        <w:ind w:left="460" w:right="32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rFonts w:ascii="Arial" w:cs="Arial" w:eastAsia="Arial" w:hAnsi="Arial"/>
          <w:sz w:val="18"/>
          <w:szCs w:val="18"/>
          <w:u w:val="single" w:color="auto"/>
          <w:color w:val="0000EE"/>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2017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2017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June 30, 2017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 2017</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Brian E. Mueller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June 30, 2017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 2017</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Daniel E. Bachus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3" Type="http://schemas.openxmlformats.org/officeDocument/2006/relationships/hyperlink" Target="http://www.sec.gov/Archives/edgar/data/1434588/000095015308001925/p75463a6exv3w1.htm" TargetMode="External"/><Relationship Id="rId54" Type="http://schemas.openxmlformats.org/officeDocument/2006/relationships/hyperlink" Target="http://www.sec.gov/Archives/edgar/data/1434588/000119312516566183/d117924ddef14a.htm#toc117924_54" TargetMode="External"/><Relationship Id="rId55" Type="http://schemas.openxmlformats.org/officeDocument/2006/relationships/hyperlink" Target="http://www.sec.gov/Archives/edgar/data/1434588/000119312514387149/d812440dex31.htm" TargetMode="External"/><Relationship Id="rId56"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2019-12-29T05:04:56Z</dcterms:created>
  <dcterms:modified xsi:type="dcterms:W3CDTF">2019-12-29T05:04:56Z</dcterms:modified>
</cp:coreProperties>
</file>