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sz w:val="20"/>
        </w:rPr>
      </w:pPr>
      <w:bookmarkStart w:id="0" w:name="lope-20260610xs8pos.htm"/>
      <w:bookmarkStart w:id="1" w:name="kslope20260610xs8pos"/>
      <w:bookmarkEnd w:id="0"/>
      <w:bookmarkEnd w:id="1"/>
      <w:r>
        <w:rPr>
          <w:rFonts w:ascii="Times New Roman;Times;serif" w:hAnsi="Times New Roman;Times;serif"/>
          <w:b/>
          <w:sz w:val="20"/>
        </w:rPr>
        <w:t>As filed with the Securities and Exchange Commission on June 10, 2026</w:t>
      </w:r>
    </w:p>
    <w:p>
      <w:pPr>
        <w:pStyle w:val="TextBody"/>
        <w:bidi w:val="0"/>
        <w:spacing w:before="0" w:after="0"/>
        <w:ind w:left="0" w:right="0" w:hanging="0"/>
        <w:jc w:val="right"/>
        <w:rPr/>
      </w:pPr>
      <w:r>
        <w:rPr/>
        <w:t>​</w:t>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Registration No. 333-218740</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HorizontalLine"/>
        <w:pBdr>
          <w:bottom w:val="single" w:sz="6" w:space="0" w:color="000000"/>
        </w:pBdr>
        <w:bidi w:val="0"/>
        <w:spacing w:before="0" w:after="120"/>
        <w:ind w:left="3827" w:right="3827" w:hanging="0"/>
        <w:jc w:val="left"/>
        <w:rPr/>
      </w:pPr>
      <w:r>
        <w:rPr/>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b/>
          <w:caps/>
          <w:sz w:val="20"/>
        </w:rPr>
        <w:t xml:space="preserve">Post-Effective Amendment No. 1 </w:t>
      </w:r>
      <w:r>
        <w:rPr>
          <w:rFonts w:ascii="Times New Roman;Times;serif" w:hAnsi="Times New Roman;Times;serif"/>
          <w:b/>
          <w:sz w:val="20"/>
        </w:rPr>
        <w:t>TO FORM S-8 REGISTRATION STATEMENT NO. 333-218740</w:t>
      </w:r>
    </w:p>
    <w:p>
      <w:pPr>
        <w:pStyle w:val="TextBody"/>
        <w:bidi w:val="0"/>
        <w:spacing w:before="0" w:after="0"/>
        <w:ind w:left="0" w:right="0" w:hanging="0"/>
        <w:jc w:val="center"/>
        <w:rPr>
          <w:rFonts w:ascii="Times New Roman;Times;serif" w:hAnsi="Times New Roman;Times;serif"/>
          <w:b/>
          <w:i/>
          <w:caps/>
          <w:sz w:val="20"/>
        </w:rPr>
      </w:pPr>
      <w:r>
        <w:rPr>
          <w:rFonts w:ascii="Times New Roman;Times;serif" w:hAnsi="Times New Roman;Times;serif"/>
          <w:b/>
          <w:i/>
          <w:caps/>
          <w:sz w:val="20"/>
        </w:rPr>
        <w:t>UNDER</w:t>
      </w:r>
    </w:p>
    <w:p>
      <w:pPr>
        <w:pStyle w:val="TextBody"/>
        <w:bidi w:val="0"/>
        <w:spacing w:before="0" w:after="0"/>
        <w:ind w:left="0" w:right="0" w:hanging="0"/>
        <w:jc w:val="center"/>
        <w:rPr>
          <w:rFonts w:ascii="Times New Roman;Times;serif" w:hAnsi="Times New Roman;Times;serif"/>
          <w:b/>
          <w:i/>
          <w:caps/>
          <w:sz w:val="20"/>
        </w:rPr>
      </w:pPr>
      <w:r>
        <w:rPr>
          <w:rFonts w:ascii="Times New Roman;Times;serif" w:hAnsi="Times New Roman;Times;serif"/>
          <w:b/>
          <w:i/>
          <w:caps/>
          <w:sz w:val="20"/>
        </w:rPr>
        <w:t>THE SECURITIES ACT OF 1933</w:t>
      </w:r>
    </w:p>
    <w:p>
      <w:pPr>
        <w:pStyle w:val="HorizontalLine"/>
        <w:pBdr>
          <w:bottom w:val="single" w:sz="6" w:space="0" w:color="000000"/>
        </w:pBdr>
        <w:bidi w:val="0"/>
        <w:spacing w:before="0" w:after="100"/>
        <w:ind w:left="3827" w:right="3827" w:hanging="0"/>
        <w:jc w:val="left"/>
        <w:rPr/>
      </w:pPr>
      <w:r>
        <w:rPr/>
      </w:r>
    </w:p>
    <w:tbl>
      <w:tblPr>
        <w:tblW w:w="7997" w:type="dxa"/>
        <w:jc w:val="left"/>
        <w:tblInd w:w="0" w:type="dxa"/>
        <w:tblLayout w:type="fixed"/>
        <w:tblCellMar>
          <w:top w:w="0" w:type="dxa"/>
          <w:left w:w="0" w:type="dxa"/>
          <w:bottom w:w="0" w:type="dxa"/>
          <w:right w:w="0" w:type="dxa"/>
        </w:tblCellMar>
      </w:tblPr>
      <w:tblGrid>
        <w:gridCol w:w="4966"/>
        <w:gridCol w:w="3031"/>
      </w:tblGrid>
      <w:tr>
        <w:trPr/>
        <w:tc>
          <w:tcPr>
            <w:tcW w:w="79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tc>
      </w:tr>
      <w:tr>
        <w:trPr/>
        <w:tc>
          <w:tcPr>
            <w:tcW w:w="799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r>
        <w:trPr/>
        <w:tc>
          <w:tcPr>
            <w:tcW w:w="7997" w:type="dxa"/>
            <w:gridSpan w:val="2"/>
            <w:tcBorders/>
            <w:vAlign w:val="center"/>
          </w:tcPr>
          <w:p>
            <w:pPr>
              <w:pStyle w:val="TableContents"/>
              <w:bidi w:val="0"/>
              <w:spacing w:before="0" w:after="0"/>
              <w:ind w:left="0" w:right="0" w:hanging="0"/>
              <w:jc w:val="center"/>
              <w:rPr/>
            </w:pPr>
            <w:r>
              <w:rPr/>
              <w:t>​</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49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0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4966" w:type="dxa"/>
            <w:tcBorders/>
            <w:vAlign w:val="center"/>
          </w:tcPr>
          <w:p>
            <w:pPr>
              <w:pStyle w:val="TableContents"/>
              <w:bidi w:val="0"/>
              <w:spacing w:before="0" w:after="0"/>
              <w:ind w:left="0" w:right="0" w:hanging="0"/>
              <w:jc w:val="center"/>
              <w:rPr/>
            </w:pPr>
            <w:r>
              <w:rPr/>
              <w:t> </w:t>
            </w:r>
          </w:p>
        </w:tc>
        <w:tc>
          <w:tcPr>
            <w:tcW w:w="3031" w:type="dxa"/>
            <w:tcBorders/>
            <w:vAlign w:val="center"/>
          </w:tcPr>
          <w:p>
            <w:pPr>
              <w:pStyle w:val="TableContents"/>
              <w:bidi w:val="0"/>
              <w:spacing w:before="0" w:after="0"/>
              <w:ind w:left="0" w:right="0" w:hanging="0"/>
              <w:jc w:val="center"/>
              <w:rPr/>
            </w:pPr>
            <w:r>
              <w:rPr/>
              <w:t> </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 Phoenix, Arizona</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49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0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r>
        <w:trPr/>
        <w:tc>
          <w:tcPr>
            <w:tcW w:w="7997" w:type="dxa"/>
            <w:gridSpan w:val="2"/>
            <w:tcBorders/>
            <w:vAlign w:val="center"/>
          </w:tcPr>
          <w:p>
            <w:pPr>
              <w:pStyle w:val="TableContents"/>
              <w:bidi w:val="0"/>
              <w:spacing w:before="0" w:after="0"/>
              <w:ind w:left="0" w:right="0" w:hanging="0"/>
              <w:jc w:val="center"/>
              <w:rPr/>
            </w:pPr>
            <w:r>
              <w:rPr/>
              <w:t>​</w:t>
            </w:r>
          </w:p>
        </w:tc>
      </w:tr>
      <w:tr>
        <w:trPr/>
        <w:tc>
          <w:tcPr>
            <w:tcW w:w="799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caps/>
                <w:sz w:val="20"/>
              </w:rPr>
              <w:t xml:space="preserve">GRAND CANYON EDUCATION, INC. 2017 </w:t>
            </w:r>
            <w:r>
              <w:rPr>
                <w:rFonts w:ascii="Times New Roman;Times;serif" w:hAnsi="Times New Roman;Times;serif"/>
                <w:b/>
                <w:sz w:val="20"/>
              </w:rPr>
              <w:t>EQUITY INCENTIVE PLAN</w:t>
            </w:r>
          </w:p>
          <w:p>
            <w:pPr>
              <w:pStyle w:val="TableContents"/>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GRAND CANYON EDUCATION, INC. 2026 EQUITY INCENTIVE PLAN</w:t>
            </w:r>
          </w:p>
        </w:tc>
      </w:tr>
      <w:tr>
        <w:trPr/>
        <w:tc>
          <w:tcPr>
            <w:tcW w:w="799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(Full title of the plans)</w:t>
            </w:r>
          </w:p>
        </w:tc>
      </w:tr>
      <w:tr>
        <w:trPr/>
        <w:tc>
          <w:tcPr>
            <w:tcW w:w="7997" w:type="dxa"/>
            <w:gridSpan w:val="2"/>
            <w:tcBorders/>
            <w:vAlign w:val="center"/>
          </w:tcPr>
          <w:p>
            <w:pPr>
              <w:pStyle w:val="TableContents"/>
              <w:bidi w:val="0"/>
              <w:spacing w:before="0" w:after="0"/>
              <w:ind w:left="0" w:right="0" w:hanging="0"/>
              <w:jc w:val="center"/>
              <w:rPr/>
            </w:pPr>
            <w:r>
              <w:rPr/>
              <w:t>​</w:t>
            </w:r>
          </w:p>
        </w:tc>
      </w:tr>
      <w:tr>
        <w:trPr/>
        <w:tc>
          <w:tcPr>
            <w:tcW w:w="79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Sarah S. Collins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Legal Officer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 85017</w:t>
            </w:r>
          </w:p>
        </w:tc>
      </w:tr>
      <w:tr>
        <w:trPr/>
        <w:tc>
          <w:tcPr>
            <w:tcW w:w="799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and address of agent for service)</w:t>
            </w:r>
          </w:p>
        </w:tc>
      </w:tr>
      <w:tr>
        <w:trPr/>
        <w:tc>
          <w:tcPr>
            <w:tcW w:w="7997" w:type="dxa"/>
            <w:gridSpan w:val="2"/>
            <w:tcBorders/>
            <w:vAlign w:val="center"/>
          </w:tcPr>
          <w:p>
            <w:pPr>
              <w:pStyle w:val="TableContents"/>
              <w:bidi w:val="0"/>
              <w:spacing w:before="0" w:after="0"/>
              <w:ind w:left="0" w:right="0" w:hanging="0"/>
              <w:jc w:val="center"/>
              <w:rPr/>
            </w:pPr>
            <w:r>
              <w:rPr/>
              <w:t>​</w:t>
            </w:r>
          </w:p>
        </w:tc>
      </w:tr>
      <w:tr>
        <w:trPr/>
        <w:tc>
          <w:tcPr>
            <w:tcW w:w="79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tc>
      </w:tr>
      <w:tr>
        <w:trPr/>
        <w:tc>
          <w:tcPr>
            <w:tcW w:w="7997" w:type="dxa"/>
            <w:gridSpan w:val="2"/>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(Telephone number, including area code, of agent for service)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i/>
          <w:sz w:val="20"/>
        </w:rPr>
        <w:t>Copies to</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David P. Lewis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DLA Piper LLP (US)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2525 East Camelback Road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Suite 1000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 85016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(480) 606-5100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783" w:type="dxa"/>
        <w:jc w:val="left"/>
        <w:tblInd w:w="0" w:type="dxa"/>
        <w:tblLayout w:type="fixed"/>
        <w:tblCellMar>
          <w:top w:w="0" w:type="dxa"/>
          <w:left w:w="0" w:type="dxa"/>
          <w:bottom w:w="0" w:type="dxa"/>
          <w:right w:w="0" w:type="dxa"/>
        </w:tblCellMar>
      </w:tblPr>
      <w:tblGrid>
        <w:gridCol w:w="161"/>
        <w:gridCol w:w="2176"/>
        <w:gridCol w:w="2446"/>
      </w:tblGrid>
      <w:tr>
        <w:trPr/>
        <w:tc>
          <w:tcPr>
            <w:tcW w:w="161"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161"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161" w:type="dxa"/>
            <w:tcBorders/>
            <w:vAlign w:val="center"/>
          </w:tcPr>
          <w:p>
            <w:pPr>
              <w:pStyle w:val="TableContents"/>
              <w:bidi w:val="0"/>
              <w:spacing w:before="0" w:after="0"/>
              <w:ind w:left="0" w:right="0" w:hanging="0"/>
              <w:jc w:val="left"/>
              <w:rPr/>
            </w:pPr>
            <w:r>
              <w:rPr/>
              <w:t> </w:t>
            </w:r>
          </w:p>
        </w:tc>
        <w:tc>
          <w:tcPr>
            <w:tcW w:w="2176" w:type="dxa"/>
            <w:tcBorders/>
            <w:vAlign w:val="center"/>
          </w:tcPr>
          <w:p>
            <w:pPr>
              <w:pStyle w:val="TableContents"/>
              <w:bidi w:val="0"/>
              <w:spacing w:before="0" w:after="0"/>
              <w:ind w:left="0" w:right="0" w:hanging="0"/>
              <w:jc w:val="left"/>
              <w:rPr/>
            </w:pPr>
            <w:r>
              <w:rPr/>
              <w:t> </w:t>
            </w:r>
          </w:p>
        </w:tc>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top w:val="single" w:sz="8" w:space="1" w:color="000000"/>
          <w:bottom w:val="single" w:sz="24" w:space="1" w:color="000000"/>
        </w:pBdr>
        <w:bidi w:val="0"/>
        <w:spacing w:before="0" w:after="12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Grand Canyon Education, Inc., a Delaware corporation (the “Registrant”) previously filed its Registration Statement on Form S-8 (Registration No. 333-218740) (the “Registration Statement”) with the U.S. Securities and Exchange Commission (the “SEC”) on June 14, 2017, with respect to 3,000,000 shares of the Registrant’s common stock, par value $0.01 per share (“Common Stock”), for issuance under the Registrant’s 2017 Equity Incentive Plan (the “2017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21, 2026, the Registrant’s Board of Directors adopted the Grand Canyon Education, Inc. 2026 Equity Incentive Plan (the “2026 Plan”), subject to shareholder approval. At the Registrant’s annual meeting of shareholders on June 10, 2026, the shareholders approved the 2026 Plan, effective as of such date (the “Effective Date”), providing for the issuance of (i) 710,000 newly-authorized shares of Common Stock, plus (ii) any reserved shares of Common Stock not issued or subject to outstanding grants under the 2017 Plan on the Effective Date, plus (iii) any shares of Common Stock subject to any outstanding award under the 2017 Plan that, after the Effective Date, expire, or are terminated, surrendered, cancelled or forfeited for any reason without delivery of the shares of Common Stock underlying such award ((ii) and (iii), taken together, the “Rollover Shares”). As of the Effective Date, the maximum number of Rollover Shares that may be issued or transferred pursuant to awards under the 2026 Plan as a result of applying the formula described in (ii) and (iii) above will not exceed 788,282 shares of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Accordingly, the Registrant is filing this Post-Effective Amendment No. 1 to the Registration Statement (this “Post-Effective Amendment”) pursuant to Item 512(a)(1)(iii) of Regulation S-K and the SEC’s Forms Compliance and Disclosure Interpretation 126.43 to amend the Registration Statement to register the offer of the Rollover Shares under the 2026 Plan. The Registrant incorporates the contents of the Registration Statement into this Post-Effective Amendment by reference.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avoidance of doubt, the Registrant is not registering any additional shares of Common Stock on this Post-Effective Amendment that were not previously registered on the Registration Statement or that were not previously approved by the Registrant’s shareholders as of the Effective Date. Contemporaneously with the filing of this Post-Effective Amendment, the Registrant is filing a new Registration Statement on Form S-8 with the SEC to register additional shares of Common Stock authorized for issuance under the 2026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INFORMATION REQUIRED IN THE SECTION 10(A) PROSPECTUS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documents containing the information specified in Part I, Items 1 and 2, have been or will be delivered to participants of the 2026 Plan covered by this Post-Effective Amendment in accordance with Form S-8 and Rule 428(b)(1) under the Securities Act of 1933, as amended (the “Securities Act”). In accordance with the rules and regulations of the SEC and the instructions to Form S-8, such documents are not being filed with the SEC either as part of this Post-Effective Amendment or as prospectuses or prospectus supplements pursuant to Rule 424 under the Securities Act.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INFORMATION REQUIRED IN THE REGISTRATION STATEMENT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3.</w:t>
      </w:r>
      <w:r>
        <w:rPr>
          <w:rFonts w:ascii="Times New Roman;Times;serif" w:hAnsi="Times New Roman;Times;serif"/>
          <w:b/>
          <w:sz w:val="20"/>
        </w:rPr>
        <w:t>Incorporation of Documents by Reference.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Registrant hereby incorporates by reference into this Post-Effective Amendment the following documents that have been filed by the Registrant with the SEC pursuant to the Securities Exchange Act of 1934, as amended (the “Exchange Act”):</w:t>
      </w:r>
    </w:p>
    <w:p>
      <w:pPr>
        <w:pStyle w:val="TextBody"/>
        <w:bidi w:val="0"/>
        <w:spacing w:before="0" w:after="240"/>
        <w:ind w:left="720" w:right="0" w:hanging="0"/>
        <w:jc w:val="left"/>
        <w:rPr/>
      </w:pPr>
      <w:r>
        <w:rPr>
          <w:rFonts w:ascii="Times New Roman;Times;serif" w:hAnsi="Times New Roman;Times;serif"/>
          <w:sz w:val="20"/>
        </w:rPr>
        <w:t>(a)</w:t>
      </w:r>
      <w:hyperlink r:id="rId2">
        <w:r>
          <w:rPr>
            <w:rStyle w:val="InternetLink"/>
            <w:rFonts w:ascii="Times New Roman;Times;serif" w:hAnsi="Times New Roman;Times;serif"/>
            <w:b w:val="false"/>
            <w:i w:val="false"/>
            <w:caps w:val="false"/>
            <w:smallCaps w:val="false"/>
            <w:sz w:val="20"/>
          </w:rPr>
          <w:t>The Registrant’s Annual Report on Form 10-K filed pursuant to Sections 13(a) or 15(d) of the Exchange Act, containing audited financial statements for the Registrant’s fiscal year ended December 31, 2025, as filed with the SEC on February 18, 2026 (the “2025 Annual Report”).</w:t>
        </w:r>
      </w:hyperlink>
    </w:p>
    <w:p>
      <w:pPr>
        <w:pStyle w:val="TextBody"/>
        <w:bidi w:val="0"/>
        <w:spacing w:before="0" w:after="240"/>
        <w:ind w:left="720" w:right="0" w:hanging="0"/>
        <w:jc w:val="left"/>
        <w:rPr/>
      </w:pPr>
      <w:r>
        <w:rPr>
          <w:rFonts w:ascii="Times New Roman;Times;serif" w:hAnsi="Times New Roman;Times;serif"/>
          <w:sz w:val="20"/>
        </w:rPr>
        <w:t>(b)</w:t>
      </w:r>
      <w:hyperlink r:id="rId3">
        <w:r>
          <w:rPr>
            <w:rStyle w:val="InternetLink"/>
            <w:rFonts w:ascii="Times New Roman;Times;serif" w:hAnsi="Times New Roman;Times;serif"/>
            <w:b w:val="false"/>
            <w:i w:val="false"/>
            <w:caps w:val="false"/>
            <w:smallCaps w:val="false"/>
            <w:sz w:val="20"/>
          </w:rPr>
          <w:t>The Registrant’s Quarterly Report on Form 10-Q for the fiscal quarter ended March 31, 2026, as filed with the SEC on April 30, 2026.</w:t>
        </w:r>
      </w:hyperlink>
    </w:p>
    <w:p>
      <w:pPr>
        <w:pStyle w:val="TextBody"/>
        <w:bidi w:val="0"/>
        <w:spacing w:before="0" w:after="240"/>
        <w:ind w:left="720" w:right="0" w:hanging="0"/>
        <w:jc w:val="left"/>
        <w:rPr/>
      </w:pPr>
      <w:r>
        <w:rPr>
          <w:rFonts w:ascii="Times New Roman;Times;serif" w:hAnsi="Times New Roman;Times;serif"/>
          <w:sz w:val="20"/>
        </w:rPr>
        <w:t xml:space="preserve">(c)The Registrant’s Current Reports on Form 8-K, as filed with the SEC on </w:t>
      </w:r>
      <w:hyperlink r:id="rId4">
        <w:r>
          <w:rPr>
            <w:rStyle w:val="InternetLink"/>
            <w:rFonts w:ascii="Times New Roman;Times;serif" w:hAnsi="Times New Roman;Times;serif"/>
            <w:b w:val="false"/>
            <w:i w:val="false"/>
            <w:caps w:val="false"/>
            <w:smallCaps w:val="false"/>
            <w:sz w:val="20"/>
          </w:rPr>
          <w:t>February 12, 2026</w:t>
        </w:r>
      </w:hyperlink>
      <w:r>
        <w:rPr>
          <w:rFonts w:ascii="Times New Roman;Times;serif" w:hAnsi="Times New Roman;Times;serif"/>
          <w:sz w:val="20"/>
        </w:rPr>
        <w:t xml:space="preserve"> and </w:t>
      </w:r>
      <w:hyperlink r:id="rId5">
        <w:r>
          <w:rPr>
            <w:rStyle w:val="InternetLink"/>
            <w:rFonts w:ascii="Times New Roman;Times;serif" w:hAnsi="Times New Roman;Times;serif"/>
            <w:b w:val="false"/>
            <w:i w:val="false"/>
            <w:caps w:val="false"/>
            <w:smallCaps w:val="false"/>
            <w:sz w:val="20"/>
          </w:rPr>
          <w:t>June 3, 2026.</w:t>
        </w:r>
      </w:hyperlink>
    </w:p>
    <w:p>
      <w:pPr>
        <w:pStyle w:val="TextBody"/>
        <w:bidi w:val="0"/>
        <w:ind w:left="720" w:right="0" w:hanging="0"/>
        <w:jc w:val="left"/>
        <w:rPr/>
      </w:pPr>
      <w:r>
        <w:rPr>
          <w:rFonts w:ascii="Times New Roman;Times;serif" w:hAnsi="Times New Roman;Times;serif"/>
          <w:sz w:val="20"/>
        </w:rPr>
        <w:t xml:space="preserve">(d)The description of Registrant’s Common Stock contained in Registrant’s Registration Statement on </w:t>
      </w:r>
      <w:hyperlink r:id="rId6">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sz w:val="20"/>
        </w:rPr>
        <w:t xml:space="preserve"> (File No. 001-34211), filed with the SEC on November 14, 2008, pursuant to Section 12(b) of the Exchange Act, including any amendment or report filed for the purpose of updating such description, including </w:t>
      </w:r>
      <w:hyperlink r:id="rId7">
        <w:r>
          <w:rPr>
            <w:rStyle w:val="InternetLink"/>
            <w:rFonts w:ascii="Times New Roman;Times;serif" w:hAnsi="Times New Roman;Times;serif"/>
            <w:b w:val="false"/>
            <w:i w:val="false"/>
            <w:caps w:val="false"/>
            <w:smallCaps w:val="false"/>
            <w:sz w:val="20"/>
          </w:rPr>
          <w:t>Exhibit 4.2</w:t>
        </w:r>
      </w:hyperlink>
      <w:r>
        <w:rPr>
          <w:rFonts w:ascii="Times New Roman;Times;serif" w:hAnsi="Times New Roman;Times;serif"/>
          <w:sz w:val="20"/>
        </w:rPr>
        <w:t xml:space="preserve"> to the Registrant’s Annual Report on Form 10-K for the year ended December 31, 2019, filed with the SEC on February 20, 2020.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documents filed by the Registrant pursuant to Sections 13(a), 13(c), 14 and 15(d) of the Exchange Act on or after the date of this Post-Effective Amendment and prior to the filing of a post-effective amendment to this Post-Effective Amendment that indicate that all securities offered have been sold or that deregisters all securities then remaining unsold shall be deemed to be incorporated by reference into this Post-Effective Amendment and to be a part hereof from the date of filing of such documents.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Any statement contained in a document incorporated or deemed to be incorporated by reference herein shall be deemed to be modified or superseded for purposes of this Post-Effective Amendment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Post-Effective Amendment.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4.</w:t>
      </w:r>
      <w:r>
        <w:rPr>
          <w:rFonts w:ascii="Times New Roman;Times;serif" w:hAnsi="Times New Roman;Times;serif"/>
          <w:b/>
          <w:sz w:val="20"/>
        </w:rPr>
        <w:t>Description of Securities.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5.</w:t>
      </w:r>
      <w:r>
        <w:rPr>
          <w:rFonts w:ascii="Times New Roman;Times;serif" w:hAnsi="Times New Roman;Times;serif"/>
          <w:b/>
          <w:sz w:val="20"/>
        </w:rPr>
        <w:t>Interests of Named Experts and Counsel.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6.</w:t>
      </w:r>
      <w:r>
        <w:rPr>
          <w:rFonts w:ascii="Times New Roman;Times;serif" w:hAnsi="Times New Roman;Times;serif"/>
          <w:b/>
          <w:sz w:val="20"/>
        </w:rPr>
        <w:t>Indemnification of Directors and 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145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in such capacity for another entity, against expenses (including attorneys’ fees), judgments, fines and amounts paid in settlement actually and reasonably incurred in connection with such action, suit or proceeding, if such person acted in good faith and in a manner reasonably believed to be in or not opposed to the best interests of the corporation and, with respect to any criminal action or proceeding, had no reasonable cause to believe the conduct was unlawful. The DGCL also permits a corporation to eliminate or limit director personal liability for monetary damages for breach of fiduciary duty, subject to specified exceptions, and to purchase and maintain directors’ and officers’ liability insurance.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Registrant’s bylaws provide that the Registrant will indemnify its directors and officers to the fullest extent permitted by the DGCL and provide for the advancement of expenses incurred in connection with any proceeding. The Registrant’s charter eliminates director personal liability for monetary damages for breach of fiduciary duty to the fullest extent permitted by the DGCL.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Registrant also maintains directors’ and officers’ liability insurance covering its directors and officers against certain liabilities, including liabilities under the Securities 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Registrant has entered into indemnification agreements with each of its directors and executive officers providing indemnification to the fullest extent permitted by applicable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7.</w:t>
      </w:r>
      <w:r>
        <w:rPr>
          <w:rFonts w:ascii="Times New Roman;Times;serif" w:hAnsi="Times New Roman;Times;serif"/>
          <w:b/>
          <w:sz w:val="20"/>
        </w:rPr>
        <w:t>Exemption from Registration Claimed.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8.</w:t>
      </w:r>
      <w:r>
        <w:rPr>
          <w:rFonts w:ascii="Times New Roman;Times;serif" w:hAnsi="Times New Roman;Times;serif"/>
          <w:b/>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346"/>
        <w:gridCol w:w="9048"/>
      </w:tblGrid>
      <w:tr>
        <w:trPr/>
        <w:tc>
          <w:tcPr>
            <w:tcW w:w="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r>
              <w:rPr/>
              <w:t>​</w:t>
            </w:r>
          </w:p>
        </w:tc>
      </w:tr>
      <w:tr>
        <w:trPr/>
        <w:tc>
          <w:tcPr>
            <w:tcW w:w="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346" w:type="dxa"/>
            <w:tcBorders/>
            <w:vAlign w:val="center"/>
          </w:tcPr>
          <w:p>
            <w:pPr>
              <w:pStyle w:val="TableContents"/>
              <w:bidi w:val="0"/>
              <w:spacing w:before="0" w:after="0"/>
              <w:ind w:left="0" w:right="0" w:hanging="0"/>
              <w:jc w:val="left"/>
              <w:rPr/>
            </w:pPr>
            <w:r>
              <w:rPr/>
              <w:t>  ​ ​ ​</w:t>
            </w:r>
          </w:p>
        </w:tc>
        <w:tc>
          <w:tcPr>
            <w:tcW w:w="9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048" w:type="dxa"/>
            <w:tcBorders>
              <w:top w:val="single" w:sz="2" w:space="0" w:color="000000"/>
            </w:tcBorders>
            <w:tcMar>
              <w:top w:w="28"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Amended and Restated Certificate of Incorporation of Grand Canyon Education, Inc. (incorporated by reference to Exhibit 3.1 to the Registrant’s Annual Report on Form 10-K filed with the SEC on February 20, 2019).</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Third Amended and Restated Bylaws of Grand Canyon Education, Inc. (incorporated by reference to Exhibit 3.1 to the Registrant’s Current Report on Form 8-K filed with the SEC on October 29, 2014).</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Specimen of Stock Certificate (incorporated herein by reference to Exhibit 4.1 to the Registrant’s Registration Statement on Form S-1 (File No. 333-150876), as amended).</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w:anchor="lope-20260610xex5d1.htm">
              <w:r>
                <w:rPr>
                  <w:rStyle w:val="InternetLink"/>
                  <w:rFonts w:ascii="Times New Roman;Times;serif" w:hAnsi="Times New Roman;Times;serif"/>
                  <w:b w:val="false"/>
                  <w:i w:val="false"/>
                  <w:caps w:val="false"/>
                  <w:smallCaps w:val="false"/>
                  <w:sz w:val="20"/>
                </w:rPr>
                <w:t>Opinion of DLA Piper LLP (US).</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w:anchor="lope-20260610xex23d1.htm">
              <w:r>
                <w:rPr>
                  <w:rStyle w:val="InternetLink"/>
                  <w:rFonts w:ascii="Times New Roman;Times;serif" w:hAnsi="Times New Roman;Times;serif"/>
                  <w:b w:val="false"/>
                  <w:i w:val="false"/>
                  <w:caps w:val="false"/>
                  <w:smallCaps w:val="false"/>
                  <w:sz w:val="20"/>
                </w:rPr>
                <w:t>Consent of KPMG LLP, an independent registered public accounting firm.</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w:anchor="lope-20260610xex5d1.htm">
              <w:r>
                <w:rPr>
                  <w:rStyle w:val="InternetLink"/>
                  <w:rFonts w:ascii="Times New Roman;Times;serif" w:hAnsi="Times New Roman;Times;serif"/>
                  <w:b w:val="false"/>
                  <w:i w:val="false"/>
                  <w:caps w:val="false"/>
                  <w:smallCaps w:val="false"/>
                  <w:sz w:val="20"/>
                </w:rPr>
                <w:t>Consent of DLA Piper LLP (US) (included as a part of Exhibit 5.1).</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w:anchor="POWEROFATTORNEY_174022">
              <w:r>
                <w:rPr>
                  <w:rStyle w:val="InternetLink"/>
                  <w:rFonts w:ascii="Times New Roman;Times;serif" w:hAnsi="Times New Roman;Times;serif"/>
                  <w:b w:val="false"/>
                  <w:i w:val="false"/>
                  <w:caps w:val="false"/>
                  <w:smallCaps w:val="false"/>
                  <w:sz w:val="20"/>
                </w:rPr>
                <w:t>Powers of Attorney (included as part of the signature page to this Post-Effective Amendment).</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Grand Canyon Education, Inc. 2026 Equity Incentive Plan (incorporated by reference to Exhibit 10.1 of Registrant’s Current Report on Form 8-K filed with the SEC on June 10, 2026).</w:t>
              </w:r>
            </w:hyperlink>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99.2 </w:t>
            </w:r>
          </w:p>
        </w:tc>
        <w:tc>
          <w:tcPr>
            <w:tcW w:w="346" w:type="dxa"/>
            <w:tcBorders/>
            <w:vAlign w:val="center"/>
          </w:tcPr>
          <w:p>
            <w:pPr>
              <w:pStyle w:val="TableContents"/>
              <w:bidi w:val="0"/>
              <w:spacing w:before="0" w:after="0"/>
              <w:ind w:left="0" w:right="0" w:hanging="0"/>
              <w:jc w:val="left"/>
              <w:rPr/>
            </w:pPr>
            <w:r>
              <w:rPr/>
              <w:t>​</w:t>
            </w:r>
          </w:p>
        </w:tc>
        <w:tc>
          <w:tcPr>
            <w:tcW w:w="9048"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Form of Grant of Restricted Stock Agreement under 2026 Equity Incentive Plan (incorporated by reference to Exhibit 10.2 of Registrant’s Current Report on Form 8-K filed with the SEC on June 10, 2026).</w:t>
              </w:r>
            </w:hyperlink>
          </w:p>
        </w:tc>
      </w:tr>
    </w:tbl>
    <w:p>
      <w:pPr>
        <w:pStyle w:val="HorizontalLine"/>
        <w:pBdr>
          <w:bottom w:val="single" w:sz="6" w:space="0" w:color="000000"/>
        </w:pBdr>
        <w:bidi w:val="0"/>
        <w:spacing w:before="0" w:after="0"/>
        <w:ind w:left="0" w:right="7654" w:hanging="0"/>
        <w:jc w:val="left"/>
        <w:rPr/>
      </w:pPr>
      <w:r>
        <w:rPr/>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*Filed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9.</w:t>
      </w:r>
      <w:r>
        <w:rPr>
          <w:rFonts w:ascii="Times New Roman;Times;serif" w:hAnsi="Times New Roman;Times;serif"/>
          <w:b/>
          <w:sz w:val="20"/>
        </w:rPr>
        <w:t>Undertakings.</w:t>
      </w:r>
    </w:p>
    <w:tbl>
      <w:tblPr>
        <w:tblW w:w="4090" w:type="dxa"/>
        <w:jc w:val="left"/>
        <w:tblInd w:w="0" w:type="dxa"/>
        <w:tblLayout w:type="fixed"/>
        <w:tblCellMar>
          <w:top w:w="0" w:type="dxa"/>
          <w:left w:w="0" w:type="dxa"/>
          <w:bottom w:w="0" w:type="dxa"/>
          <w:right w:w="0" w:type="dxa"/>
        </w:tblCellMar>
      </w:tblPr>
      <w:tblGrid>
        <w:gridCol w:w="230"/>
        <w:gridCol w:w="3860"/>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tc>
      </w:tr>
    </w:tbl>
    <w:tbl>
      <w:tblPr>
        <w:tblW w:w="10180" w:type="dxa"/>
        <w:jc w:val="left"/>
        <w:tblInd w:w="0" w:type="dxa"/>
        <w:tblLayout w:type="fixed"/>
        <w:tblCellMar>
          <w:top w:w="0" w:type="dxa"/>
          <w:left w:w="0" w:type="dxa"/>
          <w:bottom w:w="0" w:type="dxa"/>
          <w:right w:w="0" w:type="dxa"/>
        </w:tblCellMar>
      </w:tblPr>
      <w:tblGrid>
        <w:gridCol w:w="170"/>
        <w:gridCol w:w="100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tbl>
      <w:tblPr>
        <w:tblW w:w="7000" w:type="dxa"/>
        <w:jc w:val="left"/>
        <w:tblInd w:w="0" w:type="dxa"/>
        <w:tblLayout w:type="fixed"/>
        <w:tblCellMar>
          <w:top w:w="0" w:type="dxa"/>
          <w:left w:w="0" w:type="dxa"/>
          <w:bottom w:w="0" w:type="dxa"/>
          <w:right w:w="0" w:type="dxa"/>
        </w:tblCellMar>
      </w:tblPr>
      <w:tblGrid>
        <w:gridCol w:w="125"/>
        <w:gridCol w:w="6875"/>
      </w:tblGrid>
      <w:tr>
        <w:trPr/>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w:t>
            </w:r>
          </w:p>
        </w:tc>
      </w:tr>
    </w:tbl>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Fees Tables” or “Calculation of Registration Fee” table, as applicable, in the effective registration statement; and</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Provided however, that paragraphs (a)(1)(i) and (a)(1)(ii)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and</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(c)Insofar as indemnification for liabilities arising under the Securities Act of 1933 may be permitted to directors, officers and controlling persons of the Registrant pursuant to the indemnification provisions summarized in Item 6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Phoenix, State of Arizona, on June 10, 2026.</w:t>
      </w:r>
    </w:p>
    <w:tbl>
      <w:tblPr>
        <w:tblW w:w="3529" w:type="dxa"/>
        <w:jc w:val="left"/>
        <w:tblInd w:w="0" w:type="dxa"/>
        <w:tblLayout w:type="fixed"/>
        <w:tblCellMar>
          <w:top w:w="0" w:type="dxa"/>
          <w:left w:w="0" w:type="dxa"/>
          <w:bottom w:w="0" w:type="dxa"/>
          <w:right w:w="0" w:type="dxa"/>
        </w:tblCellMar>
      </w:tblPr>
      <w:tblGrid>
        <w:gridCol w:w="124"/>
        <w:gridCol w:w="558"/>
        <w:gridCol w:w="2847"/>
      </w:tblGrid>
      <w:tr>
        <w:trPr/>
        <w:tc>
          <w:tcPr>
            <w:tcW w:w="124" w:type="dxa"/>
            <w:tcBorders/>
            <w:vAlign w:val="center"/>
          </w:tcPr>
          <w:p>
            <w:pPr>
              <w:pStyle w:val="TableContents"/>
              <w:bidi w:val="0"/>
              <w:spacing w:before="0" w:after="24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124" w:type="dxa"/>
            <w:tcBorders/>
            <w:vAlign w:val="center"/>
          </w:tcPr>
          <w:p>
            <w:pPr>
              <w:pStyle w:val="TableContents"/>
              <w:bidi w:val="0"/>
              <w:spacing w:before="0" w:after="240"/>
              <w:ind w:left="0" w:right="0" w:hanging="0"/>
              <w:jc w:val="left"/>
              <w:rPr/>
            </w:pPr>
            <w:r>
              <w:rPr/>
              <w:t>​</w:t>
            </w:r>
          </w:p>
        </w:tc>
        <w:tc>
          <w:tcPr>
            <w:tcW w:w="3405" w:type="dxa"/>
            <w:gridSpan w:val="2"/>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5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24" w:type="dxa"/>
            <w:tcBorders/>
            <w:vAlign w:val="center"/>
          </w:tcPr>
          <w:p>
            <w:pPr>
              <w:pStyle w:val="TableContents"/>
              <w:bidi w:val="0"/>
              <w:spacing w:before="0" w:after="240"/>
              <w:ind w:left="0" w:right="0" w:hanging="0"/>
              <w:jc w:val="left"/>
              <w:rPr/>
            </w:pPr>
            <w:r>
              <w:rPr/>
              <w:t>​</w:t>
            </w:r>
          </w:p>
        </w:tc>
        <w:tc>
          <w:tcPr>
            <w:tcW w:w="558" w:type="dxa"/>
            <w:tcBorders/>
            <w:vAlign w:val="center"/>
          </w:tcPr>
          <w:p>
            <w:pPr>
              <w:pStyle w:val="TableContents"/>
              <w:bidi w:val="0"/>
              <w:spacing w:before="0" w:after="240"/>
              <w:ind w:left="0" w:right="0" w:hanging="0"/>
              <w:jc w:val="left"/>
              <w:rPr/>
            </w:pPr>
            <w:r>
              <w:rPr/>
              <w:t>​</w:t>
            </w:r>
          </w:p>
        </w:tc>
        <w:tc>
          <w:tcPr>
            <w:tcW w:w="284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24" w:type="dxa"/>
            <w:tcBorders/>
            <w:vAlign w:val="center"/>
          </w:tcPr>
          <w:p>
            <w:pPr>
              <w:pStyle w:val="TableContents"/>
              <w:bidi w:val="0"/>
              <w:spacing w:before="0" w:after="240"/>
              <w:ind w:left="0" w:right="0" w:hanging="0"/>
              <w:jc w:val="left"/>
              <w:rPr/>
            </w:pPr>
            <w:r>
              <w:rPr/>
              <w:t>​</w:t>
            </w:r>
          </w:p>
        </w:tc>
        <w:tc>
          <w:tcPr>
            <w:tcW w:w="558" w:type="dxa"/>
            <w:tcBorders/>
            <w:vAlign w:val="center"/>
          </w:tcPr>
          <w:p>
            <w:pPr>
              <w:pStyle w:val="TableContents"/>
              <w:bidi w:val="0"/>
              <w:spacing w:before="0" w:after="240"/>
              <w:ind w:left="0" w:right="0" w:hanging="0"/>
              <w:jc w:val="left"/>
              <w:rPr/>
            </w:pPr>
            <w:r>
              <w:rPr/>
              <w:t>​</w:t>
            </w:r>
          </w:p>
        </w:tc>
        <w:tc>
          <w:tcPr>
            <w:tcW w:w="28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POWER OF ATTORNEY</w:t>
      </w:r>
      <w:bookmarkStart w:id="2" w:name="POWEROFATTORNEY_174022"/>
      <w:bookmarkEnd w:id="2"/>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Each director and officer whose signature appears below hereby appoints Brian E. Mueller, Daniel E. Bachus and Sarah S. Collins and each of them, as his or her true and lawful attorney-in-fact, with full power of substitution and resubstitution, for him or her and in his or her name, place and stead, in any and all capacities, to sign any and all amendments (including post-effective amendments) to this Post-Effective Amendment on Form S-8, and to file the same, with exhibits thereto and other documents in connection therewith, with the SEC, granting to such attorney-in-fact full power and authority to do and perform each and every act and thing requisite and necessary to be done in connection therewith, as full to all intents and purposes as he or she might or could do in person, hereby ratifying and confirming all that said attorney-in-fact, or his or her substitute or substitutes, may lawfully do or cause to be done by virtue 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Act, this Post-Effective Amendment and the Power of Attorney have been signed by the following persons in the capacities and on the dates indicated.</w:t>
      </w:r>
    </w:p>
    <w:tbl>
      <w:tblPr>
        <w:tblW w:w="8420" w:type="dxa"/>
        <w:jc w:val="left"/>
        <w:tblInd w:w="0" w:type="dxa"/>
        <w:tblLayout w:type="fixed"/>
        <w:tblCellMar>
          <w:top w:w="0" w:type="dxa"/>
          <w:left w:w="0" w:type="dxa"/>
          <w:bottom w:w="28" w:type="dxa"/>
          <w:right w:w="0" w:type="dxa"/>
        </w:tblCellMar>
      </w:tblPr>
      <w:tblGrid>
        <w:gridCol w:w="2386"/>
        <w:gridCol w:w="346"/>
        <w:gridCol w:w="4051"/>
        <w:gridCol w:w="346"/>
        <w:gridCol w:w="1291"/>
      </w:tblGrid>
      <w:tr>
        <w:trPr/>
        <w:tc>
          <w:tcPr>
            <w:tcW w:w="23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and Signature</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40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29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2386"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Brian E. Mueller</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Chairman</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Daniel E. Bachus</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Lori Browning</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SVP, Controller - Chief Accounting Officer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Lori Browning</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Sara Ward</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 Ward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Jack A. Henry</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Jack A. Henry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Lisa Graham Keegan</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Graham Keegan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Chevy Humphrey</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Chevy Humphrey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Kevin F. Warren</w:t>
            </w:r>
          </w:p>
        </w:tc>
        <w:tc>
          <w:tcPr>
            <w:tcW w:w="346" w:type="dxa"/>
            <w:tcBorders>
              <w:bottom w:val="single" w:sz="2" w:space="0" w:color="000000"/>
            </w:tcBorders>
            <w:vAlign w:val="center"/>
          </w:tcPr>
          <w:p>
            <w:pPr>
              <w:pStyle w:val="TableContents"/>
              <w:bidi w:val="0"/>
              <w:spacing w:before="0" w:after="0"/>
              <w:ind w:left="0" w:right="0" w:hanging="0"/>
              <w:jc w:val="left"/>
              <w:rPr/>
            </w:pPr>
            <w:r>
              <w:rPr/>
              <w:t>​</w:t>
            </w:r>
          </w:p>
        </w:tc>
        <w:tc>
          <w:tcPr>
            <w:tcW w:w="405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2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10, 2026</w:t>
            </w:r>
          </w:p>
        </w:tc>
      </w:tr>
      <w:tr>
        <w:trPr/>
        <w:tc>
          <w:tcPr>
            <w:tcW w:w="238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F. Warren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405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29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3" w:name="lope-20260610xex5d1.htm"/>
      <w:bookmarkStart w:id="4" w:name="kslope20260610xex5d1"/>
      <w:bookmarkEnd w:id="3"/>
      <w:bookmarkEnd w:id="4"/>
      <w:r>
        <w:rPr/>
        <w:t>​</w:t>
      </w:r>
      <w:r>
        <w:br w:type="page"/>
      </w:r>
    </w:p>
    <w:p>
      <w:pPr>
        <w:pStyle w:val="TextBody"/>
        <w:bidi w:val="0"/>
        <w:spacing w:before="0" w:after="0"/>
        <w:ind w:left="0" w:right="0" w:hanging="0"/>
        <w:jc w:val="right"/>
        <w:rPr>
          <w:rFonts w:ascii="Times New Roman;Times;serif" w:hAnsi="Times New Roman;Times;serif"/>
          <w:b/>
          <w:sz w:val="18"/>
        </w:rPr>
      </w:pPr>
      <w:bookmarkStart w:id="5" w:name="page9"/>
      <w:bookmarkEnd w:id="5"/>
      <w:r>
        <w:rPr>
          <w:rFonts w:ascii="Times New Roman;Times;serif" w:hAnsi="Times New Roman;Times;serif"/>
          <w:b/>
          <w:sz w:val="18"/>
        </w:rPr>
        <w:t>Exhibit 5.1</w:t>
      </w:r>
    </w:p>
    <w:p>
      <w:pPr>
        <w:pStyle w:val="TextBody"/>
        <w:bidi w:val="0"/>
        <w:spacing w:before="0" w:after="0"/>
        <w:ind w:left="0" w:right="0" w:hanging="0"/>
        <w:jc w:val="right"/>
        <w:rPr/>
      </w:pPr>
      <w:r>
        <w:rPr/>
        <w:t>​</w:t>
      </w:r>
    </w:p>
    <w:tbl>
      <w:tblPr>
        <w:tblW w:w="3080" w:type="dxa"/>
        <w:jc w:val="left"/>
        <w:tblInd w:w="0" w:type="dxa"/>
        <w:tblLayout w:type="fixed"/>
        <w:tblCellMar>
          <w:top w:w="0" w:type="dxa"/>
          <w:left w:w="0" w:type="dxa"/>
          <w:bottom w:w="0" w:type="dxa"/>
          <w:right w:w="0" w:type="dxa"/>
        </w:tblCellMar>
      </w:tblPr>
      <w:tblGrid>
        <w:gridCol w:w="124"/>
        <w:gridCol w:w="2956"/>
      </w:tblGrid>
      <w:tr>
        <w:trPr/>
        <w:tc>
          <w:tcPr>
            <w:tcW w:w="124"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DLA Piper LLP (US)</w:t>
            </w:r>
          </w:p>
        </w:tc>
      </w:tr>
      <w:tr>
        <w:trPr/>
        <w:tc>
          <w:tcPr>
            <w:tcW w:w="124"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2525 East Camelback Road, Suite 1000</w:t>
            </w:r>
          </w:p>
        </w:tc>
      </w:tr>
      <w:tr>
        <w:trPr/>
        <w:tc>
          <w:tcPr>
            <w:tcW w:w="124"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Phoenix, Arizona 85016</w:t>
            </w:r>
          </w:p>
        </w:tc>
      </w:tr>
      <w:tr>
        <w:trPr/>
        <w:tc>
          <w:tcPr>
            <w:tcW w:w="124"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www.dlapiper.com</w:t>
            </w:r>
          </w:p>
        </w:tc>
      </w:tr>
      <w:tr>
        <w:trPr/>
        <w:tc>
          <w:tcPr>
            <w:tcW w:w="124" w:type="dxa"/>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DLA Piper LLP (US)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2525 East Camelback Road, Suite 1000</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Phoenix, Arizona 85016</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drawing>
          <wp:inline distT="0" distB="0" distL="0" distR="0">
            <wp:extent cx="10287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028700" cy="60007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10, 2026</w:t>
      </w:r>
    </w:p>
    <w:p>
      <w:pPr>
        <w:pStyle w:val="TextBody"/>
        <w:bidi w:val="0"/>
        <w:spacing w:lineRule="atLeast" w:line="225"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Grand Canyon Education, Inc.</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2600 W. Camelback Road</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Phoenix, Arizona 85017</w:t>
      </w:r>
    </w:p>
    <w:p>
      <w:pPr>
        <w:pStyle w:val="TextBody"/>
        <w:bidi w:val="0"/>
        <w:spacing w:lineRule="atLeast" w:line="23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b/>
          <w:i w:val="false"/>
          <w:caps w:val="false"/>
          <w:smallCaps w:val="false"/>
          <w:sz w:val="18"/>
        </w:rPr>
        <w:t>Re:</w:t>
      </w:r>
      <w:r>
        <w:rPr>
          <w:rFonts w:ascii="Times New Roman;Times;serif" w:hAnsi="Times New Roman;Times;serif"/>
          <w:b/>
          <w:sz w:val="18"/>
        </w:rPr>
        <w:t>Registration Statement on Form S-8</w:t>
      </w:r>
    </w:p>
    <w:p>
      <w:pPr>
        <w:pStyle w:val="TextBody"/>
        <w:bidi w:val="0"/>
        <w:spacing w:lineRule="atLeast" w:line="229"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Ladies and Gentlemen:</w:t>
      </w:r>
    </w:p>
    <w:p>
      <w:pPr>
        <w:pStyle w:val="TextBody"/>
        <w:bidi w:val="0"/>
        <w:spacing w:lineRule="atLeast" w:line="225" w:before="0" w:after="0"/>
        <w:ind w:left="0" w:right="0" w:hanging="0"/>
        <w:jc w:val="left"/>
        <w:rPr/>
      </w:pPr>
      <w:r>
        <w:rPr/>
        <w:t>​</w:t>
      </w:r>
    </w:p>
    <w:p>
      <w:pPr>
        <w:pStyle w:val="TextBody"/>
        <w:bidi w:val="0"/>
        <w:spacing w:lineRule="auto" w:line="307" w:before="0" w:after="0"/>
        <w:ind w:left="0" w:right="120" w:hanging="0"/>
        <w:jc w:val="left"/>
        <w:rPr>
          <w:rFonts w:ascii="Times New Roman;Times;serif" w:hAnsi="Times New Roman;Times;serif"/>
          <w:sz w:val="18"/>
        </w:rPr>
      </w:pPr>
      <w:r>
        <w:rPr>
          <w:rFonts w:ascii="Times New Roman;Times;serif" w:hAnsi="Times New Roman;Times;serif"/>
          <w:sz w:val="18"/>
        </w:rPr>
        <w:t>We have acted as counsel for Grand Canyon Education, Inc., a Delaware corporation (the “Company”), in connection with the preparation and filing of the Registration Statement on Form S-8 (the “Registration Statement”) filed or to be filed by the Company with the Securities and Exchange Commission (the “Commission”) under the Securities Act of 1933, as amended (the “Securities Act”), with respect to the issuance from time to time of up to 1,498,282 shares of the Company’s Common Stock, par value $0.01 per share (the “Shares”), pursuant to awards granted or to be granted under the Company’s 2026 Equity Incentive Plan (as amended from time to time, the “Plan”).</w:t>
      </w:r>
    </w:p>
    <w:p>
      <w:pPr>
        <w:pStyle w:val="TextBody"/>
        <w:bidi w:val="0"/>
        <w:spacing w:lineRule="atLeast" w:line="184" w:before="0" w:after="0"/>
        <w:ind w:left="0" w:right="0" w:hanging="0"/>
        <w:jc w:val="left"/>
        <w:rPr/>
      </w:pPr>
      <w:r>
        <w:rPr/>
        <w:t>​</w:t>
      </w:r>
    </w:p>
    <w:p>
      <w:pPr>
        <w:pStyle w:val="TextBody"/>
        <w:bidi w:val="0"/>
        <w:spacing w:lineRule="auto" w:line="300" w:before="0" w:after="0"/>
        <w:ind w:left="0" w:right="20" w:hanging="0"/>
        <w:jc w:val="left"/>
        <w:rPr>
          <w:rFonts w:ascii="Times New Roman;Times;serif" w:hAnsi="Times New Roman;Times;serif"/>
          <w:sz w:val="18"/>
        </w:rPr>
      </w:pPr>
      <w:r>
        <w:rPr>
          <w:rFonts w:ascii="Times New Roman;Times;serif" w:hAnsi="Times New Roman;Times;serif"/>
          <w:sz w:val="18"/>
        </w:rPr>
        <w:t>In connection herewith, we have examined all instruments, documents and records which we deemed relevant and necessary for the basis of our opinion hereinafter expressed. In such examination, we have assumed, without independent investigation, the following: (i) the genuineness of all signatures on all documents; (ii) that each individual executing any document, whether on behalf of such individual or an entity, is legally competent to do so; (iii) the due authority of the parties signing any document on behalf of a party (other than the Company); (iv) the authenticity of all documents submitted to us as originals; (v) the conformity to the originals of all documents submitted to us as certified or photostatic copies; (vi) that all public records reviewed or relied upon by us are true and complete; (vii) that all statements and information contained in any documents are true and complete; (viii) that there has been no oral or written modification or amendments to any documents by action or omission of the parties or otherwise. We have also assumed that the offer and sale of the Shares complies and will comply in all respects with the terms, conditions and restrictions set forth in the Registration Statement and the Plan. The Company has represented to us and we have also assumed that the Company has reserved from its duly authorized but unissued and otherwise unreserved capital stock a sufficient number of shares of Common Stock as were approved by the Company’s stockholders for issuance under the Plan. 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settlement of awards under the Plan.</w:t>
      </w:r>
    </w:p>
    <w:p>
      <w:pPr>
        <w:pStyle w:val="TextBody"/>
        <w:bidi w:val="0"/>
        <w:spacing w:lineRule="atLeast" w:line="189" w:before="0" w:after="0"/>
        <w:ind w:left="0" w:right="0" w:hanging="0"/>
        <w:jc w:val="left"/>
        <w:rPr/>
      </w:pPr>
      <w:r>
        <w:rPr/>
        <w:t>​</w:t>
      </w:r>
    </w:p>
    <w:p>
      <w:pPr>
        <w:pStyle w:val="TextBody"/>
        <w:bidi w:val="0"/>
        <w:spacing w:lineRule="auto" w:line="316" w:before="0" w:after="0"/>
        <w:ind w:left="0" w:right="0" w:hanging="0"/>
        <w:jc w:val="left"/>
        <w:rPr>
          <w:rFonts w:ascii="Times New Roman;Times;serif" w:hAnsi="Times New Roman;Times;serif"/>
          <w:sz w:val="18"/>
        </w:rPr>
      </w:pPr>
      <w:r>
        <w:rPr>
          <w:rFonts w:ascii="Times New Roman;Times;serif" w:hAnsi="Times New Roman;Times;serif"/>
          <w:sz w:val="18"/>
        </w:rPr>
        <w:t>We do not express any opinion herein concerning any law other than the Delaware General Corporation Law (including the statutory provisions, all applicable provisions of the Delaware Constitution and the reported judicial decisions interpreting the foregoing). No opinion is expressed herein with respect to the qualification of the Shares under the securities or blue sky laws of any state or any foreign jurisdiction.</w:t>
      </w:r>
    </w:p>
    <w:p>
      <w:pPr>
        <w:pStyle w:val="TextBody"/>
        <w:bidi w:val="0"/>
        <w:spacing w:lineRule="atLeast" w:line="176" w:before="0" w:after="0"/>
        <w:ind w:left="0" w:right="0" w:hanging="0"/>
        <w:jc w:val="left"/>
        <w:rPr/>
      </w:pPr>
      <w:r>
        <w:rPr/>
        <w:t>​</w:t>
      </w:r>
    </w:p>
    <w:p>
      <w:pPr>
        <w:pStyle w:val="TextBody"/>
        <w:bidi w:val="0"/>
        <w:spacing w:lineRule="auto" w:line="336" w:before="0" w:after="0"/>
        <w:ind w:left="0" w:right="180" w:hanging="0"/>
        <w:jc w:val="left"/>
        <w:rPr>
          <w:rFonts w:ascii="Times New Roman;Times;serif" w:hAnsi="Times New Roman;Times;serif"/>
          <w:sz w:val="18"/>
        </w:rPr>
      </w:pPr>
      <w:r>
        <w:rPr>
          <w:rFonts w:ascii="Times New Roman;Times;serif" w:hAnsi="Times New Roman;Times;serif"/>
          <w:sz w:val="18"/>
        </w:rPr>
        <w:t>This opinion speaks only at and as of its date and is based solely on the facts and circumstances known to us at and as of such date. In addition, in rendering this opinion, we assume no obligation to revise, update or supplement this opinion (i) should the present aforementioned laws of the State of Delaware be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6" w:name="page10"/>
      <w:bookmarkEnd w:id="6"/>
      <w:r>
        <w:rPr/>
        <w:drawing>
          <wp:inline distT="0" distB="0" distL="0" distR="0">
            <wp:extent cx="10287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028700" cy="60007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Grand Canyon Education, Inc.</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10, 2026</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Page 2</w:t>
      </w:r>
    </w:p>
    <w:p>
      <w:pPr>
        <w:pStyle w:val="TextBody"/>
        <w:bidi w:val="0"/>
        <w:spacing w:before="0" w:after="0"/>
        <w:ind w:left="0" w:right="0" w:hanging="0"/>
        <w:jc w:val="left"/>
        <w:rPr/>
      </w:pPr>
      <w:r>
        <w:rPr/>
        <w:t>​</w:t>
      </w:r>
    </w:p>
    <w:p>
      <w:pPr>
        <w:pStyle w:val="TextBody"/>
        <w:bidi w:val="0"/>
        <w:spacing w:lineRule="auto" w:line="336" w:before="0" w:after="0"/>
        <w:ind w:left="0" w:right="0" w:hanging="0"/>
        <w:jc w:val="both"/>
        <w:rPr>
          <w:rFonts w:ascii="Times New Roman;Times;serif" w:hAnsi="Times New Roman;Times;serif"/>
          <w:sz w:val="18"/>
        </w:rPr>
      </w:pPr>
      <w:r>
        <w:rPr>
          <w:rFonts w:ascii="Times New Roman;Times;serif" w:hAnsi="Times New Roman;Times;serif"/>
          <w:sz w:val="18"/>
        </w:rPr>
        <w:t>changed by legislative action, judicial decision or otherwise after the date hereof, or (ii) to reflect any facts or circumstances which may hereafter come to our attention after the date hereof.</w:t>
      </w:r>
    </w:p>
    <w:p>
      <w:pPr>
        <w:pStyle w:val="TextBody"/>
        <w:bidi w:val="0"/>
        <w:spacing w:lineRule="atLeast" w:line="162" w:before="0" w:after="0"/>
        <w:ind w:left="0" w:right="0" w:hanging="0"/>
        <w:jc w:val="left"/>
        <w:rPr/>
      </w:pPr>
      <w:r>
        <w:rPr/>
        <w:t>​</w:t>
      </w:r>
    </w:p>
    <w:p>
      <w:pPr>
        <w:pStyle w:val="TextBody"/>
        <w:bidi w:val="0"/>
        <w:spacing w:lineRule="auto" w:line="316" w:before="0" w:after="0"/>
        <w:ind w:left="0" w:right="20" w:hanging="0"/>
        <w:jc w:val="both"/>
        <w:rPr>
          <w:rFonts w:ascii="Times New Roman;Times;serif" w:hAnsi="Times New Roman;Times;serif"/>
          <w:sz w:val="18"/>
        </w:rPr>
      </w:pPr>
      <w:r>
        <w:rPr>
          <w:rFonts w:ascii="Times New Roman;Times;serif" w:hAnsi="Times New Roman;Times;serif"/>
          <w:sz w:val="18"/>
        </w:rPr>
        <w:t>Based upon, subject to and limited by the foregoing, we are of the opinion and so advise you that, with respect to the Shares to be issued after the filing of the Registration Statement, the issuance of the Shares has been duly authorized and, when issued, delivered and fully paid for in accordance with the terms of the Registration Statement and the Plan, such Shares will be validly issued, fully paid and nonassessable.</w:t>
      </w:r>
    </w:p>
    <w:p>
      <w:pPr>
        <w:pStyle w:val="TextBody"/>
        <w:bidi w:val="0"/>
        <w:spacing w:lineRule="atLeast" w:line="176" w:before="0" w:after="0"/>
        <w:ind w:left="0" w:right="0" w:hanging="0"/>
        <w:jc w:val="left"/>
        <w:rPr/>
      </w:pPr>
      <w:r>
        <w:rPr/>
        <w:t>​</w:t>
      </w:r>
    </w:p>
    <w:p>
      <w:pPr>
        <w:pStyle w:val="TextBody"/>
        <w:bidi w:val="0"/>
        <w:spacing w:lineRule="auto" w:line="316" w:before="0" w:after="0"/>
        <w:ind w:left="0" w:right="40" w:hanging="0"/>
        <w:jc w:val="left"/>
        <w:rPr>
          <w:rFonts w:ascii="Times New Roman;Times;serif" w:hAnsi="Times New Roman;Times;serif"/>
          <w:sz w:val="18"/>
        </w:rPr>
      </w:pPr>
      <w:r>
        <w:rPr>
          <w:rFonts w:ascii="Times New Roman;Times;serif" w:hAnsi="Times New Roman;Times;serif"/>
          <w:sz w:val="18"/>
        </w:rPr>
        <w:t>We hereby consent to the filing of this opinion as Exhibit 5.1 to the Registration Statement and the use of our name wherever it appears in the Registration Statement. In giving this consent, we do not admit that we are within the category of persons whose consent is required under Section 7 of the Securities Act, the rules and regulations of the Commission promulgated thereunder or Item 509 of Regulation S-K.</w:t>
      </w:r>
    </w:p>
    <w:p>
      <w:pPr>
        <w:pStyle w:val="TextBody"/>
        <w:bidi w:val="0"/>
        <w:spacing w:lineRule="atLeast" w:line="176" w:before="0" w:after="0"/>
        <w:ind w:left="0" w:right="0" w:hanging="0"/>
        <w:jc w:val="left"/>
        <w:rPr/>
      </w:pPr>
      <w:r>
        <w:rPr/>
        <w:t>​</w:t>
      </w:r>
    </w:p>
    <w:p>
      <w:pPr>
        <w:pStyle w:val="TextBody"/>
        <w:bidi w:val="0"/>
        <w:spacing w:lineRule="auto" w:line="316" w:before="0" w:after="0"/>
        <w:ind w:left="0" w:right="120" w:hanging="0"/>
        <w:jc w:val="left"/>
        <w:rPr>
          <w:rFonts w:ascii="Times New Roman;Times;serif" w:hAnsi="Times New Roman;Times;serif"/>
          <w:sz w:val="18"/>
        </w:rPr>
      </w:pPr>
      <w:r>
        <w:rPr>
          <w:rFonts w:ascii="Times New Roman;Times;serif" w:hAnsi="Times New Roman;Times;serif"/>
          <w:sz w:val="18"/>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w:t>
      </w:r>
    </w:p>
    <w:p>
      <w:pPr>
        <w:pStyle w:val="TextBody"/>
        <w:bidi w:val="0"/>
        <w:spacing w:lineRule="atLeast" w:line="176"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Very truly yours,</w:t>
      </w:r>
    </w:p>
    <w:p>
      <w:pPr>
        <w:pStyle w:val="TextBody"/>
        <w:bidi w:val="0"/>
        <w:spacing w:lineRule="atLeast" w:line="221"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 DLA Piper LLP (US)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18"/>
        </w:rPr>
      </w:pPr>
      <w:bookmarkStart w:id="7" w:name="page11"/>
      <w:bookmarkStart w:id="8" w:name="lope-20260610xex23d1.htm"/>
      <w:bookmarkStart w:id="9" w:name="kslope20260610xex23d1"/>
      <w:bookmarkEnd w:id="7"/>
      <w:bookmarkEnd w:id="8"/>
      <w:bookmarkEnd w:id="9"/>
      <w:r>
        <w:rPr>
          <w:rFonts w:ascii="Times New Roman;Times;serif" w:hAnsi="Times New Roman;Times;serif"/>
          <w:b/>
          <w:sz w:val="18"/>
        </w:rPr>
        <w:t>Exhibit 23.1</w:t>
      </w:r>
      <w:r>
        <w:br w:type="page"/>
      </w:r>
    </w:p>
    <w:p>
      <w:pPr>
        <w:pStyle w:val="TextBody"/>
        <w:bidi w:val="0"/>
        <w:spacing w:lineRule="atLeast" w:line="225"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Consent of Independent Registered Public Accounting Firm</w:t>
      </w:r>
    </w:p>
    <w:p>
      <w:pPr>
        <w:pStyle w:val="TextBody"/>
        <w:bidi w:val="0"/>
        <w:spacing w:lineRule="atLeast" w:line="229" w:before="0" w:after="0"/>
        <w:ind w:left="0" w:right="0" w:hanging="0"/>
        <w:jc w:val="left"/>
        <w:rPr/>
      </w:pPr>
      <w:r>
        <w:rPr/>
        <w:t>​</w:t>
      </w:r>
    </w:p>
    <w:p>
      <w:pPr>
        <w:pStyle w:val="TextBody"/>
        <w:bidi w:val="0"/>
        <w:spacing w:lineRule="auto" w:line="307" w:before="0" w:after="0"/>
        <w:ind w:left="0" w:right="260" w:hanging="0"/>
        <w:jc w:val="left"/>
        <w:rPr>
          <w:rFonts w:ascii="Times New Roman;Times;serif" w:hAnsi="Times New Roman;Times;serif"/>
          <w:sz w:val="18"/>
        </w:rPr>
      </w:pPr>
      <w:r>
        <w:rPr>
          <w:rFonts w:ascii="Times New Roman;Times;serif" w:hAnsi="Times New Roman;Times;serif"/>
          <w:sz w:val="18"/>
        </w:rPr>
        <w:t>We consent to the use of our reports dated February 18, 2026, with respect to the consolidated financial statements of Grand Canyon Education, Inc. and subsidiaries, and the effectiveness of internal control over financial reporting, incorporated herein by reference.</w:t>
      </w:r>
    </w:p>
    <w:p>
      <w:pPr>
        <w:pStyle w:val="TextBody"/>
        <w:bidi w:val="0"/>
        <w:spacing w:lineRule="atLeast" w:line="184" w:before="0" w:after="0"/>
        <w:ind w:left="0" w:right="0" w:hanging="0"/>
        <w:jc w:val="left"/>
        <w:rPr/>
      </w:pPr>
      <w:r>
        <w:rPr/>
        <w:t>​</w:t>
      </w:r>
    </w:p>
    <w:tbl>
      <w:tblPr>
        <w:tblW w:w="1385" w:type="dxa"/>
        <w:jc w:val="left"/>
        <w:tblInd w:w="0" w:type="dxa"/>
        <w:tblLayout w:type="fixed"/>
        <w:tblCellMar>
          <w:top w:w="0" w:type="dxa"/>
          <w:left w:w="0" w:type="dxa"/>
          <w:bottom w:w="0" w:type="dxa"/>
          <w:right w:w="0" w:type="dxa"/>
        </w:tblCellMar>
      </w:tblPr>
      <w:tblGrid>
        <w:gridCol w:w="124"/>
        <w:gridCol w:w="1261"/>
      </w:tblGrid>
      <w:tr>
        <w:trPr/>
        <w:tc>
          <w:tcPr>
            <w:tcW w:w="12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KPMG LLP</w:t>
            </w:r>
          </w:p>
        </w:tc>
      </w:tr>
      <w:tr>
        <w:trPr/>
        <w:tc>
          <w:tcPr>
            <w:tcW w:w="124"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lineRule="atLeast" w:line="225"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Phoenix, Arizona</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10,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34588/000110465926017047/lope-20251231x10k.htm" TargetMode="External"/><Relationship Id="rId3" Type="http://schemas.openxmlformats.org/officeDocument/2006/relationships/hyperlink" Target="https://www.sec.gov/ix?doc=/Archives/edgar/data/1434588/000110465926052898/lope-20260331x10q.htm" TargetMode="External"/><Relationship Id="rId4" Type="http://schemas.openxmlformats.org/officeDocument/2006/relationships/hyperlink" Target="https://www.sec.gov/ix?doc=/Archives/edgar/data/1434588/000110465926014301/lope-20260209x8k.htm" TargetMode="External"/><Relationship Id="rId5" Type="http://schemas.openxmlformats.org/officeDocument/2006/relationships/hyperlink" Target="https://www.sec.gov/ix?doc=/Archives/edgar/data/1434588/000110465926069570/lope-20260602x8k.htm" TargetMode="External"/><Relationship Id="rId6" Type="http://schemas.openxmlformats.org/officeDocument/2006/relationships/hyperlink" Target="https://www.sec.gov/Archives/edgar/data/1434588/000095015308001951/p13559e8va12b.htm" TargetMode="External"/><Relationship Id="rId7" Type="http://schemas.openxmlformats.org/officeDocument/2006/relationships/hyperlink" Target="https://www.sec.gov/Archives/edgar/data/1434588/000155837020001013/ex-4d2.htm" TargetMode="External"/><Relationship Id="rId8" Type="http://schemas.openxmlformats.org/officeDocument/2006/relationships/hyperlink" Target="https://www.sec.gov/Archives/edgar/data/1434588/000155837019000782/lope-20181231ex31395dfc9.htm" TargetMode="External"/><Relationship Id="rId9" Type="http://schemas.openxmlformats.org/officeDocument/2006/relationships/hyperlink" Target="https://www.sec.gov/Archives/edgar/data/1434588/000155837019000782/lope-20181231ex31395dfc9.htm" TargetMode="External"/><Relationship Id="rId10" Type="http://schemas.openxmlformats.org/officeDocument/2006/relationships/hyperlink" Target="https://www.sec.gov/Archives/edgar/data/1434588/000155837019000782/lope-20181231ex31395dfc9.htm" TargetMode="External"/><Relationship Id="rId11" Type="http://schemas.openxmlformats.org/officeDocument/2006/relationships/hyperlink" Target="https://www.sec.gov/Archives/edgar/data/1434588/000110465926072325/lope-20260610xex10d1.htm" TargetMode="External"/><Relationship Id="rId12" Type="http://schemas.openxmlformats.org/officeDocument/2006/relationships/hyperlink" Target="https://www.sec.gov/Archives/edgar/data/1434588/000110465926072325/lope-20260610xex10d2.htm" TargetMode="External"/><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3607</Words>
  <Characters>19265</Characters>
  <CharactersWithSpaces>22887</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