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6"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August 5, 2015, was 47,140,566.</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1780" w:type="dxa"/>
            <w:vAlign w:val="bottom"/>
            <w:tcBorders>
              <w:bottom w:val="single" w:sz="8" w:color="auto"/>
            </w:tcBorders>
          </w:tcPr>
          <w:p>
            <w:pPr>
              <w:spacing w:after="0"/>
              <w:rPr>
                <w:sz w:val="23"/>
                <w:szCs w:val="23"/>
                <w:color w:val="auto"/>
              </w:rPr>
            </w:pPr>
          </w:p>
        </w:tc>
        <w:tc>
          <w:tcPr>
            <w:tcW w:w="69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6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Item 4 Controls and Procedures</w:t>
              </w:r>
            </w:hyperlink>
          </w:p>
        </w:tc>
        <w:tc>
          <w:tcPr>
            <w:tcW w:w="87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6"/>
          </w:tcPr>
          <w:p>
            <w:pPr>
              <w:spacing w:after="0"/>
              <w:rPr>
                <w:sz w:val="24"/>
                <w:szCs w:val="24"/>
                <w:color w:val="auto"/>
              </w:rPr>
            </w:pPr>
          </w:p>
        </w:tc>
        <w:tc>
          <w:tcPr>
            <w:tcW w:w="81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1A Risk Factors</w:t>
              </w:r>
            </w:hyperlink>
          </w:p>
        </w:tc>
        <w:tc>
          <w:tcPr>
            <w:tcW w:w="94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3</w:t>
              </w:r>
            </w:hyperlink>
          </w:p>
        </w:tc>
        <w:tc>
          <w:tcPr>
            <w:tcW w:w="43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4</w:t>
              </w:r>
            </w:hyperlink>
          </w:p>
        </w:tc>
        <w:tc>
          <w:tcPr>
            <w:tcW w:w="234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81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99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INSXBRL</w:t>
            </w:r>
            <w:r>
              <w:rPr>
                <w:rFonts w:ascii="Arial" w:cs="Arial" w:eastAsia="Arial" w:hAnsi="Arial"/>
                <w:sz w:val="18"/>
                <w:szCs w:val="18"/>
                <w:color w:val="auto"/>
                <w:w w:val="92"/>
              </w:rPr>
              <w:t xml:space="preserve"> Instance Document</w:t>
            </w:r>
          </w:p>
        </w:tc>
        <w:tc>
          <w:tcPr>
            <w:tcW w:w="848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sz w:val="20"/>
                <w:szCs w:val="20"/>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SCHXBRL</w:t>
            </w:r>
            <w:r>
              <w:rPr>
                <w:rFonts w:ascii="Arial" w:cs="Arial" w:eastAsia="Arial" w:hAnsi="Arial"/>
                <w:sz w:val="18"/>
                <w:szCs w:val="18"/>
                <w:color w:val="auto"/>
              </w:rPr>
              <w:t xml:space="preserve"> Taxonomy Extension Schema</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101.CALXBRL Taxonomy Extension Calculation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101.LABXBRL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101.PREXBRL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101.DEFXBRL Taxonomy Extension Definition Linkbase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6920" w:type="dxa"/>
            <w:vAlign w:val="bottom"/>
            <w:gridSpan w:val="3"/>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60" w:type="dxa"/>
            <w:vAlign w:val="bottom"/>
          </w:tcPr>
          <w:p>
            <w:pPr>
              <w:jc w:val="center"/>
              <w:ind w:left="1570"/>
              <w:spacing w:after="0"/>
              <w:rPr>
                <w:sz w:val="20"/>
                <w:szCs w:val="20"/>
                <w:color w:val="auto"/>
              </w:rPr>
            </w:pPr>
            <w:r>
              <w:rPr>
                <w:rFonts w:ascii="Arial" w:cs="Arial" w:eastAsia="Arial" w:hAnsi="Arial"/>
                <w:sz w:val="18"/>
                <w:szCs w:val="18"/>
                <w:b w:val="1"/>
                <w:bCs w:val="1"/>
                <w:color w:val="auto"/>
              </w:rPr>
              <w:t>GRAND CANYON EDUCATION,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6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Consolidated Income Statements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6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174,726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158,594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368,853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326,026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154,044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3"/>
              </w:rPr>
              <w:t>Admissions advisory and related, including $489 and $806 for the three months ended 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w w:val="90"/>
              </w:rPr>
              <w:t>2015 and 2014, respectively, and $994 and $1,611 for the six months ended June 30, 2015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2014, respectively, to related parties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27,372</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26,208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55,705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17,548</w:t>
            </w:r>
          </w:p>
        </w:tc>
        <w:tc>
          <w:tcPr>
            <w:tcW w:w="0" w:type="dxa"/>
            <w:vAlign w:val="bottom"/>
          </w:tcPr>
          <w:p>
            <w:pPr>
              <w:spacing w:after="0"/>
              <w:rPr>
                <w:sz w:val="1"/>
                <w:szCs w:val="1"/>
                <w:color w:val="auto"/>
              </w:rPr>
            </w:pPr>
          </w:p>
        </w:tc>
      </w:tr>
      <w:tr>
        <w:trPr>
          <w:trHeight w:val="20"/>
        </w:trPr>
        <w:tc>
          <w:tcPr>
            <w:tcW w:w="74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132,470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120,707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270,611</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244,703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98,242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74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42,237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37,728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98,105</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31,421</w:t>
            </w:r>
          </w:p>
        </w:tc>
        <w:tc>
          <w:tcPr>
            <w:tcW w:w="0" w:type="dxa"/>
            <w:vAlign w:val="bottom"/>
          </w:tcPr>
          <w:p>
            <w:pPr>
              <w:spacing w:after="0"/>
              <w:rPr>
                <w:sz w:val="1"/>
                <w:szCs w:val="1"/>
                <w:color w:val="auto"/>
              </w:rPr>
            </w:pPr>
          </w:p>
        </w:tc>
      </w:tr>
      <w:tr>
        <w:trPr>
          <w:trHeight w:val="20"/>
        </w:trPr>
        <w:tc>
          <w:tcPr>
            <w:tcW w:w="74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25,776</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23,069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59,955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46,012</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45,598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45,901</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6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$25,776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$23,069</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$59,955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Unrealized losses on available-for-sale securities, net of taxes of $70 and $8 for the three months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3"/>
              </w:rPr>
              <w:t>ended June 30, 2015 and 2014, respectively, and $67 and $18 for the six months ended June 30,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2015 and 2014, respectively</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Unrealized gains (losses) on hedging derivatives, net of taxes of $40 and $95 for the three months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520"/>
              <w:spacing w:after="0"/>
              <w:rPr>
                <w:sz w:val="20"/>
                <w:szCs w:val="20"/>
                <w:color w:val="auto"/>
              </w:rPr>
            </w:pPr>
            <w:r>
              <w:rPr>
                <w:rFonts w:ascii="Arial" w:cs="Arial" w:eastAsia="Arial" w:hAnsi="Arial"/>
                <w:sz w:val="18"/>
                <w:szCs w:val="18"/>
                <w:color w:val="auto"/>
                <w:w w:val="90"/>
              </w:rPr>
              <w:t>ended June 30, 2015 and 2014, respectively, and $113 and $113 for the six months ended June 30,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ind w:left="520"/>
              <w:spacing w:after="0"/>
              <w:rPr>
                <w:sz w:val="20"/>
                <w:szCs w:val="20"/>
                <w:color w:val="auto"/>
              </w:rPr>
            </w:pPr>
            <w:r>
              <w:rPr>
                <w:rFonts w:ascii="Arial" w:cs="Arial" w:eastAsia="Arial" w:hAnsi="Arial"/>
                <w:sz w:val="18"/>
                <w:szCs w:val="18"/>
                <w:color w:val="auto"/>
              </w:rPr>
              <w:t>2015 and 2014, respectively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25,730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59,675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30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w w:val="92"/>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63,696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83,533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18,539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231,077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588,275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828,941</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7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36,410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23,101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42,409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189,457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76,565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79,877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285,614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279,481</w:t>
            </w: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June 30, 2015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50,237 and 49,746 shares issued and 47,133 and 46,744 shares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at June 30, 2015 and December 31, 2014,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5"/>
              </w:rPr>
              <w:t>Treasury stock, at cost, 3,104 and 3,002 shares of common stock at June 30, 2015 and December 31, 2014, respectively</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(58,000)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170,194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430,946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543,327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476,232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828,941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0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Income(Loss)</w:t>
            </w:r>
          </w:p>
        </w:tc>
        <w:tc>
          <w:tcPr>
            <w:tcW w:w="10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49,746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497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$(53,770)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$158,549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$370,991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$476,232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59,955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2</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2,698</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3,472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3</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(4,230)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5,475</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50,237</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3,104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(58,000)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170,194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430,946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543,327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59,955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royalty impairment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Due to/from related parties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91"/>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81,667</w:t>
            </w:r>
          </w:p>
        </w:tc>
        <w:tc>
          <w:tcPr>
            <w:tcW w:w="4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(111,903)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42,274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39,145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(94,652)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(130,085)</w:t>
            </w:r>
          </w:p>
        </w:tc>
        <w:tc>
          <w:tcPr>
            <w:tcW w:w="0" w:type="dxa"/>
            <w:vAlign w:val="bottom"/>
          </w:tcPr>
          <w:p>
            <w:pPr>
              <w:spacing w:after="0"/>
              <w:rPr>
                <w:sz w:val="1"/>
                <w:szCs w:val="1"/>
                <w:color w:val="auto"/>
              </w:rPr>
            </w:pPr>
          </w:p>
        </w:tc>
      </w:tr>
      <w:tr>
        <w:trPr>
          <w:trHeight w:val="291"/>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8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50,710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6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Purchases of equipment through capital lease obligations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Grand Canyon Education, Inc. (together with its subsidiaries, the “University”, “we” or “us”) is a comprehensive regionally accredited university that offers over 160 graduate and undergraduate degree programs across eight colleges both online and on ground at our 200+ acre campus in Phoenix, Arizona, at leased facilities and at facilities owned by third party employers of our students. Our undergraduate programs are designed to be innovative and to meet the future needs of employers, while providing students with the needed critical thinking and effective communication skills developed through a Christian, liberal arts foundation. The University is accredited by The Higher Learning Commission. The University’s wholly-owned subsidiaries are primarily used to facilitate expansion of the University campus.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of the Securities Exchange Act of 1934, consistent in all material respects with those applied in its financial statements included in its Annual Report on Form 10-K for the fiscal year ended December 31, 2014.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2014 from which the December 31, 2014 balance sheet information was derived.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significant portion of the University’s revenue is received from students who participate in government financial aid and assistance programs. Restricted cash, cash equivalents and investments primarily represent amounts received from the federal and state governments under various student aid grant and loan programs, such as Title IV (“Title IV”) of the Higher Education Act of 1965, as amended (the “Higher Education Act”).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remains as restricted for an average of 60 to 90 days from the date of receipt.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University considers its investments in municipal bond, mutual funds and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ind w:right="20"/>
        <w:spacing w:after="0" w:line="286" w:lineRule="auto"/>
        <w:rPr>
          <w:sz w:val="20"/>
          <w:szCs w:val="20"/>
          <w:color w:val="auto"/>
        </w:rPr>
      </w:pPr>
      <w:r>
        <w:rPr>
          <w:rFonts w:ascii="Arial" w:cs="Arial" w:eastAsia="Arial" w:hAnsi="Arial"/>
          <w:sz w:val="16"/>
          <w:szCs w:val="16"/>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interest and other income of $1,459 for the year ended December 31,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On October 28, 2013 borrower deposited with the clerk of the court the required cash bond in the amount of $344 and filed its formal notice of appeal. The briefing and oral argument phases of the appeal have been completed and the University is awaiting a written decision from the Court of Appeals. On June 26, 2015, the trial court heard oral argument on the University’s request for an award of its attorneys’ fees as the prevailing party. The University is awaiting a written decision and formal judgment from the trial court regarding the remaining default interest, attorneys’ fees, and interest thereon.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such institutions are expected to perform fully under the terms of the agreements.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June 30, 2015 and December 31, 2014 was $1,040 and $1,332, respectively, which is included in other assets. The fair value of this derivative instrument was determined using a hypothetical derivative transaction and Level 2 of the hierarchy of valuation inputs. This derivative instrument was originally designated as a cash flow hedge of variable rate debt obligations. The adjustment of $288 for the six months ended June 30, 2015, for the effective portion of the loss on the derivative is included as a component of other comprehensive income, net of taxes.</w:t>
      </w:r>
    </w:p>
    <w:p>
      <w:pPr>
        <w:spacing w:after="0" w:line="193" w:lineRule="exact"/>
        <w:rPr>
          <w:sz w:val="20"/>
          <w:szCs w:val="20"/>
          <w:color w:val="auto"/>
        </w:rPr>
      </w:pPr>
    </w:p>
    <w:p>
      <w:pPr>
        <w:jc w:val="both"/>
        <w:ind w:right="26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$83,333 as of June 30, 2015.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2015, no derivative ineffectiveness was identified. Any ineffectiveness in the University’s derivative instrument designated as a hedge is reported in interest expense in the income statement. For the six months ended June 30, 2015, $4 of credit risk was recorded in interest expense for the interest rate corridor. At June 30, 2015, the University does not expect to reclassify gains or losses on derivative instruments from accumulated other comprehensive income (loss) into earnings during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June 30, 2015, the carrying value of cash and cash equivalents, investments, accounts receivable, accounts payable and accrued compensation and benefits and accrued liabilities approximate their fair value based on the liquidity or the short-term maturities of these instruments. The carrying value of notes payable approximates fair value as it is based on a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fair value of investments, primarily municipal securities (including municipal bond portfolios),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on ground at its approximately 200+ acre campus in Phoenix, Arizona, at leased facilities and at facilities owned by third party employers of our students,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2015 and 2014, the University’s revenue was reduced by approximately $76,947 and $63,632, respectively, as a result of scholarships that the University offered to students. The University also maintains an institutional tuition refund policy, which provides for the refund of all or a portion of a student’s tuition if the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ectPr>
          <w:pgSz w:w="11900" w:h="16838" w:orient="portrait"/>
          <w:cols w:equalWidth="0" w:num="1">
            <w:col w:w="11380"/>
          </w:cols>
          <w:pgMar w:left="240" w:top="459" w:right="27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Admissions advisory and related expenses include salaries and benefits for admissions advisory personnel and revenue share expense. This category also includes an allocation of depreciation, amortization, rent and occupancy costs attributable to the admissions advisory personnel.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May 2014, the Financial Accounting Standards Board (“FASB”) issued “Revenue from Contracts with Customers.”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After the FASB amended the standard in July 2015, the standard is effective for us January 1, 2018 and early adoption is permitted effective January 1, 2017. The University is currently evaluating the impact that the standard will have on our financial condition, results of operations and disclosures.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have a potential material impact to its operations or otherwise would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amounts included in restricted and unrestricted investments as of June 30, 2015 and December 31, 2014.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As of June 30, 2015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(Losses)</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83,658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41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6"/>
              </w:rPr>
              <w:t>(166)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83,533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55,533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(173)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55,360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139,191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(339)</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(Losses)</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83,364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6"/>
              </w:rPr>
              <w:t>(177)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2460" w:type="dxa"/>
            <w:vAlign w:val="bottom"/>
            <w:gridSpan w:val="4"/>
          </w:tcPr>
          <w:p>
            <w:pPr>
              <w:jc w:val="right"/>
              <w:ind w:right="240"/>
              <w:spacing w:after="0"/>
              <w:rPr>
                <w:sz w:val="20"/>
                <w:szCs w:val="20"/>
                <w:color w:val="auto"/>
              </w:rPr>
            </w:pPr>
            <w:r>
              <w:rPr>
                <w:rFonts w:ascii="Arial" w:cs="Arial" w:eastAsia="Arial" w:hAnsi="Arial"/>
                <w:sz w:val="18"/>
                <w:szCs w:val="18"/>
                <w:color w:val="auto"/>
              </w:rPr>
              <w:t>$ 85,386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$ 85,386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168,750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(177)</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are due in one year or less as of June 30, 2015. As of June 30, 2015, the net unrealized loss on available-for-sale securities was $182, net of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280" w:type="dxa"/>
            <w:vAlign w:val="bottom"/>
          </w:tcPr>
          <w:p>
            <w:pPr>
              <w:spacing w:after="0"/>
              <w:rPr>
                <w:sz w:val="14"/>
                <w:szCs w:val="14"/>
                <w:color w:val="auto"/>
              </w:rPr>
            </w:pPr>
          </w:p>
        </w:tc>
        <w:tc>
          <w:tcPr>
            <w:tcW w:w="17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46,012</w:t>
            </w: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45,598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45,901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45,403</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w:t>
            </w:r>
          </w:p>
        </w:tc>
      </w:tr>
      <w:tr>
        <w:trPr>
          <w:trHeight w:val="20"/>
        </w:trPr>
        <w:tc>
          <w:tcPr>
            <w:tcW w:w="7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28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47,263</w:t>
            </w:r>
          </w:p>
        </w:tc>
        <w:tc>
          <w:tcPr>
            <w:tcW w:w="3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46,990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47,233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46,917</w:t>
            </w:r>
          </w:p>
        </w:tc>
      </w:tr>
      <w:tr>
        <w:trPr>
          <w:trHeight w:val="20"/>
        </w:trPr>
        <w:tc>
          <w:tcPr>
            <w:tcW w:w="7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and vesting of restricted stock. For the six months ended June 30, 2015 and 2014, approximately 345 and 117, respectively, of the University’s stock options outstanding were excluded from the calculation of diluted earnings per share as their inclusion would have been anti-dilutive. These options and restricted stock awards could be dilutive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Balance at</w:t>
            </w:r>
          </w:p>
        </w:tc>
        <w:tc>
          <w:tcPr>
            <w:tcW w:w="130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1"/>
              </w:rPr>
              <w:t>Charged to</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00" w:type="dxa"/>
            <w:vAlign w:val="bottom"/>
            <w:gridSpan w:val="5"/>
            <w:vMerge w:val="continue"/>
          </w:tcPr>
          <w:p>
            <w:pPr>
              <w:spacing w:after="0"/>
              <w:rPr>
                <w:sz w:val="12"/>
                <w:szCs w:val="12"/>
                <w:color w:val="auto"/>
              </w:rPr>
            </w:pPr>
          </w:p>
        </w:tc>
        <w:tc>
          <w:tcPr>
            <w:tcW w:w="14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Period</w:t>
            </w:r>
          </w:p>
        </w:tc>
        <w:tc>
          <w:tcPr>
            <w:tcW w:w="1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Expense</w:t>
            </w:r>
          </w:p>
        </w:tc>
        <w:tc>
          <w:tcPr>
            <w:tcW w:w="14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2015</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6,472</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w w:val="77"/>
              </w:rPr>
              <w:t>(7,953)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Six months ended June 30, 2014</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9,678</w:t>
            </w: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7,061</w:t>
            </w:r>
          </w:p>
        </w:tc>
        <w:tc>
          <w:tcPr>
            <w:tcW w:w="220" w:type="dxa"/>
            <w:vAlign w:val="bottom"/>
          </w:tcPr>
          <w:p>
            <w:pPr>
              <w:spacing w:after="0"/>
              <w:rPr>
                <w:sz w:val="20"/>
                <w:szCs w:val="20"/>
                <w:color w:val="auto"/>
              </w:rPr>
            </w:pPr>
          </w:p>
        </w:tc>
        <w:tc>
          <w:tcPr>
            <w:tcW w:w="1200" w:type="dxa"/>
            <w:vAlign w:val="bottom"/>
            <w:gridSpan w:val="4"/>
          </w:tcPr>
          <w:p>
            <w:pPr>
              <w:ind w:left="380"/>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445"/>
        </w:trPr>
        <w:tc>
          <w:tcPr>
            <w:tcW w:w="546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87,746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76,537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Land improvements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297,254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298,124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46,212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Computer equipment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81,627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38,675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22,895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125,360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716,049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(127,774)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(113,213)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vMerge w:val="restart"/>
          </w:tcPr>
          <w:p>
            <w:pPr>
              <w:spacing w:after="0"/>
              <w:rPr>
                <w:sz w:val="6"/>
                <w:szCs w:val="6"/>
                <w:color w:val="auto"/>
              </w:rPr>
            </w:pPr>
          </w:p>
        </w:tc>
        <w:tc>
          <w:tcPr>
            <w:tcW w:w="4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588,275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478,170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June 30, 2015:</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2015 (remaining six months)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2016</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2018</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2015 and 2014 were $3,880 and $3,910,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ectPr>
          <w:pgSz w:w="11900" w:h="16838" w:orient="portrait"/>
          <w:cols w:equalWidth="0" w:num="1">
            <w:col w:w="11360"/>
          </w:cols>
          <w:pgMar w:left="240" w:top="459" w:right="299" w:bottom="1440" w:gutter="0" w:footer="0" w:header="0"/>
        </w:sectPr>
      </w:pP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June 30, 2015 and December 31, 2014, the University reserved approximately $647 and $659, respectively,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six months ended June 30, 2015, the University granted 315 shares of common stock with a service vesting condition to certain of its executives, officers, faculty and employees. The restricted shares have voting rights and vest in five annual installments of 20% starting on March 1, 2016 and each of the four anniversaries of the vesting date following the date of grant. Upon vesting, shares will be held in lieu of taxes equivalent to the minimum statutory tax withholding required to be paid when the restricted stock vests. During the six months ended June 30, 2015, the University withheld 92 shares of common stock in lieu of taxes at a cost of $4,230 on the restricted stock vesting dates. In May 2015, the University granted 9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since December 31, 2014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2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3400" w:type="dxa"/>
            <w:vAlign w:val="bottom"/>
            <w:gridSpan w:val="3"/>
          </w:tcPr>
          <w:p>
            <w:pPr>
              <w:jc w:val="right"/>
              <w:ind w:right="360"/>
              <w:spacing w:after="0"/>
              <w:rPr>
                <w:sz w:val="20"/>
                <w:szCs w:val="20"/>
                <w:color w:val="auto"/>
              </w:rPr>
            </w:pPr>
            <w:r>
              <w:rPr>
                <w:rFonts w:ascii="Arial" w:cs="Arial" w:eastAsia="Arial" w:hAnsi="Arial"/>
                <w:sz w:val="18"/>
                <w:szCs w:val="18"/>
                <w:color w:val="auto"/>
              </w:rPr>
              <w:t>(10)</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vMerge w:val="restart"/>
          </w:tcPr>
          <w:p>
            <w:pPr>
              <w:jc w:val="right"/>
              <w:ind w:right="1550"/>
              <w:spacing w:after="0"/>
              <w:rPr>
                <w:sz w:val="20"/>
                <w:szCs w:val="20"/>
                <w:color w:val="auto"/>
              </w:rPr>
            </w:pPr>
            <w:r>
              <w:rPr>
                <w:rFonts w:ascii="Arial" w:cs="Arial" w:eastAsia="Arial" w:hAnsi="Arial"/>
                <w:sz w:val="18"/>
                <w:szCs w:val="18"/>
                <w:color w:val="auto"/>
              </w:rPr>
              <w:t>14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six months ended June 30, 2015, no options were granted. A summary of the activity related to stock options granted under the University’s Incentive Plan since December 31, 2014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15.98</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2,278</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June 30, 2015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gridSpan w:val="2"/>
            <w:vMerge w:val="continue"/>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1,928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7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2015 ($42.40) in excess of the exercise price multiplied by the number of shares underlying options outstanding or exercisable, as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2015 and 2014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$ 3,304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8"/>
                <w:szCs w:val="18"/>
                <w:color w:val="auto"/>
              </w:rPr>
            </w:pP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(2,205)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(1,935)</w:t>
            </w: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$ 2,902</w:t>
            </w:r>
          </w:p>
        </w:tc>
        <w:tc>
          <w:tcPr>
            <w:tcW w:w="12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University is subject to extensive regulation by federal and state governmental agencies and accrediting bodies. In particular,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June 30, 2015, management believes the University is in compliance with the applicable regulations in all material respects.</w:t>
      </w:r>
    </w:p>
    <w:p>
      <w:pPr>
        <w:spacing w:after="0" w:line="193"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like other industry participants, it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360"/>
          </w:cols>
          <w:pgMar w:left="240" w:top="459" w:right="299" w:bottom="1440" w:gutter="0" w:footer="0" w:header="0"/>
        </w:sectPr>
      </w:pP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60"/>
          </w:cols>
          <w:pgMar w:left="240" w:top="459" w:right="2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Board of Directors has authorized the University to repurchase up to $75,000 in aggregate of common stock, from time to time, depending on market conditions and other considerations. The expiration date on the repurchase authorization has been extended to September 30, 2016.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2,787 shares of common stock at an aggregate cost of $49,135. During the six months ended June 30, 2015 the University did not repurchase any shares of common stock. At June 30, 2015, there remained $25,865 available under its share repurchase authorization. Shares repurchased in lieu of taxes are not included in the repurchase plan totals as they were approved in conjunction with the restricted share awards.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lawsuits,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4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strategic initiatives, including the potential conversion of our university operations to non-profit status, the expansion of our campus, potential acquisitions of, or investments in, new businesses, acquisitions of new properties, or the development of new campuses;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of our students;</w:t>
      </w:r>
    </w:p>
    <w:p>
      <w:pPr>
        <w:spacing w:after="0" w:line="130"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2014,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are a comprehensive regionally accredited university that offers over 160 graduate and undergraduate degree programs across eight colleges both online and on ground at our 200+ acre campus in Phoenix, Arizona, at leased facilities and at facilities owned by third party employers of our students. Our undergraduate programs are designed to be innovative and meet the future needs of employers, while providing students with the needed critical thinking and effective communication skills developed through a Christian-oriented, liberal arts foundation.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End-of-period enrollment increased 9.1% between June 30, 2015 and June 30, 2014, as ground enrollment increased 10.9% and online enrollment increased 8.9%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the public universities in the state of Arizona as an in-state student.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$852 per credit hour while our online tuition per credit hour ranges from $350 to $465 for undergraduate programs and $325 to $630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13.1% for the six months ended June 30, 2015 over the first six months of the prior year primarily due to the enrollment growth and due to an increase in ancillary revenues resulting from the increased traditional student enrollment (e.g., housing, food, etc.). We did not raise tuition in any of our programs for our 2014-2015 or 2015-2016 academic years and have not raised our tuition for our traditional ground programs in seven years. Operating income was $98.2 million for the six months ended June 30, 2015, an increase of 20.8% over the $81.3 million in operating income for the six months ended June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June 30, 2015 and 2014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ind w:left="18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28,224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24,438</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Undergraduate degree</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34,711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55.2%</w:t>
            </w:r>
          </w:p>
        </w:tc>
        <w:tc>
          <w:tcPr>
            <w:tcW w:w="940" w:type="dxa"/>
            <w:vAlign w:val="bottom"/>
            <w:gridSpan w:val="4"/>
          </w:tcPr>
          <w:p>
            <w:pPr>
              <w:jc w:val="right"/>
              <w:ind w:right="380"/>
              <w:spacing w:after="0"/>
              <w:rPr>
                <w:sz w:val="20"/>
                <w:szCs w:val="20"/>
                <w:color w:val="auto"/>
              </w:rPr>
            </w:pPr>
            <w:r>
              <w:rPr>
                <w:rFonts w:ascii="Arial" w:cs="Arial" w:eastAsia="Arial" w:hAnsi="Arial"/>
                <w:sz w:val="18"/>
                <w:szCs w:val="18"/>
                <w:color w:val="auto"/>
                <w:w w:val="98"/>
              </w:rPr>
              <w:t>33,269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62,935</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8"/>
              </w:rPr>
              <w:t>57,707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Students</w:t>
            </w:r>
          </w:p>
        </w:tc>
        <w:tc>
          <w:tcPr>
            <w:tcW w:w="3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CCEEFF"/>
            </w:tcBorders>
            <w:gridSpan w:val="2"/>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40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57,681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52,969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5,254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8.3%</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4,738</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62,935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57,707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right="40" w:hanging="452"/>
        <w:spacing w:after="0" w:line="25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Enrollment at June 30, 2015 and 2014 represents individual students who attended a course during the last two months of the calendar quarter. Included in enrollment at June 30, 2015 and 2014 are students pursuing non-degree certificates of 858 and 795, respectively.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6,106 and 4,930 students pursuing doctoral degrees at June 30, 2015 and 2014, respectively.</w:t>
      </w:r>
    </w:p>
    <w:p>
      <w:pPr>
        <w:spacing w:after="0" w:line="9"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of June 30, 2015 and 2014, 47.2% and 44.4%, respectively, of our working adult students (online and professional studies students) were pursuing graduate degrees.</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attending summer semester, and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2014. During the six months ended June 30, 2015, there have been no significant changes in our critical accounting policies.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2014. During the six months ended June 30, 2015, there have been no significant changes in these trends. See Item 7, “Management’s Discussion and Analysis of Financial Condition and Results of Operations – Key Trends, Developments and Challenges” in our Annual Report on Form 10-K for our fiscal year ended December 31, 2014, which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42.8</w:t>
            </w: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16.5</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15.1</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w:t>
            </w: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76.1</w:t>
            </w:r>
          </w:p>
        </w:tc>
        <w:tc>
          <w:tcPr>
            <w:tcW w:w="4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73.4</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w:t>
            </w: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tcPr>
          <w:p>
            <w:pPr>
              <w:jc w:val="right"/>
              <w:ind w:right="368"/>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26.6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16.3</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to Three Months Ended June 30, 2014</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June 30, 2015 was $174.7 million, an increase of $16.1 million, or 10.2%,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$158.6 million for the three months ended June 30, 2014. This increase was primarily due to an increase in enrollment and, to a lesser extent, an increase in room and board and other student fees, partially offset by an increase in institutional scholarships. We did not raise tuition in any of our programs for our 2014-2015 or 2015-2016 academic years and have not raised our tuition for our traditional ground programs in seven years. End-of-period enrollment increased 9.1% between June 30, 2015 and June 30, 2014, as ground enrollment increased 10.9%, and online enrollment increased 8.9% over the prior year. The majority of the ground enrollment growth between years is due to an increase in the number of our ground traditional students taking summer semester courses.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66"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three months ended June 30, 2015 were $75.4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$7.6 million, or 11.1%, as compared to instructional costs and services expenses of $67.8 million for the three months ended June 30, 2014. This increase was primarily due to increases in employee compensation and related expenses including share based compensation, faculty compensation, dues, fees and subscriptions and other instructional supplies, and depreciation and amortization and occupancy expense, partially offset by a decrease in other instructional compensation and related expenses in these categories, of $2.7 million, $1.9 million, $1.5 million, $2.0 million, and ($0.5)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employee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in the Fall of 2014 to support the growing number of ground traditional students. Our instructional costs and services expenses as a percentage of net revenues increased 0.3% to 43.1% for the three months ended June 30, 2015, from 42.8% for the three months ended June 30, 2014 primarily due to increases in dues, fees, subscriptions and other instructional supplies and depreciation and amortization and occupancy costs as a percentage of revenue between years. The increase in dues, fees and subscriptions and other instructional supplies as a percentage of revenue is primarily due to increased board revenue, as the margin on our food operations is much lower than the margin on our overall operations. The increase in depreciation and amortization and occupancy costs as a percentage of revenue is primarily related to the continued buildout of our traditional ground campus. We expect these costs to continue to grow, as a percentage of revenue, on a year over year basis in the second and third fiscal quarters as revenues are lowest in these quarters due to the seasonal enrollment decline between Spring and Fall semesters. Bad debt expense improved from 2.1% of net revenues for the three months ended June 30, 2014 to 2.0% for the three months ended June 30, 2015, which resulted primarily from improved student retention and improved collection efforts.</w:t>
      </w:r>
    </w:p>
    <w:p>
      <w:pPr>
        <w:sectPr>
          <w:pgSz w:w="11900" w:h="16838" w:orient="portrait"/>
          <w:cols w:equalWidth="0" w:num="1">
            <w:col w:w="11420"/>
          </w:cols>
          <w:pgMar w:left="240" w:top="459"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three months ended June 30, 2015 were $27.4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$1.2 million, or 4.4%, as compared to admissions advisory and related expenses of $26.2 million for the three months ended June 30, 2014. This increase is primarily the result of increases in employee compensation and related expenses including share based compensation of $1.2 million primarily due to increased headcount between years. Our admissions advisory and related expenses as a percentage of revenue decreased 0.8% to 15.7% for the three months ended June 30, 2015, from 16.5% for the three months ended June 30, 2014 primarily due to our ability to leverage our admissions advisory personnel across an increasing revenue base.</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June 30, 2015 were $18.4 million, an increase of $2.6 million, or 16.9%,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$15.8 million for the three months ended June 30, 2014. This increase is primarily the result of increased digital media and branding advertising focused on the southwestern United States region. Our advertising expenses as a percentage of net revenue increased by 0.6% to 10.5% for the three months ended June 30, 2015, from 9.9% for the three months ended June 30, 2014 as we have intentionally increased our advertising spend to increase brand awareness.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three months ended June 30, 2015 were $1.8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$0.1 million, or 6.2%, as compared to marketing and promotional expenses of $1.9 million for the three months ended June 30, 2014. This decrease is primarily the result of decreases in other promotional expenses of $0.2 million partially offset by a slight increase in employee compensation between years. Our marketing and promotional expenses as a percentage of net revenue decreased 0.2% to 1.0% for the three months ended June 30, 2015, from 1.2% for the three months ended June 30, 2014.</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three months ended June 30, 2015 were $9.5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$0.5 million, or 6.0%, as compared to general and administrative expenses of $9.0 million for the three months ended June 30, 2014. This increase was primarily due to increases in other general and administrative expenses of $0.5 million from increased charitable contributions related to the rehabilitation of residential neighborhoods near our Phoenix, Arizona campus. Our general and administrative expenses as a percentage of net revenue decreased by 0.2% to</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5.5% for the three months ended June 30, 2015, from 5.7% for the three months ended June 30, 2014, due to our ability to leverage the fixed costs structure of our general and administrative expenses across an increasing revenue base.</w:t>
      </w:r>
    </w:p>
    <w:p>
      <w:pPr>
        <w:spacing w:after="0" w:line="18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June 30, 2015 was $0.1 million, a decrease of $0.3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$0.4 million for the three months ended June 30, 2014. This decrease was primarily due to an increase in ongoing construction projects, resulting in higher capitalized interest and a decrease in the average balance of our credit facility between periods due to scheduled monthly principal payments. Our interest expense decreased as a percentage of net revenue by 0.1% to 0.1% for the three months ended June 30, 2015, from 0.2% for the three months ended June 30, 2014.</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June 30, 2015 was $0.1 million, a decrease of $0.1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$0.2 million in the three months ended June 30, 2014. The decrease was primarily due to lower investment balances and lower investment returns period over period.</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June 30, 2015 was $16.5 million, an increase of $1.8 million, or 12.3%,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$14.7 million for the three months ended June 30, 2014. Our effective tax rate was 39.0% during the second quarter of 2015 compared to 38.9% during the second quarter of 2014.</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2015 was $25.8 million, an increase of $2.7 million, as compared to $23.1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2014,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Compared to Six Months Ended June 30, 2014</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six months ended June 30, 2015 was $368.9 million, an increase of $42.9 million, or 13.1%,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$326.0 million for the six months ended June 30, 2014. This increase was primarily due to an increase in enrollment and, to a lesser extent, an increase in room and board and other student fees, partially offset by an increase in institutional scholarships. We did not raise tuition in any of our programs for our 2014-2015 or 2015-2016 academic years and have not raised our tuition for our traditional ground programs in seven years. End-of-period enrollment increased 9.1% between June 30, 2015 and June 30, 2014, as ground enrollment increased 10.9%, and online enrollment increased 8.9% over the prior year. The majority of the ground enrollment growth between the second quarter of 2014 and the second quarter of 2015 is due to an increase in the number of our ground traditional students taking summer semester courses.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six months ended June 30, 2015 were $154.0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$15.5 million, or 11.2%, as compared to instructional costs and services expenses of $138.5 million for the six months ended June 30, 2014. This increase was primarily due to increases in employee compensation and related expenses including share based compensation, faculty compensation, depreciation and amortization and occupancy expense, and dues, fees and subscriptions and other instructional supplies, partially offset by a decrease in other instructional compensation and related expenses in these categories, of $6.0 million, $3.4 million, $4.2 million, $3.7 million, and ($1.8)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employee benefit costs between years. The increase in depreciation and amortization and occupancy costs is the result of our placing into service additional buildings in the Fall of 2014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revenues decreased 0.7% to 41.8% for the six months ended June 30, 2015, from 42.5% for the six months ended June 30, 2014, primarily due to our ability to leverage our instructional services costs across an increasing revenue base partially offset by an increases in dues, fees and subscriptions and other instructional supplies and depreciation and amortization and occupancy expense as a percentage of revenue between years. The increase in dues, fees and subscriptions and other instructional supplies as a percentage of revenue is primarily due to increased board revenue, as the margin on our food operations is much lower than the margin on our overall operations. The increase in depreciation and amortization and occupancy costs as a percentage of revenue is primarily related to the continued buildout of our traditional ground campus. We expect these costs to continue to grow, as a percentage of revenue, on a year over year basis in the second and third fiscal quarters as revenues are lowest in these quarters due to the seasonal enrollment decline between Spring and Fall semesters. Bad debt expense improved from 2.2% of net revenues for the six months ended June 30, 2014 to 2.0% for the six months ended June 30, 2015, which resulted primarily from improved student retention and improved collection efforts.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Admissions advisory and related expenses</w:t>
      </w:r>
      <w:r>
        <w:rPr>
          <w:rFonts w:ascii="Arial" w:cs="Arial" w:eastAsia="Arial" w:hAnsi="Arial"/>
          <w:sz w:val="18"/>
          <w:szCs w:val="18"/>
          <w:color w:val="auto"/>
        </w:rPr>
        <w:t>. Our admissions advisory and related expenses for the six months ended June 30, 2015 were $55.7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$3.2 million, or 6.2%, as compared to admissions advisory and related expenses of $52.5 million for the six months ended June 30, 2014. This increase is primarily the result of increases in employee compensation and related expenses including share based compensation of $3.2 million primarily due to increased headcount between years. Our admissions advisory and related expenses as a percentage of revenue decreased 1.0% to 15.1% for the six months ended June 30, 2015, from 16.1% for the six months ended June 30, 2014 primarily due to our ability to leverage costs related to our admissions advisory personnel across an increasing revenue base.</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six months ended June 30, 2015 were $38.5 million, an increase of $6.0 million, or 18.4%,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$32.5 million for the six months ended June 30, 2014. This increase is primarily the result of increased digital media and branding advertising focused on the southwestern United States region. Our advertising expenses as a percentage of net revenue increased by 0.4% to 10.4% for the six months ended June 30, 2015, from 10.0% for the six months ended June 30, 2014 as we have intentionally increased our advertising spend to increase brand awareness.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six months ended June 30, 2015 were $3.5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$0.2 million, or 5.9%, as compared to marketing and promotional expenses of $3.7 million for the six months ended June 30, 2014. This decrease is primarily the result of decreases in other promotional expenses of $0.4 million partially offset by a slight increase in employee compensation of $0.2 million between years. Our marketing and promotional expenses as a percentage of net revenue decreased 0.2% to 0.9% for the six months ended June 30, 2015, from 1.1% for the six months ended June 30, 2014.</w:t>
      </w:r>
    </w:p>
    <w:p>
      <w:pPr>
        <w:spacing w:after="0" w:line="18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2015 were $18.9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$1.4 million, or 7.9%, as compared to general and administrative expenses of $17.5 million for the six months ended June 30, 2014. This increase was primarily due to increases in other general and administrative expenses of $1.4 million from increased charitable contributions related to the rehabilitation of residential neighborhoods near our Phoenix, Arizona campus. Our general and administrative expenses as a percentage of net revenue decreased by 0.3% to</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5.1% for the six months ended June 30, 2015, from 5.4% for the six months ended June 30, 2014, due to our ability to leverage the fixed costs structure of our general and administrative expenses across an increasing revenue base.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six months ended June 30, 2015 was $0.5 million, a decrease of $0.4 million, as compared to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of $0.9 million for the six months ended June 30, 2014. This decrease was primarily due to an increase in ongoing construction projects resulting in higher capitalized interest and a decrease in the average balance of our credit facility between periods due to scheduled monthly principal payments. Our interest expense decreased as a percentage of net revenue by 0.2% to 0.1% for the six months ended June 30, 2015, from 0.3% for the six months ended June 30, 2014.</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six months ended June 30, 2015 was $0.4 million, an increase of $0.1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interest and other income of $0.3 million in the six months ended June 30, 2014. The increase was primarily due to differences in the investment balances and returns period over period.</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six months ended June 30, 2015 was $38.2 million, an increase of $6.8 million, or 21.4%,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tax expense of $31.4 million for the six months ended June 30, 2014. Our effective tax rate was 38.9% during the six months ended June 30, 2015 and 2014.</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2015 was $60.0 million, an increase of $10.6 million, as compared to $49.4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2014,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prior years, this summer effect lessened. However, during the past year we increased, and over the next few years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six months ended June 30, 2015 and 2014 primarily through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Our unrestricted cash and cash equivalents and investments were $134.2 million and $166.0 million at June 30, 2015 and December 31, 2014, respectively. Our restricted cash, cash equivalents and investments at June 30, 2015 and December 31, 2014 were $63.7 million and $67.8 million, respectively.</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were borrowed on the $50.0 million revolving line of credit as of June 30,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$75.0 million of our common stock, from time to time, depending on market conditions and other considerations. The expiration date on the repurchase authorization has been extended to September 30, 2016. Repurchases occur at the University’s discretion.</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2.8 million shares of common stock at an aggregate cost of $49.1 million. During the six months ended June 30, 2015 the University did not repurchase any shares of common stock. At June 30, 2015, there remains $25.9 million available under our share repurchase authorization.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six months ended June 30, 2015 was $81.7 million as compared to $89.4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2014. The decrease in cash generated from operating activities between the six months ended June 30, 2014 and the six months ended June 30, 2015 is primarily due to the timing of income tax related payments partially offset by increased net income.</w:t>
      </w:r>
    </w:p>
    <w:p>
      <w:pPr>
        <w:spacing w:after="0" w:line="16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$94.7 million and $130.1 million for the six months ended June 30, 2015 and 2014,</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capital expenditures. Capital expenditures were $111.9 million and $82.0 million for the six months ended June 30, 2015 and 2014, respectively. During the six-month period for 2015, capital expenditures primarily consisted of ground campus building projects such as the construction of four additional dormitories, an additional classroom building for our College of Science, Engineering and Technology, a new parking structure and land purchases adjacent to our Phoenix campus to support our growing traditional student enrollment as well as purchases of computer equipment, other internal use software projects and furniture and equipment to support our increasing employee headcount. During the six-month period for 2014, capital expenditures primarily consisted of ground campus building projects such as the construction of an additional classroom building, additional residence halls, the expansion of our arena, and land purchases adjacent to our Phoenix campus to support our growing traditional student enrollment as well as purchases of computer equipment, other internal use software projects and furniture and equipment to support our increasing employee headcount. Also included in investing activities is the net short-term investment activity. In the first six months of 2015 proceeds from the sale of short-term investments exceeded purchases by $17.3 million, whereas in the first six months of 2014 purchases exceeded proceeds by $48.1 million.</w:t>
      </w:r>
    </w:p>
    <w:p>
      <w:pPr>
        <w:spacing w:after="0" w:line="1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financing activities was $1.5 million for the six months ended June 30, 2015, whereas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activities was $5.0 million for the six months ended June 30, 2014. During the first six months of 2015, $4.2 million was used to purchase common shares withheld in lieu of income taxes resulting from restricted share awards while principal payments on notes payable and capital leases totaled $3.4 million. These uses were partially offset by proceeds from the exercise of stock options of $2.7 million and excess tax benefits from share-based compensation of $3.4 million. During the first six months of 2014, proceeds from the exercise of stock options of $6.6 million and excess tax benefits from share-based compensation of $7.1 million were partially offset by $3.6 million used to purchase common shares withheld in lieu of income taxes resulting from restricted share awards, $1.7 million used to purchase treasury stock in accordance with the university’s share repurchase program and principal payments on notes payable and capital leases totaled $3.3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as of June 30, 2015,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24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1 Year (1)</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164.4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July 1, 2015 through December 31,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six months ended June 30, 2015 or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our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$83.3 million as of June 30, 2015, permits us to hedge our interest rate risk at several thresholds. Under this arrangement, in addition to the credit spread we will pay variable interest monthly based on the 30 Day LIBOR rates,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A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that have declined in market value due to changes in interest rates. At June 30, 2015, a 10% increase or decrease in interest rates would not have a material impact on our future earnings, fair values, or cash flows. For information regarding our variable rate debt, see “Market risk” above.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2015,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Other than the supplemental risk factor set forth below, there have been no material changes to the risk factors disclosed in the “Risk Factors” section of our Annual Report on Form 10-K for the year ended December 31, 2014.</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lose our ability to participate in Title IV programs, or be required to modify or eliminate certain programs, if we fail to comply with the Department of Education’s gainful employment regulations.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October 30, 2014, the Department of Education published final regulations setting forth the “gainful employment” rule, which became effective on July 1, 2015 and applies to all programs participating in Title IV, including ours. Under the new rule, in order to maintain Title IV eligibility, gainful employment programs must meet minimum standards related to the debt burden versus earnings of their graduates. Programs with graduates whose annual loan payments are less than 8% of their total earnings or 20% of their discretionary earnings are rated “Pass.” Programs with graduates whose annual loan payments are between 8% and 12% of their total earnings or between 20% and 30% of their discretionary earnings are rated in the “Zone.” Programs with graduates whose annual loan payments are greater than 12% of their total earnings or 30% of their discretionary earnings are rated “Fail.” Programs that fail in two out of any three consecutive years or that are in the “Zone” for four consecutive years will be disqualified from participation in Title IV.</w:t>
      </w:r>
    </w:p>
    <w:p>
      <w:pPr>
        <w:sectPr>
          <w:pgSz w:w="11900" w:h="16838" w:orient="portrait"/>
          <w:cols w:equalWidth="0" w:num="1">
            <w:col w:w="11420"/>
          </w:cols>
          <w:pgMar w:left="240" w:top="459" w:right="239"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compliance measures of the new rule involve complex calculation methodologies and definitions, such that complying with the rule may substantially increase our administrative burdens. In some cases, the compliance measures are based on data that may not be readily accessible to us or that result from factors beyond our control, such as changes in our graduates’ employment and income levels, changes in student borrowing levels, increases in interest rates, and various other factors. Nevertheless, using the information currently available to us, we have evaluated our programs to determine whether any of them are at risk of failing the new requirements. Based on this evaluation, we believe that none of our programs would fall into the “Fail” category. We believe that one or more of our undergraduate programs could fall into the “Zone” category in any given year depending on the average debt and earnings levels of our graduates during that year. These levels may fluctuate from year to year. Student debt level, for example, is highly dependent on the number of credits undergraduate students transfer into the university, a figure that could change significantly between years. Although these and other factors are beyond our control, we are hopeful though that none of our programs will fall into the “Fail” or “Zone” categories given our low tuition cost, and we will continue to evaluate our programs to identify potential risks and any adjustments that may be necessary to comply with the new rule.</w:t>
      </w:r>
    </w:p>
    <w:p>
      <w:pPr>
        <w:spacing w:after="0" w:line="16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Despite our efforts to identify at-risk programs and make appropriate adjustments, however, there can be no assurance that such efforts will be successful or result in compliance with the new regulations. Further, even if we were able to correct any deficiencies in a timely manner, the required disclosure associated with a program’s failure to meet at least one metric may adversely affect student enrollments in that program and may adversely affect the reputation of our institution. Finally, should a program ultimately fail to comply with the regulations and cease to be eligible for Title IV funding, it may not be practical for us to continue offering that program under our current business model. Any of these scenarios could have a material negative impact on our business.</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$75.0 million of common stock, from time to time, depending on market conditions and other considerations. The expiration date on the repurchase authorization has been extended to September 30, 2016.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six months ended June 30, 2015, we did not repurchase any shares of common stock. At June 30, 2015, there remains $25.9 million available under our share repurchase authorization.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Average</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66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Total Number of</w:t>
            </w:r>
          </w:p>
        </w:tc>
        <w:tc>
          <w:tcPr>
            <w:tcW w:w="6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Period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96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Shares Purchased</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Share</w:t>
            </w:r>
          </w:p>
        </w:tc>
        <w:tc>
          <w:tcPr>
            <w:tcW w:w="1060" w:type="dxa"/>
            <w:vAlign w:val="bottom"/>
            <w:tcBorders>
              <w:top w:val="single" w:sz="8" w:color="CCEEFF"/>
              <w:bottom w:val="single" w:sz="8" w:color="auto"/>
            </w:tcBorders>
            <w:gridSpan w:val="3"/>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w w:val="84"/>
              </w:rPr>
              <w:t>Repurchases</w:t>
            </w:r>
          </w:p>
        </w:tc>
        <w:tc>
          <w:tcPr>
            <w:tcW w:w="28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April 1, 2015 – April 30, 2015</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May 1, 2015 – May 31, 2015</w:t>
            </w:r>
          </w:p>
        </w:tc>
        <w:tc>
          <w:tcPr>
            <w:tcW w:w="1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June 1, 2015 – June 30, 2015</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75"/>
        </w:trPr>
        <w:tc>
          <w:tcPr>
            <w:tcW w:w="46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50"/>
        </w:trPr>
        <w:tc>
          <w:tcPr>
            <w:tcW w:w="4740" w:type="dxa"/>
            <w:vAlign w:val="bottom"/>
            <w:gridSpan w:val="6"/>
          </w:tcPr>
          <w:p>
            <w:pPr>
              <w:ind w:left="460"/>
              <w:spacing w:after="0"/>
              <w:rPr>
                <w:sz w:val="20"/>
                <w:szCs w:val="20"/>
                <w:color w:val="auto"/>
              </w:rPr>
            </w:pPr>
            <w:r>
              <w:rPr>
                <w:rFonts w:ascii="Arial" w:cs="Arial" w:eastAsia="Arial" w:hAnsi="Arial"/>
                <w:sz w:val="18"/>
                <w:szCs w:val="18"/>
                <w:b w:val="1"/>
                <w:bCs w:val="1"/>
                <w:color w:val="auto"/>
              </w:rPr>
              <w:t>Tax Withholdings</w:t>
            </w:r>
          </w:p>
        </w:tc>
        <w:tc>
          <w:tcPr>
            <w:tcW w:w="110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April 1, 2015 – April 30, 2015</w:t>
            </w:r>
          </w:p>
        </w:tc>
        <w:tc>
          <w:tcPr>
            <w:tcW w:w="1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May 1, 2015 – May 31, 2015</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1,238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42.30</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June 1, 2015 – June 30, 2015</w:t>
            </w:r>
          </w:p>
        </w:tc>
        <w:tc>
          <w:tcPr>
            <w:tcW w:w="1100" w:type="dxa"/>
            <w:vAlign w:val="bottom"/>
            <w:tcBorders>
              <w:bottom w:val="single" w:sz="8" w:color="auto"/>
            </w:tcBorders>
            <w:shd w:val="clear" w:color="auto" w:fill="CCEEFF"/>
          </w:tcPr>
          <w:p>
            <w:pPr>
              <w:jc w:val="center"/>
              <w:ind w:left="673"/>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88"/>
              </w:rPr>
              <w:t>1,238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42.30</w:t>
            </w:r>
          </w:p>
        </w:tc>
        <w:tc>
          <w:tcPr>
            <w:tcW w:w="68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378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3780" w:type="dxa"/>
            <w:vAlign w:val="bottom"/>
            <w:gridSpan w:val="3"/>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378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gridSpan w:val="3"/>
          </w:tcPr>
          <w:p>
            <w:pPr>
              <w:ind w:left="460"/>
              <w:spacing w:after="0"/>
              <w:rPr>
                <w:sz w:val="20"/>
                <w:szCs w:val="20"/>
                <w:color w:val="auto"/>
              </w:rPr>
            </w:pPr>
            <w:r>
              <w:rPr>
                <w:rFonts w:ascii="Arial" w:cs="Arial" w:eastAsia="Arial" w:hAnsi="Arial"/>
                <w:sz w:val="18"/>
                <w:szCs w:val="18"/>
                <w:color w:val="auto"/>
                <w:w w:val="99"/>
              </w:rPr>
              <w:t>None.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60"/>
          </w:cols>
          <w:pgMar w:left="240" w:top="459" w:right="39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00" w:type="dxa"/>
            <w:vAlign w:val="bottom"/>
          </w:tcPr>
          <w:p>
            <w:pPr>
              <w:spacing w:after="0"/>
              <w:rPr>
                <w:sz w:val="20"/>
                <w:szCs w:val="20"/>
                <w:color w:val="auto"/>
              </w:rPr>
            </w:pPr>
          </w:p>
        </w:tc>
        <w:tc>
          <w:tcPr>
            <w:tcW w:w="50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02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7"/>
              </w:rPr>
              <w:t>Certification of Principal Executive Officer pursuant to Rules 13a-</w:t>
            </w:r>
          </w:p>
        </w:tc>
      </w:tr>
      <w:tr>
        <w:trPr>
          <w:trHeight w:val="216"/>
        </w:trPr>
        <w:tc>
          <w:tcPr>
            <w:tcW w:w="760" w:type="dxa"/>
            <w:vAlign w:val="bottom"/>
          </w:tcPr>
          <w:p>
            <w:pPr>
              <w:spacing w:after="0"/>
              <w:rPr>
                <w:sz w:val="18"/>
                <w:szCs w:val="18"/>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7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Sarbanes-Oxley Act of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8"/>
              </w:rPr>
              <w:t>Certification of Principal Financial Officer pursuant to Rules 13a-</w:t>
            </w:r>
          </w:p>
        </w:tc>
      </w:tr>
      <w:tr>
        <w:trPr>
          <w:trHeight w:val="216"/>
        </w:trPr>
        <w:tc>
          <w:tcPr>
            <w:tcW w:w="760" w:type="dxa"/>
            <w:vAlign w:val="bottom"/>
          </w:tcPr>
          <w:p>
            <w:pPr>
              <w:spacing w:after="0"/>
              <w:rPr>
                <w:sz w:val="18"/>
                <w:szCs w:val="18"/>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7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Sarbanes-Oxley Act of 2002.</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9"/>
              </w:rPr>
              <w:t>Certification of Principal Executive Officer pursuant to 18 U.S.C.</w:t>
            </w:r>
          </w:p>
        </w:tc>
      </w:tr>
      <w:tr>
        <w:trPr>
          <w:trHeight w:val="216"/>
        </w:trPr>
        <w:tc>
          <w:tcPr>
            <w:tcW w:w="760" w:type="dxa"/>
            <w:vAlign w:val="bottom"/>
          </w:tcPr>
          <w:p>
            <w:pPr>
              <w:spacing w:after="0"/>
              <w:rPr>
                <w:sz w:val="18"/>
                <w:szCs w:val="18"/>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7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Oxley Act of 2002. ††</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760" w:type="dxa"/>
            <w:vAlign w:val="bottom"/>
          </w:tcPr>
          <w:p>
            <w:pPr>
              <w:spacing w:after="0"/>
              <w:rPr>
                <w:sz w:val="18"/>
                <w:szCs w:val="18"/>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7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20" w:space="340"/>
            <w:col w:w="4900"/>
          </w:cols>
          <w:pgMar w:left="240" w:top="459" w:right="399" w:bottom="1440" w:gutter="0" w:footer="0" w:header="0"/>
          <w:type w:val="continuous"/>
        </w:sectPr>
      </w:pPr>
    </w:p>
    <w:p>
      <w:pPr>
        <w:spacing w:after="0" w:line="29" w:lineRule="exact"/>
        <w:rPr>
          <w:sz w:val="20"/>
          <w:szCs w:val="20"/>
          <w:color w:val="auto"/>
        </w:rPr>
      </w:pPr>
    </w:p>
    <w:p>
      <w:pPr>
        <w:ind w:left="460" w:right="2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0740"/>
          </w:cols>
          <w:pgMar w:left="240" w:top="459" w:right="9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14605</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ectPr>
          <w:pgSz w:w="11900" w:h="16838" w:orient="portrait"/>
          <w:cols w:equalWidth="0" w:num="2">
            <w:col w:w="5800" w:space="300"/>
            <w:col w:w="4640"/>
          </w:cols>
          <w:pgMar w:left="240" w:top="459" w:right="9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260"/>
          </w:cols>
          <w:pgMar w:left="240" w:top="459" w:right="39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506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7"/>
              </w:rPr>
              <w:t>Certification of Principal Executive Officer pursuant to Rules 13a-</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8"/>
              </w:rPr>
              <w:t>Certification of Principal Financial Officer pursuant to Rules 13a-</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Principal Executive Officer pursuant to 18 U.S.C.</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Oxley Act of 2002. ††</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w w:val="93"/>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20" w:space="340"/>
            <w:col w:w="4900"/>
          </w:cols>
          <w:pgMar w:left="240" w:top="459" w:right="399" w:bottom="1440" w:gutter="0" w:footer="0" w:header="0"/>
          <w:type w:val="continuous"/>
        </w:sectPr>
      </w:pPr>
    </w:p>
    <w:p>
      <w:pPr>
        <w:spacing w:after="0" w:line="29" w:lineRule="exact"/>
        <w:rPr>
          <w:sz w:val="20"/>
          <w:szCs w:val="20"/>
          <w:color w:val="auto"/>
        </w:rPr>
      </w:pPr>
    </w:p>
    <w:p>
      <w:pPr>
        <w:ind w:left="460" w:right="2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459" w:right="39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2015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2015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2015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2015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4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2019-12-29T16:17:12Z</dcterms:created>
  <dcterms:modified xsi:type="dcterms:W3CDTF">2019-12-29T16:17:12Z</dcterms:modified>
</cp:coreProperties>
</file>