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25"/>
          <w:szCs w:val="25"/>
          <w:b w:val="1"/>
          <w:bCs w:val="1"/>
          <w:color w:val="auto"/>
        </w:rPr>
        <w:drawing>
          <wp:anchor simplePos="0" relativeHeight="251657728" behindDoc="1" locked="0" layoutInCell="0" allowOverlap="1">
            <wp:simplePos x="0" y="0"/>
            <wp:positionH relativeFrom="page">
              <wp:posOffset>628015</wp:posOffset>
            </wp:positionH>
            <wp:positionV relativeFrom="page">
              <wp:posOffset>431800</wp:posOffset>
            </wp:positionV>
            <wp:extent cx="6292215"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292215" cy="34290"/>
                    </a:xfrm>
                    <a:prstGeom prst="rect">
                      <a:avLst/>
                    </a:prstGeom>
                    <a:noFill/>
                  </pic:spPr>
                </pic:pic>
              </a:graphicData>
            </a:graphic>
          </wp:anchor>
        </w:drawing>
        <w:drawing>
          <wp:anchor simplePos="0" relativeHeight="251657728" behindDoc="1" locked="0" layoutInCell="0" allowOverlap="1">
            <wp:simplePos x="0" y="0"/>
            <wp:positionH relativeFrom="page">
              <wp:posOffset>628015</wp:posOffset>
            </wp:positionH>
            <wp:positionV relativeFrom="page">
              <wp:posOffset>500380</wp:posOffset>
            </wp:positionV>
            <wp:extent cx="6292215"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292215" cy="8255"/>
                    </a:xfrm>
                    <a:prstGeom prst="rect">
                      <a:avLst/>
                    </a:prstGeom>
                    <a:noFill/>
                  </pic:spPr>
                </pic:pic>
              </a:graphicData>
            </a:graphic>
          </wp:anchor>
        </w:drawing>
        <w:t>UNITED STATES</w:t>
      </w:r>
    </w:p>
    <w:p>
      <w:pPr>
        <w:spacing w:after="0" w:line="38" w:lineRule="exact"/>
        <w:rPr>
          <w:sz w:val="24"/>
          <w:szCs w:val="24"/>
          <w:color w:val="auto"/>
        </w:rPr>
      </w:pPr>
    </w:p>
    <w:p>
      <w:pPr>
        <w:jc w:val="center"/>
        <w:ind w:right="-19"/>
        <w:spacing w:after="0"/>
        <w:rPr>
          <w:sz w:val="20"/>
          <w:szCs w:val="20"/>
          <w:color w:val="auto"/>
        </w:rPr>
      </w:pPr>
      <w:r>
        <w:rPr>
          <w:rFonts w:ascii="Arial" w:cs="Arial" w:eastAsia="Arial" w:hAnsi="Arial"/>
          <w:sz w:val="25"/>
          <w:szCs w:val="25"/>
          <w:b w:val="1"/>
          <w:bCs w:val="1"/>
          <w:color w:val="auto"/>
        </w:rPr>
        <w:t>SECURITIES AND EXCHANGE COMMISSION</w:t>
      </w:r>
    </w:p>
    <w:p>
      <w:pPr>
        <w:spacing w:after="0" w:line="1"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Washington, D.C. 20549</w:t>
      </w:r>
    </w:p>
    <w:p>
      <w:pPr>
        <w:spacing w:after="0" w:line="128"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FORM 8-K</w:t>
      </w:r>
    </w:p>
    <w:p>
      <w:pPr>
        <w:spacing w:after="0" w:line="195"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CURRENT REPORT</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7"/>
          <w:szCs w:val="17"/>
          <w:b w:val="1"/>
          <w:bCs w:val="1"/>
          <w:color w:val="auto"/>
        </w:rPr>
        <w:t>Pursuant to Section 13 or 15(d) of the Securities Exchange Act of 1934</w:t>
      </w:r>
    </w:p>
    <w:p>
      <w:pPr>
        <w:spacing w:after="0" w:line="191"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Date of Report (Date of earliest event reported): May 5, 2021</w:t>
      </w:r>
    </w:p>
    <w:p>
      <w:pPr>
        <w:spacing w:after="0" w:line="159" w:lineRule="exact"/>
        <w:rPr>
          <w:sz w:val="24"/>
          <w:szCs w:val="24"/>
          <w:color w:val="auto"/>
        </w:rPr>
      </w:pPr>
    </w:p>
    <w:p>
      <w:pPr>
        <w:jc w:val="center"/>
        <w:ind w:right="-19"/>
        <w:spacing w:after="0"/>
        <w:rPr>
          <w:sz w:val="20"/>
          <w:szCs w:val="20"/>
          <w:color w:val="auto"/>
        </w:rPr>
      </w:pPr>
      <w:r>
        <w:rPr>
          <w:rFonts w:ascii="Arial" w:cs="Arial" w:eastAsia="Arial" w:hAnsi="Arial"/>
          <w:sz w:val="39"/>
          <w:szCs w:val="39"/>
          <w:b w:val="1"/>
          <w:bCs w:val="1"/>
          <w:color w:val="auto"/>
        </w:rPr>
        <w:t>Grand Canyon Education, Inc.</w:t>
      </w:r>
    </w:p>
    <w:p>
      <w:pPr>
        <w:spacing w:after="0" w:line="96"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(Exact name of registrant as specified in its charter)</w:t>
      </w:r>
    </w:p>
    <w:p>
      <w:pPr>
        <w:sectPr>
          <w:pgSz w:w="11900" w:h="16838" w:orient="portrait"/>
          <w:cols w:equalWidth="0" w:num="1">
            <w:col w:w="9920"/>
          </w:cols>
          <w:pgMar w:left="980" w:top="846" w:right="999" w:bottom="1440" w:gutter="0" w:footer="0" w:header="0"/>
        </w:sectPr>
      </w:pPr>
    </w:p>
    <w:p>
      <w:pPr>
        <w:spacing w:after="0" w:line="178" w:lineRule="exact"/>
        <w:rPr>
          <w:sz w:val="24"/>
          <w:szCs w:val="24"/>
          <w:color w:val="auto"/>
        </w:rPr>
      </w:pPr>
    </w:p>
    <w:p>
      <w:pPr>
        <w:jc w:val="center"/>
        <w:ind w:right="80"/>
        <w:spacing w:after="0"/>
        <w:rPr>
          <w:sz w:val="20"/>
          <w:szCs w:val="20"/>
          <w:color w:val="auto"/>
        </w:rPr>
      </w:pPr>
      <w:r>
        <w:rPr>
          <w:rFonts w:ascii="Arial" w:cs="Arial" w:eastAsia="Arial" w:hAnsi="Arial"/>
          <w:sz w:val="18"/>
          <w:szCs w:val="18"/>
          <w:b w:val="1"/>
          <w:bCs w:val="1"/>
          <w:color w:val="auto"/>
        </w:rPr>
        <w:t>Delaware</w:t>
      </w:r>
    </w:p>
    <w:p>
      <w:pPr>
        <w:spacing w:after="0" w:line="27" w:lineRule="exact"/>
        <w:rPr>
          <w:sz w:val="24"/>
          <w:szCs w:val="24"/>
          <w:color w:val="auto"/>
        </w:rPr>
      </w:pPr>
    </w:p>
    <w:p>
      <w:pPr>
        <w:jc w:val="center"/>
        <w:ind w:right="80"/>
        <w:spacing w:after="0"/>
        <w:rPr>
          <w:sz w:val="20"/>
          <w:szCs w:val="20"/>
          <w:color w:val="auto"/>
        </w:rPr>
      </w:pPr>
      <w:r>
        <w:rPr>
          <w:rFonts w:ascii="Arial" w:cs="Arial" w:eastAsia="Arial" w:hAnsi="Arial"/>
          <w:sz w:val="16"/>
          <w:szCs w:val="16"/>
          <w:color w:val="auto"/>
        </w:rPr>
        <w:t>(State or other Jurisdiction of</w:t>
      </w:r>
    </w:p>
    <w:p>
      <w:pPr>
        <w:spacing w:after="0" w:line="20" w:lineRule="exact"/>
        <w:rPr>
          <w:sz w:val="24"/>
          <w:szCs w:val="24"/>
          <w:color w:val="auto"/>
        </w:rPr>
      </w:pPr>
      <w:r>
        <w:rPr>
          <w:sz w:val="24"/>
          <w:szCs w:val="24"/>
          <w:color w:val="auto"/>
        </w:rPr>
        <w:br w:type="column"/>
      </w:r>
    </w:p>
    <w:p>
      <w:pPr>
        <w:spacing w:after="0" w:line="158" w:lineRule="exact"/>
        <w:rPr>
          <w:sz w:val="24"/>
          <w:szCs w:val="24"/>
          <w:color w:val="auto"/>
        </w:rPr>
      </w:pPr>
    </w:p>
    <w:p>
      <w:pPr>
        <w:jc w:val="center"/>
        <w:ind w:right="480"/>
        <w:spacing w:after="0"/>
        <w:rPr>
          <w:sz w:val="20"/>
          <w:szCs w:val="20"/>
          <w:color w:val="auto"/>
        </w:rPr>
      </w:pPr>
      <w:r>
        <w:rPr>
          <w:rFonts w:ascii="Arial" w:cs="Arial" w:eastAsia="Arial" w:hAnsi="Arial"/>
          <w:sz w:val="18"/>
          <w:szCs w:val="18"/>
          <w:b w:val="1"/>
          <w:bCs w:val="1"/>
          <w:color w:val="auto"/>
        </w:rPr>
        <w:t>001-34211</w:t>
      </w:r>
    </w:p>
    <w:p>
      <w:pPr>
        <w:spacing w:after="0" w:line="27" w:lineRule="exact"/>
        <w:rPr>
          <w:sz w:val="24"/>
          <w:szCs w:val="24"/>
          <w:color w:val="auto"/>
        </w:rPr>
      </w:pPr>
    </w:p>
    <w:p>
      <w:pPr>
        <w:jc w:val="center"/>
        <w:ind w:right="480"/>
        <w:spacing w:after="0"/>
        <w:rPr>
          <w:sz w:val="20"/>
          <w:szCs w:val="20"/>
          <w:color w:val="auto"/>
        </w:rPr>
      </w:pPr>
      <w:r>
        <w:rPr>
          <w:rFonts w:ascii="Arial" w:cs="Arial" w:eastAsia="Arial" w:hAnsi="Arial"/>
          <w:sz w:val="16"/>
          <w:szCs w:val="16"/>
          <w:color w:val="auto"/>
        </w:rPr>
        <w:t>(Commission File Number)</w:t>
      </w:r>
    </w:p>
    <w:p>
      <w:pPr>
        <w:spacing w:after="0" w:line="20" w:lineRule="exact"/>
        <w:rPr>
          <w:sz w:val="24"/>
          <w:szCs w:val="24"/>
          <w:color w:val="auto"/>
        </w:rPr>
      </w:pPr>
      <w:r>
        <w:rPr>
          <w:sz w:val="24"/>
          <w:szCs w:val="24"/>
          <w:color w:val="auto"/>
        </w:rPr>
        <w:br w:type="column"/>
      </w:r>
    </w:p>
    <w:p>
      <w:pPr>
        <w:spacing w:after="0" w:line="158" w:lineRule="exact"/>
        <w:rPr>
          <w:sz w:val="24"/>
          <w:szCs w:val="24"/>
          <w:color w:val="auto"/>
        </w:rPr>
      </w:pPr>
    </w:p>
    <w:p>
      <w:pPr>
        <w:jc w:val="center"/>
        <w:ind w:right="400"/>
        <w:spacing w:after="0"/>
        <w:rPr>
          <w:sz w:val="20"/>
          <w:szCs w:val="20"/>
          <w:color w:val="auto"/>
        </w:rPr>
      </w:pPr>
      <w:r>
        <w:rPr>
          <w:rFonts w:ascii="Arial" w:cs="Arial" w:eastAsia="Arial" w:hAnsi="Arial"/>
          <w:sz w:val="18"/>
          <w:szCs w:val="18"/>
          <w:b w:val="1"/>
          <w:bCs w:val="1"/>
          <w:color w:val="auto"/>
        </w:rPr>
        <w:t>20-3356009</w:t>
      </w:r>
    </w:p>
    <w:p>
      <w:pPr>
        <w:spacing w:after="0" w:line="27" w:lineRule="exact"/>
        <w:rPr>
          <w:sz w:val="24"/>
          <w:szCs w:val="24"/>
          <w:color w:val="auto"/>
        </w:rPr>
      </w:pPr>
    </w:p>
    <w:p>
      <w:pPr>
        <w:jc w:val="center"/>
        <w:ind w:right="400"/>
        <w:spacing w:after="0"/>
        <w:rPr>
          <w:sz w:val="20"/>
          <w:szCs w:val="20"/>
          <w:color w:val="auto"/>
        </w:rPr>
      </w:pPr>
      <w:r>
        <w:rPr>
          <w:rFonts w:ascii="Arial" w:cs="Arial" w:eastAsia="Arial" w:hAnsi="Arial"/>
          <w:sz w:val="17"/>
          <w:szCs w:val="17"/>
          <w:color w:val="auto"/>
        </w:rPr>
        <w:t>(IRS Employer Identification No.)</w:t>
      </w:r>
    </w:p>
    <w:p>
      <w:pPr>
        <w:spacing w:after="0" w:line="21" w:lineRule="exact"/>
        <w:rPr>
          <w:sz w:val="24"/>
          <w:szCs w:val="24"/>
          <w:color w:val="auto"/>
        </w:rPr>
      </w:pPr>
    </w:p>
    <w:p>
      <w:pPr>
        <w:sectPr>
          <w:pgSz w:w="11900" w:h="16838" w:orient="portrait"/>
          <w:cols w:equalWidth="0" w:num="3">
            <w:col w:w="3120" w:space="720"/>
            <w:col w:w="2480" w:space="720"/>
            <w:col w:w="2880"/>
          </w:cols>
          <w:pgMar w:left="980" w:top="846" w:right="999" w:bottom="1440" w:gutter="0" w:footer="0" w:header="0"/>
          <w:type w:val="continuous"/>
        </w:sectPr>
      </w:pPr>
    </w:p>
    <w:p>
      <w:pPr>
        <w:ind w:left="1000"/>
        <w:spacing w:after="0"/>
        <w:rPr>
          <w:sz w:val="20"/>
          <w:szCs w:val="20"/>
          <w:color w:val="auto"/>
        </w:rPr>
      </w:pPr>
      <w:r>
        <w:rPr>
          <w:rFonts w:ascii="Arial" w:cs="Arial" w:eastAsia="Arial" w:hAnsi="Arial"/>
          <w:sz w:val="18"/>
          <w:szCs w:val="18"/>
          <w:color w:val="auto"/>
        </w:rPr>
        <w:t>Incorporation)</w:t>
      </w:r>
    </w:p>
    <w:p>
      <w:pPr>
        <w:spacing w:after="0" w:line="234" w:lineRule="exact"/>
        <w:rPr>
          <w:sz w:val="24"/>
          <w:szCs w:val="24"/>
          <w:color w:val="auto"/>
        </w:rPr>
      </w:pPr>
    </w:p>
    <w:p>
      <w:pPr>
        <w:ind w:left="1540"/>
        <w:spacing w:after="0"/>
        <w:rPr>
          <w:sz w:val="20"/>
          <w:szCs w:val="20"/>
          <w:color w:val="auto"/>
        </w:rPr>
      </w:pPr>
      <w:r>
        <w:rPr>
          <w:rFonts w:ascii="Arial" w:cs="Arial" w:eastAsia="Arial" w:hAnsi="Arial"/>
          <w:sz w:val="18"/>
          <w:szCs w:val="18"/>
          <w:b w:val="1"/>
          <w:bCs w:val="1"/>
          <w:color w:val="auto"/>
        </w:rPr>
        <w:t>2600 W. Camelback Road</w:t>
      </w:r>
    </w:p>
    <w:p>
      <w:pPr>
        <w:spacing w:after="0" w:line="27" w:lineRule="exact"/>
        <w:rPr>
          <w:sz w:val="24"/>
          <w:szCs w:val="24"/>
          <w:color w:val="auto"/>
        </w:rPr>
      </w:pPr>
    </w:p>
    <w:p>
      <w:pPr>
        <w:ind w:left="1880"/>
        <w:spacing w:after="0"/>
        <w:tabs>
          <w:tab w:leader="none" w:pos="7260" w:val="left"/>
        </w:tabs>
        <w:rPr>
          <w:sz w:val="20"/>
          <w:szCs w:val="20"/>
          <w:color w:val="auto"/>
        </w:rPr>
      </w:pPr>
      <w:r>
        <w:rPr>
          <w:rFonts w:ascii="Arial" w:cs="Arial" w:eastAsia="Arial" w:hAnsi="Arial"/>
          <w:sz w:val="18"/>
          <w:szCs w:val="18"/>
          <w:b w:val="1"/>
          <w:bCs w:val="1"/>
          <w:color w:val="auto"/>
        </w:rPr>
        <w:t>Phoenix, Arizona</w:t>
      </w:r>
      <w:r>
        <w:rPr>
          <w:sz w:val="20"/>
          <w:szCs w:val="20"/>
          <w:color w:val="auto"/>
        </w:rPr>
        <w:tab/>
      </w:r>
      <w:r>
        <w:rPr>
          <w:rFonts w:ascii="Arial" w:cs="Arial" w:eastAsia="Arial" w:hAnsi="Arial"/>
          <w:sz w:val="15"/>
          <w:szCs w:val="15"/>
          <w:b w:val="1"/>
          <w:bCs w:val="1"/>
          <w:color w:val="auto"/>
        </w:rPr>
        <w:t>85017</w:t>
      </w:r>
    </w:p>
    <w:p>
      <w:pPr>
        <w:spacing w:after="0" w:line="9" w:lineRule="exact"/>
        <w:rPr>
          <w:sz w:val="24"/>
          <w:szCs w:val="24"/>
          <w:color w:val="auto"/>
        </w:rPr>
      </w:pPr>
    </w:p>
    <w:p>
      <w:pPr>
        <w:ind w:left="1080"/>
        <w:spacing w:after="0"/>
        <w:tabs>
          <w:tab w:leader="none" w:pos="7080" w:val="left"/>
        </w:tabs>
        <w:rPr>
          <w:sz w:val="20"/>
          <w:szCs w:val="20"/>
          <w:color w:val="auto"/>
        </w:rPr>
      </w:pPr>
      <w:r>
        <w:rPr>
          <w:rFonts w:ascii="Arial" w:cs="Arial" w:eastAsia="Arial" w:hAnsi="Arial"/>
          <w:sz w:val="18"/>
          <w:szCs w:val="18"/>
          <w:color w:val="auto"/>
        </w:rPr>
        <w:t>(Address of Principal Executive Offices)</w:t>
      </w:r>
      <w:r>
        <w:rPr>
          <w:sz w:val="20"/>
          <w:szCs w:val="20"/>
          <w:color w:val="auto"/>
        </w:rPr>
        <w:tab/>
      </w:r>
      <w:r>
        <w:rPr>
          <w:rFonts w:ascii="Arial" w:cs="Arial" w:eastAsia="Arial" w:hAnsi="Arial"/>
          <w:sz w:val="16"/>
          <w:szCs w:val="16"/>
          <w:color w:val="auto"/>
        </w:rPr>
        <w:t>(Zip Code)</w:t>
      </w:r>
    </w:p>
    <w:p>
      <w:pPr>
        <w:sectPr>
          <w:pgSz w:w="11900" w:h="16838" w:orient="portrait"/>
          <w:cols w:equalWidth="0" w:num="1">
            <w:col w:w="9920"/>
          </w:cols>
          <w:pgMar w:left="980" w:top="846" w:right="999" w:bottom="1440" w:gutter="0" w:footer="0" w:header="0"/>
          <w:type w:val="continuous"/>
        </w:sectPr>
      </w:pP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 xml:space="preserve">Registrant’s telephone number, including area code: </w:t>
      </w:r>
      <w:r>
        <w:rPr>
          <w:rFonts w:ascii="Arial" w:cs="Arial" w:eastAsia="Arial" w:hAnsi="Arial"/>
          <w:sz w:val="18"/>
          <w:szCs w:val="18"/>
          <w:b w:val="1"/>
          <w:bCs w:val="1"/>
          <w:color w:val="auto"/>
        </w:rPr>
        <w:t>(602) 247-4400</w:t>
      </w:r>
    </w:p>
    <w:p>
      <w:pPr>
        <w:spacing w:after="0" w:line="200" w:lineRule="exact"/>
        <w:rPr>
          <w:sz w:val="24"/>
          <w:szCs w:val="24"/>
          <w:color w:val="auto"/>
        </w:rPr>
      </w:pPr>
    </w:p>
    <w:p>
      <w:pPr>
        <w:spacing w:after="0" w:line="245"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1428750</wp:posOffset>
            </wp:positionH>
            <wp:positionV relativeFrom="paragraph">
              <wp:posOffset>-130175</wp:posOffset>
            </wp:positionV>
            <wp:extent cx="345440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454400" cy="8255"/>
                    </a:xfrm>
                    <a:prstGeom prst="rect">
                      <a:avLst/>
                    </a:prstGeom>
                    <a:noFill/>
                  </pic:spPr>
                </pic:pic>
              </a:graphicData>
            </a:graphic>
          </wp:anchor>
        </w:drawing>
      </w:r>
    </w:p>
    <w:p>
      <w:pPr>
        <w:spacing w:after="0" w:line="205" w:lineRule="exact"/>
        <w:rPr>
          <w:sz w:val="24"/>
          <w:szCs w:val="24"/>
          <w:color w:val="auto"/>
        </w:rPr>
      </w:pPr>
    </w:p>
    <w:p>
      <w:pPr>
        <w:ind w:right="2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right="1660" w:firstLine="8"/>
        <w:spacing w:after="0" w:line="509" w:lineRule="auto"/>
        <w:tabs>
          <w:tab w:leader="none" w:pos="207"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 Securities registered pursuant to Section 12(b) of the Act:</w:t>
      </w:r>
    </w:p>
    <w:tbl>
      <w:tblPr>
        <w:tblLayout w:type="fixed"/>
        <w:tblInd w:w="10" w:type="dxa"/>
        <w:tblCellMar>
          <w:top w:w="0" w:type="dxa"/>
          <w:left w:w="0" w:type="dxa"/>
          <w:bottom w:w="0" w:type="dxa"/>
          <w:right w:w="0" w:type="dxa"/>
        </w:tblCellMar>
      </w:tblPr>
      <w:tr>
        <w:trPr>
          <w:trHeight w:val="210"/>
        </w:trPr>
        <w:tc>
          <w:tcPr>
            <w:tcW w:w="3520" w:type="dxa"/>
            <w:vAlign w:val="bottom"/>
            <w:tcBorders>
              <w:top w:val="single" w:sz="8" w:color="auto"/>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7"/>
              </w:rPr>
              <w:t>Title of each class</w:t>
            </w:r>
          </w:p>
        </w:tc>
        <w:tc>
          <w:tcPr>
            <w:tcW w:w="274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Trading Symbol(s)</w:t>
            </w:r>
          </w:p>
        </w:tc>
        <w:tc>
          <w:tcPr>
            <w:tcW w:w="366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7"/>
              </w:rPr>
              <w:t>Name of each exchange on which registered</w:t>
            </w:r>
          </w:p>
        </w:tc>
      </w:tr>
      <w:tr>
        <w:trPr>
          <w:trHeight w:val="209"/>
        </w:trPr>
        <w:tc>
          <w:tcPr>
            <w:tcW w:w="352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Common Stock</w:t>
            </w:r>
          </w:p>
        </w:tc>
        <w:tc>
          <w:tcPr>
            <w:tcW w:w="27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5"/>
              </w:rPr>
              <w:t>LOPE</w:t>
            </w:r>
          </w:p>
        </w:tc>
        <w:tc>
          <w:tcPr>
            <w:tcW w:w="36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Nasdaq Global Select Market</w:t>
            </w:r>
          </w:p>
        </w:tc>
      </w:tr>
    </w:tbl>
    <w:p>
      <w:pPr>
        <w:spacing w:after="0" w:line="200" w:lineRule="exact"/>
        <w:rPr>
          <w:sz w:val="24"/>
          <w:szCs w:val="24"/>
          <w:color w:val="auto"/>
        </w:rPr>
      </w:pPr>
    </w:p>
    <w:p>
      <w:pPr>
        <w:spacing w:after="0" w:line="218" w:lineRule="exact"/>
        <w:rPr>
          <w:sz w:val="24"/>
          <w:szCs w:val="24"/>
          <w:color w:val="auto"/>
        </w:rPr>
      </w:pPr>
    </w:p>
    <w:p>
      <w:pPr>
        <w:ind w:right="220" w:firstLine="648"/>
        <w:spacing w:after="0" w:line="308" w:lineRule="auto"/>
        <w:rPr>
          <w:sz w:val="20"/>
          <w:szCs w:val="20"/>
          <w:color w:val="auto"/>
        </w:rPr>
      </w:pPr>
      <w:r>
        <w:rPr>
          <w:rFonts w:ascii="Arial" w:cs="Arial" w:eastAsia="Arial" w:hAnsi="Arial"/>
          <w:sz w:val="17"/>
          <w:szCs w:val="17"/>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14"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ind w:right="20" w:firstLine="648"/>
        <w:spacing w:after="0" w:line="234" w:lineRule="exact"/>
        <w:rPr>
          <w:sz w:val="20"/>
          <w:szCs w:val="20"/>
          <w:color w:val="auto"/>
        </w:rPr>
      </w:pPr>
      <w:r>
        <w:rPr>
          <w:rFonts w:ascii="Arial" w:cs="Arial" w:eastAsia="Arial" w:hAnsi="Arial"/>
          <w:sz w:val="16"/>
          <w:szCs w:val="16"/>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5715</wp:posOffset>
            </wp:positionH>
            <wp:positionV relativeFrom="paragraph">
              <wp:posOffset>1118870</wp:posOffset>
            </wp:positionV>
            <wp:extent cx="6292215" cy="254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292215" cy="25400"/>
                    </a:xfrm>
                    <a:prstGeom prst="rect">
                      <a:avLst/>
                    </a:prstGeom>
                    <a:noFill/>
                  </pic:spPr>
                </pic:pic>
              </a:graphicData>
            </a:graphic>
          </wp:anchor>
        </w:drawing>
        <w:drawing>
          <wp:anchor simplePos="0" relativeHeight="251657728" behindDoc="1" locked="0" layoutInCell="0" allowOverlap="1">
            <wp:simplePos x="0" y="0"/>
            <wp:positionH relativeFrom="column">
              <wp:posOffset>5715</wp:posOffset>
            </wp:positionH>
            <wp:positionV relativeFrom="paragraph">
              <wp:posOffset>570230</wp:posOffset>
            </wp:positionV>
            <wp:extent cx="629221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292215" cy="8890"/>
                    </a:xfrm>
                    <a:prstGeom prst="rect">
                      <a:avLst/>
                    </a:prstGeom>
                    <a:noFill/>
                  </pic:spPr>
                </pic:pic>
              </a:graphicData>
            </a:graphic>
          </wp:anchor>
        </w:drawing>
        <w:drawing>
          <wp:anchor simplePos="0" relativeHeight="251657728" behindDoc="1" locked="0" layoutInCell="0" allowOverlap="1">
            <wp:simplePos x="0" y="0"/>
            <wp:positionH relativeFrom="column">
              <wp:posOffset>5715</wp:posOffset>
            </wp:positionH>
            <wp:positionV relativeFrom="paragraph">
              <wp:posOffset>604520</wp:posOffset>
            </wp:positionV>
            <wp:extent cx="6292215" cy="342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292215" cy="34290"/>
                    </a:xfrm>
                    <a:prstGeom prst="rect">
                      <a:avLst/>
                    </a:prstGeom>
                    <a:noFill/>
                  </pic:spPr>
                </pic:pic>
              </a:graphicData>
            </a:graphic>
          </wp:anchor>
        </w:drawing>
      </w:r>
    </w:p>
    <w:p>
      <w:pPr>
        <w:sectPr>
          <w:pgSz w:w="11900" w:h="16838" w:orient="portrait"/>
          <w:cols w:equalWidth="0" w:num="1">
            <w:col w:w="9920"/>
          </w:cols>
          <w:pgMar w:left="980" w:top="846" w:right="999" w:bottom="1440" w:gutter="0" w:footer="0" w:header="0"/>
          <w:type w:val="continuous"/>
        </w:sectPr>
      </w:pPr>
    </w:p>
    <w:bookmarkStart w:id="1" w:name="page2"/>
    <w:bookmarkEnd w:id="1"/>
    <w:p>
      <w:pPr>
        <w:spacing w:after="0"/>
        <w:rPr>
          <w:sz w:val="20"/>
          <w:szCs w:val="20"/>
          <w:color w:val="auto"/>
        </w:rPr>
      </w:pPr>
      <w:r>
        <w:rPr>
          <w:rFonts w:ascii="Arial" w:cs="Arial" w:eastAsia="Arial" w:hAnsi="Arial"/>
          <w:sz w:val="18"/>
          <w:szCs w:val="18"/>
          <w:b w:val="1"/>
          <w:bCs w:val="1"/>
          <w:color w:val="auto"/>
        </w:rPr>
        <w:t xml:space="preserve">Item 2.02. </w:t>
      </w:r>
      <w:r>
        <w:rPr>
          <w:rFonts w:ascii="Arial" w:cs="Arial" w:eastAsia="Arial" w:hAnsi="Arial"/>
          <w:sz w:val="18"/>
          <w:szCs w:val="18"/>
          <w:b w:val="1"/>
          <w:bCs w:val="1"/>
          <w:u w:val="single" w:color="auto"/>
          <w:color w:val="auto"/>
        </w:rPr>
        <w:t>Results of Operations and Financial Condition</w:t>
      </w:r>
      <w:r>
        <w:rPr>
          <w:rFonts w:ascii="Arial" w:cs="Arial" w:eastAsia="Arial" w:hAnsi="Arial"/>
          <w:sz w:val="18"/>
          <w:szCs w:val="18"/>
          <w:b w:val="1"/>
          <w:bCs w:val="1"/>
          <w:color w:val="auto"/>
        </w:rPr>
        <w:t>.</w:t>
      </w:r>
    </w:p>
    <w:p>
      <w:pPr>
        <w:spacing w:after="0" w:line="229"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On May 5, 2021, the Company reported its results for the first quarter of 2021. The press release dated May 5, 2021 is furnished as Exhibit 99.1 to this report.</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9.01. </w:t>
      </w:r>
      <w:r>
        <w:rPr>
          <w:rFonts w:ascii="Arial" w:cs="Arial" w:eastAsia="Arial" w:hAnsi="Arial"/>
          <w:sz w:val="18"/>
          <w:szCs w:val="18"/>
          <w:b w:val="1"/>
          <w:bCs w:val="1"/>
          <w:u w:val="single" w:color="auto"/>
          <w:color w:val="auto"/>
        </w:rPr>
        <w:t>Consolidated Financial Statements and Exhibits</w:t>
      </w:r>
      <w:r>
        <w:rPr>
          <w:rFonts w:ascii="Arial" w:cs="Arial" w:eastAsia="Arial" w:hAnsi="Arial"/>
          <w:sz w:val="18"/>
          <w:szCs w:val="18"/>
          <w:b w:val="1"/>
          <w:bCs w:val="1"/>
          <w:color w:val="auto"/>
        </w:rPr>
        <w:t>.</w:t>
      </w:r>
    </w:p>
    <w:p>
      <w:pPr>
        <w:spacing w:after="0" w:line="229" w:lineRule="exact"/>
        <w:rPr>
          <w:sz w:val="20"/>
          <w:szCs w:val="20"/>
          <w:color w:val="auto"/>
        </w:rPr>
      </w:pPr>
    </w:p>
    <w:p>
      <w:pPr>
        <w:spacing w:after="0"/>
        <w:tabs>
          <w:tab w:leader="none" w:pos="620" w:val="left"/>
        </w:tabs>
        <w:rPr>
          <w:sz w:val="20"/>
          <w:szCs w:val="20"/>
          <w:color w:val="auto"/>
        </w:rPr>
      </w:pPr>
      <w:r>
        <w:rPr>
          <w:rFonts w:ascii="Arial" w:cs="Arial" w:eastAsia="Arial" w:hAnsi="Arial"/>
          <w:sz w:val="18"/>
          <w:szCs w:val="18"/>
          <w:color w:val="auto"/>
        </w:rPr>
        <w:t>99.1</w:t>
      </w:r>
      <w:r>
        <w:rPr>
          <w:sz w:val="20"/>
          <w:szCs w:val="20"/>
          <w:color w:val="auto"/>
        </w:rPr>
        <w:tab/>
      </w:r>
      <w:r>
        <w:rPr>
          <w:rFonts w:ascii="Arial" w:cs="Arial" w:eastAsia="Arial" w:hAnsi="Arial"/>
          <w:sz w:val="15"/>
          <w:szCs w:val="15"/>
          <w:color w:val="auto"/>
        </w:rPr>
        <w:t>Press Release dated May 5, 2021</w:t>
      </w:r>
    </w:p>
    <w:p>
      <w:pPr>
        <w:spacing w:after="0" w:line="23"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104</w:t>
      </w:r>
      <w:r>
        <w:rPr>
          <w:sz w:val="20"/>
          <w:szCs w:val="20"/>
          <w:color w:val="auto"/>
        </w:rPr>
        <w:tab/>
      </w:r>
      <w:r>
        <w:rPr>
          <w:rFonts w:ascii="Arial" w:cs="Arial" w:eastAsia="Arial" w:hAnsi="Arial"/>
          <w:sz w:val="18"/>
          <w:szCs w:val="18"/>
          <w:color w:val="auto"/>
        </w:rPr>
        <w:t>Cover Page Interactive Date File (imbedded within the XBRL document)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485775</wp:posOffset>
            </wp:positionV>
            <wp:extent cx="6292215" cy="260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292215" cy="26035"/>
                    </a:xfrm>
                    <a:prstGeom prst="rect">
                      <a:avLst/>
                    </a:prstGeom>
                    <a:noFill/>
                  </pic:spPr>
                </pic:pic>
              </a:graphicData>
            </a:graphic>
          </wp:anchor>
        </w:drawing>
      </w:r>
    </w:p>
    <w:p>
      <w:pPr>
        <w:sectPr>
          <w:pgSz w:w="11900" w:h="16838" w:orient="portrait"/>
          <w:cols w:equalWidth="0" w:num="1">
            <w:col w:w="9920"/>
          </w:cols>
          <w:pgMar w:left="980" w:top="121" w:right="999" w:bottom="144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230"/>
        </w:trPr>
        <w:tc>
          <w:tcPr>
            <w:tcW w:w="4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380" w:type="dxa"/>
            <w:vAlign w:val="bottom"/>
          </w:tcPr>
          <w:p>
            <w:pPr>
              <w:spacing w:after="0"/>
              <w:rPr>
                <w:sz w:val="20"/>
                <w:szCs w:val="20"/>
                <w:color w:val="auto"/>
              </w:rPr>
            </w:pPr>
          </w:p>
        </w:tc>
        <w:tc>
          <w:tcPr>
            <w:tcW w:w="6320" w:type="dxa"/>
            <w:vAlign w:val="bottom"/>
            <w:gridSpan w:val="2"/>
          </w:tcPr>
          <w:p>
            <w:pPr>
              <w:ind w:left="700"/>
              <w:spacing w:after="0"/>
              <w:rPr>
                <w:sz w:val="20"/>
                <w:szCs w:val="20"/>
                <w:color w:val="auto"/>
              </w:rPr>
            </w:pPr>
            <w:r>
              <w:rPr>
                <w:rFonts w:ascii="Arial" w:cs="Arial" w:eastAsia="Arial" w:hAnsi="Arial"/>
                <w:sz w:val="18"/>
                <w:szCs w:val="18"/>
                <w:color w:val="auto"/>
              </w:rPr>
              <w:t>EXHIBIT INDEX</w:t>
            </w:r>
          </w:p>
        </w:tc>
      </w:tr>
      <w:tr>
        <w:trPr>
          <w:trHeight w:val="378"/>
        </w:trPr>
        <w:tc>
          <w:tcPr>
            <w:tcW w:w="960" w:type="dxa"/>
            <w:vAlign w:val="bottom"/>
            <w:gridSpan w:val="2"/>
          </w:tcPr>
          <w:p>
            <w:pPr>
              <w:ind w:left="20"/>
              <w:spacing w:after="0"/>
              <w:rPr>
                <w:sz w:val="20"/>
                <w:szCs w:val="20"/>
                <w:color w:val="auto"/>
              </w:rPr>
            </w:pPr>
            <w:r>
              <w:rPr>
                <w:rFonts w:ascii="Arial" w:cs="Arial" w:eastAsia="Arial" w:hAnsi="Arial"/>
                <w:sz w:val="14"/>
                <w:szCs w:val="14"/>
                <w:b w:val="1"/>
                <w:bCs w:val="1"/>
                <w:color w:val="auto"/>
              </w:rPr>
              <w:t>Exhibit No.</w:t>
            </w:r>
          </w:p>
        </w:tc>
        <w:tc>
          <w:tcPr>
            <w:tcW w:w="260" w:type="dxa"/>
            <w:vAlign w:val="bottom"/>
          </w:tcPr>
          <w:p>
            <w:pPr>
              <w:spacing w:after="0"/>
              <w:rPr>
                <w:sz w:val="24"/>
                <w:szCs w:val="24"/>
                <w:color w:val="auto"/>
              </w:rPr>
            </w:pPr>
          </w:p>
        </w:tc>
        <w:tc>
          <w:tcPr>
            <w:tcW w:w="2380" w:type="dxa"/>
            <w:vAlign w:val="bottom"/>
          </w:tcPr>
          <w:p>
            <w:pPr>
              <w:spacing w:after="0"/>
              <w:rPr>
                <w:sz w:val="24"/>
                <w:szCs w:val="24"/>
                <w:color w:val="auto"/>
              </w:rPr>
            </w:pPr>
          </w:p>
        </w:tc>
        <w:tc>
          <w:tcPr>
            <w:tcW w:w="6320" w:type="dxa"/>
            <w:vAlign w:val="bottom"/>
            <w:gridSpan w:val="2"/>
          </w:tcPr>
          <w:p>
            <w:pPr>
              <w:ind w:left="1600"/>
              <w:spacing w:after="0"/>
              <w:rPr>
                <w:sz w:val="20"/>
                <w:szCs w:val="20"/>
                <w:color w:val="auto"/>
              </w:rPr>
            </w:pPr>
            <w:r>
              <w:rPr>
                <w:rFonts w:ascii="Arial" w:cs="Arial" w:eastAsia="Arial" w:hAnsi="Arial"/>
                <w:sz w:val="14"/>
                <w:szCs w:val="14"/>
                <w:b w:val="1"/>
                <w:bCs w:val="1"/>
                <w:color w:val="auto"/>
              </w:rPr>
              <w:t>Description</w:t>
            </w:r>
          </w:p>
        </w:tc>
      </w:tr>
      <w:tr>
        <w:trPr>
          <w:trHeight w:val="20"/>
        </w:trPr>
        <w:tc>
          <w:tcPr>
            <w:tcW w:w="40" w:type="dxa"/>
            <w:vAlign w:val="bottom"/>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380" w:type="dxa"/>
            <w:vAlign w:val="bottom"/>
            <w:shd w:val="clear" w:color="auto" w:fill="000000"/>
          </w:tcPr>
          <w:p>
            <w:pPr>
              <w:spacing w:after="0" w:line="20" w:lineRule="exact"/>
              <w:rPr>
                <w:sz w:val="1"/>
                <w:szCs w:val="1"/>
                <w:color w:val="auto"/>
              </w:rPr>
            </w:pPr>
          </w:p>
        </w:tc>
        <w:tc>
          <w:tcPr>
            <w:tcW w:w="630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85"/>
        </w:trPr>
        <w:tc>
          <w:tcPr>
            <w:tcW w:w="960" w:type="dxa"/>
            <w:vAlign w:val="bottom"/>
            <w:gridSpan w:val="2"/>
          </w:tcPr>
          <w:p>
            <w:pPr>
              <w:ind w:left="20"/>
              <w:spacing w:after="0"/>
              <w:rPr>
                <w:sz w:val="20"/>
                <w:szCs w:val="20"/>
                <w:color w:val="auto"/>
              </w:rPr>
            </w:pPr>
            <w:r>
              <w:rPr>
                <w:rFonts w:ascii="Arial" w:cs="Arial" w:eastAsia="Arial" w:hAnsi="Arial"/>
                <w:sz w:val="18"/>
                <w:szCs w:val="18"/>
                <w:color w:val="auto"/>
              </w:rPr>
              <w:t>99.1</w:t>
            </w:r>
          </w:p>
        </w:tc>
        <w:tc>
          <w:tcPr>
            <w:tcW w:w="260" w:type="dxa"/>
            <w:vAlign w:val="bottom"/>
          </w:tcPr>
          <w:p>
            <w:pPr>
              <w:spacing w:after="0"/>
              <w:rPr>
                <w:sz w:val="24"/>
                <w:szCs w:val="24"/>
                <w:color w:val="auto"/>
              </w:rPr>
            </w:pPr>
          </w:p>
        </w:tc>
        <w:tc>
          <w:tcPr>
            <w:tcW w:w="2380" w:type="dxa"/>
            <w:vAlign w:val="bottom"/>
            <w:tcBorders>
              <w:bottom w:val="single" w:sz="8" w:color="0000EE"/>
            </w:tcBorders>
          </w:tcPr>
          <w:p>
            <w:pPr>
              <w:spacing w:after="0"/>
              <w:rPr>
                <w:rFonts w:ascii="Arial" w:cs="Arial" w:eastAsia="Arial" w:hAnsi="Arial"/>
                <w:sz w:val="18"/>
                <w:szCs w:val="18"/>
                <w:color w:val="0000EE"/>
                <w:w w:val="87"/>
              </w:rPr>
            </w:pPr>
            <w:hyperlink w:anchor="page5">
              <w:r>
                <w:rPr>
                  <w:rFonts w:ascii="Arial" w:cs="Arial" w:eastAsia="Arial" w:hAnsi="Arial"/>
                  <w:sz w:val="18"/>
                  <w:szCs w:val="18"/>
                  <w:color w:val="0000EE"/>
                  <w:w w:val="87"/>
                </w:rPr>
                <w:t>Press Release dated May 5, 2021</w:t>
              </w:r>
            </w:hyperlink>
          </w:p>
        </w:tc>
        <w:tc>
          <w:tcPr>
            <w:tcW w:w="6320" w:type="dxa"/>
            <w:vAlign w:val="bottom"/>
            <w:gridSpan w:val="2"/>
          </w:tcPr>
          <w:p>
            <w:pPr>
              <w:spacing w:after="0"/>
              <w:rPr>
                <w:sz w:val="24"/>
                <w:szCs w:val="24"/>
                <w:color w:val="auto"/>
              </w:rPr>
            </w:pPr>
          </w:p>
        </w:tc>
      </w:tr>
      <w:tr>
        <w:trPr>
          <w:trHeight w:val="237"/>
        </w:trPr>
        <w:tc>
          <w:tcPr>
            <w:tcW w:w="960" w:type="dxa"/>
            <w:vAlign w:val="bottom"/>
            <w:gridSpan w:val="2"/>
          </w:tcPr>
          <w:p>
            <w:pPr>
              <w:ind w:left="20"/>
              <w:spacing w:after="0"/>
              <w:rPr>
                <w:sz w:val="20"/>
                <w:szCs w:val="20"/>
                <w:color w:val="auto"/>
              </w:rPr>
            </w:pPr>
            <w:r>
              <w:rPr>
                <w:rFonts w:ascii="Arial" w:cs="Arial" w:eastAsia="Arial" w:hAnsi="Arial"/>
                <w:sz w:val="18"/>
                <w:szCs w:val="18"/>
                <w:color w:val="auto"/>
              </w:rPr>
              <w:t>104</w:t>
            </w:r>
          </w:p>
        </w:tc>
        <w:tc>
          <w:tcPr>
            <w:tcW w:w="260" w:type="dxa"/>
            <w:vAlign w:val="bottom"/>
          </w:tcPr>
          <w:p>
            <w:pPr>
              <w:spacing w:after="0"/>
              <w:rPr>
                <w:sz w:val="20"/>
                <w:szCs w:val="20"/>
                <w:color w:val="auto"/>
              </w:rPr>
            </w:pPr>
          </w:p>
        </w:tc>
        <w:tc>
          <w:tcPr>
            <w:tcW w:w="8700" w:type="dxa"/>
            <w:vAlign w:val="bottom"/>
            <w:gridSpan w:val="3"/>
          </w:tcPr>
          <w:p>
            <w:pPr>
              <w:spacing w:after="0"/>
              <w:rPr>
                <w:sz w:val="20"/>
                <w:szCs w:val="20"/>
                <w:color w:val="auto"/>
              </w:rPr>
            </w:pPr>
            <w:r>
              <w:rPr>
                <w:rFonts w:ascii="Arial" w:cs="Arial" w:eastAsia="Arial" w:hAnsi="Arial"/>
                <w:sz w:val="18"/>
                <w:szCs w:val="18"/>
                <w:color w:val="auto"/>
              </w:rPr>
              <w:t>Cover Page Interactive Date File (imbedded within the XBRL document)</w:t>
            </w:r>
          </w:p>
        </w:tc>
      </w:tr>
      <w:tr>
        <w:trPr>
          <w:trHeight w:val="993"/>
        </w:trPr>
        <w:tc>
          <w:tcPr>
            <w:tcW w:w="4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2380" w:type="dxa"/>
            <w:vAlign w:val="bottom"/>
            <w:tcBorders>
              <w:bottom w:val="single" w:sz="8" w:color="auto"/>
            </w:tcBorders>
          </w:tcPr>
          <w:p>
            <w:pPr>
              <w:spacing w:after="0"/>
              <w:rPr>
                <w:sz w:val="24"/>
                <w:szCs w:val="24"/>
                <w:color w:val="auto"/>
              </w:rPr>
            </w:pPr>
          </w:p>
        </w:tc>
        <w:tc>
          <w:tcPr>
            <w:tcW w:w="63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r>
    </w:tbl>
    <w:p>
      <w:pPr>
        <w:sectPr>
          <w:pgSz w:w="11900" w:h="16838" w:orient="portrait"/>
          <w:cols w:equalWidth="0" w:num="1">
            <w:col w:w="9920"/>
          </w:cols>
          <w:pgMar w:left="980" w:top="125" w:right="999" w:bottom="1440" w:gutter="0" w:footer="0" w:header="0"/>
        </w:sectPr>
      </w:pPr>
    </w:p>
    <w:bookmarkStart w:id="3" w:name="page4"/>
    <w:bookmarkEnd w:id="3"/>
    <w:p>
      <w:pPr>
        <w:jc w:val="center"/>
        <w:spacing w:after="0"/>
        <w:rPr>
          <w:sz w:val="20"/>
          <w:szCs w:val="20"/>
          <w:color w:val="auto"/>
        </w:rPr>
      </w:pPr>
      <w:r>
        <w:rPr>
          <w:rFonts w:ascii="Arial" w:cs="Arial" w:eastAsia="Arial" w:hAnsi="Arial"/>
          <w:sz w:val="18"/>
          <w:szCs w:val="18"/>
          <w:color w:val="auto"/>
        </w:rPr>
        <w:t>SIGNATURES</w:t>
      </w:r>
    </w:p>
    <w:p>
      <w:pPr>
        <w:spacing w:after="0" w:line="225"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8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120" w:type="dxa"/>
            <w:vAlign w:val="bottom"/>
          </w:tcPr>
          <w:p>
            <w:pPr>
              <w:spacing w:after="0"/>
              <w:rPr>
                <w:sz w:val="20"/>
                <w:szCs w:val="20"/>
                <w:color w:val="auto"/>
              </w:rPr>
            </w:pPr>
          </w:p>
        </w:tc>
        <w:tc>
          <w:tcPr>
            <w:tcW w:w="6800" w:type="dxa"/>
            <w:vAlign w:val="bottom"/>
            <w:gridSpan w:val="2"/>
          </w:tcPr>
          <w:p>
            <w:pPr>
              <w:ind w:left="1740"/>
              <w:spacing w:after="0"/>
              <w:rPr>
                <w:sz w:val="20"/>
                <w:szCs w:val="20"/>
                <w:color w:val="auto"/>
              </w:rPr>
            </w:pPr>
            <w:r>
              <w:rPr>
                <w:rFonts w:ascii="Arial" w:cs="Arial" w:eastAsia="Arial" w:hAnsi="Arial"/>
                <w:sz w:val="18"/>
                <w:szCs w:val="18"/>
                <w:color w:val="auto"/>
              </w:rPr>
              <w:t>GRAND CANYON EDUCATION, INC.</w:t>
            </w:r>
          </w:p>
        </w:tc>
      </w:tr>
      <w:tr>
        <w:trPr>
          <w:trHeight w:val="432"/>
        </w:trPr>
        <w:tc>
          <w:tcPr>
            <w:tcW w:w="3120" w:type="dxa"/>
            <w:vAlign w:val="bottom"/>
          </w:tcPr>
          <w:p>
            <w:pPr>
              <w:spacing w:after="0"/>
              <w:rPr>
                <w:sz w:val="20"/>
                <w:szCs w:val="20"/>
                <w:color w:val="auto"/>
              </w:rPr>
            </w:pPr>
            <w:r>
              <w:rPr>
                <w:rFonts w:ascii="Arial" w:cs="Arial" w:eastAsia="Arial" w:hAnsi="Arial"/>
                <w:sz w:val="18"/>
                <w:szCs w:val="18"/>
                <w:color w:val="auto"/>
              </w:rPr>
              <w:t>Date: May 5, 2021</w:t>
            </w:r>
          </w:p>
        </w:tc>
        <w:tc>
          <w:tcPr>
            <w:tcW w:w="6800" w:type="dxa"/>
            <w:vAlign w:val="bottom"/>
            <w:gridSpan w:val="2"/>
          </w:tcPr>
          <w:p>
            <w:pPr>
              <w:ind w:left="1740"/>
              <w:spacing w:after="0"/>
              <w:rPr>
                <w:sz w:val="20"/>
                <w:szCs w:val="20"/>
                <w:color w:val="auto"/>
              </w:rPr>
            </w:pPr>
            <w:r>
              <w:rPr>
                <w:rFonts w:ascii="Arial" w:cs="Arial" w:eastAsia="Arial" w:hAnsi="Arial"/>
                <w:sz w:val="18"/>
                <w:szCs w:val="18"/>
                <w:color w:val="auto"/>
              </w:rPr>
              <w:t>By: /s/ Daniel E. Bachus</w:t>
            </w:r>
          </w:p>
        </w:tc>
      </w:tr>
      <w:tr>
        <w:trPr>
          <w:trHeight w:val="195"/>
        </w:trPr>
        <w:tc>
          <w:tcPr>
            <w:tcW w:w="3120" w:type="dxa"/>
            <w:vAlign w:val="bottom"/>
          </w:tcPr>
          <w:p>
            <w:pPr>
              <w:spacing w:after="0"/>
              <w:rPr>
                <w:sz w:val="16"/>
                <w:szCs w:val="16"/>
                <w:color w:val="auto"/>
              </w:rPr>
            </w:pPr>
          </w:p>
        </w:tc>
        <w:tc>
          <w:tcPr>
            <w:tcW w:w="2120" w:type="dxa"/>
            <w:vAlign w:val="bottom"/>
          </w:tcPr>
          <w:p>
            <w:pPr>
              <w:spacing w:after="0"/>
              <w:rPr>
                <w:sz w:val="16"/>
                <w:szCs w:val="16"/>
                <w:color w:val="auto"/>
              </w:rPr>
            </w:pPr>
          </w:p>
        </w:tc>
        <w:tc>
          <w:tcPr>
            <w:tcW w:w="468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Daniel E. Bachus</w:t>
            </w:r>
          </w:p>
        </w:tc>
      </w:tr>
      <w:tr>
        <w:trPr>
          <w:trHeight w:val="216"/>
        </w:trPr>
        <w:tc>
          <w:tcPr>
            <w:tcW w:w="3120" w:type="dxa"/>
            <w:vAlign w:val="bottom"/>
          </w:tcPr>
          <w:p>
            <w:pPr>
              <w:spacing w:after="0"/>
              <w:rPr>
                <w:sz w:val="18"/>
                <w:szCs w:val="18"/>
                <w:color w:val="auto"/>
              </w:rPr>
            </w:pPr>
          </w:p>
        </w:tc>
        <w:tc>
          <w:tcPr>
            <w:tcW w:w="2120" w:type="dxa"/>
            <w:vAlign w:val="bottom"/>
          </w:tcPr>
          <w:p>
            <w:pPr>
              <w:spacing w:after="0"/>
              <w:rPr>
                <w:sz w:val="18"/>
                <w:szCs w:val="18"/>
                <w:color w:val="auto"/>
              </w:rPr>
            </w:pPr>
          </w:p>
        </w:tc>
        <w:tc>
          <w:tcPr>
            <w:tcW w:w="4680" w:type="dxa"/>
            <w:vAlign w:val="bottom"/>
          </w:tcPr>
          <w:p>
            <w:pPr>
              <w:spacing w:after="0"/>
              <w:rPr>
                <w:sz w:val="20"/>
                <w:szCs w:val="20"/>
                <w:color w:val="auto"/>
              </w:rPr>
            </w:pPr>
            <w:r>
              <w:rPr>
                <w:rFonts w:ascii="Arial" w:cs="Arial" w:eastAsia="Arial" w:hAnsi="Arial"/>
                <w:sz w:val="18"/>
                <w:szCs w:val="18"/>
                <w:color w:val="auto"/>
              </w:rPr>
              <w:t>Chief Financial Officer</w:t>
            </w:r>
          </w:p>
        </w:tc>
      </w:tr>
      <w:tr>
        <w:trPr>
          <w:trHeight w:val="230"/>
        </w:trPr>
        <w:tc>
          <w:tcPr>
            <w:tcW w:w="3120" w:type="dxa"/>
            <w:vAlign w:val="bottom"/>
          </w:tcPr>
          <w:p>
            <w:pPr>
              <w:spacing w:after="0"/>
              <w:rPr>
                <w:sz w:val="20"/>
                <w:szCs w:val="20"/>
                <w:color w:val="auto"/>
              </w:rPr>
            </w:pPr>
          </w:p>
        </w:tc>
        <w:tc>
          <w:tcPr>
            <w:tcW w:w="2120" w:type="dxa"/>
            <w:vAlign w:val="bottom"/>
          </w:tcPr>
          <w:p>
            <w:pPr>
              <w:spacing w:after="0"/>
              <w:rPr>
                <w:sz w:val="20"/>
                <w:szCs w:val="20"/>
                <w:color w:val="auto"/>
              </w:rPr>
            </w:pPr>
          </w:p>
        </w:tc>
        <w:tc>
          <w:tcPr>
            <w:tcW w:w="4680" w:type="dxa"/>
            <w:vAlign w:val="bottom"/>
          </w:tcPr>
          <w:p>
            <w:pPr>
              <w:spacing w:after="0"/>
              <w:rPr>
                <w:sz w:val="20"/>
                <w:szCs w:val="20"/>
                <w:color w:val="auto"/>
              </w:rPr>
            </w:pPr>
            <w:r>
              <w:rPr>
                <w:rFonts w:ascii="Arial" w:cs="Arial" w:eastAsia="Arial" w:hAnsi="Arial"/>
                <w:sz w:val="18"/>
                <w:szCs w:val="18"/>
                <w:color w:val="auto"/>
              </w:rPr>
              <w:t>(Principal Financial Officer)</w:t>
            </w:r>
          </w:p>
        </w:tc>
      </w:tr>
      <w:tr>
        <w:trPr>
          <w:trHeight w:val="1208"/>
        </w:trPr>
        <w:tc>
          <w:tcPr>
            <w:tcW w:w="3120" w:type="dxa"/>
            <w:vAlign w:val="bottom"/>
            <w:tcBorders>
              <w:bottom w:val="single" w:sz="8" w:color="auto"/>
            </w:tcBorders>
          </w:tcPr>
          <w:p>
            <w:pPr>
              <w:spacing w:after="0"/>
              <w:rPr>
                <w:sz w:val="24"/>
                <w:szCs w:val="24"/>
                <w:color w:val="auto"/>
              </w:rPr>
            </w:pPr>
          </w:p>
        </w:tc>
        <w:tc>
          <w:tcPr>
            <w:tcW w:w="2120" w:type="dxa"/>
            <w:vAlign w:val="bottom"/>
            <w:tcBorders>
              <w:bottom w:val="single" w:sz="8" w:color="auto"/>
            </w:tcBorders>
          </w:tcPr>
          <w:p>
            <w:pPr>
              <w:spacing w:after="0"/>
              <w:rPr>
                <w:sz w:val="24"/>
                <w:szCs w:val="24"/>
                <w:color w:val="auto"/>
              </w:rPr>
            </w:pPr>
          </w:p>
        </w:tc>
        <w:tc>
          <w:tcPr>
            <w:tcW w:w="4680" w:type="dxa"/>
            <w:vAlign w:val="bottom"/>
            <w:tcBorders>
              <w:bottom w:val="single" w:sz="8" w:color="auto"/>
            </w:tcBorders>
          </w:tcPr>
          <w:p>
            <w:pPr>
              <w:spacing w:after="0"/>
              <w:rPr>
                <w:sz w:val="24"/>
                <w:szCs w:val="24"/>
                <w:color w:val="auto"/>
              </w:rPr>
            </w:pPr>
          </w:p>
        </w:tc>
      </w:tr>
    </w:tbl>
    <w:p>
      <w:pPr>
        <w:sectPr>
          <w:pgSz w:w="11900" w:h="16838" w:orient="portrait"/>
          <w:cols w:equalWidth="0" w:num="1">
            <w:col w:w="9920"/>
          </w:cols>
          <w:pgMar w:left="980" w:top="125" w:right="999" w:bottom="1440" w:gutter="0" w:footer="0" w:header="0"/>
        </w:sectPr>
      </w:pPr>
    </w:p>
    <w:bookmarkStart w:id="4" w:name="page5"/>
    <w:bookmarkEnd w:id="4"/>
    <w:p>
      <w:pPr>
        <w:jc w:val="right"/>
        <w:spacing w:after="0"/>
        <w:rPr>
          <w:sz w:val="20"/>
          <w:szCs w:val="20"/>
          <w:color w:val="auto"/>
        </w:rPr>
      </w:pPr>
      <w:r>
        <w:rPr>
          <w:rFonts w:ascii="Arial" w:cs="Arial" w:eastAsia="Arial" w:hAnsi="Arial"/>
          <w:sz w:val="18"/>
          <w:szCs w:val="18"/>
          <w:b w:val="1"/>
          <w:bCs w:val="1"/>
          <w:color w:val="auto"/>
        </w:rPr>
        <w:t>Exhibit 99.1</w:t>
      </w:r>
    </w:p>
    <w:p>
      <w:pPr>
        <w:spacing w:after="0" w:line="225"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NEWS RELEASE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 IMMEDIATE RELEASE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Investor Relations Contact:</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Daniel E. Bachus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Chief Financial Officer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Grand Canyon Education,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602-639-6648</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Dan.bachus@gce.com</w:t>
      </w: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 REPORTS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FIRST QUARTER 2021 RESULTS</w:t>
      </w:r>
    </w:p>
    <w:p>
      <w:pPr>
        <w:spacing w:after="0" w:line="207" w:lineRule="exact"/>
        <w:rPr>
          <w:sz w:val="20"/>
          <w:szCs w:val="20"/>
          <w:color w:val="auto"/>
        </w:rPr>
      </w:pPr>
    </w:p>
    <w:p>
      <w:pPr>
        <w:ind w:right="60"/>
        <w:spacing w:after="0" w:line="258" w:lineRule="auto"/>
        <w:rPr>
          <w:sz w:val="20"/>
          <w:szCs w:val="20"/>
          <w:color w:val="auto"/>
        </w:rPr>
      </w:pPr>
      <w:r>
        <w:rPr>
          <w:rFonts w:ascii="Arial" w:cs="Arial" w:eastAsia="Arial" w:hAnsi="Arial"/>
          <w:sz w:val="18"/>
          <w:szCs w:val="18"/>
          <w:b w:val="1"/>
          <w:bCs w:val="1"/>
          <w:color w:val="auto"/>
        </w:rPr>
        <w:t>PHOENIX, AZ., May 5, 2021</w:t>
      </w:r>
      <w:r>
        <w:rPr>
          <w:rFonts w:ascii="Arial" w:cs="Arial" w:eastAsia="Arial" w:hAnsi="Arial"/>
          <w:sz w:val="18"/>
          <w:szCs w:val="18"/>
          <w:color w:val="auto"/>
        </w:rPr>
        <w:t>—</w:t>
      </w:r>
      <w:r>
        <w:rPr>
          <w:rFonts w:ascii="Arial" w:cs="Arial" w:eastAsia="Arial" w:hAnsi="Arial"/>
          <w:sz w:val="18"/>
          <w:szCs w:val="18"/>
          <w:b w:val="1"/>
          <w:bCs w:val="1"/>
          <w:u w:val="single" w:color="auto"/>
          <w:color w:val="auto"/>
        </w:rPr>
        <w:t>Grand Canyon Education, Inc.</w:t>
      </w:r>
      <w:r>
        <w:rPr>
          <w:rFonts w:ascii="Arial" w:cs="Arial" w:eastAsia="Arial" w:hAnsi="Arial"/>
          <w:sz w:val="18"/>
          <w:szCs w:val="18"/>
          <w:b w:val="1"/>
          <w:bCs w:val="1"/>
          <w:color w:val="auto"/>
        </w:rPr>
        <w:t xml:space="preserve"> </w:t>
      </w:r>
      <w:r>
        <w:rPr>
          <w:rFonts w:ascii="Arial" w:cs="Arial" w:eastAsia="Arial" w:hAnsi="Arial"/>
          <w:sz w:val="18"/>
          <w:szCs w:val="18"/>
          <w:color w:val="auto"/>
        </w:rPr>
        <w:t>(NASDAQ: LOPE), (“GCE” or the “Company”), is a publicly</w:t>
      </w:r>
      <w:r>
        <w:rPr>
          <w:rFonts w:ascii="Arial" w:cs="Arial" w:eastAsia="Arial" w:hAnsi="Arial"/>
          <w:sz w:val="18"/>
          <w:szCs w:val="18"/>
          <w:b w:val="1"/>
          <w:bCs w:val="1"/>
          <w:color w:val="auto"/>
        </w:rPr>
        <w:t xml:space="preserve"> </w:t>
      </w:r>
      <w:r>
        <w:rPr>
          <w:rFonts w:ascii="Arial" w:cs="Arial" w:eastAsia="Arial" w:hAnsi="Arial"/>
          <w:sz w:val="18"/>
          <w:szCs w:val="18"/>
          <w:color w:val="auto"/>
        </w:rPr>
        <w:t>traded education services company that currently provides services to 26 university partners. GCE provides a full array of support services in the post-secondary education sector and has developed significant technological solutions, infrastructure and operational processes to provide superior services in these areas on a large scale. GCE today announced financial results for the quarter ended March 31, 2021.</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(more)</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357505</wp:posOffset>
            </wp:positionV>
            <wp:extent cx="5957570" cy="254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5957570" cy="25400"/>
                    </a:xfrm>
                    <a:prstGeom prst="rect">
                      <a:avLst/>
                    </a:prstGeom>
                    <a:noFill/>
                  </pic:spPr>
                </pic:pic>
              </a:graphicData>
            </a:graphic>
          </wp:anchor>
        </w:drawing>
      </w:r>
    </w:p>
    <w:p>
      <w:pPr>
        <w:sectPr>
          <w:pgSz w:w="11900" w:h="16838" w:orient="portrait"/>
          <w:cols w:equalWidth="0" w:num="1">
            <w:col w:w="9380"/>
          </w:cols>
          <w:pgMar w:left="1260" w:top="121" w:right="1259" w:bottom="1440" w:gutter="0" w:footer="0" w:header="0"/>
        </w:sectPr>
      </w:pPr>
    </w:p>
    <w:bookmarkStart w:id="5" w:name="page6"/>
    <w:bookmarkEnd w:id="5"/>
    <w:p>
      <w:pPr>
        <w:ind w:right="4240"/>
        <w:spacing w:after="0" w:line="454" w:lineRule="auto"/>
        <w:rPr>
          <w:sz w:val="20"/>
          <w:szCs w:val="20"/>
          <w:color w:val="auto"/>
        </w:rPr>
      </w:pPr>
      <w:r>
        <w:rPr>
          <w:rFonts w:ascii="Arial" w:cs="Arial" w:eastAsia="Arial" w:hAnsi="Arial"/>
          <w:sz w:val="18"/>
          <w:szCs w:val="18"/>
          <w:b w:val="1"/>
          <w:bCs w:val="1"/>
          <w:color w:val="auto"/>
        </w:rPr>
        <w:t xml:space="preserve">Grand Canyon Education, Inc. Reports First Quarter 2021 Results </w:t>
      </w:r>
      <w:r>
        <w:rPr>
          <w:rFonts w:ascii="Arial" w:cs="Arial" w:eastAsia="Arial" w:hAnsi="Arial"/>
          <w:sz w:val="18"/>
          <w:szCs w:val="18"/>
          <w:color w:val="auto"/>
        </w:rPr>
        <w:t>For the three months ended March 31, 2021:</w:t>
      </w:r>
    </w:p>
    <w:p>
      <w:pPr>
        <w:spacing w:after="0" w:line="17" w:lineRule="exact"/>
        <w:rPr>
          <w:sz w:val="20"/>
          <w:szCs w:val="20"/>
          <w:color w:val="auto"/>
        </w:rPr>
      </w:pPr>
    </w:p>
    <w:p>
      <w:pPr>
        <w:ind w:left="640" w:right="20" w:hanging="323"/>
        <w:spacing w:after="0" w:line="269" w:lineRule="auto"/>
        <w:tabs>
          <w:tab w:leader="none" w:pos="640" w:val="left"/>
        </w:tabs>
        <w:numPr>
          <w:ilvl w:val="0"/>
          <w:numId w:val="2"/>
        </w:numPr>
        <w:rPr>
          <w:rFonts w:ascii="Arial" w:cs="Arial" w:eastAsia="Arial" w:hAnsi="Arial"/>
          <w:sz w:val="17"/>
          <w:szCs w:val="17"/>
          <w:color w:val="auto"/>
        </w:rPr>
      </w:pPr>
      <w:r>
        <w:rPr>
          <w:rFonts w:ascii="Arial" w:cs="Arial" w:eastAsia="Arial" w:hAnsi="Arial"/>
          <w:sz w:val="17"/>
          <w:szCs w:val="17"/>
          <w:color w:val="auto"/>
        </w:rPr>
        <w:t xml:space="preserve">Service revenue was $236.9 million for the first quarter of 2021 compared to $221.7 million for the first quarter of 2020. The 6.9% increase year over year in service revenue was primarily due to an increase in university partner enrollments between years of 7.2% partially offset by a decrease in revenue per student year over year. The decrease in revenue per student is primarily due to the service revenue impact of the lower room, board, fee and ancillary revenues at Grand Canyon University (“GCU”), our largest university partner, in 2021 and 2020 caused by COVID-19 (see – </w:t>
      </w:r>
      <w:r>
        <w:rPr>
          <w:rFonts w:ascii="Arial" w:cs="Arial" w:eastAsia="Arial" w:hAnsi="Arial"/>
          <w:sz w:val="17"/>
          <w:szCs w:val="17"/>
          <w:i w:val="1"/>
          <w:iCs w:val="1"/>
          <w:color w:val="auto"/>
        </w:rPr>
        <w:t>Impact of</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COVID-19 </w:t>
      </w:r>
      <w:r>
        <w:rPr>
          <w:rFonts w:ascii="Arial" w:cs="Arial" w:eastAsia="Arial" w:hAnsi="Arial"/>
          <w:sz w:val="17"/>
          <w:szCs w:val="17"/>
          <w:color w:val="auto"/>
        </w:rPr>
        <w:t>below). In addition, we generated slightly more revenues in 2020 as compared to 2021 due to 2020 being a</w:t>
      </w:r>
      <w:r>
        <w:rPr>
          <w:rFonts w:ascii="Arial" w:cs="Arial" w:eastAsia="Arial" w:hAnsi="Arial"/>
          <w:sz w:val="17"/>
          <w:szCs w:val="17"/>
          <w:i w:val="1"/>
          <w:iCs w:val="1"/>
          <w:color w:val="auto"/>
        </w:rPr>
        <w:t xml:space="preserve"> </w:t>
      </w:r>
      <w:r>
        <w:rPr>
          <w:rFonts w:ascii="Arial" w:cs="Arial" w:eastAsia="Arial" w:hAnsi="Arial"/>
          <w:sz w:val="17"/>
          <w:szCs w:val="17"/>
          <w:color w:val="auto"/>
        </w:rPr>
        <w:t>Leap Year and we did not renew a contract with a university partner with two sites in the first quarter of 2021. This was partially offset by the fact that our service agreements with our other university partners generally generate a higher revenue per student than our agreement with GCU. This higher revenue is due to our service agreements with other partners generally provide us with a higher revenue share percentage, the partners have higher tuition rates than GCU and the majority of their students are studying in the Accelerated Bachelor of Science in Nursing program so these students take more credits on average per semester.</w:t>
      </w:r>
    </w:p>
    <w:p>
      <w:pPr>
        <w:spacing w:after="0" w:line="178" w:lineRule="exact"/>
        <w:rPr>
          <w:rFonts w:ascii="Arial" w:cs="Arial" w:eastAsia="Arial" w:hAnsi="Arial"/>
          <w:sz w:val="17"/>
          <w:szCs w:val="17"/>
          <w:color w:val="auto"/>
        </w:rPr>
      </w:pPr>
    </w:p>
    <w:p>
      <w:pPr>
        <w:ind w:left="640" w:right="40" w:hanging="323"/>
        <w:spacing w:after="0" w:line="255" w:lineRule="auto"/>
        <w:tabs>
          <w:tab w:leader="none" w:pos="640" w:val="left"/>
        </w:tabs>
        <w:numPr>
          <w:ilvl w:val="0"/>
          <w:numId w:val="2"/>
        </w:numPr>
        <w:rPr>
          <w:rFonts w:ascii="Arial" w:cs="Arial" w:eastAsia="Arial" w:hAnsi="Arial"/>
          <w:sz w:val="18"/>
          <w:szCs w:val="18"/>
          <w:color w:val="auto"/>
        </w:rPr>
      </w:pPr>
      <w:r>
        <w:rPr>
          <w:rFonts w:ascii="Arial" w:cs="Arial" w:eastAsia="Arial" w:hAnsi="Arial"/>
          <w:sz w:val="18"/>
          <w:szCs w:val="18"/>
          <w:color w:val="auto"/>
        </w:rPr>
        <w:t>Partner enrollments grew 7.2% and totaled 115,390 at March 31, 2021 as compared to 107,591 at March 31, 2020. Enrollments at GCU grew to 111,055 at March 31, 2021, an increase of 7.2% over enrollments at March 31, 2020, while enrollments at our other university partners were 4,335, an increase of 8.4% over enrollments at March 31, 2020. Excluded from other university partner enrollments at March 31, 2021 are enrollments from a university partner in which we and the university partner mutually agreed that the service agreement would not be extended upon its expiration.</w:t>
      </w:r>
    </w:p>
    <w:p>
      <w:pPr>
        <w:spacing w:after="0" w:line="192" w:lineRule="exact"/>
        <w:rPr>
          <w:rFonts w:ascii="Arial" w:cs="Arial" w:eastAsia="Arial" w:hAnsi="Arial"/>
          <w:sz w:val="18"/>
          <w:szCs w:val="18"/>
          <w:color w:val="auto"/>
        </w:rPr>
      </w:pPr>
    </w:p>
    <w:p>
      <w:pPr>
        <w:ind w:left="640" w:right="340" w:hanging="323"/>
        <w:spacing w:after="0" w:line="263" w:lineRule="auto"/>
        <w:tabs>
          <w:tab w:leader="none" w:pos="640" w:val="left"/>
        </w:tabs>
        <w:numPr>
          <w:ilvl w:val="0"/>
          <w:numId w:val="2"/>
        </w:numPr>
        <w:rPr>
          <w:rFonts w:ascii="Arial" w:cs="Arial" w:eastAsia="Arial" w:hAnsi="Arial"/>
          <w:sz w:val="18"/>
          <w:szCs w:val="18"/>
          <w:color w:val="auto"/>
        </w:rPr>
      </w:pPr>
      <w:r>
        <w:rPr>
          <w:rFonts w:ascii="Arial" w:cs="Arial" w:eastAsia="Arial" w:hAnsi="Arial"/>
          <w:sz w:val="18"/>
          <w:szCs w:val="18"/>
          <w:color w:val="auto"/>
        </w:rPr>
        <w:t>Operating income for the three months ended March 31, 2021 was $84.2 million, an increase of $3.4 million as compared to $80.8 million for the same period in 2020. The operating margin for the three months ended March 31, 2021 was 35.5%, compared to 36.5% for the same period in 2020.</w:t>
      </w:r>
    </w:p>
    <w:p>
      <w:pPr>
        <w:spacing w:after="0" w:line="183" w:lineRule="exact"/>
        <w:rPr>
          <w:rFonts w:ascii="Arial" w:cs="Arial" w:eastAsia="Arial" w:hAnsi="Arial"/>
          <w:sz w:val="18"/>
          <w:szCs w:val="18"/>
          <w:color w:val="auto"/>
        </w:rPr>
      </w:pPr>
    </w:p>
    <w:p>
      <w:pPr>
        <w:jc w:val="both"/>
        <w:ind w:left="640" w:right="80" w:hanging="323"/>
        <w:spacing w:after="0" w:line="263" w:lineRule="auto"/>
        <w:tabs>
          <w:tab w:leader="none" w:pos="64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tax rate in the three months ended March 31, 2021 was 20.4% compared to 24.2% in the same period in 2020. The 2021 effective tax rate was lower due to higher excess tax benefits in the first quarter of 2021 of $4.4 million, compared to $0.6 million for the same period in 2020.</w:t>
      </w:r>
    </w:p>
    <w:p>
      <w:pPr>
        <w:spacing w:after="0" w:line="183" w:lineRule="exact"/>
        <w:rPr>
          <w:rFonts w:ascii="Arial" w:cs="Arial" w:eastAsia="Arial" w:hAnsi="Arial"/>
          <w:sz w:val="18"/>
          <w:szCs w:val="18"/>
          <w:color w:val="auto"/>
        </w:rPr>
      </w:pPr>
    </w:p>
    <w:p>
      <w:pPr>
        <w:ind w:left="640" w:right="100" w:hanging="323"/>
        <w:spacing w:after="0" w:line="263" w:lineRule="auto"/>
        <w:tabs>
          <w:tab w:leader="none" w:pos="640" w:val="left"/>
        </w:tabs>
        <w:numPr>
          <w:ilvl w:val="0"/>
          <w:numId w:val="2"/>
        </w:numPr>
        <w:rPr>
          <w:rFonts w:ascii="Arial" w:cs="Arial" w:eastAsia="Arial" w:hAnsi="Arial"/>
          <w:sz w:val="18"/>
          <w:szCs w:val="18"/>
          <w:color w:val="auto"/>
        </w:rPr>
      </w:pPr>
      <w:r>
        <w:rPr>
          <w:rFonts w:ascii="Arial" w:cs="Arial" w:eastAsia="Arial" w:hAnsi="Arial"/>
          <w:sz w:val="18"/>
          <w:szCs w:val="18"/>
          <w:color w:val="auto"/>
        </w:rPr>
        <w:t>Net income increased 9.4% to $78.1 million for the first quarter of 2021, compared to $71.4 million for the same period in 2020. As adjusted net income was $79.8 million and $73.0 million for the first quarters of 2021 and 2020, respectively.</w:t>
      </w:r>
    </w:p>
    <w:p>
      <w:pPr>
        <w:spacing w:after="0" w:line="183" w:lineRule="exact"/>
        <w:rPr>
          <w:rFonts w:ascii="Arial" w:cs="Arial" w:eastAsia="Arial" w:hAnsi="Arial"/>
          <w:sz w:val="18"/>
          <w:szCs w:val="18"/>
          <w:color w:val="auto"/>
        </w:rPr>
      </w:pPr>
    </w:p>
    <w:p>
      <w:pPr>
        <w:ind w:left="640" w:right="400" w:hanging="323"/>
        <w:spacing w:after="0" w:line="342" w:lineRule="auto"/>
        <w:tabs>
          <w:tab w:leader="none" w:pos="640" w:val="left"/>
        </w:tabs>
        <w:numPr>
          <w:ilvl w:val="0"/>
          <w:numId w:val="2"/>
        </w:numPr>
        <w:rPr>
          <w:rFonts w:ascii="Arial" w:cs="Arial" w:eastAsia="Arial" w:hAnsi="Arial"/>
          <w:sz w:val="16"/>
          <w:szCs w:val="16"/>
          <w:color w:val="auto"/>
        </w:rPr>
      </w:pPr>
      <w:r>
        <w:rPr>
          <w:rFonts w:ascii="Arial" w:cs="Arial" w:eastAsia="Arial" w:hAnsi="Arial"/>
          <w:sz w:val="16"/>
          <w:szCs w:val="16"/>
          <w:color w:val="auto"/>
        </w:rPr>
        <w:t>Diluted net income per share was $1.69 and $1.49 for the first quarters of 2021 and 2020, respectively. As adjusted diluted net income per share was $1.72 and $1.53 for the first quarters of 2021 and 2020, respectively.</w:t>
      </w:r>
    </w:p>
    <w:p>
      <w:pPr>
        <w:spacing w:after="0" w:line="123" w:lineRule="exact"/>
        <w:rPr>
          <w:rFonts w:ascii="Arial" w:cs="Arial" w:eastAsia="Arial" w:hAnsi="Arial"/>
          <w:sz w:val="16"/>
          <w:szCs w:val="16"/>
          <w:color w:val="auto"/>
        </w:rPr>
      </w:pPr>
    </w:p>
    <w:p>
      <w:pPr>
        <w:ind w:left="640" w:right="80" w:hanging="323"/>
        <w:spacing w:after="0" w:line="277" w:lineRule="auto"/>
        <w:tabs>
          <w:tab w:leader="none" w:pos="640" w:val="left"/>
        </w:tabs>
        <w:numPr>
          <w:ilvl w:val="0"/>
          <w:numId w:val="2"/>
        </w:numPr>
        <w:rPr>
          <w:rFonts w:ascii="Arial" w:cs="Arial" w:eastAsia="Arial" w:hAnsi="Arial"/>
          <w:sz w:val="18"/>
          <w:szCs w:val="18"/>
          <w:color w:val="auto"/>
        </w:rPr>
      </w:pPr>
      <w:r>
        <w:rPr>
          <w:rFonts w:ascii="Arial" w:cs="Arial" w:eastAsia="Arial" w:hAnsi="Arial"/>
          <w:sz w:val="18"/>
          <w:szCs w:val="18"/>
          <w:color w:val="auto"/>
        </w:rPr>
        <w:t>Adjusted EBITDA increased 5.2% to $95.6 million for the first quarter of 2021, compared to $90.9 million for the same period in 2020.</w:t>
      </w:r>
    </w:p>
    <w:p>
      <w:pPr>
        <w:spacing w:after="0" w:line="38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Balance Sheet and Cash Flow</w:t>
      </w:r>
    </w:p>
    <w:p>
      <w:pPr>
        <w:spacing w:after="0" w:line="229" w:lineRule="exact"/>
        <w:rPr>
          <w:sz w:val="20"/>
          <w:szCs w:val="20"/>
          <w:color w:val="auto"/>
        </w:rPr>
      </w:pPr>
    </w:p>
    <w:p>
      <w:pPr>
        <w:jc w:val="both"/>
        <w:ind w:right="160" w:firstLine="648"/>
        <w:spacing w:after="0" w:line="342" w:lineRule="auto"/>
        <w:rPr>
          <w:sz w:val="20"/>
          <w:szCs w:val="20"/>
          <w:color w:val="auto"/>
        </w:rPr>
      </w:pPr>
      <w:r>
        <w:rPr>
          <w:rFonts w:ascii="Arial" w:cs="Arial" w:eastAsia="Arial" w:hAnsi="Arial"/>
          <w:sz w:val="16"/>
          <w:szCs w:val="16"/>
          <w:color w:val="auto"/>
        </w:rPr>
        <w:t>Our unrestricted cash and cash equivalents and investments were $262.3 million and $256.6 million at March 31, 2021 and December 31, 2020, respectively. Our credit facility had an available line of credit of $150.0 million as of March 31, 2021.</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Arrangements with GCU</w:t>
      </w:r>
    </w:p>
    <w:p>
      <w:pPr>
        <w:spacing w:after="0" w:line="225" w:lineRule="exact"/>
        <w:rPr>
          <w:sz w:val="20"/>
          <w:szCs w:val="20"/>
          <w:color w:val="auto"/>
        </w:rPr>
      </w:pPr>
    </w:p>
    <w:p>
      <w:pPr>
        <w:ind w:firstLine="324"/>
        <w:spacing w:after="0" w:line="296" w:lineRule="auto"/>
        <w:rPr>
          <w:sz w:val="20"/>
          <w:szCs w:val="20"/>
          <w:color w:val="auto"/>
        </w:rPr>
      </w:pPr>
      <w:r>
        <w:rPr>
          <w:rFonts w:ascii="Arial" w:cs="Arial" w:eastAsia="Arial" w:hAnsi="Arial"/>
          <w:sz w:val="16"/>
          <w:szCs w:val="16"/>
          <w:color w:val="auto"/>
        </w:rPr>
        <w:t>In conjunction with the Asset Purchase Agreement with GCU, we received a secured note (the “Secured Note”) as consideration for the transferred assets. The Secured Note contains customary commercial credit terms, including affirmative and negative covenants applicable to GCU, and provides that the Secured Note bears interest at an annual rate of 6%, has a maturity date of June 30, 2025, and is secured by all the assets of GCU. The Secured Note provides for GCU to make interest only payments during the term, with all principal and accrued and unpaid interest due at maturity, and also provides that we</w:t>
      </w:r>
    </w:p>
    <w:p>
      <w:pPr>
        <w:spacing w:after="0" w:line="37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357505</wp:posOffset>
            </wp:positionV>
            <wp:extent cx="5957570" cy="260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5957570" cy="26035"/>
                    </a:xfrm>
                    <a:prstGeom prst="rect">
                      <a:avLst/>
                    </a:prstGeom>
                    <a:noFill/>
                  </pic:spPr>
                </pic:pic>
              </a:graphicData>
            </a:graphic>
          </wp:anchor>
        </w:drawing>
      </w:r>
    </w:p>
    <w:p>
      <w:pPr>
        <w:sectPr>
          <w:pgSz w:w="11900" w:h="16838" w:orient="portrait"/>
          <w:cols w:equalWidth="0" w:num="1">
            <w:col w:w="9360"/>
          </w:cols>
          <w:pgMar w:left="1260" w:top="121" w:right="1279" w:bottom="1440" w:gutter="0" w:footer="0" w:header="0"/>
        </w:sectPr>
      </w:pPr>
    </w:p>
    <w:bookmarkStart w:id="6" w:name="page7"/>
    <w:bookmarkEnd w:id="6"/>
    <w:p>
      <w:pPr>
        <w:ind w:right="100"/>
        <w:spacing w:after="0" w:line="259" w:lineRule="auto"/>
        <w:rPr>
          <w:sz w:val="20"/>
          <w:szCs w:val="20"/>
          <w:color w:val="auto"/>
        </w:rPr>
      </w:pPr>
      <w:r>
        <w:rPr>
          <w:rFonts w:ascii="Arial" w:cs="Arial" w:eastAsia="Arial" w:hAnsi="Arial"/>
          <w:sz w:val="18"/>
          <w:szCs w:val="18"/>
          <w:color w:val="auto"/>
        </w:rPr>
        <w:t>may loan additional amounts to GCU to fund approved capital expenditures during the first three years of the term. As of March 31, 2021, the Company had loaned an additional $99,815 to GCU, net of repayments. We believe that GCU’s cash flows from operations are currently sufficient to fund all of its capital expenditures without additional loans from us although it is possible that GCU will continue to borrow from us for short term cash flow needs.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Cash Flows</w:t>
      </w:r>
    </w:p>
    <w:p>
      <w:pPr>
        <w:spacing w:after="0" w:line="225" w:lineRule="exact"/>
        <w:rPr>
          <w:sz w:val="20"/>
          <w:szCs w:val="20"/>
          <w:color w:val="auto"/>
        </w:rPr>
      </w:pPr>
    </w:p>
    <w:p>
      <w:pPr>
        <w:ind w:right="40" w:firstLine="648"/>
        <w:spacing w:after="0" w:line="293" w:lineRule="auto"/>
        <w:rPr>
          <w:sz w:val="20"/>
          <w:szCs w:val="20"/>
          <w:color w:val="auto"/>
        </w:rPr>
      </w:pPr>
      <w:r>
        <w:rPr>
          <w:rFonts w:ascii="Arial" w:cs="Arial" w:eastAsia="Arial" w:hAnsi="Arial"/>
          <w:sz w:val="16"/>
          <w:szCs w:val="16"/>
          <w:color w:val="auto"/>
        </w:rPr>
        <w:t>Net cash provided by operating activities for the three months ended March 31, 2021 was $89.8 million as compared to $85.7 million for the three months ended March 31, 2020. The increase in cash generated from operating activities between the three months ended March 31, 2020 and the three months ended March 31, 2021 was primarily due to an increase in net income between periods partially offset by changes in other working capital balances. We define working capital as the assets and liabilities, other than cash, generated through the Company’s primary operating activities. Changes in these balances are included in the changes in assets and liabilities presented in the consolidated statement of cash flows.</w:t>
      </w:r>
    </w:p>
    <w:p>
      <w:pPr>
        <w:spacing w:after="0" w:line="164" w:lineRule="exact"/>
        <w:rPr>
          <w:sz w:val="20"/>
          <w:szCs w:val="20"/>
          <w:color w:val="auto"/>
        </w:rPr>
      </w:pPr>
    </w:p>
    <w:p>
      <w:pPr>
        <w:ind w:right="20" w:firstLine="648"/>
        <w:spacing w:after="0" w:line="269" w:lineRule="auto"/>
        <w:rPr>
          <w:sz w:val="20"/>
          <w:szCs w:val="20"/>
          <w:color w:val="auto"/>
        </w:rPr>
      </w:pPr>
      <w:r>
        <w:rPr>
          <w:rFonts w:ascii="Arial" w:cs="Arial" w:eastAsia="Arial" w:hAnsi="Arial"/>
          <w:sz w:val="17"/>
          <w:szCs w:val="17"/>
          <w:color w:val="auto"/>
        </w:rPr>
        <w:t>Net cash used in investing activities was $34.8 million and $1.9 million for the three months ended March 31, 2021 and 2020, respectively. The net cash used in investing activities in the three months ended March 31, 2021 consisted of capital expenditures of $8.9 million and purchases of investments, net of proceeds from the sale of investments of $25.8 million. During the three months ended March 31, 2020, we paid $6.1 million for capital expenditures and received proceeds from investments of $4.3 million. During the three-month period for 2021 and 2020, capital expenditures primarily consisted of leasehold improvements and equipment for new university partner locations, as well as purchases of computer equipment, other internal use software projects and furniture and equipment to support our increasing employee headcount. The increase in capital expenditures between periods is primarily due to the increase in the number of sites opened. We invest approximately $1.5 million in leasehold improvements and equipment for each off-campus classroom and laboratory site. We opened seven new sites in the second half of 2020, one new site in the Spring of 2021 and currently plan to open five additional sites in the last nine months of 2021.</w:t>
      </w:r>
    </w:p>
    <w:p>
      <w:pPr>
        <w:spacing w:after="0" w:line="182" w:lineRule="exact"/>
        <w:rPr>
          <w:sz w:val="20"/>
          <w:szCs w:val="20"/>
          <w:color w:val="auto"/>
        </w:rPr>
      </w:pPr>
    </w:p>
    <w:p>
      <w:pPr>
        <w:ind w:firstLine="648"/>
        <w:spacing w:after="0" w:line="269" w:lineRule="auto"/>
        <w:rPr>
          <w:sz w:val="20"/>
          <w:szCs w:val="20"/>
          <w:color w:val="auto"/>
        </w:rPr>
      </w:pPr>
      <w:r>
        <w:rPr>
          <w:rFonts w:ascii="Arial" w:cs="Arial" w:eastAsia="Arial" w:hAnsi="Arial"/>
          <w:sz w:val="17"/>
          <w:szCs w:val="17"/>
          <w:color w:val="auto"/>
        </w:rPr>
        <w:t>Net cash used in financing activities was $74.9 million and $73.9 million for the three months ended March 31, 2021 and 2020, respectively. During the three months ended March 31, 2021, $6.0 million was used to purchase common shares withheld in lieu of income taxes resulting from the vesting of restricted share awards, $56.3 million was used to purchase treasury stock in accordance with the Company’s share repurchase program, and $7.0 million was paid to Morgan Stanley under our ASR agreement for shares that will be settled no later than May 7, 2021. Principal payments on notes payable and capital leases totaled $8.3 million, partially offset by proceeds from the exercise of stock options of $2.7 million. During the three months ended March 31, 2020, $5.0 million was used to purchase common shares withheld in lieu of income taxes resulting from the vesting of restricted share awards and $60.7 million was used to purchase treasury stock in accordance with the Company’s share repurchase program. Principal payments on notes payable and capital leases totaled $8.3 million, partially offset by proceeds from the exercise of stock options of $0.1 million.</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(more)</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357505</wp:posOffset>
            </wp:positionV>
            <wp:extent cx="5957570" cy="254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5957570" cy="25400"/>
                    </a:xfrm>
                    <a:prstGeom prst="rect">
                      <a:avLst/>
                    </a:prstGeom>
                    <a:noFill/>
                  </pic:spPr>
                </pic:pic>
              </a:graphicData>
            </a:graphic>
          </wp:anchor>
        </w:drawing>
      </w:r>
    </w:p>
    <w:p>
      <w:pPr>
        <w:sectPr>
          <w:pgSz w:w="11900" w:h="16838" w:orient="portrait"/>
          <w:cols w:equalWidth="0" w:num="1">
            <w:col w:w="9380"/>
          </w:cols>
          <w:pgMar w:left="1260" w:top="125" w:right="1259" w:bottom="1440" w:gutter="0" w:footer="0" w:header="0"/>
        </w:sectPr>
      </w:pPr>
    </w:p>
    <w:bookmarkStart w:id="7" w:name="page8"/>
    <w:bookmarkEnd w:id="7"/>
    <w:p>
      <w:pPr>
        <w:spacing w:after="0"/>
        <w:rPr>
          <w:sz w:val="20"/>
          <w:szCs w:val="20"/>
          <w:color w:val="auto"/>
        </w:rPr>
      </w:pPr>
      <w:r>
        <w:rPr>
          <w:rFonts w:ascii="Arial" w:cs="Arial" w:eastAsia="Arial" w:hAnsi="Arial"/>
          <w:sz w:val="18"/>
          <w:szCs w:val="18"/>
          <w:b w:val="1"/>
          <w:bCs w:val="1"/>
          <w:color w:val="auto"/>
        </w:rPr>
        <w:t>Grand Canyon Education, Inc. Reports First Quarter 2021 Results</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Impact of COVID-19</w:t>
      </w:r>
    </w:p>
    <w:p>
      <w:pPr>
        <w:spacing w:after="0" w:line="229" w:lineRule="exact"/>
        <w:rPr>
          <w:sz w:val="20"/>
          <w:szCs w:val="20"/>
          <w:color w:val="auto"/>
        </w:rPr>
      </w:pPr>
    </w:p>
    <w:p>
      <w:pPr>
        <w:ind w:right="420" w:firstLine="648"/>
        <w:spacing w:after="0" w:line="296" w:lineRule="auto"/>
        <w:rPr>
          <w:sz w:val="20"/>
          <w:szCs w:val="20"/>
          <w:color w:val="auto"/>
        </w:rPr>
      </w:pPr>
      <w:r>
        <w:rPr>
          <w:rFonts w:ascii="Arial" w:cs="Arial" w:eastAsia="Arial" w:hAnsi="Arial"/>
          <w:sz w:val="16"/>
          <w:szCs w:val="16"/>
          <w:color w:val="231F20"/>
        </w:rPr>
        <w:t>In March 2020, the World Health Organization declared the COVID-19 outbreak to be a global pandemic. This contagious outbreak, which has continued to spread, and the related adverse public health developments, including orders to shelter-in-place, travel restrictions and mandated non-essential business closures, have adversely affected workforces, organizations, customers, economies and financial markets globally, leading to an economic downturn and increased market volatility. It has also disrupted the normal operations of many businesses, including ours, and that of our university partners.</w:t>
      </w:r>
    </w:p>
    <w:p>
      <w:pPr>
        <w:spacing w:after="0" w:line="148" w:lineRule="exact"/>
        <w:rPr>
          <w:sz w:val="20"/>
          <w:szCs w:val="20"/>
          <w:color w:val="auto"/>
        </w:rPr>
      </w:pPr>
    </w:p>
    <w:p>
      <w:pPr>
        <w:ind w:right="40" w:firstLine="648"/>
        <w:spacing w:after="0" w:line="291" w:lineRule="auto"/>
        <w:rPr>
          <w:sz w:val="20"/>
          <w:szCs w:val="20"/>
          <w:color w:val="auto"/>
        </w:rPr>
      </w:pPr>
      <w:r>
        <w:rPr>
          <w:rFonts w:ascii="Arial" w:cs="Arial" w:eastAsia="Arial" w:hAnsi="Arial"/>
          <w:sz w:val="16"/>
          <w:szCs w:val="16"/>
          <w:color w:val="231F20"/>
        </w:rPr>
        <w:t>GCE has a long-term master services agreement with GCU (the “Master Services Agreement”) pursuant to which GCE provides education services to GCU in return for 60% of GCU’s tuition and fee revenues, which includes fee revenues from room, board, and other ancillary businesses including a student-run golf course and hotel. GCU has four types of students: traditional ground university students, who attend class on its campus in Phoenix, Arizona and of which approximately 70% have historically lived on campus in university owned residence halls; professional studies students, who are working adult students who attend class one night a week on the Phoenix campus; online students who attend class fully online: and students who are studying in hybrid programs in which the ground component takes place at off-campus classroom and laboratory sites.</w:t>
      </w:r>
    </w:p>
    <w:p>
      <w:pPr>
        <w:spacing w:after="0" w:line="153" w:lineRule="exact"/>
        <w:rPr>
          <w:sz w:val="20"/>
          <w:szCs w:val="20"/>
          <w:color w:val="auto"/>
        </w:rPr>
      </w:pPr>
    </w:p>
    <w:p>
      <w:pPr>
        <w:ind w:firstLine="648"/>
        <w:spacing w:after="0" w:line="288" w:lineRule="auto"/>
        <w:rPr>
          <w:sz w:val="20"/>
          <w:szCs w:val="20"/>
          <w:color w:val="auto"/>
        </w:rPr>
      </w:pPr>
      <w:r>
        <w:rPr>
          <w:rFonts w:ascii="Arial" w:cs="Arial" w:eastAsia="Arial" w:hAnsi="Arial"/>
          <w:sz w:val="16"/>
          <w:szCs w:val="16"/>
          <w:color w:val="231F20"/>
        </w:rPr>
        <w:t>The COVID-19 outbreak, as well as measures taken to contain its spread, has impacted GCU’s students and its business in a number of ways. Beginning in March 2020, GCU’s programs for its professional studies students and its traditional ground university students were immediately converted to an online learning environment and residential students were strongly encouraged to move off campus. Summer 2020 semester classes were moved to an online environment as well and most students were given the choice of attending the Fall semester in person or completely online. Given GCE’s historical experience delivering online education services and the fact that all of GCU’s students and faculty use the university’s online learning management system for at least some of the coursework, the transition has been seamless and thus, the university has not incurred a significant decrease in tuition revenue or significant increase in costs associated with this transition. The following impacts from the COVID-19 pandemic, however, did serve to reduce GCU’s non-tuition revenue during 2020 and the Spring semester of 2021 and, consequently, the service revenues we earned under the Master Services Agreement:</w:t>
      </w:r>
    </w:p>
    <w:p>
      <w:pPr>
        <w:spacing w:after="0" w:line="155" w:lineRule="exact"/>
        <w:rPr>
          <w:sz w:val="20"/>
          <w:szCs w:val="20"/>
          <w:color w:val="auto"/>
        </w:rPr>
      </w:pPr>
    </w:p>
    <w:p>
      <w:pPr>
        <w:ind w:left="640" w:right="120" w:hanging="323"/>
        <w:spacing w:after="0" w:line="263" w:lineRule="auto"/>
        <w:tabs>
          <w:tab w:leader="none" w:pos="640" w:val="left"/>
        </w:tabs>
        <w:numPr>
          <w:ilvl w:val="0"/>
          <w:numId w:val="3"/>
        </w:numPr>
        <w:rPr>
          <w:rFonts w:ascii="Arial" w:cs="Arial" w:eastAsia="Arial" w:hAnsi="Arial"/>
          <w:sz w:val="18"/>
          <w:szCs w:val="18"/>
          <w:color w:val="231F20"/>
        </w:rPr>
      </w:pPr>
      <w:r>
        <w:rPr>
          <w:rFonts w:ascii="Arial" w:cs="Arial" w:eastAsia="Arial" w:hAnsi="Arial"/>
          <w:sz w:val="18"/>
          <w:szCs w:val="18"/>
          <w:color w:val="231F20"/>
        </w:rPr>
        <w:t>Traditional ground university students who elected to move off campus near the end of the Spring 2020 semester received partial refunds for dormitory and meal payments, which reduced GCU’s revenue and thus the service revenues earned by GCE in the last nine days of March 2020 and the month of April 2020;</w:t>
      </w:r>
    </w:p>
    <w:p>
      <w:pPr>
        <w:spacing w:after="0" w:line="170" w:lineRule="exact"/>
        <w:rPr>
          <w:rFonts w:ascii="Arial" w:cs="Arial" w:eastAsia="Arial" w:hAnsi="Arial"/>
          <w:sz w:val="18"/>
          <w:szCs w:val="18"/>
          <w:color w:val="231F20"/>
        </w:rPr>
      </w:pPr>
    </w:p>
    <w:p>
      <w:pPr>
        <w:ind w:left="640" w:right="60" w:hanging="323"/>
        <w:spacing w:after="0" w:line="311" w:lineRule="auto"/>
        <w:tabs>
          <w:tab w:leader="none" w:pos="640" w:val="left"/>
        </w:tabs>
        <w:numPr>
          <w:ilvl w:val="0"/>
          <w:numId w:val="3"/>
        </w:numPr>
        <w:rPr>
          <w:rFonts w:ascii="Arial" w:cs="Arial" w:eastAsia="Arial" w:hAnsi="Arial"/>
          <w:sz w:val="16"/>
          <w:szCs w:val="16"/>
          <w:color w:val="231F20"/>
        </w:rPr>
      </w:pPr>
      <w:r>
        <w:rPr>
          <w:rFonts w:ascii="Arial" w:cs="Arial" w:eastAsia="Arial" w:hAnsi="Arial"/>
          <w:sz w:val="16"/>
          <w:szCs w:val="16"/>
          <w:color w:val="231F20"/>
        </w:rPr>
        <w:t>Ancillary businesses operated by GCU such as its hotel and merchandise shops were closed in late March 2020. Most of these businesses re-opened with scaled back operations in mid-September 2020, which reduced and will continue to reduce GCU’s revenues and thus the service revenues earned by GCE until these businesses are fully reopened;</w:t>
      </w:r>
    </w:p>
    <w:p>
      <w:pPr>
        <w:spacing w:after="0" w:line="135" w:lineRule="exact"/>
        <w:rPr>
          <w:rFonts w:ascii="Arial" w:cs="Arial" w:eastAsia="Arial" w:hAnsi="Arial"/>
          <w:sz w:val="16"/>
          <w:szCs w:val="16"/>
          <w:color w:val="231F20"/>
        </w:rPr>
      </w:pPr>
    </w:p>
    <w:p>
      <w:pPr>
        <w:ind w:left="640" w:right="220" w:hanging="323"/>
        <w:spacing w:after="0" w:line="277" w:lineRule="auto"/>
        <w:tabs>
          <w:tab w:leader="none" w:pos="640" w:val="left"/>
        </w:tabs>
        <w:numPr>
          <w:ilvl w:val="0"/>
          <w:numId w:val="3"/>
        </w:numPr>
        <w:rPr>
          <w:rFonts w:ascii="Arial" w:cs="Arial" w:eastAsia="Arial" w:hAnsi="Arial"/>
          <w:sz w:val="18"/>
          <w:szCs w:val="18"/>
          <w:color w:val="231F20"/>
        </w:rPr>
      </w:pPr>
      <w:r>
        <w:rPr>
          <w:rFonts w:ascii="Arial" w:cs="Arial" w:eastAsia="Arial" w:hAnsi="Arial"/>
          <w:sz w:val="18"/>
          <w:szCs w:val="18"/>
          <w:color w:val="231F20"/>
        </w:rPr>
        <w:t>Limited residential students remained on campus during the Summer 2020 semester, which reduced GCU’s dormitory and ancillary revenues and thus the service revenues earned by GCE;</w:t>
      </w:r>
    </w:p>
    <w:p>
      <w:pPr>
        <w:spacing w:after="0" w:line="156" w:lineRule="exact"/>
        <w:rPr>
          <w:rFonts w:ascii="Arial" w:cs="Arial" w:eastAsia="Arial" w:hAnsi="Arial"/>
          <w:sz w:val="18"/>
          <w:szCs w:val="18"/>
          <w:color w:val="231F20"/>
        </w:rPr>
      </w:pPr>
    </w:p>
    <w:p>
      <w:pPr>
        <w:ind w:left="640" w:hanging="323"/>
        <w:spacing w:after="0" w:line="271" w:lineRule="auto"/>
        <w:tabs>
          <w:tab w:leader="none" w:pos="640" w:val="left"/>
        </w:tabs>
        <w:numPr>
          <w:ilvl w:val="0"/>
          <w:numId w:val="3"/>
        </w:numPr>
        <w:rPr>
          <w:rFonts w:ascii="Arial" w:cs="Arial" w:eastAsia="Arial" w:hAnsi="Arial"/>
          <w:sz w:val="17"/>
          <w:szCs w:val="17"/>
          <w:color w:val="231F20"/>
        </w:rPr>
      </w:pPr>
      <w:r>
        <w:rPr>
          <w:rFonts w:ascii="Arial" w:cs="Arial" w:eastAsia="Arial" w:hAnsi="Arial"/>
          <w:sz w:val="17"/>
          <w:szCs w:val="17"/>
          <w:color w:val="231F20"/>
        </w:rPr>
        <w:t>GCU’s doctoral students are required to attend two residencies on the university’s campus and at its hotel in Phoenix, Arizona as part of their dissertation. On an annual basis approximately 3,000 learners attend the week-long residency, most of whom have historically attended in the Summer. Most of the residencies which were scheduled for the last week of March 2020 through the end of July 2020 were cancelled. The doctoral residencies scheduled for August 2020 through December 2020 were held at another location with lower than normal attendance. In the first quarter of 2021, doctoral residencies returned to the university’s campus and its hotel, although at lower than normal attendance. This has reduced and will continue to reduce GCU’s revenues including at its hotel, and thus reduced service revenues earned by GCE until residencies return to normal attendance;</w:t>
      </w:r>
    </w:p>
    <w:p>
      <w:pPr>
        <w:spacing w:after="0" w:line="164" w:lineRule="exact"/>
        <w:rPr>
          <w:rFonts w:ascii="Arial" w:cs="Arial" w:eastAsia="Arial" w:hAnsi="Arial"/>
          <w:sz w:val="17"/>
          <w:szCs w:val="17"/>
          <w:color w:val="231F20"/>
        </w:rPr>
      </w:pPr>
    </w:p>
    <w:p>
      <w:pPr>
        <w:ind w:left="640" w:right="120" w:hanging="323"/>
        <w:spacing w:after="0" w:line="263" w:lineRule="auto"/>
        <w:tabs>
          <w:tab w:leader="none" w:pos="640" w:val="left"/>
        </w:tabs>
        <w:numPr>
          <w:ilvl w:val="0"/>
          <w:numId w:val="3"/>
        </w:numPr>
        <w:rPr>
          <w:rFonts w:ascii="Arial" w:cs="Arial" w:eastAsia="Arial" w:hAnsi="Arial"/>
          <w:sz w:val="18"/>
          <w:szCs w:val="18"/>
          <w:color w:val="231F20"/>
        </w:rPr>
      </w:pPr>
      <w:r>
        <w:rPr>
          <w:rFonts w:ascii="Arial" w:cs="Arial" w:eastAsia="Arial" w:hAnsi="Arial"/>
          <w:sz w:val="18"/>
          <w:szCs w:val="18"/>
          <w:color w:val="231F20"/>
        </w:rPr>
        <w:t>GCU shifted its start date for the Fall semester for its traditional ground students from August 24, 2020 to September 8, 2020, which had the effect of moving tuition revenue for all GCU traditional students and certain ancillary revenue for residential students, from the third quarter of 2020 to the fourth quarter of 2020;</w:t>
      </w:r>
    </w:p>
    <w:p>
      <w:pPr>
        <w:spacing w:after="0" w:line="170" w:lineRule="exact"/>
        <w:rPr>
          <w:rFonts w:ascii="Arial" w:cs="Arial" w:eastAsia="Arial" w:hAnsi="Arial"/>
          <w:sz w:val="18"/>
          <w:szCs w:val="18"/>
          <w:color w:val="231F20"/>
        </w:rPr>
      </w:pPr>
    </w:p>
    <w:p>
      <w:pPr>
        <w:ind w:left="640" w:right="380" w:hanging="323"/>
        <w:spacing w:after="0" w:line="311" w:lineRule="auto"/>
        <w:tabs>
          <w:tab w:leader="none" w:pos="640" w:val="left"/>
        </w:tabs>
        <w:numPr>
          <w:ilvl w:val="0"/>
          <w:numId w:val="3"/>
        </w:numPr>
        <w:rPr>
          <w:rFonts w:ascii="Arial" w:cs="Arial" w:eastAsia="Arial" w:hAnsi="Arial"/>
          <w:sz w:val="16"/>
          <w:szCs w:val="16"/>
          <w:color w:val="231F20"/>
        </w:rPr>
      </w:pPr>
      <w:r>
        <w:rPr>
          <w:rFonts w:ascii="Arial" w:cs="Arial" w:eastAsia="Arial" w:hAnsi="Arial"/>
          <w:sz w:val="16"/>
          <w:szCs w:val="16"/>
          <w:color w:val="231F20"/>
        </w:rPr>
        <w:t>GCU shifted its move-in date for its residential students to the week of September 21, 2020, which reduced housing revenue and certain ancillary revenue for residential students by three weeks. In addition, approximately 4,900 of GCU’s traditional campus students elected to attend the Fall semester entirely in the online modality. Residential</w:t>
      </w: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357505</wp:posOffset>
            </wp:positionV>
            <wp:extent cx="5957570" cy="260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5957570" cy="26035"/>
                    </a:xfrm>
                    <a:prstGeom prst="rect">
                      <a:avLst/>
                    </a:prstGeom>
                    <a:noFill/>
                  </pic:spPr>
                </pic:pic>
              </a:graphicData>
            </a:graphic>
          </wp:anchor>
        </w:drawing>
      </w:r>
    </w:p>
    <w:p>
      <w:pPr>
        <w:sectPr>
          <w:pgSz w:w="11900" w:h="16838" w:orient="portrait"/>
          <w:cols w:equalWidth="0" w:num="1">
            <w:col w:w="9360"/>
          </w:cols>
          <w:pgMar w:left="1260" w:top="121" w:right="1279" w:bottom="1440" w:gutter="0" w:footer="0" w:header="0"/>
        </w:sectPr>
      </w:pPr>
    </w:p>
    <w:bookmarkStart w:id="8" w:name="page9"/>
    <w:bookmarkEnd w:id="8"/>
    <w:p>
      <w:pPr>
        <w:jc w:val="both"/>
        <w:ind w:left="640" w:right="360"/>
        <w:spacing w:after="0" w:line="263" w:lineRule="auto"/>
        <w:rPr>
          <w:sz w:val="20"/>
          <w:szCs w:val="20"/>
          <w:color w:val="auto"/>
        </w:rPr>
      </w:pPr>
      <w:r>
        <w:rPr>
          <w:rFonts w:ascii="Arial" w:cs="Arial" w:eastAsia="Arial" w:hAnsi="Arial"/>
          <w:sz w:val="18"/>
          <w:szCs w:val="18"/>
          <w:color w:val="231F20"/>
        </w:rPr>
        <w:t>enrollment for the Fall of 2020 was approximately 11,500 whereas residential bed capacity is approximately 14,500. This reduction in residential students caused a reduction in GCU’s revenue and thus the service revenues earned by GCE; and</w:t>
      </w:r>
    </w:p>
    <w:p>
      <w:pPr>
        <w:spacing w:after="0" w:line="170" w:lineRule="exact"/>
        <w:rPr>
          <w:sz w:val="20"/>
          <w:szCs w:val="20"/>
          <w:color w:val="auto"/>
        </w:rPr>
      </w:pPr>
    </w:p>
    <w:p>
      <w:pPr>
        <w:ind w:left="640" w:right="140" w:hanging="323"/>
        <w:spacing w:after="0" w:line="273" w:lineRule="auto"/>
        <w:tabs>
          <w:tab w:leader="none" w:pos="640" w:val="left"/>
        </w:tabs>
        <w:numPr>
          <w:ilvl w:val="0"/>
          <w:numId w:val="4"/>
        </w:numPr>
        <w:rPr>
          <w:rFonts w:ascii="Arial" w:cs="Arial" w:eastAsia="Arial" w:hAnsi="Arial"/>
          <w:sz w:val="17"/>
          <w:szCs w:val="17"/>
          <w:color w:val="231F20"/>
        </w:rPr>
      </w:pPr>
      <w:r>
        <w:rPr>
          <w:rFonts w:ascii="Arial" w:cs="Arial" w:eastAsia="Arial" w:hAnsi="Arial"/>
          <w:sz w:val="17"/>
          <w:szCs w:val="17"/>
          <w:color w:val="231F20"/>
        </w:rPr>
        <w:t>The first week of the Spring 2021 semester was completed in an online modality for GCU’s traditional students to provide greater flexibility for students returning to campus after the holidays. Face-to-face instruction for the semester commenced on January 11, 2021 and ended April 1, 2021 for approximately 80% of classes, followed by two weeks of online instruction. Approximately 3,500 traditional ground students elected to complete the Spring semester entirely in the online modality. These changes had the effect of reducing GCU’s dormitory and ancillary revenues in the Spring of 2021 and thus the service revenues earned by GCE.</w:t>
      </w:r>
    </w:p>
    <w:p>
      <w:pPr>
        <w:spacing w:after="0" w:line="164" w:lineRule="exact"/>
        <w:rPr>
          <w:sz w:val="20"/>
          <w:szCs w:val="20"/>
          <w:color w:val="auto"/>
        </w:rPr>
      </w:pPr>
    </w:p>
    <w:p>
      <w:pPr>
        <w:ind w:right="20" w:firstLine="648"/>
        <w:spacing w:after="0" w:line="259" w:lineRule="auto"/>
        <w:rPr>
          <w:sz w:val="20"/>
          <w:szCs w:val="20"/>
          <w:color w:val="auto"/>
        </w:rPr>
      </w:pPr>
      <w:r>
        <w:rPr>
          <w:rFonts w:ascii="Arial" w:cs="Arial" w:eastAsia="Arial" w:hAnsi="Arial"/>
          <w:sz w:val="18"/>
          <w:szCs w:val="18"/>
          <w:color w:val="231F20"/>
        </w:rPr>
        <w:t>GCU anticipates a higher number of residential students will remain on campus during the Summer semester of 2021 than in 2020 and that ancillary businesses operated by GCU such as its hotel and merchandise shops will be open. However, GCU anticipates that the revenue earned in dormitory and ancillary revenues will remain below pre-COVID levels and thus the service revenues earned by GCE will continue to be impacted.</w:t>
      </w:r>
    </w:p>
    <w:p>
      <w:pPr>
        <w:spacing w:after="0" w:line="173" w:lineRule="exact"/>
        <w:rPr>
          <w:sz w:val="20"/>
          <w:szCs w:val="20"/>
          <w:color w:val="auto"/>
        </w:rPr>
      </w:pPr>
    </w:p>
    <w:p>
      <w:pPr>
        <w:ind w:right="160" w:firstLine="648"/>
        <w:spacing w:after="0" w:line="263" w:lineRule="auto"/>
        <w:rPr>
          <w:sz w:val="20"/>
          <w:szCs w:val="20"/>
          <w:color w:val="auto"/>
        </w:rPr>
      </w:pPr>
      <w:r>
        <w:rPr>
          <w:rFonts w:ascii="Arial" w:cs="Arial" w:eastAsia="Arial" w:hAnsi="Arial"/>
          <w:sz w:val="18"/>
          <w:szCs w:val="18"/>
          <w:color w:val="auto"/>
        </w:rPr>
        <w:t>The changes described above at GCU have impacted or will impact GCE’s service revenue under the Master Services Agreement. In addition, due to the limited operating expenses that we incur to deliver those services, there has been or will be a direct reduction in our operating profit and operating margin.</w:t>
      </w:r>
    </w:p>
    <w:p>
      <w:pPr>
        <w:spacing w:after="0" w:line="170" w:lineRule="exact"/>
        <w:rPr>
          <w:sz w:val="20"/>
          <w:szCs w:val="20"/>
          <w:color w:val="auto"/>
        </w:rPr>
      </w:pPr>
    </w:p>
    <w:p>
      <w:pPr>
        <w:ind w:firstLine="648"/>
        <w:spacing w:after="0" w:line="288" w:lineRule="auto"/>
        <w:rPr>
          <w:sz w:val="20"/>
          <w:szCs w:val="20"/>
          <w:color w:val="auto"/>
        </w:rPr>
      </w:pPr>
      <w:r>
        <w:rPr>
          <w:rFonts w:ascii="Arial" w:cs="Arial" w:eastAsia="Arial" w:hAnsi="Arial"/>
          <w:sz w:val="16"/>
          <w:szCs w:val="16"/>
          <w:color w:val="231F20"/>
        </w:rPr>
        <w:t xml:space="preserve">GCE also has long-term services agreements with </w:t>
      </w:r>
      <w:r>
        <w:rPr>
          <w:rFonts w:ascii="Arial" w:cs="Arial" w:eastAsia="Arial" w:hAnsi="Arial"/>
          <w:sz w:val="16"/>
          <w:szCs w:val="16"/>
          <w:color w:val="000000"/>
        </w:rPr>
        <w:t>numerous other university partners across the United States. The</w:t>
      </w:r>
      <w:r>
        <w:rPr>
          <w:rFonts w:ascii="Arial" w:cs="Arial" w:eastAsia="Arial" w:hAnsi="Arial"/>
          <w:sz w:val="16"/>
          <w:szCs w:val="16"/>
          <w:color w:val="231F20"/>
        </w:rPr>
        <w:t xml:space="preserve"> </w:t>
      </w:r>
      <w:r>
        <w:rPr>
          <w:rFonts w:ascii="Arial" w:cs="Arial" w:eastAsia="Arial" w:hAnsi="Arial"/>
          <w:sz w:val="16"/>
          <w:szCs w:val="16"/>
          <w:color w:val="000000"/>
        </w:rPr>
        <w:t>majority of these other university partners’ students are studying in the Accelerated Bachelor of Science in Nursing program which is offered in a 12-16 month format in three or four academic semesters. The Spring, Summer and Fall 2020 semesters were completed without interruption and each university partner has started its Spring 2021 semester. Some students who were scheduled to start their program in the Summer 2020 semester delayed their start until the Fall 2020 semester, which resulted in lower enrollments and revenues in the Summer 2020 semester than was planned. In a number of locations, the demand to start in the Fall 2020 semester was greater than initially planned but a number of our university or healthcare partners chose not to increase the Fall 2020 cohort size to compensate for the Summer 2020 start shortfall due to concerns about clinical availability. The Fall 2020 enrollment was only slightly lower than our original expectations as the Summer 2020 new start shortfall was offset by higher retention rates and slightly higher than expected Fall 2020 new starts.</w:t>
      </w:r>
    </w:p>
    <w:p>
      <w:pPr>
        <w:spacing w:after="0" w:line="155" w:lineRule="exact"/>
        <w:rPr>
          <w:sz w:val="20"/>
          <w:szCs w:val="20"/>
          <w:color w:val="auto"/>
        </w:rPr>
      </w:pPr>
    </w:p>
    <w:p>
      <w:pPr>
        <w:ind w:right="20" w:firstLine="648"/>
        <w:spacing w:after="0" w:line="259" w:lineRule="auto"/>
        <w:rPr>
          <w:sz w:val="20"/>
          <w:szCs w:val="20"/>
          <w:color w:val="auto"/>
        </w:rPr>
      </w:pPr>
      <w:r>
        <w:rPr>
          <w:rFonts w:ascii="Arial" w:cs="Arial" w:eastAsia="Arial" w:hAnsi="Arial"/>
          <w:sz w:val="18"/>
          <w:szCs w:val="18"/>
          <w:color w:val="auto"/>
        </w:rPr>
        <w:t>No changes are currently anticipated with our other university partners related to the Summer 2021 semester that would have an impact on GCE’s service revenue, operating profit and operating margins. However, if one of our university partners closes an off-campus classroom and laboratory site prior to the end of the Summer 2021 semester, such an event would reduce the service revenues earned by GCE.</w:t>
      </w:r>
    </w:p>
    <w:p>
      <w:pPr>
        <w:spacing w:after="0" w:line="173" w:lineRule="exact"/>
        <w:rPr>
          <w:sz w:val="20"/>
          <w:szCs w:val="20"/>
          <w:color w:val="auto"/>
        </w:rPr>
      </w:pPr>
    </w:p>
    <w:p>
      <w:pPr>
        <w:ind w:right="80" w:firstLine="648"/>
        <w:spacing w:after="0" w:line="259" w:lineRule="auto"/>
        <w:rPr>
          <w:sz w:val="20"/>
          <w:szCs w:val="20"/>
          <w:color w:val="auto"/>
        </w:rPr>
      </w:pPr>
      <w:r>
        <w:rPr>
          <w:rFonts w:ascii="Arial" w:cs="Arial" w:eastAsia="Arial" w:hAnsi="Arial"/>
          <w:sz w:val="18"/>
          <w:szCs w:val="18"/>
          <w:color w:val="212529"/>
        </w:rPr>
        <w:t>The COVID-19 outbreak also presents operational challenges to GCE as approximately 90% of our workforce is currently working remotely and is expected to continue doing so for the foreseeable future. This degree of remote working could increase risks in the areas of internal control, cyber security and the use of remote technology, and thereby result in interruptions or disruptions in normal operational processes.</w:t>
      </w:r>
    </w:p>
    <w:p>
      <w:pPr>
        <w:spacing w:after="0" w:line="173" w:lineRule="exact"/>
        <w:rPr>
          <w:sz w:val="20"/>
          <w:szCs w:val="20"/>
          <w:color w:val="auto"/>
        </w:rPr>
      </w:pPr>
    </w:p>
    <w:p>
      <w:pPr>
        <w:ind w:right="80" w:firstLine="648"/>
        <w:spacing w:after="0" w:line="263" w:lineRule="auto"/>
        <w:rPr>
          <w:sz w:val="20"/>
          <w:szCs w:val="20"/>
          <w:color w:val="auto"/>
        </w:rPr>
      </w:pPr>
      <w:r>
        <w:rPr>
          <w:rFonts w:ascii="Arial" w:cs="Arial" w:eastAsia="Arial" w:hAnsi="Arial"/>
          <w:sz w:val="18"/>
          <w:szCs w:val="18"/>
          <w:color w:val="212529"/>
        </w:rPr>
        <w:t xml:space="preserve">It is not possible for us to completely predict the duration or magnitude </w:t>
      </w:r>
      <w:r>
        <w:rPr>
          <w:rFonts w:ascii="Arial" w:cs="Arial" w:eastAsia="Arial" w:hAnsi="Arial"/>
          <w:sz w:val="18"/>
          <w:szCs w:val="18"/>
          <w:color w:val="231F20"/>
        </w:rPr>
        <w:t>of the adverse results of the COVID-19</w:t>
      </w:r>
      <w:r>
        <w:rPr>
          <w:rFonts w:ascii="Arial" w:cs="Arial" w:eastAsia="Arial" w:hAnsi="Arial"/>
          <w:sz w:val="18"/>
          <w:szCs w:val="18"/>
          <w:color w:val="212529"/>
        </w:rPr>
        <w:t xml:space="preserve"> </w:t>
      </w:r>
      <w:r>
        <w:rPr>
          <w:rFonts w:ascii="Arial" w:cs="Arial" w:eastAsia="Arial" w:hAnsi="Arial"/>
          <w:sz w:val="18"/>
          <w:szCs w:val="18"/>
          <w:color w:val="231F20"/>
        </w:rPr>
        <w:t>pandemic and its effects on our business, results of operations or financial condition at this time, but such effects may be material in future quarters.</w:t>
      </w:r>
    </w:p>
    <w:p>
      <w:pPr>
        <w:spacing w:after="0" w:line="170" w:lineRule="exact"/>
        <w:rPr>
          <w:sz w:val="20"/>
          <w:szCs w:val="20"/>
          <w:color w:val="auto"/>
        </w:rPr>
      </w:pPr>
    </w:p>
    <w:p>
      <w:pPr>
        <w:ind w:right="20" w:firstLine="648"/>
        <w:spacing w:after="0" w:line="279" w:lineRule="auto"/>
        <w:rPr>
          <w:sz w:val="20"/>
          <w:szCs w:val="20"/>
          <w:color w:val="auto"/>
        </w:rPr>
      </w:pPr>
      <w:r>
        <w:rPr>
          <w:rFonts w:ascii="Arial" w:cs="Arial" w:eastAsia="Arial" w:hAnsi="Arial"/>
          <w:sz w:val="17"/>
          <w:szCs w:val="17"/>
          <w:color w:val="231F20"/>
        </w:rPr>
        <w:t>We estimate that the shift in net revenue from the third quarter to the fourth quarter as a result of the shift in the start date of the GCU Fall 2020 semester was $9.9 million. We estimate that the reduction in service revenue attributable to reduced tuition, fees and ancillary revenues of our university partners resulting from COVID-19 was $1.8 million, $7.5 million, $13.0 million and $7.3 million in the first, second, third and fourth quarters of 2020, respectively.</w:t>
      </w:r>
    </w:p>
    <w:p>
      <w:pPr>
        <w:spacing w:after="0" w:line="158" w:lineRule="exact"/>
        <w:rPr>
          <w:sz w:val="20"/>
          <w:szCs w:val="20"/>
          <w:color w:val="auto"/>
        </w:rPr>
      </w:pPr>
    </w:p>
    <w:p>
      <w:pPr>
        <w:ind w:right="500" w:firstLine="648"/>
        <w:spacing w:after="0" w:line="263" w:lineRule="auto"/>
        <w:rPr>
          <w:sz w:val="20"/>
          <w:szCs w:val="20"/>
          <w:color w:val="auto"/>
        </w:rPr>
      </w:pPr>
      <w:r>
        <w:rPr>
          <w:rFonts w:ascii="Arial" w:cs="Arial" w:eastAsia="Arial" w:hAnsi="Arial"/>
          <w:sz w:val="18"/>
          <w:szCs w:val="18"/>
          <w:color w:val="231F20"/>
        </w:rPr>
        <w:t>We estimate that the reduction in service revenue attributable to reduced tuition, fees and ancillary revenues of our university partners resulting from COVID-19 was $4.5 million in the first quarter of 2021 with a comparable reduction in operating profit.</w:t>
      </w:r>
    </w:p>
    <w:p>
      <w:pPr>
        <w:spacing w:after="0" w:line="170" w:lineRule="exact"/>
        <w:rPr>
          <w:sz w:val="20"/>
          <w:szCs w:val="20"/>
          <w:color w:val="auto"/>
        </w:rPr>
      </w:pPr>
    </w:p>
    <w:p>
      <w:pPr>
        <w:ind w:right="220" w:firstLine="648"/>
        <w:spacing w:after="0" w:line="263" w:lineRule="auto"/>
        <w:rPr>
          <w:sz w:val="20"/>
          <w:szCs w:val="20"/>
          <w:color w:val="auto"/>
        </w:rPr>
      </w:pPr>
      <w:r>
        <w:rPr>
          <w:rFonts w:ascii="Arial" w:cs="Arial" w:eastAsia="Arial" w:hAnsi="Arial"/>
          <w:sz w:val="18"/>
          <w:szCs w:val="18"/>
          <w:color w:val="231F20"/>
        </w:rPr>
        <w:t>We estimate that the reduction in service revenue attributable to reduced tuition, fees and ancillary revenues of our university partners resulting from COVID-19 will be $1.2 million in the second quarter of 2021 with a comparable reduction in operating profit.</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357505</wp:posOffset>
            </wp:positionV>
            <wp:extent cx="5957570" cy="260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5957570" cy="26035"/>
                    </a:xfrm>
                    <a:prstGeom prst="rect">
                      <a:avLst/>
                    </a:prstGeom>
                    <a:noFill/>
                  </pic:spPr>
                </pic:pic>
              </a:graphicData>
            </a:graphic>
          </wp:anchor>
        </w:drawing>
      </w:r>
    </w:p>
    <w:p>
      <w:pPr>
        <w:sectPr>
          <w:pgSz w:w="11900" w:h="16838" w:orient="portrait"/>
          <w:cols w:equalWidth="0" w:num="1">
            <w:col w:w="9380"/>
          </w:cols>
          <w:pgMar w:left="1260" w:top="125" w:right="1259" w:bottom="1440" w:gutter="0" w:footer="0" w:header="0"/>
        </w:sectPr>
      </w:pPr>
    </w:p>
    <w:bookmarkStart w:id="9" w:name="page10"/>
    <w:bookmarkEnd w:id="9"/>
    <w:p>
      <w:pPr>
        <w:ind w:right="2480"/>
        <w:spacing w:after="0" w:line="532" w:lineRule="auto"/>
        <w:rPr>
          <w:sz w:val="20"/>
          <w:szCs w:val="20"/>
          <w:color w:val="auto"/>
        </w:rPr>
      </w:pPr>
      <w:r>
        <w:rPr>
          <w:rFonts w:ascii="Arial" w:cs="Arial" w:eastAsia="Arial" w:hAnsi="Arial"/>
          <w:sz w:val="18"/>
          <w:szCs w:val="18"/>
          <w:b w:val="1"/>
          <w:bCs w:val="1"/>
          <w:color w:val="auto"/>
        </w:rPr>
        <w:t>Grand Canyon Education, Inc. Reports First Quarter 2021 Results and Full Year Outlook 2021 Outlook</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220"/>
        </w:trPr>
        <w:tc>
          <w:tcPr>
            <w:tcW w:w="1640" w:type="dxa"/>
            <w:vAlign w:val="bottom"/>
          </w:tcPr>
          <w:p>
            <w:pPr>
              <w:spacing w:after="0"/>
              <w:rPr>
                <w:sz w:val="20"/>
                <w:szCs w:val="20"/>
                <w:color w:val="auto"/>
              </w:rPr>
            </w:pPr>
            <w:r>
              <w:rPr>
                <w:rFonts w:ascii="Arial" w:cs="Arial" w:eastAsia="Arial" w:hAnsi="Arial"/>
                <w:sz w:val="18"/>
                <w:szCs w:val="18"/>
                <w:b w:val="1"/>
                <w:bCs w:val="1"/>
                <w:color w:val="auto"/>
              </w:rPr>
              <w:t>Q2 2021:</w:t>
            </w:r>
          </w:p>
        </w:tc>
        <w:tc>
          <w:tcPr>
            <w:tcW w:w="7700" w:type="dxa"/>
            <w:vAlign w:val="bottom"/>
          </w:tcPr>
          <w:p>
            <w:pPr>
              <w:ind w:left="480"/>
              <w:spacing w:after="0"/>
              <w:rPr>
                <w:sz w:val="20"/>
                <w:szCs w:val="20"/>
                <w:color w:val="auto"/>
              </w:rPr>
            </w:pPr>
            <w:r>
              <w:rPr>
                <w:rFonts w:ascii="Arial" w:cs="Arial" w:eastAsia="Arial" w:hAnsi="Arial"/>
                <w:sz w:val="18"/>
                <w:szCs w:val="18"/>
                <w:color w:val="auto"/>
                <w:w w:val="92"/>
              </w:rPr>
              <w:t>Service revenue of $202.0 million; As Adjusted Operating Margin 25.6%; As Adjusted Diluted EPS</w:t>
            </w:r>
          </w:p>
        </w:tc>
      </w:tr>
      <w:tr>
        <w:trPr>
          <w:trHeight w:val="230"/>
        </w:trPr>
        <w:tc>
          <w:tcPr>
            <w:tcW w:w="1640" w:type="dxa"/>
            <w:vAlign w:val="bottom"/>
          </w:tcPr>
          <w:p>
            <w:pPr>
              <w:spacing w:after="0"/>
              <w:rPr>
                <w:sz w:val="20"/>
                <w:szCs w:val="20"/>
                <w:color w:val="auto"/>
              </w:rPr>
            </w:pPr>
          </w:p>
        </w:tc>
        <w:tc>
          <w:tcPr>
            <w:tcW w:w="7700" w:type="dxa"/>
            <w:vAlign w:val="bottom"/>
          </w:tcPr>
          <w:p>
            <w:pPr>
              <w:ind w:left="480"/>
              <w:spacing w:after="0"/>
              <w:rPr>
                <w:sz w:val="20"/>
                <w:szCs w:val="20"/>
                <w:color w:val="auto"/>
              </w:rPr>
            </w:pPr>
            <w:r>
              <w:rPr>
                <w:rFonts w:ascii="Arial" w:cs="Arial" w:eastAsia="Arial" w:hAnsi="Arial"/>
                <w:sz w:val="18"/>
                <w:szCs w:val="18"/>
                <w:color w:val="auto"/>
              </w:rPr>
              <w:t>of $1.09 using 45.8 million diluted shares</w:t>
            </w:r>
          </w:p>
        </w:tc>
      </w:tr>
      <w:tr>
        <w:trPr>
          <w:trHeight w:val="418"/>
        </w:trPr>
        <w:tc>
          <w:tcPr>
            <w:tcW w:w="1640" w:type="dxa"/>
            <w:vAlign w:val="bottom"/>
          </w:tcPr>
          <w:p>
            <w:pPr>
              <w:spacing w:after="0"/>
              <w:rPr>
                <w:sz w:val="20"/>
                <w:szCs w:val="20"/>
                <w:color w:val="auto"/>
              </w:rPr>
            </w:pPr>
            <w:r>
              <w:rPr>
                <w:rFonts w:ascii="Arial" w:cs="Arial" w:eastAsia="Arial" w:hAnsi="Arial"/>
                <w:sz w:val="18"/>
                <w:szCs w:val="18"/>
                <w:b w:val="1"/>
                <w:bCs w:val="1"/>
                <w:color w:val="auto"/>
              </w:rPr>
              <w:t>Q3 2021:</w:t>
            </w:r>
          </w:p>
        </w:tc>
        <w:tc>
          <w:tcPr>
            <w:tcW w:w="7700" w:type="dxa"/>
            <w:vAlign w:val="bottom"/>
          </w:tcPr>
          <w:p>
            <w:pPr>
              <w:ind w:left="480"/>
              <w:spacing w:after="0"/>
              <w:rPr>
                <w:sz w:val="20"/>
                <w:szCs w:val="20"/>
                <w:color w:val="auto"/>
              </w:rPr>
            </w:pPr>
            <w:r>
              <w:rPr>
                <w:rFonts w:ascii="Arial" w:cs="Arial" w:eastAsia="Arial" w:hAnsi="Arial"/>
                <w:sz w:val="18"/>
                <w:szCs w:val="18"/>
                <w:color w:val="auto"/>
                <w:w w:val="92"/>
              </w:rPr>
              <w:t>Service revenue of $217.5 million; As Adjusted Operating Margin 28.9%; As Adjusted Diluted EPS</w:t>
            </w:r>
          </w:p>
        </w:tc>
      </w:tr>
      <w:tr>
        <w:trPr>
          <w:trHeight w:val="230"/>
        </w:trPr>
        <w:tc>
          <w:tcPr>
            <w:tcW w:w="1640" w:type="dxa"/>
            <w:vAlign w:val="bottom"/>
          </w:tcPr>
          <w:p>
            <w:pPr>
              <w:spacing w:after="0"/>
              <w:rPr>
                <w:sz w:val="20"/>
                <w:szCs w:val="20"/>
                <w:color w:val="auto"/>
              </w:rPr>
            </w:pPr>
          </w:p>
        </w:tc>
        <w:tc>
          <w:tcPr>
            <w:tcW w:w="7700" w:type="dxa"/>
            <w:vAlign w:val="bottom"/>
          </w:tcPr>
          <w:p>
            <w:pPr>
              <w:ind w:left="480"/>
              <w:spacing w:after="0"/>
              <w:rPr>
                <w:sz w:val="20"/>
                <w:szCs w:val="20"/>
                <w:color w:val="auto"/>
              </w:rPr>
            </w:pPr>
            <w:r>
              <w:rPr>
                <w:rFonts w:ascii="Arial" w:cs="Arial" w:eastAsia="Arial" w:hAnsi="Arial"/>
                <w:sz w:val="18"/>
                <w:szCs w:val="18"/>
                <w:color w:val="auto"/>
              </w:rPr>
              <w:t>of $1.28 using 45.4 million diluted shares</w:t>
            </w:r>
          </w:p>
        </w:tc>
      </w:tr>
      <w:tr>
        <w:trPr>
          <w:trHeight w:val="418"/>
        </w:trPr>
        <w:tc>
          <w:tcPr>
            <w:tcW w:w="1640" w:type="dxa"/>
            <w:vAlign w:val="bottom"/>
          </w:tcPr>
          <w:p>
            <w:pPr>
              <w:spacing w:after="0"/>
              <w:rPr>
                <w:sz w:val="20"/>
                <w:szCs w:val="20"/>
                <w:color w:val="auto"/>
              </w:rPr>
            </w:pPr>
            <w:r>
              <w:rPr>
                <w:rFonts w:ascii="Arial" w:cs="Arial" w:eastAsia="Arial" w:hAnsi="Arial"/>
                <w:sz w:val="18"/>
                <w:szCs w:val="18"/>
                <w:b w:val="1"/>
                <w:bCs w:val="1"/>
                <w:color w:val="auto"/>
              </w:rPr>
              <w:t>Q4 2021:</w:t>
            </w:r>
          </w:p>
        </w:tc>
        <w:tc>
          <w:tcPr>
            <w:tcW w:w="7700" w:type="dxa"/>
            <w:vAlign w:val="bottom"/>
          </w:tcPr>
          <w:p>
            <w:pPr>
              <w:ind w:left="480"/>
              <w:spacing w:after="0"/>
              <w:rPr>
                <w:sz w:val="20"/>
                <w:szCs w:val="20"/>
                <w:color w:val="auto"/>
              </w:rPr>
            </w:pPr>
            <w:r>
              <w:rPr>
                <w:rFonts w:ascii="Arial" w:cs="Arial" w:eastAsia="Arial" w:hAnsi="Arial"/>
                <w:sz w:val="18"/>
                <w:szCs w:val="18"/>
                <w:color w:val="auto"/>
                <w:w w:val="92"/>
              </w:rPr>
              <w:t>Service revenue of $263.5 million; As Adjusted Operating Margin 41.7%; As Adjusted Diluted EPS</w:t>
            </w:r>
          </w:p>
        </w:tc>
      </w:tr>
      <w:tr>
        <w:trPr>
          <w:trHeight w:val="230"/>
        </w:trPr>
        <w:tc>
          <w:tcPr>
            <w:tcW w:w="1640" w:type="dxa"/>
            <w:vAlign w:val="bottom"/>
          </w:tcPr>
          <w:p>
            <w:pPr>
              <w:spacing w:after="0"/>
              <w:rPr>
                <w:sz w:val="20"/>
                <w:szCs w:val="20"/>
                <w:color w:val="auto"/>
              </w:rPr>
            </w:pPr>
          </w:p>
        </w:tc>
        <w:tc>
          <w:tcPr>
            <w:tcW w:w="7700" w:type="dxa"/>
            <w:vAlign w:val="bottom"/>
          </w:tcPr>
          <w:p>
            <w:pPr>
              <w:ind w:left="480"/>
              <w:spacing w:after="0"/>
              <w:rPr>
                <w:sz w:val="20"/>
                <w:szCs w:val="20"/>
                <w:color w:val="auto"/>
              </w:rPr>
            </w:pPr>
            <w:r>
              <w:rPr>
                <w:rFonts w:ascii="Arial" w:cs="Arial" w:eastAsia="Arial" w:hAnsi="Arial"/>
                <w:sz w:val="18"/>
                <w:szCs w:val="18"/>
                <w:color w:val="auto"/>
              </w:rPr>
              <w:t>of $2.10 using 44.9 million diluted shares</w:t>
            </w:r>
          </w:p>
        </w:tc>
      </w:tr>
      <w:tr>
        <w:trPr>
          <w:trHeight w:val="418"/>
        </w:trPr>
        <w:tc>
          <w:tcPr>
            <w:tcW w:w="1640" w:type="dxa"/>
            <w:vAlign w:val="bottom"/>
          </w:tcPr>
          <w:p>
            <w:pPr>
              <w:spacing w:after="0"/>
              <w:rPr>
                <w:sz w:val="20"/>
                <w:szCs w:val="20"/>
                <w:color w:val="auto"/>
              </w:rPr>
            </w:pPr>
            <w:r>
              <w:rPr>
                <w:rFonts w:ascii="Arial" w:cs="Arial" w:eastAsia="Arial" w:hAnsi="Arial"/>
                <w:sz w:val="18"/>
                <w:szCs w:val="18"/>
                <w:b w:val="1"/>
                <w:bCs w:val="1"/>
                <w:color w:val="auto"/>
              </w:rPr>
              <w:t>Full Year 2021:</w:t>
            </w:r>
          </w:p>
        </w:tc>
        <w:tc>
          <w:tcPr>
            <w:tcW w:w="7700" w:type="dxa"/>
            <w:vAlign w:val="bottom"/>
          </w:tcPr>
          <w:p>
            <w:pPr>
              <w:ind w:left="480"/>
              <w:spacing w:after="0"/>
              <w:rPr>
                <w:sz w:val="20"/>
                <w:szCs w:val="20"/>
                <w:color w:val="auto"/>
              </w:rPr>
            </w:pPr>
            <w:r>
              <w:rPr>
                <w:rFonts w:ascii="Arial" w:cs="Arial" w:eastAsia="Arial" w:hAnsi="Arial"/>
                <w:sz w:val="18"/>
                <w:szCs w:val="18"/>
                <w:color w:val="auto"/>
                <w:w w:val="92"/>
              </w:rPr>
              <w:t>Service revenue of $919.9 million; As Adjusted Operating Margin 33.8%; As Adjusted Diluted EPS</w:t>
            </w:r>
          </w:p>
        </w:tc>
      </w:tr>
      <w:tr>
        <w:trPr>
          <w:trHeight w:val="230"/>
        </w:trPr>
        <w:tc>
          <w:tcPr>
            <w:tcW w:w="1640" w:type="dxa"/>
            <w:vAlign w:val="bottom"/>
          </w:tcPr>
          <w:p>
            <w:pPr>
              <w:spacing w:after="0"/>
              <w:rPr>
                <w:sz w:val="20"/>
                <w:szCs w:val="20"/>
                <w:color w:val="auto"/>
              </w:rPr>
            </w:pPr>
          </w:p>
        </w:tc>
        <w:tc>
          <w:tcPr>
            <w:tcW w:w="7700" w:type="dxa"/>
            <w:vAlign w:val="bottom"/>
          </w:tcPr>
          <w:p>
            <w:pPr>
              <w:ind w:left="480"/>
              <w:spacing w:after="0"/>
              <w:rPr>
                <w:sz w:val="20"/>
                <w:szCs w:val="20"/>
                <w:color w:val="auto"/>
              </w:rPr>
            </w:pPr>
            <w:r>
              <w:rPr>
                <w:rFonts w:ascii="Arial" w:cs="Arial" w:eastAsia="Arial" w:hAnsi="Arial"/>
                <w:sz w:val="18"/>
                <w:szCs w:val="18"/>
                <w:color w:val="auto"/>
              </w:rPr>
              <w:t>of $6.19 using 45.6 million diluted shares</w:t>
            </w: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148" w:lineRule="exact"/>
        <w:rPr>
          <w:sz w:val="20"/>
          <w:szCs w:val="20"/>
          <w:color w:val="auto"/>
        </w:rPr>
      </w:pPr>
    </w:p>
    <w:p>
      <w:pPr>
        <w:ind w:right="40" w:firstLine="324"/>
        <w:spacing w:after="0" w:line="237" w:lineRule="auto"/>
        <w:rPr>
          <w:sz w:val="20"/>
          <w:szCs w:val="20"/>
          <w:color w:val="auto"/>
        </w:rPr>
      </w:pPr>
      <w:r>
        <w:rPr>
          <w:rFonts w:ascii="Arial" w:cs="Arial" w:eastAsia="Arial" w:hAnsi="Arial"/>
          <w:sz w:val="17"/>
          <w:szCs w:val="17"/>
          <w:color w:val="auto"/>
        </w:rPr>
        <w:t>This news release contains “forward-looking statements” which include information relating to future events, future financial performance, strategies expectations, competitive environment, regulation, and availability of resources. These forward-looking statements include, without limitation, statements regarding: proposed new programs; whether regulatory developments or other matters may or may not have a material adverse effect on our financial position, results of operations, or liquidity; projections, predictions, expectations, estimates, and forecasts as to our business, financial and operating results, and future economic performance; and management’s goals and objectives and other similar expressions concerning matters that are not historical facts. Words such as “may,” “should,” “could,” “would,” “predicts,” “potential,” “continue,” “expects,” “anticipates,” “future,” “intends,” “plans,” “believes,” “estimates” and similar expressions, the negative of these expressions, as well as statements in future tense, identify forward-looking statements.</w:t>
      </w:r>
    </w:p>
    <w:p>
      <w:pPr>
        <w:spacing w:after="0" w:line="112" w:lineRule="exact"/>
        <w:rPr>
          <w:sz w:val="20"/>
          <w:szCs w:val="20"/>
          <w:color w:val="auto"/>
        </w:rPr>
      </w:pPr>
    </w:p>
    <w:p>
      <w:pPr>
        <w:ind w:firstLine="324"/>
        <w:spacing w:after="0" w:line="249" w:lineRule="auto"/>
        <w:rPr>
          <w:sz w:val="20"/>
          <w:szCs w:val="20"/>
          <w:color w:val="auto"/>
        </w:rPr>
      </w:pPr>
      <w:r>
        <w:rPr>
          <w:rFonts w:ascii="Arial" w:cs="Arial" w:eastAsia="Arial" w:hAnsi="Arial"/>
          <w:sz w:val="16"/>
          <w:szCs w:val="16"/>
          <w:color w:val="auto"/>
        </w:rPr>
        <w:t>Forward-looking statements should not be read as a guarantee of future performance or results and will not necessarily be accurate indications of the times at, or by, which such performance or results will be achieved. Forward-looking statements are based on information available at the time those statements are made or management’s good faith belief as of that time with respect to future events and are subject to risks and uncertainties that could cause actual performance or results to differ materially from those expressed in or suggested by the forward-looking statements. Important factors that could cause such differences include, but are not limited to: the harm to our business, results of operations, and financial condition, and harm to our university partners resulting from epidemics, pandemics, including the COVID-19 outbreak, or public health crises: the occurrence of any event, change or other circumstance that could give rise to the termination of any of our key university partner agreements; our ability to properly manage risks and challenges associated with strategic initiatives, including potential acquisitions or divestitures of, or investments in, new businesses, acquisitions of new properties and new university partners, and expansion of services provided to our existing university partners; our failure to comply with the extensive regulatory framework applicable to us either directly as a third party education services provider or indirectly through our university partners, including Title IV of the Higher Education Act and the regulations thereunder, state laws and regulatory requirements, and accrediting commission requirements; competition from other education services companies in our geographic region and market sector, including competition for students, qualified executives and other personnel; the pace of growth of our university partners’ enrollment and its effect on the pace of our own growth; our ability to, on behalf of our university partners, convert prospective students to enrolled students and to retain active students to graduation; our success in updating and expanding the content of existing programs and developing new programs in a cost-effective manner or on a timely basis for our university partners; the impact of any natural disasters or public health emergencies; and other factors discussed in reports on file with the Securities and Exchange Commission, including as set forth in Part I, Item 1A of our Annual Report on Form 10-K for period ended December 31, 2020, as updated in our subsequent reports filed with the Securities and Exchange Commission on Form 10Q or Form 8-K.</w:t>
      </w:r>
    </w:p>
    <w:p>
      <w:pPr>
        <w:spacing w:after="0" w:line="176" w:lineRule="exact"/>
        <w:rPr>
          <w:sz w:val="20"/>
          <w:szCs w:val="20"/>
          <w:color w:val="auto"/>
        </w:rPr>
      </w:pPr>
    </w:p>
    <w:p>
      <w:pPr>
        <w:jc w:val="both"/>
        <w:ind w:right="20" w:firstLine="324"/>
        <w:spacing w:after="0" w:line="242" w:lineRule="auto"/>
        <w:rPr>
          <w:sz w:val="20"/>
          <w:szCs w:val="20"/>
          <w:color w:val="auto"/>
        </w:rPr>
      </w:pPr>
      <w:r>
        <w:rPr>
          <w:rFonts w:ascii="Arial" w:cs="Arial" w:eastAsia="Arial" w:hAnsi="Arial"/>
          <w:sz w:val="17"/>
          <w:szCs w:val="17"/>
          <w:color w:val="auto"/>
        </w:rPr>
        <w:t>Forward-looking statements speak only as of the date the statements are made. You should not put undue reliance on any forward-looking statements. We assume no obligation to update forward-looking statements to reflect actual results, changes in assumptions, or changes in other factors affecting forward-looking information, except to the extent required by applicable securities laws. If we do update one or more forward-looking statements, no inference should be drawn that we will make additional updates with respect to those or other forward-looking statements.</w:t>
      </w: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357505</wp:posOffset>
            </wp:positionV>
            <wp:extent cx="5957570" cy="254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5957570" cy="25400"/>
                    </a:xfrm>
                    <a:prstGeom prst="rect">
                      <a:avLst/>
                    </a:prstGeom>
                    <a:noFill/>
                  </pic:spPr>
                </pic:pic>
              </a:graphicData>
            </a:graphic>
          </wp:anchor>
        </w:drawing>
      </w:r>
    </w:p>
    <w:p>
      <w:pPr>
        <w:sectPr>
          <w:pgSz w:w="11900" w:h="16838" w:orient="portrait"/>
          <w:cols w:equalWidth="0" w:num="1">
            <w:col w:w="9380"/>
          </w:cols>
          <w:pgMar w:left="1260" w:top="121" w:right="1259" w:bottom="1440" w:gutter="0" w:footer="0" w:header="0"/>
        </w:sectPr>
      </w:pPr>
    </w:p>
    <w:bookmarkStart w:id="10" w:name="page11"/>
    <w:bookmarkEnd w:id="10"/>
    <w:p>
      <w:pPr>
        <w:spacing w:after="0"/>
        <w:rPr>
          <w:sz w:val="20"/>
          <w:szCs w:val="20"/>
          <w:color w:val="auto"/>
        </w:rPr>
      </w:pPr>
      <w:r>
        <w:rPr>
          <w:rFonts w:ascii="Arial" w:cs="Arial" w:eastAsia="Arial" w:hAnsi="Arial"/>
          <w:sz w:val="18"/>
          <w:szCs w:val="18"/>
          <w:b w:val="1"/>
          <w:bCs w:val="1"/>
          <w:color w:val="auto"/>
        </w:rPr>
        <w:t>Grand Canyon Education, Inc. Reports First Quarter 2021 Results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Conference Call</w:t>
      </w:r>
    </w:p>
    <w:p>
      <w:pPr>
        <w:spacing w:after="0" w:line="229" w:lineRule="exact"/>
        <w:rPr>
          <w:sz w:val="20"/>
          <w:szCs w:val="20"/>
          <w:color w:val="auto"/>
        </w:rPr>
      </w:pPr>
    </w:p>
    <w:p>
      <w:pPr>
        <w:ind w:firstLine="324"/>
        <w:spacing w:after="0" w:line="259" w:lineRule="auto"/>
        <w:rPr>
          <w:sz w:val="20"/>
          <w:szCs w:val="20"/>
          <w:color w:val="auto"/>
        </w:rPr>
      </w:pPr>
      <w:r>
        <w:rPr>
          <w:rFonts w:ascii="Arial" w:cs="Arial" w:eastAsia="Arial" w:hAnsi="Arial"/>
          <w:sz w:val="18"/>
          <w:szCs w:val="18"/>
          <w:color w:val="auto"/>
        </w:rPr>
        <w:t>Grand Canyon Education, Inc. will discuss its first quarter 2021 results and full year 2021 outlook during a conference call scheduled for today, May 5, 2021 at 4:30 p.m. Eastern time (ET). To participate in the live call, investors should dial 877-577-1769 (domestic and Canada) or 706-679-7806 (international), passcode 2179612 at 4:25 p.m. (ET). The Webcast will be available on the Grand Canyon Education, Inc. website at www.gce.com.</w:t>
      </w:r>
    </w:p>
    <w:p>
      <w:pPr>
        <w:spacing w:after="0" w:line="187" w:lineRule="exact"/>
        <w:rPr>
          <w:sz w:val="20"/>
          <w:szCs w:val="20"/>
          <w:color w:val="auto"/>
        </w:rPr>
      </w:pPr>
    </w:p>
    <w:p>
      <w:pPr>
        <w:ind w:right="60" w:firstLine="324"/>
        <w:spacing w:after="0" w:line="263" w:lineRule="auto"/>
        <w:rPr>
          <w:sz w:val="20"/>
          <w:szCs w:val="20"/>
          <w:color w:val="auto"/>
        </w:rPr>
      </w:pPr>
      <w:r>
        <w:rPr>
          <w:rFonts w:ascii="Arial" w:cs="Arial" w:eastAsia="Arial" w:hAnsi="Arial"/>
          <w:sz w:val="18"/>
          <w:szCs w:val="18"/>
          <w:color w:val="auto"/>
        </w:rPr>
        <w:t>A replay of the call will be available approximately two hours following the conclusion of the call, at 855-859-2056 (domestic) or 404-537-3406 (international), passcode 2179612. It will also be archived at www.gce.com in the investor relations section for 60 days.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Grand Canyon Education, Inc.</w:t>
      </w:r>
    </w:p>
    <w:p>
      <w:pPr>
        <w:spacing w:after="0" w:line="324" w:lineRule="exact"/>
        <w:rPr>
          <w:sz w:val="20"/>
          <w:szCs w:val="20"/>
          <w:color w:val="auto"/>
        </w:rPr>
      </w:pPr>
    </w:p>
    <w:p>
      <w:pPr>
        <w:ind w:firstLine="324"/>
        <w:spacing w:after="0" w:line="271" w:lineRule="auto"/>
        <w:rPr>
          <w:sz w:val="20"/>
          <w:szCs w:val="20"/>
          <w:color w:val="auto"/>
        </w:rPr>
      </w:pPr>
      <w:r>
        <w:rPr>
          <w:rFonts w:ascii="Arial" w:cs="Arial" w:eastAsia="Arial" w:hAnsi="Arial"/>
          <w:sz w:val="17"/>
          <w:szCs w:val="17"/>
          <w:color w:val="auto"/>
        </w:rPr>
        <w:t>Grand Canyon Education, Inc. (“GCE”), incorporated in 2008, is a publicly traded education services company that currently provides services to 26 university partners. GCE is uniquely positioned in the education services industry in that its leadership has 30 years of proven expertise in providing a full array of support services in the post-secondary education sector and has developed significant technological solutions, infrastructure and operational processes to provide superior services in these areas on a large scale. GCE provides services that support students, faculty and staff of partner institutions such as marketing, strategic enrollment management, counseling services, financial services, technology, technical support, compliance, human resources, classroom operations, content development, faculty recruitment and training, among others. For more information about GCE visit the Company's website at www.gce.com.</w:t>
      </w:r>
    </w:p>
    <w:p>
      <w:pPr>
        <w:spacing w:after="0" w:line="174" w:lineRule="exact"/>
        <w:rPr>
          <w:sz w:val="20"/>
          <w:szCs w:val="20"/>
          <w:color w:val="auto"/>
        </w:rPr>
      </w:pPr>
    </w:p>
    <w:p>
      <w:pPr>
        <w:ind w:left="320"/>
        <w:spacing w:after="0"/>
        <w:rPr>
          <w:sz w:val="20"/>
          <w:szCs w:val="20"/>
          <w:color w:val="auto"/>
        </w:rPr>
      </w:pPr>
      <w:r>
        <w:rPr>
          <w:rFonts w:ascii="Arial" w:cs="Arial" w:eastAsia="Arial" w:hAnsi="Arial"/>
          <w:sz w:val="18"/>
          <w:szCs w:val="18"/>
          <w:color w:val="auto"/>
        </w:rPr>
        <w:t xml:space="preserve">Grand Canyon Education, Inc., 2600 W. Camelback Road, Phoenix, AZ 85017, </w:t>
      </w:r>
      <w:r>
        <w:rPr>
          <w:rFonts w:ascii="Arial" w:cs="Arial" w:eastAsia="Arial" w:hAnsi="Arial"/>
          <w:sz w:val="18"/>
          <w:szCs w:val="18"/>
          <w:b w:val="1"/>
          <w:bCs w:val="1"/>
          <w:color w:val="auto"/>
        </w:rPr>
        <w:t>www.gce.com</w:t>
      </w:r>
      <w:r>
        <w:rPr>
          <w:rFonts w:ascii="Arial" w:cs="Arial" w:eastAsia="Arial" w:hAnsi="Arial"/>
          <w:sz w:val="18"/>
          <w:szCs w:val="18"/>
          <w:color w:val="auto"/>
        </w:rPr>
        <w:t>.</w:t>
      </w:r>
    </w:p>
    <w:p>
      <w:pPr>
        <w:spacing w:after="0" w:line="22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357505</wp:posOffset>
            </wp:positionV>
            <wp:extent cx="5957570"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5957570" cy="17145"/>
                    </a:xfrm>
                    <a:prstGeom prst="rect">
                      <a:avLst/>
                    </a:prstGeom>
                    <a:noFill/>
                  </pic:spPr>
                </pic:pic>
              </a:graphicData>
            </a:graphic>
          </wp:anchor>
        </w:drawing>
      </w:r>
    </w:p>
    <w:p>
      <w:pPr>
        <w:sectPr>
          <w:pgSz w:w="11900" w:h="16838" w:orient="portrait"/>
          <w:cols w:equalWidth="0" w:num="1">
            <w:col w:w="9340"/>
          </w:cols>
          <w:pgMar w:left="1260" w:top="121" w:right="1299" w:bottom="1440" w:gutter="0" w:footer="0" w:header="0"/>
        </w:sectPr>
      </w:pPr>
    </w:p>
    <w:bookmarkStart w:id="11" w:name="page12"/>
    <w:bookmarkEnd w:id="11"/>
    <w:p>
      <w:pPr>
        <w:spacing w:after="0"/>
        <w:rPr>
          <w:sz w:val="20"/>
          <w:szCs w:val="20"/>
          <w:color w:val="auto"/>
        </w:rPr>
      </w:pPr>
      <w:r>
        <w:rPr>
          <w:rFonts w:ascii="Arial" w:cs="Arial" w:eastAsia="Arial" w:hAnsi="Arial"/>
          <w:sz w:val="18"/>
          <w:szCs w:val="18"/>
          <w:b w:val="1"/>
          <w:bCs w:val="1"/>
          <w:color w:val="auto"/>
        </w:rPr>
        <w:t>Grand Canyon Education, Inc. Reports First Quarter 2021 Results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Income Statements</w:t>
      </w:r>
    </w:p>
    <w:p>
      <w:pPr>
        <w:spacing w:after="0" w:line="2"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3920" w:type="dxa"/>
            <w:vAlign w:val="bottom"/>
          </w:tcPr>
          <w:p>
            <w:pPr>
              <w:spacing w:after="0"/>
              <w:rPr>
                <w:sz w:val="16"/>
                <w:szCs w:val="16"/>
                <w:color w:val="auto"/>
              </w:rPr>
            </w:pPr>
          </w:p>
        </w:tc>
        <w:tc>
          <w:tcPr>
            <w:tcW w:w="3600" w:type="dxa"/>
            <w:vAlign w:val="bottom"/>
            <w:gridSpan w:val="3"/>
          </w:tcPr>
          <w:p>
            <w:pPr>
              <w:jc w:val="right"/>
              <w:ind w:right="2387"/>
              <w:spacing w:after="0"/>
              <w:rPr>
                <w:sz w:val="20"/>
                <w:szCs w:val="20"/>
                <w:color w:val="auto"/>
              </w:rPr>
            </w:pPr>
            <w:r>
              <w:rPr>
                <w:rFonts w:ascii="Arial" w:cs="Arial" w:eastAsia="Arial" w:hAnsi="Arial"/>
                <w:sz w:val="14"/>
                <w:szCs w:val="14"/>
                <w:b w:val="1"/>
                <w:bCs w:val="1"/>
                <w:color w:val="auto"/>
              </w:rPr>
              <w:t>(Unaudited)</w:t>
            </w:r>
          </w:p>
        </w:tc>
        <w:tc>
          <w:tcPr>
            <w:tcW w:w="1840" w:type="dxa"/>
            <w:vAlign w:val="bottom"/>
            <w:gridSpan w:val="5"/>
            <w:vMerge w:val="restart"/>
          </w:tcPr>
          <w:p>
            <w:pPr>
              <w:jc w:val="center"/>
              <w:ind w:right="71"/>
              <w:spacing w:after="0"/>
              <w:rPr>
                <w:sz w:val="20"/>
                <w:szCs w:val="20"/>
                <w:color w:val="auto"/>
              </w:rPr>
            </w:pPr>
            <w:r>
              <w:rPr>
                <w:rFonts w:ascii="Arial" w:cs="Arial" w:eastAsia="Arial" w:hAnsi="Arial"/>
                <w:sz w:val="14"/>
                <w:szCs w:val="14"/>
                <w:b w:val="1"/>
                <w:bCs w:val="1"/>
                <w:color w:val="auto"/>
                <w:w w:val="95"/>
              </w:rPr>
              <w:t>Three Months Ended</w:t>
            </w:r>
          </w:p>
        </w:tc>
        <w:tc>
          <w:tcPr>
            <w:tcW w:w="0" w:type="dxa"/>
            <w:vAlign w:val="bottom"/>
          </w:tcPr>
          <w:p>
            <w:pPr>
              <w:spacing w:after="0"/>
              <w:rPr>
                <w:sz w:val="1"/>
                <w:szCs w:val="1"/>
                <w:color w:val="auto"/>
              </w:rPr>
            </w:pPr>
          </w:p>
        </w:tc>
      </w:tr>
      <w:tr>
        <w:trPr>
          <w:trHeight w:val="108"/>
        </w:trPr>
        <w:tc>
          <w:tcPr>
            <w:tcW w:w="3920" w:type="dxa"/>
            <w:vAlign w:val="bottom"/>
          </w:tcPr>
          <w:p>
            <w:pPr>
              <w:spacing w:after="0"/>
              <w:rPr>
                <w:sz w:val="9"/>
                <w:szCs w:val="9"/>
                <w:color w:val="auto"/>
              </w:rPr>
            </w:pPr>
          </w:p>
        </w:tc>
        <w:tc>
          <w:tcPr>
            <w:tcW w:w="3240" w:type="dxa"/>
            <w:vAlign w:val="bottom"/>
          </w:tcPr>
          <w:p>
            <w:pPr>
              <w:spacing w:after="0"/>
              <w:rPr>
                <w:sz w:val="9"/>
                <w:szCs w:val="9"/>
                <w:color w:val="auto"/>
              </w:rPr>
            </w:pPr>
          </w:p>
        </w:tc>
        <w:tc>
          <w:tcPr>
            <w:tcW w:w="200" w:type="dxa"/>
            <w:vAlign w:val="bottom"/>
          </w:tcPr>
          <w:p>
            <w:pPr>
              <w:spacing w:after="0"/>
              <w:rPr>
                <w:sz w:val="9"/>
                <w:szCs w:val="9"/>
                <w:color w:val="auto"/>
              </w:rPr>
            </w:pPr>
          </w:p>
        </w:tc>
        <w:tc>
          <w:tcPr>
            <w:tcW w:w="160" w:type="dxa"/>
            <w:vAlign w:val="bottom"/>
          </w:tcPr>
          <w:p>
            <w:pPr>
              <w:spacing w:after="0"/>
              <w:rPr>
                <w:sz w:val="9"/>
                <w:szCs w:val="9"/>
                <w:color w:val="auto"/>
              </w:rPr>
            </w:pPr>
          </w:p>
        </w:tc>
        <w:tc>
          <w:tcPr>
            <w:tcW w:w="1840" w:type="dxa"/>
            <w:vAlign w:val="bottom"/>
            <w:gridSpan w:val="5"/>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71"/>
        </w:trPr>
        <w:tc>
          <w:tcPr>
            <w:tcW w:w="3920" w:type="dxa"/>
            <w:vAlign w:val="bottom"/>
          </w:tcPr>
          <w:p>
            <w:pPr>
              <w:spacing w:after="0"/>
              <w:rPr>
                <w:sz w:val="14"/>
                <w:szCs w:val="14"/>
                <w:color w:val="auto"/>
              </w:rPr>
            </w:pPr>
          </w:p>
        </w:tc>
        <w:tc>
          <w:tcPr>
            <w:tcW w:w="32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160" w:type="dxa"/>
            <w:vAlign w:val="bottom"/>
            <w:tcBorders>
              <w:bottom w:val="single" w:sz="8" w:color="auto"/>
            </w:tcBorders>
            <w:gridSpan w:val="4"/>
          </w:tcPr>
          <w:p>
            <w:pPr>
              <w:jc w:val="center"/>
              <w:ind w:left="393"/>
              <w:spacing w:after="0"/>
              <w:rPr>
                <w:sz w:val="20"/>
                <w:szCs w:val="20"/>
                <w:color w:val="auto"/>
              </w:rPr>
            </w:pPr>
            <w:r>
              <w:rPr>
                <w:rFonts w:ascii="Arial" w:cs="Arial" w:eastAsia="Arial" w:hAnsi="Arial"/>
                <w:sz w:val="14"/>
                <w:szCs w:val="14"/>
                <w:b w:val="1"/>
                <w:bCs w:val="1"/>
                <w:color w:val="auto"/>
                <w:w w:val="99"/>
              </w:rPr>
              <w:t>March 31,</w:t>
            </w:r>
          </w:p>
        </w:tc>
        <w:tc>
          <w:tcPr>
            <w:tcW w:w="68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3920" w:type="dxa"/>
            <w:vAlign w:val="bottom"/>
            <w:vMerge w:val="restart"/>
          </w:tcPr>
          <w:p>
            <w:pPr>
              <w:spacing w:after="0"/>
              <w:rPr>
                <w:sz w:val="20"/>
                <w:szCs w:val="20"/>
                <w:color w:val="auto"/>
              </w:rPr>
            </w:pPr>
            <w:r>
              <w:rPr>
                <w:rFonts w:ascii="Arial" w:cs="Arial" w:eastAsia="Arial" w:hAnsi="Arial"/>
                <w:sz w:val="18"/>
                <w:szCs w:val="18"/>
                <w:b w:val="1"/>
                <w:bCs w:val="1"/>
                <w:color w:val="auto"/>
              </w:rPr>
              <w:t>(In thousands, except per share data)</w:t>
            </w:r>
          </w:p>
        </w:tc>
        <w:tc>
          <w:tcPr>
            <w:tcW w:w="32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740" w:type="dxa"/>
            <w:vAlign w:val="bottom"/>
            <w:tcBorders>
              <w:bottom w:val="single" w:sz="8" w:color="auto"/>
            </w:tcBorders>
          </w:tcPr>
          <w:p>
            <w:pPr>
              <w:jc w:val="right"/>
              <w:ind w:right="233"/>
              <w:spacing w:after="0" w:line="142" w:lineRule="exact"/>
              <w:rPr>
                <w:sz w:val="20"/>
                <w:szCs w:val="20"/>
                <w:color w:val="auto"/>
              </w:rPr>
            </w:pPr>
            <w:r>
              <w:rPr>
                <w:rFonts w:ascii="Arial" w:cs="Arial" w:eastAsia="Arial" w:hAnsi="Arial"/>
                <w:sz w:val="14"/>
                <w:szCs w:val="14"/>
                <w:b w:val="1"/>
                <w:bCs w:val="1"/>
                <w:color w:val="auto"/>
              </w:rPr>
              <w:t>2021</w:t>
            </w:r>
          </w:p>
        </w:tc>
        <w:tc>
          <w:tcPr>
            <w:tcW w:w="20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jc w:val="right"/>
              <w:ind w:right="211"/>
              <w:spacing w:after="0" w:line="142" w:lineRule="exact"/>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210"/>
        </w:trPr>
        <w:tc>
          <w:tcPr>
            <w:tcW w:w="3920" w:type="dxa"/>
            <w:vAlign w:val="bottom"/>
            <w:tcBorders>
              <w:bottom w:val="single" w:sz="8" w:color="auto"/>
            </w:tcBorders>
            <w:vMerge w:val="continue"/>
          </w:tcPr>
          <w:p>
            <w:pPr>
              <w:spacing w:after="0"/>
              <w:rPr>
                <w:sz w:val="18"/>
                <w:szCs w:val="18"/>
                <w:color w:val="auto"/>
              </w:rPr>
            </w:pPr>
          </w:p>
        </w:tc>
        <w:tc>
          <w:tcPr>
            <w:tcW w:w="3240" w:type="dxa"/>
            <w:vAlign w:val="bottom"/>
            <w:tcBorders>
              <w:bottom w:val="single" w:sz="8" w:color="auto"/>
            </w:tcBorders>
          </w:tcPr>
          <w:p>
            <w:pPr>
              <w:spacing w:after="0"/>
              <w:rPr>
                <w:sz w:val="18"/>
                <w:szCs w:val="18"/>
                <w:color w:val="auto"/>
              </w:rPr>
            </w:pPr>
          </w:p>
        </w:tc>
        <w:tc>
          <w:tcPr>
            <w:tcW w:w="200" w:type="dxa"/>
            <w:vAlign w:val="bottom"/>
            <w:tcBorders>
              <w:bottom w:val="single" w:sz="8" w:color="CCEEFF"/>
            </w:tcBorders>
          </w:tcPr>
          <w:p>
            <w:pPr>
              <w:spacing w:after="0"/>
              <w:rPr>
                <w:sz w:val="18"/>
                <w:szCs w:val="18"/>
                <w:color w:val="auto"/>
              </w:rPr>
            </w:pPr>
          </w:p>
        </w:tc>
        <w:tc>
          <w:tcPr>
            <w:tcW w:w="160" w:type="dxa"/>
            <w:vAlign w:val="bottom"/>
            <w:tcBorders>
              <w:bottom w:val="single" w:sz="8" w:color="CCEEFF"/>
            </w:tcBorders>
          </w:tcPr>
          <w:p>
            <w:pPr>
              <w:spacing w:after="0"/>
              <w:rPr>
                <w:sz w:val="18"/>
                <w:szCs w:val="18"/>
                <w:color w:val="auto"/>
              </w:rPr>
            </w:pPr>
          </w:p>
        </w:tc>
        <w:tc>
          <w:tcPr>
            <w:tcW w:w="740" w:type="dxa"/>
            <w:vAlign w:val="bottom"/>
            <w:tcBorders>
              <w:bottom w:val="single" w:sz="8" w:color="CCEEFF"/>
            </w:tcBorders>
          </w:tcPr>
          <w:p>
            <w:pPr>
              <w:spacing w:after="0"/>
              <w:rPr>
                <w:sz w:val="18"/>
                <w:szCs w:val="18"/>
                <w:color w:val="auto"/>
              </w:rPr>
            </w:pPr>
          </w:p>
        </w:tc>
        <w:tc>
          <w:tcPr>
            <w:tcW w:w="200" w:type="dxa"/>
            <w:vAlign w:val="bottom"/>
            <w:tcBorders>
              <w:bottom w:val="single" w:sz="8" w:color="CCEEFF"/>
            </w:tcBorders>
          </w:tcPr>
          <w:p>
            <w:pPr>
              <w:spacing w:after="0"/>
              <w:rPr>
                <w:sz w:val="18"/>
                <w:szCs w:val="18"/>
                <w:color w:val="auto"/>
              </w:rPr>
            </w:pPr>
          </w:p>
        </w:tc>
        <w:tc>
          <w:tcPr>
            <w:tcW w:w="12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68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39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Service revenue</w:t>
            </w:r>
          </w:p>
        </w:tc>
        <w:tc>
          <w:tcPr>
            <w:tcW w:w="3240" w:type="dxa"/>
            <w:vAlign w:val="bottom"/>
            <w:shd w:val="clear" w:color="auto" w:fill="CCEEFF"/>
          </w:tcPr>
          <w:p>
            <w:pPr>
              <w:spacing w:after="0"/>
              <w:rPr>
                <w:sz w:val="18"/>
                <w:szCs w:val="18"/>
                <w:color w:val="auto"/>
              </w:rPr>
            </w:pPr>
          </w:p>
        </w:tc>
        <w:tc>
          <w:tcPr>
            <w:tcW w:w="360" w:type="dxa"/>
            <w:vAlign w:val="bottom"/>
            <w:gridSpan w:val="2"/>
            <w:shd w:val="clear" w:color="auto" w:fill="CCEEFF"/>
          </w:tcPr>
          <w:p>
            <w:pPr>
              <w:jc w:val="right"/>
              <w:ind w:right="7"/>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236,934</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221,655</w:t>
            </w:r>
          </w:p>
        </w:tc>
        <w:tc>
          <w:tcPr>
            <w:tcW w:w="0" w:type="dxa"/>
            <w:vAlign w:val="bottom"/>
          </w:tcPr>
          <w:p>
            <w:pPr>
              <w:spacing w:after="0"/>
              <w:rPr>
                <w:sz w:val="1"/>
                <w:szCs w:val="1"/>
                <w:color w:val="auto"/>
              </w:rPr>
            </w:pPr>
          </w:p>
        </w:tc>
      </w:tr>
      <w:tr>
        <w:trPr>
          <w:trHeight w:val="209"/>
        </w:trPr>
        <w:tc>
          <w:tcPr>
            <w:tcW w:w="3920" w:type="dxa"/>
            <w:vAlign w:val="bottom"/>
          </w:tcPr>
          <w:p>
            <w:pPr>
              <w:spacing w:after="0"/>
              <w:rPr>
                <w:sz w:val="20"/>
                <w:szCs w:val="20"/>
                <w:color w:val="auto"/>
              </w:rPr>
            </w:pPr>
            <w:r>
              <w:rPr>
                <w:rFonts w:ascii="Arial" w:cs="Arial" w:eastAsia="Arial" w:hAnsi="Arial"/>
                <w:sz w:val="18"/>
                <w:szCs w:val="18"/>
                <w:b w:val="1"/>
                <w:bCs w:val="1"/>
                <w:color w:val="auto"/>
              </w:rPr>
              <w:t>Costs and expenses:</w:t>
            </w:r>
          </w:p>
        </w:tc>
        <w:tc>
          <w:tcPr>
            <w:tcW w:w="3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920" w:type="dxa"/>
            <w:vAlign w:val="bottom"/>
            <w:shd w:val="clear" w:color="auto" w:fill="CCEEFF"/>
          </w:tcPr>
          <w:p>
            <w:pPr>
              <w:ind w:left="100"/>
              <w:spacing w:after="0"/>
              <w:rPr>
                <w:sz w:val="20"/>
                <w:szCs w:val="20"/>
                <w:color w:val="auto"/>
              </w:rPr>
            </w:pPr>
            <w:r>
              <w:rPr>
                <w:rFonts w:ascii="Arial" w:cs="Arial" w:eastAsia="Arial" w:hAnsi="Arial"/>
                <w:sz w:val="18"/>
                <w:szCs w:val="18"/>
                <w:color w:val="auto"/>
              </w:rPr>
              <w:t>Technology and academic services</w:t>
            </w:r>
          </w:p>
        </w:tc>
        <w:tc>
          <w:tcPr>
            <w:tcW w:w="3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32,051</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26,277</w:t>
            </w:r>
          </w:p>
        </w:tc>
        <w:tc>
          <w:tcPr>
            <w:tcW w:w="0" w:type="dxa"/>
            <w:vAlign w:val="bottom"/>
          </w:tcPr>
          <w:p>
            <w:pPr>
              <w:spacing w:after="0"/>
              <w:rPr>
                <w:sz w:val="1"/>
                <w:szCs w:val="1"/>
                <w:color w:val="auto"/>
              </w:rPr>
            </w:pPr>
          </w:p>
        </w:tc>
      </w:tr>
      <w:tr>
        <w:trPr>
          <w:trHeight w:val="216"/>
        </w:trPr>
        <w:tc>
          <w:tcPr>
            <w:tcW w:w="3920" w:type="dxa"/>
            <w:vAlign w:val="bottom"/>
          </w:tcPr>
          <w:p>
            <w:pPr>
              <w:ind w:left="100"/>
              <w:spacing w:after="0"/>
              <w:rPr>
                <w:sz w:val="20"/>
                <w:szCs w:val="20"/>
                <w:color w:val="auto"/>
              </w:rPr>
            </w:pPr>
            <w:r>
              <w:rPr>
                <w:rFonts w:ascii="Arial" w:cs="Arial" w:eastAsia="Arial" w:hAnsi="Arial"/>
                <w:sz w:val="18"/>
                <w:szCs w:val="18"/>
                <w:color w:val="auto"/>
              </w:rPr>
              <w:t>Counseling services and support</w:t>
            </w:r>
          </w:p>
        </w:tc>
        <w:tc>
          <w:tcPr>
            <w:tcW w:w="3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61,239</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60,219</w:t>
            </w:r>
          </w:p>
        </w:tc>
        <w:tc>
          <w:tcPr>
            <w:tcW w:w="0" w:type="dxa"/>
            <w:vAlign w:val="bottom"/>
          </w:tcPr>
          <w:p>
            <w:pPr>
              <w:spacing w:after="0"/>
              <w:rPr>
                <w:sz w:val="1"/>
                <w:szCs w:val="1"/>
                <w:color w:val="auto"/>
              </w:rPr>
            </w:pPr>
          </w:p>
        </w:tc>
      </w:tr>
      <w:tr>
        <w:trPr>
          <w:trHeight w:val="216"/>
        </w:trPr>
        <w:tc>
          <w:tcPr>
            <w:tcW w:w="3920" w:type="dxa"/>
            <w:vAlign w:val="bottom"/>
            <w:shd w:val="clear" w:color="auto" w:fill="CCEEFF"/>
          </w:tcPr>
          <w:p>
            <w:pPr>
              <w:ind w:left="100"/>
              <w:spacing w:after="0"/>
              <w:rPr>
                <w:sz w:val="20"/>
                <w:szCs w:val="20"/>
                <w:color w:val="auto"/>
              </w:rPr>
            </w:pPr>
            <w:r>
              <w:rPr>
                <w:rFonts w:ascii="Arial" w:cs="Arial" w:eastAsia="Arial" w:hAnsi="Arial"/>
                <w:sz w:val="18"/>
                <w:szCs w:val="18"/>
                <w:color w:val="auto"/>
              </w:rPr>
              <w:t>Marketing and communication</w:t>
            </w:r>
          </w:p>
        </w:tc>
        <w:tc>
          <w:tcPr>
            <w:tcW w:w="3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47,731</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42,693</w:t>
            </w:r>
          </w:p>
        </w:tc>
        <w:tc>
          <w:tcPr>
            <w:tcW w:w="0" w:type="dxa"/>
            <w:vAlign w:val="bottom"/>
          </w:tcPr>
          <w:p>
            <w:pPr>
              <w:spacing w:after="0"/>
              <w:rPr>
                <w:sz w:val="1"/>
                <w:szCs w:val="1"/>
                <w:color w:val="auto"/>
              </w:rPr>
            </w:pPr>
          </w:p>
        </w:tc>
      </w:tr>
      <w:tr>
        <w:trPr>
          <w:trHeight w:val="216"/>
        </w:trPr>
        <w:tc>
          <w:tcPr>
            <w:tcW w:w="3920" w:type="dxa"/>
            <w:vAlign w:val="bottom"/>
          </w:tcPr>
          <w:p>
            <w:pPr>
              <w:ind w:left="100"/>
              <w:spacing w:after="0"/>
              <w:rPr>
                <w:sz w:val="20"/>
                <w:szCs w:val="20"/>
                <w:color w:val="auto"/>
              </w:rPr>
            </w:pPr>
            <w:r>
              <w:rPr>
                <w:rFonts w:ascii="Arial" w:cs="Arial" w:eastAsia="Arial" w:hAnsi="Arial"/>
                <w:sz w:val="18"/>
                <w:szCs w:val="18"/>
                <w:color w:val="auto"/>
              </w:rPr>
              <w:t>General and administrative</w:t>
            </w:r>
          </w:p>
        </w:tc>
        <w:tc>
          <w:tcPr>
            <w:tcW w:w="3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9,582</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9,565</w:t>
            </w:r>
          </w:p>
        </w:tc>
        <w:tc>
          <w:tcPr>
            <w:tcW w:w="0" w:type="dxa"/>
            <w:vAlign w:val="bottom"/>
          </w:tcPr>
          <w:p>
            <w:pPr>
              <w:spacing w:after="0"/>
              <w:rPr>
                <w:sz w:val="1"/>
                <w:szCs w:val="1"/>
                <w:color w:val="auto"/>
              </w:rPr>
            </w:pPr>
          </w:p>
        </w:tc>
      </w:tr>
      <w:tr>
        <w:trPr>
          <w:trHeight w:val="216"/>
        </w:trPr>
        <w:tc>
          <w:tcPr>
            <w:tcW w:w="3920" w:type="dxa"/>
            <w:vAlign w:val="bottom"/>
            <w:shd w:val="clear" w:color="auto" w:fill="CCEEFF"/>
          </w:tcPr>
          <w:p>
            <w:pPr>
              <w:ind w:left="100"/>
              <w:spacing w:after="0"/>
              <w:rPr>
                <w:sz w:val="20"/>
                <w:szCs w:val="20"/>
                <w:color w:val="auto"/>
              </w:rPr>
            </w:pPr>
            <w:r>
              <w:rPr>
                <w:rFonts w:ascii="Arial" w:cs="Arial" w:eastAsia="Arial" w:hAnsi="Arial"/>
                <w:sz w:val="18"/>
                <w:szCs w:val="18"/>
                <w:color w:val="auto"/>
              </w:rPr>
              <w:t>Amortization of intangible assets</w:t>
            </w:r>
          </w:p>
        </w:tc>
        <w:tc>
          <w:tcPr>
            <w:tcW w:w="3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2,105</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2,105</w:t>
            </w:r>
          </w:p>
        </w:tc>
        <w:tc>
          <w:tcPr>
            <w:tcW w:w="0" w:type="dxa"/>
            <w:vAlign w:val="bottom"/>
          </w:tcPr>
          <w:p>
            <w:pPr>
              <w:spacing w:after="0"/>
              <w:rPr>
                <w:sz w:val="1"/>
                <w:szCs w:val="1"/>
                <w:color w:val="auto"/>
              </w:rPr>
            </w:pPr>
          </w:p>
        </w:tc>
      </w:tr>
      <w:tr>
        <w:trPr>
          <w:trHeight w:val="216"/>
        </w:trPr>
        <w:tc>
          <w:tcPr>
            <w:tcW w:w="3920" w:type="dxa"/>
            <w:vAlign w:val="bottom"/>
            <w:tcBorders>
              <w:bottom w:val="single" w:sz="8" w:color="CCEEFF"/>
            </w:tcBorders>
          </w:tcPr>
          <w:p>
            <w:pPr>
              <w:spacing w:after="0"/>
              <w:rPr>
                <w:sz w:val="20"/>
                <w:szCs w:val="20"/>
                <w:color w:val="auto"/>
              </w:rPr>
            </w:pPr>
            <w:r>
              <w:rPr>
                <w:rFonts w:ascii="Arial" w:cs="Arial" w:eastAsia="Arial" w:hAnsi="Arial"/>
                <w:sz w:val="18"/>
                <w:szCs w:val="18"/>
                <w:b w:val="1"/>
                <w:bCs w:val="1"/>
                <w:color w:val="auto"/>
              </w:rPr>
              <w:t>Total costs and expenses</w:t>
            </w:r>
          </w:p>
        </w:tc>
        <w:tc>
          <w:tcPr>
            <w:tcW w:w="3240" w:type="dxa"/>
            <w:vAlign w:val="bottom"/>
            <w:tcBorders>
              <w:bottom w:val="single" w:sz="8" w:color="CCEEFF"/>
            </w:tcBorders>
          </w:tcPr>
          <w:p>
            <w:pPr>
              <w:spacing w:after="0"/>
              <w:rPr>
                <w:sz w:val="18"/>
                <w:szCs w:val="18"/>
                <w:color w:val="auto"/>
              </w:rPr>
            </w:pPr>
          </w:p>
        </w:tc>
        <w:tc>
          <w:tcPr>
            <w:tcW w:w="20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152,708</w:t>
            </w:r>
          </w:p>
        </w:tc>
        <w:tc>
          <w:tcPr>
            <w:tcW w:w="20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2"/>
              </w:rPr>
              <w:t>140,859</w:t>
            </w:r>
          </w:p>
        </w:tc>
        <w:tc>
          <w:tcPr>
            <w:tcW w:w="0" w:type="dxa"/>
            <w:vAlign w:val="bottom"/>
          </w:tcPr>
          <w:p>
            <w:pPr>
              <w:spacing w:after="0"/>
              <w:rPr>
                <w:sz w:val="1"/>
                <w:szCs w:val="1"/>
                <w:color w:val="auto"/>
              </w:rPr>
            </w:pPr>
          </w:p>
        </w:tc>
      </w:tr>
      <w:tr>
        <w:trPr>
          <w:trHeight w:val="210"/>
        </w:trPr>
        <w:tc>
          <w:tcPr>
            <w:tcW w:w="39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Operating income</w:t>
            </w:r>
          </w:p>
        </w:tc>
        <w:tc>
          <w:tcPr>
            <w:tcW w:w="3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84,226</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80,796</w:t>
            </w:r>
          </w:p>
        </w:tc>
        <w:tc>
          <w:tcPr>
            <w:tcW w:w="0" w:type="dxa"/>
            <w:vAlign w:val="bottom"/>
          </w:tcPr>
          <w:p>
            <w:pPr>
              <w:spacing w:after="0"/>
              <w:rPr>
                <w:sz w:val="1"/>
                <w:szCs w:val="1"/>
                <w:color w:val="auto"/>
              </w:rPr>
            </w:pPr>
          </w:p>
        </w:tc>
      </w:tr>
      <w:tr>
        <w:trPr>
          <w:trHeight w:val="216"/>
        </w:trPr>
        <w:tc>
          <w:tcPr>
            <w:tcW w:w="3920" w:type="dxa"/>
            <w:vAlign w:val="bottom"/>
          </w:tcPr>
          <w:p>
            <w:pPr>
              <w:ind w:left="100"/>
              <w:spacing w:after="0"/>
              <w:rPr>
                <w:sz w:val="20"/>
                <w:szCs w:val="20"/>
                <w:color w:val="auto"/>
              </w:rPr>
            </w:pPr>
            <w:r>
              <w:rPr>
                <w:rFonts w:ascii="Arial" w:cs="Arial" w:eastAsia="Arial" w:hAnsi="Arial"/>
                <w:sz w:val="18"/>
                <w:szCs w:val="18"/>
                <w:color w:val="auto"/>
              </w:rPr>
              <w:t>Interest income on Secured Note</w:t>
            </w:r>
          </w:p>
        </w:tc>
        <w:tc>
          <w:tcPr>
            <w:tcW w:w="3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14,549</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14,710</w:t>
            </w:r>
          </w:p>
        </w:tc>
        <w:tc>
          <w:tcPr>
            <w:tcW w:w="0" w:type="dxa"/>
            <w:vAlign w:val="bottom"/>
          </w:tcPr>
          <w:p>
            <w:pPr>
              <w:spacing w:after="0"/>
              <w:rPr>
                <w:sz w:val="1"/>
                <w:szCs w:val="1"/>
                <w:color w:val="auto"/>
              </w:rPr>
            </w:pPr>
          </w:p>
        </w:tc>
      </w:tr>
      <w:tr>
        <w:trPr>
          <w:trHeight w:val="216"/>
        </w:trPr>
        <w:tc>
          <w:tcPr>
            <w:tcW w:w="3920" w:type="dxa"/>
            <w:vAlign w:val="bottom"/>
            <w:shd w:val="clear" w:color="auto" w:fill="CCEEFF"/>
          </w:tcPr>
          <w:p>
            <w:pPr>
              <w:ind w:left="100"/>
              <w:spacing w:after="0"/>
              <w:rPr>
                <w:sz w:val="20"/>
                <w:szCs w:val="20"/>
                <w:color w:val="auto"/>
              </w:rPr>
            </w:pPr>
            <w:r>
              <w:rPr>
                <w:rFonts w:ascii="Arial" w:cs="Arial" w:eastAsia="Arial" w:hAnsi="Arial"/>
                <w:sz w:val="18"/>
                <w:szCs w:val="18"/>
                <w:color w:val="auto"/>
              </w:rPr>
              <w:t>Interest expense</w:t>
            </w:r>
          </w:p>
        </w:tc>
        <w:tc>
          <w:tcPr>
            <w:tcW w:w="3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(799)</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(1,546)</w:t>
            </w:r>
          </w:p>
        </w:tc>
        <w:tc>
          <w:tcPr>
            <w:tcW w:w="0" w:type="dxa"/>
            <w:vAlign w:val="bottom"/>
          </w:tcPr>
          <w:p>
            <w:pPr>
              <w:spacing w:after="0"/>
              <w:rPr>
                <w:sz w:val="1"/>
                <w:szCs w:val="1"/>
                <w:color w:val="auto"/>
              </w:rPr>
            </w:pPr>
          </w:p>
        </w:tc>
      </w:tr>
      <w:tr>
        <w:trPr>
          <w:trHeight w:val="216"/>
        </w:trPr>
        <w:tc>
          <w:tcPr>
            <w:tcW w:w="3920" w:type="dxa"/>
            <w:vAlign w:val="bottom"/>
            <w:tcBorders>
              <w:bottom w:val="single" w:sz="8" w:color="CCEEFF"/>
            </w:tcBorders>
          </w:tcPr>
          <w:p>
            <w:pPr>
              <w:ind w:left="100"/>
              <w:spacing w:after="0"/>
              <w:rPr>
                <w:sz w:val="20"/>
                <w:szCs w:val="20"/>
                <w:color w:val="auto"/>
              </w:rPr>
            </w:pPr>
            <w:r>
              <w:rPr>
                <w:rFonts w:ascii="Arial" w:cs="Arial" w:eastAsia="Arial" w:hAnsi="Arial"/>
                <w:sz w:val="18"/>
                <w:szCs w:val="18"/>
                <w:color w:val="auto"/>
              </w:rPr>
              <w:t>Investment interest and other</w:t>
            </w:r>
          </w:p>
        </w:tc>
        <w:tc>
          <w:tcPr>
            <w:tcW w:w="3240" w:type="dxa"/>
            <w:vAlign w:val="bottom"/>
            <w:tcBorders>
              <w:bottom w:val="single" w:sz="8" w:color="CCEEFF"/>
            </w:tcBorders>
          </w:tcPr>
          <w:p>
            <w:pPr>
              <w:spacing w:after="0"/>
              <w:rPr>
                <w:sz w:val="18"/>
                <w:szCs w:val="18"/>
                <w:color w:val="auto"/>
              </w:rPr>
            </w:pPr>
          </w:p>
        </w:tc>
        <w:tc>
          <w:tcPr>
            <w:tcW w:w="20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121</w:t>
            </w:r>
          </w:p>
        </w:tc>
        <w:tc>
          <w:tcPr>
            <w:tcW w:w="20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216</w:t>
            </w:r>
          </w:p>
        </w:tc>
        <w:tc>
          <w:tcPr>
            <w:tcW w:w="0" w:type="dxa"/>
            <w:vAlign w:val="bottom"/>
          </w:tcPr>
          <w:p>
            <w:pPr>
              <w:spacing w:after="0"/>
              <w:rPr>
                <w:sz w:val="1"/>
                <w:szCs w:val="1"/>
                <w:color w:val="auto"/>
              </w:rPr>
            </w:pPr>
          </w:p>
        </w:tc>
      </w:tr>
      <w:tr>
        <w:trPr>
          <w:trHeight w:val="210"/>
        </w:trPr>
        <w:tc>
          <w:tcPr>
            <w:tcW w:w="39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Income before income taxes</w:t>
            </w:r>
          </w:p>
        </w:tc>
        <w:tc>
          <w:tcPr>
            <w:tcW w:w="3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98,097</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94,176</w:t>
            </w:r>
          </w:p>
        </w:tc>
        <w:tc>
          <w:tcPr>
            <w:tcW w:w="0" w:type="dxa"/>
            <w:vAlign w:val="bottom"/>
          </w:tcPr>
          <w:p>
            <w:pPr>
              <w:spacing w:after="0"/>
              <w:rPr>
                <w:sz w:val="1"/>
                <w:szCs w:val="1"/>
                <w:color w:val="auto"/>
              </w:rPr>
            </w:pPr>
          </w:p>
        </w:tc>
      </w:tr>
      <w:tr>
        <w:trPr>
          <w:trHeight w:val="216"/>
        </w:trPr>
        <w:tc>
          <w:tcPr>
            <w:tcW w:w="392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Income tax expense</w:t>
            </w:r>
          </w:p>
        </w:tc>
        <w:tc>
          <w:tcPr>
            <w:tcW w:w="3240" w:type="dxa"/>
            <w:vAlign w:val="bottom"/>
            <w:tcBorders>
              <w:bottom w:val="single" w:sz="8" w:color="CCEEFF"/>
            </w:tcBorders>
          </w:tcPr>
          <w:p>
            <w:pPr>
              <w:spacing w:after="0"/>
              <w:rPr>
                <w:sz w:val="18"/>
                <w:szCs w:val="18"/>
                <w:color w:val="auto"/>
              </w:rPr>
            </w:pPr>
          </w:p>
        </w:tc>
        <w:tc>
          <w:tcPr>
            <w:tcW w:w="20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19,985</w:t>
            </w:r>
          </w:p>
        </w:tc>
        <w:tc>
          <w:tcPr>
            <w:tcW w:w="20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22,791</w:t>
            </w:r>
          </w:p>
        </w:tc>
        <w:tc>
          <w:tcPr>
            <w:tcW w:w="0" w:type="dxa"/>
            <w:vAlign w:val="bottom"/>
          </w:tcPr>
          <w:p>
            <w:pPr>
              <w:spacing w:after="0"/>
              <w:rPr>
                <w:sz w:val="1"/>
                <w:szCs w:val="1"/>
                <w:color w:val="auto"/>
              </w:rPr>
            </w:pPr>
          </w:p>
        </w:tc>
      </w:tr>
      <w:tr>
        <w:trPr>
          <w:trHeight w:val="209"/>
        </w:trPr>
        <w:tc>
          <w:tcPr>
            <w:tcW w:w="39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Net income</w:t>
            </w:r>
          </w:p>
        </w:tc>
        <w:tc>
          <w:tcPr>
            <w:tcW w:w="324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jc w:val="right"/>
              <w:ind w:right="7"/>
              <w:spacing w:after="0"/>
              <w:rPr>
                <w:sz w:val="20"/>
                <w:szCs w:val="20"/>
                <w:color w:val="auto"/>
              </w:rPr>
            </w:pPr>
            <w:r>
              <w:rPr>
                <w:rFonts w:ascii="Arial" w:cs="Arial" w:eastAsia="Arial" w:hAnsi="Arial"/>
                <w:sz w:val="15"/>
                <w:szCs w:val="15"/>
                <w:color w:val="auto"/>
                <w:w w:val="71"/>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78,112</w:t>
            </w:r>
          </w:p>
        </w:tc>
        <w:tc>
          <w:tcPr>
            <w:tcW w:w="20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71,385</w:t>
            </w:r>
          </w:p>
        </w:tc>
        <w:tc>
          <w:tcPr>
            <w:tcW w:w="0" w:type="dxa"/>
            <w:vAlign w:val="bottom"/>
          </w:tcPr>
          <w:p>
            <w:pPr>
              <w:spacing w:after="0"/>
              <w:rPr>
                <w:sz w:val="1"/>
                <w:szCs w:val="1"/>
                <w:color w:val="auto"/>
              </w:rPr>
            </w:pPr>
          </w:p>
        </w:tc>
      </w:tr>
      <w:tr>
        <w:trPr>
          <w:trHeight w:val="20"/>
        </w:trPr>
        <w:tc>
          <w:tcPr>
            <w:tcW w:w="3920" w:type="dxa"/>
            <w:vAlign w:val="bottom"/>
            <w:vMerge w:val="restart"/>
          </w:tcPr>
          <w:p>
            <w:pPr>
              <w:spacing w:after="0"/>
              <w:rPr>
                <w:sz w:val="20"/>
                <w:szCs w:val="20"/>
                <w:color w:val="auto"/>
              </w:rPr>
            </w:pPr>
            <w:r>
              <w:rPr>
                <w:rFonts w:ascii="Arial" w:cs="Arial" w:eastAsia="Arial" w:hAnsi="Arial"/>
                <w:sz w:val="18"/>
                <w:szCs w:val="18"/>
                <w:b w:val="1"/>
                <w:bCs w:val="1"/>
                <w:color w:val="auto"/>
              </w:rPr>
              <w:t>Earnings per share:</w:t>
            </w:r>
          </w:p>
        </w:tc>
        <w:tc>
          <w:tcPr>
            <w:tcW w:w="3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3920" w:type="dxa"/>
            <w:vAlign w:val="bottom"/>
            <w:vMerge w:val="continue"/>
          </w:tcPr>
          <w:p>
            <w:pPr>
              <w:spacing w:after="0"/>
              <w:rPr>
                <w:sz w:val="17"/>
                <w:szCs w:val="17"/>
                <w:color w:val="auto"/>
              </w:rPr>
            </w:pPr>
          </w:p>
        </w:tc>
        <w:tc>
          <w:tcPr>
            <w:tcW w:w="32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3920" w:type="dxa"/>
            <w:vAlign w:val="bottom"/>
            <w:shd w:val="clear" w:color="auto" w:fill="CCEEFF"/>
          </w:tcPr>
          <w:p>
            <w:pPr>
              <w:ind w:left="100"/>
              <w:spacing w:after="0"/>
              <w:rPr>
                <w:sz w:val="20"/>
                <w:szCs w:val="20"/>
                <w:color w:val="auto"/>
              </w:rPr>
            </w:pPr>
            <w:r>
              <w:rPr>
                <w:rFonts w:ascii="Arial" w:cs="Arial" w:eastAsia="Arial" w:hAnsi="Arial"/>
                <w:sz w:val="18"/>
                <w:szCs w:val="18"/>
                <w:b w:val="1"/>
                <w:bCs w:val="1"/>
                <w:color w:val="auto"/>
              </w:rPr>
              <w:t>Basic income per share</w:t>
            </w:r>
          </w:p>
        </w:tc>
        <w:tc>
          <w:tcPr>
            <w:tcW w:w="3600" w:type="dxa"/>
            <w:vAlign w:val="bottom"/>
            <w:gridSpan w:val="3"/>
            <w:shd w:val="clear" w:color="auto" w:fill="CCEEFF"/>
          </w:tcPr>
          <w:p>
            <w:pPr>
              <w:jc w:val="right"/>
              <w:ind w:right="7"/>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1.70</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1.50</w:t>
            </w:r>
          </w:p>
        </w:tc>
        <w:tc>
          <w:tcPr>
            <w:tcW w:w="0" w:type="dxa"/>
            <w:vAlign w:val="bottom"/>
          </w:tcPr>
          <w:p>
            <w:pPr>
              <w:spacing w:after="0"/>
              <w:rPr>
                <w:sz w:val="1"/>
                <w:szCs w:val="1"/>
                <w:color w:val="auto"/>
              </w:rPr>
            </w:pPr>
          </w:p>
        </w:tc>
      </w:tr>
      <w:tr>
        <w:trPr>
          <w:trHeight w:val="20"/>
        </w:trPr>
        <w:tc>
          <w:tcPr>
            <w:tcW w:w="3920" w:type="dxa"/>
            <w:vAlign w:val="bottom"/>
            <w:tcBorders>
              <w:top w:val="single" w:sz="8" w:color="CCEEFF"/>
              <w:bottom w:val="single" w:sz="8" w:color="CCEEFF"/>
            </w:tcBorders>
            <w:vMerge w:val="restart"/>
          </w:tcPr>
          <w:p>
            <w:pPr>
              <w:ind w:left="100"/>
              <w:spacing w:after="0"/>
              <w:rPr>
                <w:sz w:val="20"/>
                <w:szCs w:val="20"/>
                <w:color w:val="auto"/>
              </w:rPr>
            </w:pPr>
            <w:r>
              <w:rPr>
                <w:rFonts w:ascii="Arial" w:cs="Arial" w:eastAsia="Arial" w:hAnsi="Arial"/>
                <w:sz w:val="18"/>
                <w:szCs w:val="18"/>
                <w:b w:val="1"/>
                <w:bCs w:val="1"/>
                <w:color w:val="auto"/>
              </w:rPr>
              <w:t>Diluted income per share</w:t>
            </w:r>
          </w:p>
        </w:tc>
        <w:tc>
          <w:tcPr>
            <w:tcW w:w="3240" w:type="dxa"/>
            <w:vAlign w:val="bottom"/>
            <w:tcBorders>
              <w:top w:val="single" w:sz="8" w:color="CCEEFF"/>
              <w:bottom w:val="single" w:sz="8" w:color="CCEEFF"/>
            </w:tcBorders>
            <w:vMerge w:val="restart"/>
          </w:tcPr>
          <w:p>
            <w:pPr>
              <w:spacing w:after="0" w:line="20" w:lineRule="exact"/>
              <w:rPr>
                <w:sz w:val="1"/>
                <w:szCs w:val="1"/>
                <w:color w:val="auto"/>
              </w:rPr>
            </w:pPr>
          </w:p>
        </w:tc>
        <w:tc>
          <w:tcPr>
            <w:tcW w:w="200" w:type="dxa"/>
            <w:vAlign w:val="bottom"/>
            <w:tcBorders>
              <w:top w:val="single" w:sz="8" w:color="CCEEFF"/>
              <w:bottom w:val="single" w:sz="8" w:color="CCEEFF"/>
            </w:tcBorders>
            <w:vMerge w:val="restart"/>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CEEFF"/>
              <w:bottom w:val="single" w:sz="8" w:color="CCEEFF"/>
            </w:tcBorders>
            <w:vMerge w:val="restart"/>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3920" w:type="dxa"/>
            <w:vAlign w:val="bottom"/>
            <w:tcBorders>
              <w:bottom w:val="single" w:sz="8" w:color="CCEEFF"/>
            </w:tcBorders>
            <w:vMerge w:val="continue"/>
          </w:tcPr>
          <w:p>
            <w:pPr>
              <w:spacing w:after="0"/>
              <w:rPr>
                <w:sz w:val="20"/>
                <w:szCs w:val="20"/>
                <w:color w:val="auto"/>
              </w:rPr>
            </w:pPr>
          </w:p>
        </w:tc>
        <w:tc>
          <w:tcPr>
            <w:tcW w:w="3240" w:type="dxa"/>
            <w:vAlign w:val="bottom"/>
            <w:tcBorders>
              <w:bottom w:val="single" w:sz="8" w:color="CCEEFF"/>
            </w:tcBorders>
            <w:vMerge w:val="continue"/>
          </w:tcPr>
          <w:p>
            <w:pPr>
              <w:spacing w:after="0"/>
              <w:rPr>
                <w:sz w:val="20"/>
                <w:szCs w:val="20"/>
                <w:color w:val="auto"/>
              </w:rPr>
            </w:pPr>
          </w:p>
        </w:tc>
        <w:tc>
          <w:tcPr>
            <w:tcW w:w="200" w:type="dxa"/>
            <w:vAlign w:val="bottom"/>
            <w:tcBorders>
              <w:bottom w:val="single" w:sz="8" w:color="CCEEFF"/>
            </w:tcBorders>
            <w:vMerge w:val="continue"/>
          </w:tcPr>
          <w:p>
            <w:pPr>
              <w:spacing w:after="0"/>
              <w:rPr>
                <w:sz w:val="20"/>
                <w:szCs w:val="20"/>
                <w:color w:val="auto"/>
              </w:rPr>
            </w:pPr>
          </w:p>
        </w:tc>
        <w:tc>
          <w:tcPr>
            <w:tcW w:w="160" w:type="dxa"/>
            <w:vAlign w:val="bottom"/>
            <w:tcBorders>
              <w:bottom w:val="single" w:sz="8" w:color="auto"/>
            </w:tcBorders>
          </w:tcPr>
          <w:p>
            <w:pPr>
              <w:jc w:val="right"/>
              <w:ind w:right="7"/>
              <w:spacing w:after="0"/>
              <w:rPr>
                <w:sz w:val="20"/>
                <w:szCs w:val="20"/>
                <w:color w:val="auto"/>
              </w:rPr>
            </w:pPr>
            <w:r>
              <w:rPr>
                <w:rFonts w:ascii="Arial" w:cs="Arial" w:eastAsia="Arial" w:hAnsi="Arial"/>
                <w:sz w:val="15"/>
                <w:szCs w:val="15"/>
                <w:color w:val="auto"/>
                <w:w w:val="71"/>
              </w:rPr>
              <w:t>$</w:t>
            </w:r>
          </w:p>
        </w:tc>
        <w:tc>
          <w:tcPr>
            <w:tcW w:w="74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1.69</w:t>
            </w:r>
          </w:p>
        </w:tc>
        <w:tc>
          <w:tcPr>
            <w:tcW w:w="200" w:type="dxa"/>
            <w:vAlign w:val="bottom"/>
            <w:tcBorders>
              <w:bottom w:val="single" w:sz="8" w:color="CCEEFF"/>
            </w:tcBorders>
            <w:vMerge w:val="continue"/>
          </w:tcPr>
          <w:p>
            <w:pPr>
              <w:spacing w:after="0"/>
              <w:rPr>
                <w:sz w:val="20"/>
                <w:szCs w:val="20"/>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00" w:type="dxa"/>
            <w:vAlign w:val="bottom"/>
            <w:tcBorders>
              <w:bottom w:val="single" w:sz="8" w:color="auto"/>
            </w:tcBorders>
          </w:tcPr>
          <w:p>
            <w:pPr>
              <w:spacing w:after="0"/>
              <w:rPr>
                <w:sz w:val="20"/>
                <w:szCs w:val="20"/>
                <w:color w:val="auto"/>
              </w:rPr>
            </w:pPr>
          </w:p>
        </w:tc>
        <w:tc>
          <w:tcPr>
            <w:tcW w:w="6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1.49</w:t>
            </w:r>
          </w:p>
        </w:tc>
        <w:tc>
          <w:tcPr>
            <w:tcW w:w="0" w:type="dxa"/>
            <w:vAlign w:val="bottom"/>
          </w:tcPr>
          <w:p>
            <w:pPr>
              <w:spacing w:after="0"/>
              <w:rPr>
                <w:sz w:val="1"/>
                <w:szCs w:val="1"/>
                <w:color w:val="auto"/>
              </w:rPr>
            </w:pPr>
          </w:p>
        </w:tc>
      </w:tr>
      <w:tr>
        <w:trPr>
          <w:trHeight w:val="197"/>
        </w:trPr>
        <w:tc>
          <w:tcPr>
            <w:tcW w:w="3920" w:type="dxa"/>
            <w:vAlign w:val="bottom"/>
            <w:tcBorders>
              <w:bottom w:val="single" w:sz="8" w:color="CCEEFF"/>
            </w:tcBorders>
            <w:shd w:val="clear" w:color="auto" w:fill="CCEEFF"/>
          </w:tcPr>
          <w:p>
            <w:pPr>
              <w:ind w:left="100"/>
              <w:spacing w:after="0" w:line="196" w:lineRule="exact"/>
              <w:rPr>
                <w:sz w:val="20"/>
                <w:szCs w:val="20"/>
                <w:color w:val="auto"/>
              </w:rPr>
            </w:pPr>
            <w:r>
              <w:rPr>
                <w:rFonts w:ascii="Arial" w:cs="Arial" w:eastAsia="Arial" w:hAnsi="Arial"/>
                <w:sz w:val="18"/>
                <w:szCs w:val="18"/>
                <w:b w:val="1"/>
                <w:bCs w:val="1"/>
                <w:color w:val="auto"/>
              </w:rPr>
              <w:t>Basic weighted average shares outstanding</w:t>
            </w:r>
          </w:p>
        </w:tc>
        <w:tc>
          <w:tcPr>
            <w:tcW w:w="324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CCEEFF"/>
            </w:tcBorders>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74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46,084</w:t>
            </w:r>
          </w:p>
        </w:tc>
        <w:tc>
          <w:tcPr>
            <w:tcW w:w="20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47,455</w:t>
            </w:r>
          </w:p>
        </w:tc>
        <w:tc>
          <w:tcPr>
            <w:tcW w:w="0" w:type="dxa"/>
            <w:vAlign w:val="bottom"/>
          </w:tcPr>
          <w:p>
            <w:pPr>
              <w:spacing w:after="0"/>
              <w:rPr>
                <w:sz w:val="1"/>
                <w:szCs w:val="1"/>
                <w:color w:val="auto"/>
              </w:rPr>
            </w:pPr>
          </w:p>
        </w:tc>
      </w:tr>
      <w:tr>
        <w:trPr>
          <w:trHeight w:val="20"/>
        </w:trPr>
        <w:tc>
          <w:tcPr>
            <w:tcW w:w="3920" w:type="dxa"/>
            <w:vAlign w:val="bottom"/>
            <w:vMerge w:val="restart"/>
          </w:tcPr>
          <w:p>
            <w:pPr>
              <w:ind w:left="100"/>
              <w:spacing w:after="0"/>
              <w:rPr>
                <w:sz w:val="20"/>
                <w:szCs w:val="20"/>
                <w:color w:val="auto"/>
              </w:rPr>
            </w:pPr>
            <w:r>
              <w:rPr>
                <w:rFonts w:ascii="Arial" w:cs="Arial" w:eastAsia="Arial" w:hAnsi="Arial"/>
                <w:sz w:val="18"/>
                <w:szCs w:val="18"/>
                <w:b w:val="1"/>
                <w:bCs w:val="1"/>
                <w:color w:val="auto"/>
                <w:w w:val="97"/>
              </w:rPr>
              <w:t>Diluted weighted average shares outstanding</w:t>
            </w:r>
          </w:p>
        </w:tc>
        <w:tc>
          <w:tcPr>
            <w:tcW w:w="3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3920" w:type="dxa"/>
            <w:vAlign w:val="bottom"/>
            <w:vMerge w:val="continue"/>
          </w:tcPr>
          <w:p>
            <w:pPr>
              <w:spacing w:after="0"/>
              <w:rPr>
                <w:sz w:val="17"/>
                <w:szCs w:val="17"/>
                <w:color w:val="auto"/>
              </w:rPr>
            </w:pPr>
          </w:p>
        </w:tc>
        <w:tc>
          <w:tcPr>
            <w:tcW w:w="32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46,300</w:t>
            </w:r>
          </w:p>
        </w:tc>
        <w:tc>
          <w:tcPr>
            <w:tcW w:w="200" w:type="dxa"/>
            <w:vAlign w:val="bottom"/>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6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47,764</w:t>
            </w:r>
          </w:p>
        </w:tc>
        <w:tc>
          <w:tcPr>
            <w:tcW w:w="0" w:type="dxa"/>
            <w:vAlign w:val="bottom"/>
          </w:tcPr>
          <w:p>
            <w:pPr>
              <w:spacing w:after="0"/>
              <w:rPr>
                <w:sz w:val="1"/>
                <w:szCs w:val="1"/>
                <w:color w:val="auto"/>
              </w:rPr>
            </w:pPr>
          </w:p>
        </w:tc>
      </w:tr>
      <w:tr>
        <w:trPr>
          <w:trHeight w:val="20"/>
        </w:trPr>
        <w:tc>
          <w:tcPr>
            <w:tcW w:w="3920" w:type="dxa"/>
            <w:vAlign w:val="bottom"/>
          </w:tcPr>
          <w:p>
            <w:pPr>
              <w:spacing w:after="0" w:line="20" w:lineRule="exact"/>
              <w:rPr>
                <w:sz w:val="1"/>
                <w:szCs w:val="1"/>
                <w:color w:val="auto"/>
              </w:rPr>
            </w:pPr>
          </w:p>
        </w:tc>
        <w:tc>
          <w:tcPr>
            <w:tcW w:w="3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357505</wp:posOffset>
            </wp:positionV>
            <wp:extent cx="5957570" cy="254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5957570" cy="25400"/>
                    </a:xfrm>
                    <a:prstGeom prst="rect">
                      <a:avLst/>
                    </a:prstGeom>
                    <a:noFill/>
                  </pic:spPr>
                </pic:pic>
              </a:graphicData>
            </a:graphic>
          </wp:anchor>
        </w:drawing>
      </w:r>
    </w:p>
    <w:p>
      <w:pPr>
        <w:sectPr>
          <w:pgSz w:w="11900" w:h="16838" w:orient="portrait"/>
          <w:cols w:equalWidth="0" w:num="1">
            <w:col w:w="9360"/>
          </w:cols>
          <w:pgMar w:left="1260" w:top="121" w:right="1279" w:bottom="1440" w:gutter="0" w:footer="0" w:header="0"/>
        </w:sectPr>
      </w:pPr>
    </w:p>
    <w:bookmarkStart w:id="12" w:name="page13"/>
    <w:bookmarkEnd w:id="12"/>
    <w:p>
      <w:pPr>
        <w:spacing w:after="0"/>
        <w:rPr>
          <w:sz w:val="20"/>
          <w:szCs w:val="20"/>
          <w:color w:val="auto"/>
        </w:rPr>
      </w:pPr>
      <w:r>
        <w:rPr>
          <w:rFonts w:ascii="Arial" w:cs="Arial" w:eastAsia="Arial" w:hAnsi="Arial"/>
          <w:sz w:val="18"/>
          <w:szCs w:val="18"/>
          <w:b w:val="1"/>
          <w:bCs w:val="1"/>
          <w:color w:val="auto"/>
        </w:rPr>
        <w:t>Grand Canyon Education, Inc. Reports First Quarter 2021 Results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Balance Sheets</w:t>
      </w:r>
    </w:p>
    <w:p>
      <w:pPr>
        <w:spacing w:after="0" w:line="148"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6860" w:type="dxa"/>
            <w:vAlign w:val="bottom"/>
            <w:vMerge w:val="restart"/>
          </w:tcPr>
          <w:p>
            <w:pPr>
              <w:spacing w:after="0"/>
              <w:rPr>
                <w:sz w:val="20"/>
                <w:szCs w:val="20"/>
                <w:color w:val="auto"/>
              </w:rPr>
            </w:pPr>
            <w:r>
              <w:rPr>
                <w:rFonts w:ascii="Arial" w:cs="Arial" w:eastAsia="Arial" w:hAnsi="Arial"/>
                <w:sz w:val="14"/>
                <w:szCs w:val="14"/>
                <w:b w:val="1"/>
                <w:bCs w:val="1"/>
                <w:color w:val="auto"/>
              </w:rPr>
              <w:t>(In thousands, except par value)</w:t>
            </w:r>
          </w:p>
        </w:tc>
        <w:tc>
          <w:tcPr>
            <w:tcW w:w="2500" w:type="dxa"/>
            <w:vAlign w:val="bottom"/>
            <w:gridSpan w:val="6"/>
          </w:tcPr>
          <w:p>
            <w:pPr>
              <w:ind w:left="140"/>
              <w:spacing w:after="0"/>
              <w:rPr>
                <w:sz w:val="20"/>
                <w:szCs w:val="20"/>
                <w:color w:val="auto"/>
              </w:rPr>
            </w:pPr>
            <w:r>
              <w:rPr>
                <w:rFonts w:ascii="Arial" w:cs="Arial" w:eastAsia="Arial" w:hAnsi="Arial"/>
                <w:sz w:val="14"/>
                <w:szCs w:val="14"/>
                <w:b w:val="1"/>
                <w:bCs w:val="1"/>
                <w:color w:val="auto"/>
                <w:w w:val="95"/>
              </w:rPr>
              <w:t>As of March 31,   As of December 31,</w:t>
            </w:r>
          </w:p>
        </w:tc>
        <w:tc>
          <w:tcPr>
            <w:tcW w:w="0" w:type="dxa"/>
            <w:vAlign w:val="bottom"/>
          </w:tcPr>
          <w:p>
            <w:pPr>
              <w:spacing w:after="0"/>
              <w:rPr>
                <w:sz w:val="1"/>
                <w:szCs w:val="1"/>
                <w:color w:val="auto"/>
              </w:rPr>
            </w:pPr>
          </w:p>
        </w:tc>
      </w:tr>
      <w:tr>
        <w:trPr>
          <w:trHeight w:val="142"/>
        </w:trPr>
        <w:tc>
          <w:tcPr>
            <w:tcW w:w="6860" w:type="dxa"/>
            <w:vAlign w:val="bottom"/>
            <w:tcBorders>
              <w:bottom w:val="single" w:sz="8" w:color="auto"/>
            </w:tcBorders>
            <w:vMerge w:val="continue"/>
          </w:tcPr>
          <w:p>
            <w:pPr>
              <w:spacing w:after="0"/>
              <w:rPr>
                <w:sz w:val="12"/>
                <w:szCs w:val="12"/>
                <w:color w:val="auto"/>
              </w:rPr>
            </w:pPr>
          </w:p>
        </w:tc>
        <w:tc>
          <w:tcPr>
            <w:tcW w:w="140" w:type="dxa"/>
            <w:vAlign w:val="bottom"/>
            <w:tcBorders>
              <w:bottom w:val="single" w:sz="8" w:color="CCEEFF"/>
            </w:tcBorders>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880" w:type="dxa"/>
            <w:vAlign w:val="bottom"/>
            <w:tcBorders>
              <w:top w:val="single" w:sz="8" w:color="auto"/>
              <w:bottom w:val="single" w:sz="8" w:color="auto"/>
            </w:tcBorders>
          </w:tcPr>
          <w:p>
            <w:pPr>
              <w:jc w:val="right"/>
              <w:ind w:right="271"/>
              <w:spacing w:after="0" w:line="142" w:lineRule="exact"/>
              <w:rPr>
                <w:sz w:val="20"/>
                <w:szCs w:val="20"/>
                <w:color w:val="auto"/>
              </w:rPr>
            </w:pPr>
            <w:r>
              <w:rPr>
                <w:rFonts w:ascii="Arial" w:cs="Arial" w:eastAsia="Arial" w:hAnsi="Arial"/>
                <w:sz w:val="14"/>
                <w:szCs w:val="14"/>
                <w:b w:val="1"/>
                <w:bCs w:val="1"/>
                <w:color w:val="auto"/>
              </w:rPr>
              <w:t>2021</w:t>
            </w:r>
          </w:p>
        </w:tc>
        <w:tc>
          <w:tcPr>
            <w:tcW w:w="140" w:type="dxa"/>
            <w:vAlign w:val="bottom"/>
            <w:tcBorders>
              <w:top w:val="single" w:sz="8" w:color="auto"/>
              <w:bottom w:val="single" w:sz="8" w:color="CCEEFF"/>
            </w:tcBorders>
          </w:tcPr>
          <w:p>
            <w:pPr>
              <w:spacing w:after="0"/>
              <w:rPr>
                <w:sz w:val="12"/>
                <w:szCs w:val="12"/>
                <w:color w:val="auto"/>
              </w:rPr>
            </w:pPr>
          </w:p>
        </w:tc>
        <w:tc>
          <w:tcPr>
            <w:tcW w:w="260" w:type="dxa"/>
            <w:vAlign w:val="bottom"/>
            <w:tcBorders>
              <w:top w:val="single" w:sz="8" w:color="auto"/>
              <w:bottom w:val="single" w:sz="8" w:color="auto"/>
            </w:tcBorders>
          </w:tcPr>
          <w:p>
            <w:pPr>
              <w:spacing w:after="0"/>
              <w:rPr>
                <w:sz w:val="12"/>
                <w:szCs w:val="12"/>
                <w:color w:val="auto"/>
              </w:rPr>
            </w:pPr>
          </w:p>
        </w:tc>
        <w:tc>
          <w:tcPr>
            <w:tcW w:w="940" w:type="dxa"/>
            <w:vAlign w:val="bottom"/>
            <w:tcBorders>
              <w:top w:val="single" w:sz="8" w:color="auto"/>
              <w:bottom w:val="single" w:sz="8" w:color="auto"/>
            </w:tcBorders>
          </w:tcPr>
          <w:p>
            <w:pPr>
              <w:jc w:val="right"/>
              <w:ind w:right="371"/>
              <w:spacing w:after="0" w:line="142" w:lineRule="exact"/>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209"/>
        </w:trPr>
        <w:tc>
          <w:tcPr>
            <w:tcW w:w="6860" w:type="dxa"/>
            <w:vAlign w:val="bottom"/>
            <w:shd w:val="clear" w:color="auto" w:fill="CCEEFF"/>
          </w:tcPr>
          <w:p>
            <w:pPr>
              <w:ind w:left="3060"/>
              <w:spacing w:after="0"/>
              <w:rPr>
                <w:sz w:val="20"/>
                <w:szCs w:val="20"/>
                <w:color w:val="auto"/>
              </w:rPr>
            </w:pPr>
            <w:r>
              <w:rPr>
                <w:rFonts w:ascii="Arial" w:cs="Arial" w:eastAsia="Arial" w:hAnsi="Arial"/>
                <w:sz w:val="18"/>
                <w:szCs w:val="18"/>
                <w:b w:val="1"/>
                <w:bCs w:val="1"/>
                <w:color w:val="auto"/>
              </w:rPr>
              <w:t>ASSETS:</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(Unaudited)</w:t>
            </w:r>
          </w:p>
        </w:tc>
        <w:tc>
          <w:tcPr>
            <w:tcW w:w="1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860" w:type="dxa"/>
            <w:vAlign w:val="bottom"/>
          </w:tcPr>
          <w:p>
            <w:pPr>
              <w:spacing w:after="0"/>
              <w:rPr>
                <w:sz w:val="20"/>
                <w:szCs w:val="20"/>
                <w:color w:val="auto"/>
              </w:rPr>
            </w:pPr>
            <w:r>
              <w:rPr>
                <w:rFonts w:ascii="Arial" w:cs="Arial" w:eastAsia="Arial" w:hAnsi="Arial"/>
                <w:sz w:val="18"/>
                <w:szCs w:val="18"/>
                <w:b w:val="1"/>
                <w:bCs w:val="1"/>
                <w:color w:val="auto"/>
              </w:rPr>
              <w:t>Current assets</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860" w:type="dxa"/>
            <w:vAlign w:val="bottom"/>
            <w:shd w:val="clear" w:color="auto" w:fill="CCEEFF"/>
          </w:tcPr>
          <w:p>
            <w:pPr>
              <w:ind w:left="320"/>
              <w:spacing w:after="0"/>
              <w:rPr>
                <w:sz w:val="20"/>
                <w:szCs w:val="20"/>
                <w:color w:val="auto"/>
              </w:rPr>
            </w:pPr>
            <w:r>
              <w:rPr>
                <w:rFonts w:ascii="Arial" w:cs="Arial" w:eastAsia="Arial" w:hAnsi="Arial"/>
                <w:sz w:val="18"/>
                <w:szCs w:val="18"/>
                <w:color w:val="auto"/>
              </w:rPr>
              <w:t>Cash and cash equivalents</w:t>
            </w:r>
          </w:p>
        </w:tc>
        <w:tc>
          <w:tcPr>
            <w:tcW w:w="28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225,829</w:t>
            </w:r>
          </w:p>
        </w:tc>
        <w:tc>
          <w:tcPr>
            <w:tcW w:w="400" w:type="dxa"/>
            <w:vAlign w:val="bottom"/>
            <w:gridSpan w:val="2"/>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245,769</w:t>
            </w:r>
          </w:p>
        </w:tc>
        <w:tc>
          <w:tcPr>
            <w:tcW w:w="0" w:type="dxa"/>
            <w:vAlign w:val="bottom"/>
          </w:tcPr>
          <w:p>
            <w:pPr>
              <w:spacing w:after="0"/>
              <w:rPr>
                <w:sz w:val="1"/>
                <w:szCs w:val="1"/>
                <w:color w:val="auto"/>
              </w:rPr>
            </w:pPr>
          </w:p>
        </w:tc>
      </w:tr>
      <w:tr>
        <w:trPr>
          <w:trHeight w:val="216"/>
        </w:trPr>
        <w:tc>
          <w:tcPr>
            <w:tcW w:w="6860" w:type="dxa"/>
            <w:vAlign w:val="bottom"/>
          </w:tcPr>
          <w:p>
            <w:pPr>
              <w:ind w:left="320"/>
              <w:spacing w:after="0"/>
              <w:rPr>
                <w:sz w:val="20"/>
                <w:szCs w:val="20"/>
                <w:color w:val="auto"/>
              </w:rPr>
            </w:pPr>
            <w:r>
              <w:rPr>
                <w:rFonts w:ascii="Arial" w:cs="Arial" w:eastAsia="Arial" w:hAnsi="Arial"/>
                <w:sz w:val="18"/>
                <w:szCs w:val="18"/>
                <w:color w:val="auto"/>
              </w:rPr>
              <w:t>Investments</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36,443</w:t>
            </w:r>
          </w:p>
        </w:tc>
        <w:tc>
          <w:tcPr>
            <w:tcW w:w="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10,840</w:t>
            </w:r>
          </w:p>
        </w:tc>
        <w:tc>
          <w:tcPr>
            <w:tcW w:w="0" w:type="dxa"/>
            <w:vAlign w:val="bottom"/>
          </w:tcPr>
          <w:p>
            <w:pPr>
              <w:spacing w:after="0"/>
              <w:rPr>
                <w:sz w:val="1"/>
                <w:szCs w:val="1"/>
                <w:color w:val="auto"/>
              </w:rPr>
            </w:pPr>
          </w:p>
        </w:tc>
      </w:tr>
      <w:tr>
        <w:trPr>
          <w:trHeight w:val="216"/>
        </w:trPr>
        <w:tc>
          <w:tcPr>
            <w:tcW w:w="6860" w:type="dxa"/>
            <w:vAlign w:val="bottom"/>
            <w:shd w:val="clear" w:color="auto" w:fill="CCEEFF"/>
          </w:tcPr>
          <w:p>
            <w:pPr>
              <w:ind w:left="320"/>
              <w:spacing w:after="0"/>
              <w:rPr>
                <w:sz w:val="20"/>
                <w:szCs w:val="20"/>
                <w:color w:val="auto"/>
              </w:rPr>
            </w:pPr>
            <w:r>
              <w:rPr>
                <w:rFonts w:ascii="Arial" w:cs="Arial" w:eastAsia="Arial" w:hAnsi="Arial"/>
                <w:sz w:val="18"/>
                <w:szCs w:val="18"/>
                <w:color w:val="auto"/>
              </w:rPr>
              <w:t>Accounts receivable, net</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91,790</w:t>
            </w:r>
          </w:p>
        </w:tc>
        <w:tc>
          <w:tcPr>
            <w:tcW w:w="1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62,189</w:t>
            </w:r>
          </w:p>
        </w:tc>
        <w:tc>
          <w:tcPr>
            <w:tcW w:w="0" w:type="dxa"/>
            <w:vAlign w:val="bottom"/>
          </w:tcPr>
          <w:p>
            <w:pPr>
              <w:spacing w:after="0"/>
              <w:rPr>
                <w:sz w:val="1"/>
                <w:szCs w:val="1"/>
                <w:color w:val="auto"/>
              </w:rPr>
            </w:pPr>
          </w:p>
        </w:tc>
      </w:tr>
      <w:tr>
        <w:trPr>
          <w:trHeight w:val="216"/>
        </w:trPr>
        <w:tc>
          <w:tcPr>
            <w:tcW w:w="6860" w:type="dxa"/>
            <w:vAlign w:val="bottom"/>
          </w:tcPr>
          <w:p>
            <w:pPr>
              <w:ind w:left="320"/>
              <w:spacing w:after="0"/>
              <w:rPr>
                <w:sz w:val="20"/>
                <w:szCs w:val="20"/>
                <w:color w:val="auto"/>
              </w:rPr>
            </w:pPr>
            <w:r>
              <w:rPr>
                <w:rFonts w:ascii="Arial" w:cs="Arial" w:eastAsia="Arial" w:hAnsi="Arial"/>
                <w:sz w:val="18"/>
                <w:szCs w:val="18"/>
                <w:color w:val="auto"/>
              </w:rPr>
              <w:t>Interest receivable on Secured Note</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5,011</w:t>
            </w:r>
          </w:p>
        </w:tc>
        <w:tc>
          <w:tcPr>
            <w:tcW w:w="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5,011</w:t>
            </w:r>
          </w:p>
        </w:tc>
        <w:tc>
          <w:tcPr>
            <w:tcW w:w="0" w:type="dxa"/>
            <w:vAlign w:val="bottom"/>
          </w:tcPr>
          <w:p>
            <w:pPr>
              <w:spacing w:after="0"/>
              <w:rPr>
                <w:sz w:val="1"/>
                <w:szCs w:val="1"/>
                <w:color w:val="auto"/>
              </w:rPr>
            </w:pPr>
          </w:p>
        </w:tc>
      </w:tr>
      <w:tr>
        <w:trPr>
          <w:trHeight w:val="216"/>
        </w:trPr>
        <w:tc>
          <w:tcPr>
            <w:tcW w:w="6860" w:type="dxa"/>
            <w:vAlign w:val="bottom"/>
            <w:shd w:val="clear" w:color="auto" w:fill="CCEEFF"/>
          </w:tcPr>
          <w:p>
            <w:pPr>
              <w:ind w:left="320"/>
              <w:spacing w:after="0"/>
              <w:rPr>
                <w:sz w:val="20"/>
                <w:szCs w:val="20"/>
                <w:color w:val="auto"/>
              </w:rPr>
            </w:pPr>
            <w:r>
              <w:rPr>
                <w:rFonts w:ascii="Arial" w:cs="Arial" w:eastAsia="Arial" w:hAnsi="Arial"/>
                <w:sz w:val="18"/>
                <w:szCs w:val="18"/>
                <w:color w:val="auto"/>
              </w:rPr>
              <w:t>Income taxes receivable</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763</w:t>
            </w:r>
          </w:p>
        </w:tc>
        <w:tc>
          <w:tcPr>
            <w:tcW w:w="1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1,294</w:t>
            </w:r>
          </w:p>
        </w:tc>
        <w:tc>
          <w:tcPr>
            <w:tcW w:w="0" w:type="dxa"/>
            <w:vAlign w:val="bottom"/>
          </w:tcPr>
          <w:p>
            <w:pPr>
              <w:spacing w:after="0"/>
              <w:rPr>
                <w:sz w:val="1"/>
                <w:szCs w:val="1"/>
                <w:color w:val="auto"/>
              </w:rPr>
            </w:pPr>
          </w:p>
        </w:tc>
      </w:tr>
      <w:tr>
        <w:trPr>
          <w:trHeight w:val="216"/>
        </w:trPr>
        <w:tc>
          <w:tcPr>
            <w:tcW w:w="6860" w:type="dxa"/>
            <w:vAlign w:val="bottom"/>
            <w:tcBorders>
              <w:bottom w:val="single" w:sz="8" w:color="CCEEFF"/>
            </w:tcBorders>
          </w:tcPr>
          <w:p>
            <w:pPr>
              <w:ind w:left="320"/>
              <w:spacing w:after="0"/>
              <w:rPr>
                <w:sz w:val="20"/>
                <w:szCs w:val="20"/>
                <w:color w:val="auto"/>
              </w:rPr>
            </w:pPr>
            <w:r>
              <w:rPr>
                <w:rFonts w:ascii="Arial" w:cs="Arial" w:eastAsia="Arial" w:hAnsi="Arial"/>
                <w:sz w:val="18"/>
                <w:szCs w:val="18"/>
                <w:color w:val="auto"/>
              </w:rPr>
              <w:t>Other current assets</w:t>
            </w:r>
          </w:p>
        </w:tc>
        <w:tc>
          <w:tcPr>
            <w:tcW w:w="14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14,484</w:t>
            </w:r>
          </w:p>
        </w:tc>
        <w:tc>
          <w:tcPr>
            <w:tcW w:w="140" w:type="dxa"/>
            <w:vAlign w:val="bottom"/>
            <w:tcBorders>
              <w:bottom w:val="single" w:sz="8" w:color="CCEEFF"/>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8,639</w:t>
            </w:r>
          </w:p>
        </w:tc>
        <w:tc>
          <w:tcPr>
            <w:tcW w:w="0" w:type="dxa"/>
            <w:vAlign w:val="bottom"/>
          </w:tcPr>
          <w:p>
            <w:pPr>
              <w:spacing w:after="0"/>
              <w:rPr>
                <w:sz w:val="1"/>
                <w:szCs w:val="1"/>
                <w:color w:val="auto"/>
              </w:rPr>
            </w:pPr>
          </w:p>
        </w:tc>
      </w:tr>
      <w:tr>
        <w:trPr>
          <w:trHeight w:val="209"/>
        </w:trPr>
        <w:tc>
          <w:tcPr>
            <w:tcW w:w="68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Total current assets</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374,320</w:t>
            </w:r>
          </w:p>
        </w:tc>
        <w:tc>
          <w:tcPr>
            <w:tcW w:w="1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333,742</w:t>
            </w:r>
          </w:p>
        </w:tc>
        <w:tc>
          <w:tcPr>
            <w:tcW w:w="0" w:type="dxa"/>
            <w:vAlign w:val="bottom"/>
          </w:tcPr>
          <w:p>
            <w:pPr>
              <w:spacing w:after="0"/>
              <w:rPr>
                <w:sz w:val="1"/>
                <w:szCs w:val="1"/>
                <w:color w:val="auto"/>
              </w:rPr>
            </w:pPr>
          </w:p>
        </w:tc>
      </w:tr>
      <w:tr>
        <w:trPr>
          <w:trHeight w:val="216"/>
        </w:trPr>
        <w:tc>
          <w:tcPr>
            <w:tcW w:w="6860" w:type="dxa"/>
            <w:vAlign w:val="bottom"/>
          </w:tcPr>
          <w:p>
            <w:pPr>
              <w:spacing w:after="0"/>
              <w:rPr>
                <w:sz w:val="20"/>
                <w:szCs w:val="20"/>
                <w:color w:val="auto"/>
              </w:rPr>
            </w:pPr>
            <w:r>
              <w:rPr>
                <w:rFonts w:ascii="Arial" w:cs="Arial" w:eastAsia="Arial" w:hAnsi="Arial"/>
                <w:sz w:val="18"/>
                <w:szCs w:val="18"/>
                <w:color w:val="auto"/>
              </w:rPr>
              <w:t>Property and equipment, net</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131,929</w:t>
            </w:r>
          </w:p>
        </w:tc>
        <w:tc>
          <w:tcPr>
            <w:tcW w:w="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128,657</w:t>
            </w:r>
          </w:p>
        </w:tc>
        <w:tc>
          <w:tcPr>
            <w:tcW w:w="0" w:type="dxa"/>
            <w:vAlign w:val="bottom"/>
          </w:tcPr>
          <w:p>
            <w:pPr>
              <w:spacing w:after="0"/>
              <w:rPr>
                <w:sz w:val="1"/>
                <w:szCs w:val="1"/>
                <w:color w:val="auto"/>
              </w:rPr>
            </w:pPr>
          </w:p>
        </w:tc>
      </w:tr>
      <w:tr>
        <w:trPr>
          <w:trHeight w:val="216"/>
        </w:trPr>
        <w:tc>
          <w:tcPr>
            <w:tcW w:w="6860" w:type="dxa"/>
            <w:vAlign w:val="bottom"/>
            <w:shd w:val="clear" w:color="auto" w:fill="CCEEFF"/>
          </w:tcPr>
          <w:p>
            <w:pPr>
              <w:spacing w:after="0"/>
              <w:rPr>
                <w:sz w:val="20"/>
                <w:szCs w:val="20"/>
                <w:color w:val="auto"/>
              </w:rPr>
            </w:pPr>
            <w:r>
              <w:rPr>
                <w:rFonts w:ascii="Arial" w:cs="Arial" w:eastAsia="Arial" w:hAnsi="Arial"/>
                <w:sz w:val="18"/>
                <w:szCs w:val="18"/>
                <w:color w:val="auto"/>
              </w:rPr>
              <w:t>Right-of-use assets</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59,434</w:t>
            </w:r>
          </w:p>
        </w:tc>
        <w:tc>
          <w:tcPr>
            <w:tcW w:w="1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61,020</w:t>
            </w:r>
          </w:p>
        </w:tc>
        <w:tc>
          <w:tcPr>
            <w:tcW w:w="0" w:type="dxa"/>
            <w:vAlign w:val="bottom"/>
          </w:tcPr>
          <w:p>
            <w:pPr>
              <w:spacing w:after="0"/>
              <w:rPr>
                <w:sz w:val="1"/>
                <w:szCs w:val="1"/>
                <w:color w:val="auto"/>
              </w:rPr>
            </w:pPr>
          </w:p>
        </w:tc>
      </w:tr>
      <w:tr>
        <w:trPr>
          <w:trHeight w:val="216"/>
        </w:trPr>
        <w:tc>
          <w:tcPr>
            <w:tcW w:w="6860" w:type="dxa"/>
            <w:vAlign w:val="bottom"/>
          </w:tcPr>
          <w:p>
            <w:pPr>
              <w:spacing w:after="0"/>
              <w:rPr>
                <w:sz w:val="20"/>
                <w:szCs w:val="20"/>
                <w:color w:val="auto"/>
              </w:rPr>
            </w:pPr>
            <w:r>
              <w:rPr>
                <w:rFonts w:ascii="Arial" w:cs="Arial" w:eastAsia="Arial" w:hAnsi="Arial"/>
                <w:sz w:val="18"/>
                <w:szCs w:val="18"/>
                <w:color w:val="auto"/>
              </w:rPr>
              <w:t>Secured Note receivable, net</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964,912</w:t>
            </w:r>
          </w:p>
        </w:tc>
        <w:tc>
          <w:tcPr>
            <w:tcW w:w="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964,912</w:t>
            </w:r>
          </w:p>
        </w:tc>
        <w:tc>
          <w:tcPr>
            <w:tcW w:w="0" w:type="dxa"/>
            <w:vAlign w:val="bottom"/>
          </w:tcPr>
          <w:p>
            <w:pPr>
              <w:spacing w:after="0"/>
              <w:rPr>
                <w:sz w:val="1"/>
                <w:szCs w:val="1"/>
                <w:color w:val="auto"/>
              </w:rPr>
            </w:pPr>
          </w:p>
        </w:tc>
      </w:tr>
      <w:tr>
        <w:trPr>
          <w:trHeight w:val="216"/>
        </w:trPr>
        <w:tc>
          <w:tcPr>
            <w:tcW w:w="6860" w:type="dxa"/>
            <w:vAlign w:val="bottom"/>
            <w:shd w:val="clear" w:color="auto" w:fill="CCEEFF"/>
          </w:tcPr>
          <w:p>
            <w:pPr>
              <w:spacing w:after="0"/>
              <w:rPr>
                <w:sz w:val="20"/>
                <w:szCs w:val="20"/>
                <w:color w:val="auto"/>
              </w:rPr>
            </w:pPr>
            <w:r>
              <w:rPr>
                <w:rFonts w:ascii="Arial" w:cs="Arial" w:eastAsia="Arial" w:hAnsi="Arial"/>
                <w:sz w:val="18"/>
                <w:szCs w:val="18"/>
                <w:color w:val="auto"/>
              </w:rPr>
              <w:t>Amortizable intangible assets, net</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191,533</w:t>
            </w:r>
          </w:p>
        </w:tc>
        <w:tc>
          <w:tcPr>
            <w:tcW w:w="1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193,638</w:t>
            </w:r>
          </w:p>
        </w:tc>
        <w:tc>
          <w:tcPr>
            <w:tcW w:w="0" w:type="dxa"/>
            <w:vAlign w:val="bottom"/>
          </w:tcPr>
          <w:p>
            <w:pPr>
              <w:spacing w:after="0"/>
              <w:rPr>
                <w:sz w:val="1"/>
                <w:szCs w:val="1"/>
                <w:color w:val="auto"/>
              </w:rPr>
            </w:pPr>
          </w:p>
        </w:tc>
      </w:tr>
      <w:tr>
        <w:trPr>
          <w:trHeight w:val="216"/>
        </w:trPr>
        <w:tc>
          <w:tcPr>
            <w:tcW w:w="6860" w:type="dxa"/>
            <w:vAlign w:val="bottom"/>
          </w:tcPr>
          <w:p>
            <w:pPr>
              <w:spacing w:after="0"/>
              <w:rPr>
                <w:sz w:val="20"/>
                <w:szCs w:val="20"/>
                <w:color w:val="auto"/>
              </w:rPr>
            </w:pPr>
            <w:r>
              <w:rPr>
                <w:rFonts w:ascii="Arial" w:cs="Arial" w:eastAsia="Arial" w:hAnsi="Arial"/>
                <w:sz w:val="18"/>
                <w:szCs w:val="18"/>
                <w:color w:val="auto"/>
              </w:rPr>
              <w:t>Goodwill</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160,766</w:t>
            </w:r>
          </w:p>
        </w:tc>
        <w:tc>
          <w:tcPr>
            <w:tcW w:w="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160,766</w:t>
            </w:r>
          </w:p>
        </w:tc>
        <w:tc>
          <w:tcPr>
            <w:tcW w:w="0" w:type="dxa"/>
            <w:vAlign w:val="bottom"/>
          </w:tcPr>
          <w:p>
            <w:pPr>
              <w:spacing w:after="0"/>
              <w:rPr>
                <w:sz w:val="1"/>
                <w:szCs w:val="1"/>
                <w:color w:val="auto"/>
              </w:rPr>
            </w:pPr>
          </w:p>
        </w:tc>
      </w:tr>
      <w:tr>
        <w:trPr>
          <w:trHeight w:val="216"/>
        </w:trPr>
        <w:tc>
          <w:tcPr>
            <w:tcW w:w="6860" w:type="dxa"/>
            <w:vAlign w:val="bottom"/>
            <w:shd w:val="clear" w:color="auto" w:fill="CCEEFF"/>
          </w:tcPr>
          <w:p>
            <w:pPr>
              <w:spacing w:after="0"/>
              <w:rPr>
                <w:sz w:val="20"/>
                <w:szCs w:val="20"/>
                <w:color w:val="auto"/>
              </w:rPr>
            </w:pPr>
            <w:r>
              <w:rPr>
                <w:rFonts w:ascii="Arial" w:cs="Arial" w:eastAsia="Arial" w:hAnsi="Arial"/>
                <w:sz w:val="18"/>
                <w:szCs w:val="18"/>
                <w:color w:val="auto"/>
              </w:rPr>
              <w:t>Other assets</w:t>
            </w:r>
          </w:p>
        </w:tc>
        <w:tc>
          <w:tcPr>
            <w:tcW w:w="14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2,133</w:t>
            </w:r>
          </w:p>
        </w:tc>
        <w:tc>
          <w:tcPr>
            <w:tcW w:w="14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1,844</w:t>
            </w:r>
          </w:p>
        </w:tc>
        <w:tc>
          <w:tcPr>
            <w:tcW w:w="0" w:type="dxa"/>
            <w:vAlign w:val="bottom"/>
          </w:tcPr>
          <w:p>
            <w:pPr>
              <w:spacing w:after="0"/>
              <w:rPr>
                <w:sz w:val="1"/>
                <w:szCs w:val="1"/>
                <w:color w:val="auto"/>
              </w:rPr>
            </w:pPr>
          </w:p>
        </w:tc>
      </w:tr>
      <w:tr>
        <w:trPr>
          <w:trHeight w:val="250"/>
        </w:trPr>
        <w:tc>
          <w:tcPr>
            <w:tcW w:w="6860" w:type="dxa"/>
            <w:vAlign w:val="bottom"/>
            <w:tcBorders>
              <w:bottom w:val="single" w:sz="8" w:color="CCEEFF"/>
            </w:tcBorders>
          </w:tcPr>
          <w:p>
            <w:pPr>
              <w:spacing w:after="0"/>
              <w:rPr>
                <w:sz w:val="20"/>
                <w:szCs w:val="20"/>
                <w:color w:val="auto"/>
              </w:rPr>
            </w:pPr>
            <w:r>
              <w:rPr>
                <w:rFonts w:ascii="Arial" w:cs="Arial" w:eastAsia="Arial" w:hAnsi="Arial"/>
                <w:sz w:val="18"/>
                <w:szCs w:val="18"/>
                <w:b w:val="1"/>
                <w:bCs w:val="1"/>
                <w:color w:val="auto"/>
              </w:rPr>
              <w:t>Total assets</w:t>
            </w:r>
          </w:p>
        </w:tc>
        <w:tc>
          <w:tcPr>
            <w:tcW w:w="140" w:type="dxa"/>
            <w:vAlign w:val="bottom"/>
            <w:tcBorders>
              <w:bottom w:val="single" w:sz="8" w:color="CCEEFF"/>
            </w:tcBorders>
          </w:tcPr>
          <w:p>
            <w:pPr>
              <w:spacing w:after="0"/>
              <w:rPr>
                <w:sz w:val="21"/>
                <w:szCs w:val="21"/>
                <w:color w:val="auto"/>
              </w:rPr>
            </w:pPr>
          </w:p>
        </w:tc>
        <w:tc>
          <w:tcPr>
            <w:tcW w:w="1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7"/>
              </w:rPr>
              <w:t>1,885,027</w:t>
            </w:r>
          </w:p>
        </w:tc>
        <w:tc>
          <w:tcPr>
            <w:tcW w:w="140" w:type="dxa"/>
            <w:vAlign w:val="bottom"/>
            <w:tcBorders>
              <w:bottom w:val="single" w:sz="8" w:color="CCEEFF"/>
            </w:tcBorders>
          </w:tcPr>
          <w:p>
            <w:pPr>
              <w:spacing w:after="0"/>
              <w:rPr>
                <w:sz w:val="21"/>
                <w:szCs w:val="21"/>
                <w:color w:val="auto"/>
              </w:rPr>
            </w:pPr>
          </w:p>
        </w:tc>
        <w:tc>
          <w:tcPr>
            <w:tcW w:w="26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1,844,579</w:t>
            </w:r>
          </w:p>
        </w:tc>
        <w:tc>
          <w:tcPr>
            <w:tcW w:w="0" w:type="dxa"/>
            <w:vAlign w:val="bottom"/>
          </w:tcPr>
          <w:p>
            <w:pPr>
              <w:spacing w:after="0"/>
              <w:rPr>
                <w:sz w:val="1"/>
                <w:szCs w:val="1"/>
                <w:color w:val="auto"/>
              </w:rPr>
            </w:pPr>
          </w:p>
        </w:tc>
      </w:tr>
      <w:tr>
        <w:trPr>
          <w:trHeight w:val="196"/>
        </w:trPr>
        <w:tc>
          <w:tcPr>
            <w:tcW w:w="6860" w:type="dxa"/>
            <w:vAlign w:val="bottom"/>
            <w:shd w:val="clear" w:color="auto" w:fill="CCEEFF"/>
          </w:tcPr>
          <w:p>
            <w:pPr>
              <w:ind w:left="1440"/>
              <w:spacing w:after="0" w:line="196" w:lineRule="exact"/>
              <w:rPr>
                <w:sz w:val="20"/>
                <w:szCs w:val="20"/>
                <w:color w:val="auto"/>
              </w:rPr>
            </w:pPr>
            <w:r>
              <w:rPr>
                <w:rFonts w:ascii="Arial" w:cs="Arial" w:eastAsia="Arial" w:hAnsi="Arial"/>
                <w:sz w:val="18"/>
                <w:szCs w:val="18"/>
                <w:b w:val="1"/>
                <w:bCs w:val="1"/>
                <w:color w:val="auto"/>
              </w:rPr>
              <w:t>LIABILITIES AND STOCKHOLDERS’ EQUITY:</w:t>
            </w: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6860" w:type="dxa"/>
            <w:vAlign w:val="bottom"/>
          </w:tcPr>
          <w:p>
            <w:pPr>
              <w:spacing w:after="0"/>
              <w:rPr>
                <w:sz w:val="20"/>
                <w:szCs w:val="20"/>
                <w:color w:val="auto"/>
              </w:rPr>
            </w:pPr>
            <w:r>
              <w:rPr>
                <w:rFonts w:ascii="Arial" w:cs="Arial" w:eastAsia="Arial" w:hAnsi="Arial"/>
                <w:sz w:val="18"/>
                <w:szCs w:val="18"/>
                <w:b w:val="1"/>
                <w:bCs w:val="1"/>
                <w:color w:val="auto"/>
              </w:rPr>
              <w:t>Current liabilities</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860" w:type="dxa"/>
            <w:vAlign w:val="bottom"/>
            <w:shd w:val="clear" w:color="auto" w:fill="CCEEFF"/>
          </w:tcPr>
          <w:p>
            <w:pPr>
              <w:ind w:left="320"/>
              <w:spacing w:after="0"/>
              <w:rPr>
                <w:sz w:val="20"/>
                <w:szCs w:val="20"/>
                <w:color w:val="auto"/>
              </w:rPr>
            </w:pPr>
            <w:r>
              <w:rPr>
                <w:rFonts w:ascii="Arial" w:cs="Arial" w:eastAsia="Arial" w:hAnsi="Arial"/>
                <w:sz w:val="18"/>
                <w:szCs w:val="18"/>
                <w:color w:val="auto"/>
              </w:rPr>
              <w:t>Accounts payable</w:t>
            </w:r>
          </w:p>
        </w:tc>
        <w:tc>
          <w:tcPr>
            <w:tcW w:w="28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17,224</w:t>
            </w:r>
          </w:p>
        </w:tc>
        <w:tc>
          <w:tcPr>
            <w:tcW w:w="400" w:type="dxa"/>
            <w:vAlign w:val="bottom"/>
            <w:gridSpan w:val="2"/>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16,583</w:t>
            </w:r>
          </w:p>
        </w:tc>
        <w:tc>
          <w:tcPr>
            <w:tcW w:w="0" w:type="dxa"/>
            <w:vAlign w:val="bottom"/>
          </w:tcPr>
          <w:p>
            <w:pPr>
              <w:spacing w:after="0"/>
              <w:rPr>
                <w:sz w:val="1"/>
                <w:szCs w:val="1"/>
                <w:color w:val="auto"/>
              </w:rPr>
            </w:pPr>
          </w:p>
        </w:tc>
      </w:tr>
      <w:tr>
        <w:trPr>
          <w:trHeight w:val="216"/>
        </w:trPr>
        <w:tc>
          <w:tcPr>
            <w:tcW w:w="6860" w:type="dxa"/>
            <w:vAlign w:val="bottom"/>
          </w:tcPr>
          <w:p>
            <w:pPr>
              <w:ind w:left="320"/>
              <w:spacing w:after="0"/>
              <w:rPr>
                <w:sz w:val="20"/>
                <w:szCs w:val="20"/>
                <w:color w:val="auto"/>
              </w:rPr>
            </w:pPr>
            <w:r>
              <w:rPr>
                <w:rFonts w:ascii="Arial" w:cs="Arial" w:eastAsia="Arial" w:hAnsi="Arial"/>
                <w:sz w:val="18"/>
                <w:szCs w:val="18"/>
                <w:color w:val="auto"/>
              </w:rPr>
              <w:t>Accrued compensation and benefits</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37,307</w:t>
            </w:r>
          </w:p>
        </w:tc>
        <w:tc>
          <w:tcPr>
            <w:tcW w:w="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34,248</w:t>
            </w:r>
          </w:p>
        </w:tc>
        <w:tc>
          <w:tcPr>
            <w:tcW w:w="0" w:type="dxa"/>
            <w:vAlign w:val="bottom"/>
          </w:tcPr>
          <w:p>
            <w:pPr>
              <w:spacing w:after="0"/>
              <w:rPr>
                <w:sz w:val="1"/>
                <w:szCs w:val="1"/>
                <w:color w:val="auto"/>
              </w:rPr>
            </w:pPr>
          </w:p>
        </w:tc>
      </w:tr>
      <w:tr>
        <w:trPr>
          <w:trHeight w:val="216"/>
        </w:trPr>
        <w:tc>
          <w:tcPr>
            <w:tcW w:w="6860" w:type="dxa"/>
            <w:vAlign w:val="bottom"/>
            <w:shd w:val="clear" w:color="auto" w:fill="CCEEFF"/>
          </w:tcPr>
          <w:p>
            <w:pPr>
              <w:ind w:left="320"/>
              <w:spacing w:after="0"/>
              <w:rPr>
                <w:sz w:val="20"/>
                <w:szCs w:val="20"/>
                <w:color w:val="auto"/>
              </w:rPr>
            </w:pPr>
            <w:r>
              <w:rPr>
                <w:rFonts w:ascii="Arial" w:cs="Arial" w:eastAsia="Arial" w:hAnsi="Arial"/>
                <w:sz w:val="18"/>
                <w:szCs w:val="18"/>
                <w:color w:val="auto"/>
              </w:rPr>
              <w:t>Accrued liabilities</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29,495</w:t>
            </w:r>
          </w:p>
        </w:tc>
        <w:tc>
          <w:tcPr>
            <w:tcW w:w="1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21,945</w:t>
            </w:r>
          </w:p>
        </w:tc>
        <w:tc>
          <w:tcPr>
            <w:tcW w:w="0" w:type="dxa"/>
            <w:vAlign w:val="bottom"/>
          </w:tcPr>
          <w:p>
            <w:pPr>
              <w:spacing w:after="0"/>
              <w:rPr>
                <w:sz w:val="1"/>
                <w:szCs w:val="1"/>
                <w:color w:val="auto"/>
              </w:rPr>
            </w:pPr>
          </w:p>
        </w:tc>
      </w:tr>
      <w:tr>
        <w:trPr>
          <w:trHeight w:val="216"/>
        </w:trPr>
        <w:tc>
          <w:tcPr>
            <w:tcW w:w="6860" w:type="dxa"/>
            <w:vAlign w:val="bottom"/>
          </w:tcPr>
          <w:p>
            <w:pPr>
              <w:ind w:left="320"/>
              <w:spacing w:after="0"/>
              <w:rPr>
                <w:sz w:val="20"/>
                <w:szCs w:val="20"/>
                <w:color w:val="auto"/>
              </w:rPr>
            </w:pPr>
            <w:r>
              <w:rPr>
                <w:rFonts w:ascii="Arial" w:cs="Arial" w:eastAsia="Arial" w:hAnsi="Arial"/>
                <w:sz w:val="18"/>
                <w:szCs w:val="18"/>
                <w:color w:val="auto"/>
              </w:rPr>
              <w:t>Income taxes payable</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21,180</w:t>
            </w:r>
          </w:p>
        </w:tc>
        <w:tc>
          <w:tcPr>
            <w:tcW w:w="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5,405</w:t>
            </w:r>
          </w:p>
        </w:tc>
        <w:tc>
          <w:tcPr>
            <w:tcW w:w="0" w:type="dxa"/>
            <w:vAlign w:val="bottom"/>
          </w:tcPr>
          <w:p>
            <w:pPr>
              <w:spacing w:after="0"/>
              <w:rPr>
                <w:sz w:val="1"/>
                <w:szCs w:val="1"/>
                <w:color w:val="auto"/>
              </w:rPr>
            </w:pPr>
          </w:p>
        </w:tc>
      </w:tr>
      <w:tr>
        <w:trPr>
          <w:trHeight w:val="216"/>
        </w:trPr>
        <w:tc>
          <w:tcPr>
            <w:tcW w:w="6860" w:type="dxa"/>
            <w:vAlign w:val="bottom"/>
            <w:shd w:val="clear" w:color="auto" w:fill="CCEEFF"/>
          </w:tcPr>
          <w:p>
            <w:pPr>
              <w:ind w:left="320"/>
              <w:spacing w:after="0"/>
              <w:rPr>
                <w:sz w:val="20"/>
                <w:szCs w:val="20"/>
                <w:color w:val="auto"/>
              </w:rPr>
            </w:pPr>
            <w:r>
              <w:rPr>
                <w:rFonts w:ascii="Arial" w:cs="Arial" w:eastAsia="Arial" w:hAnsi="Arial"/>
                <w:sz w:val="18"/>
                <w:szCs w:val="18"/>
                <w:color w:val="auto"/>
              </w:rPr>
              <w:t>Deferred revenue</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6,936</w:t>
            </w:r>
          </w:p>
        </w:tc>
        <w:tc>
          <w:tcPr>
            <w:tcW w:w="1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6860" w:type="dxa"/>
            <w:vAlign w:val="bottom"/>
          </w:tcPr>
          <w:p>
            <w:pPr>
              <w:ind w:left="320"/>
              <w:spacing w:after="0"/>
              <w:rPr>
                <w:sz w:val="20"/>
                <w:szCs w:val="20"/>
                <w:color w:val="auto"/>
              </w:rPr>
            </w:pPr>
            <w:r>
              <w:rPr>
                <w:rFonts w:ascii="Arial" w:cs="Arial" w:eastAsia="Arial" w:hAnsi="Arial"/>
                <w:sz w:val="18"/>
                <w:szCs w:val="18"/>
                <w:color w:val="auto"/>
              </w:rPr>
              <w:t>Current portion of lease liability</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7,525</w:t>
            </w:r>
          </w:p>
        </w:tc>
        <w:tc>
          <w:tcPr>
            <w:tcW w:w="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7,393</w:t>
            </w:r>
          </w:p>
        </w:tc>
        <w:tc>
          <w:tcPr>
            <w:tcW w:w="0" w:type="dxa"/>
            <w:vAlign w:val="bottom"/>
          </w:tcPr>
          <w:p>
            <w:pPr>
              <w:spacing w:after="0"/>
              <w:rPr>
                <w:sz w:val="1"/>
                <w:szCs w:val="1"/>
                <w:color w:val="auto"/>
              </w:rPr>
            </w:pPr>
          </w:p>
        </w:tc>
      </w:tr>
      <w:tr>
        <w:trPr>
          <w:trHeight w:val="216"/>
        </w:trPr>
        <w:tc>
          <w:tcPr>
            <w:tcW w:w="6860" w:type="dxa"/>
            <w:vAlign w:val="bottom"/>
            <w:shd w:val="clear" w:color="auto" w:fill="CCEEFF"/>
          </w:tcPr>
          <w:p>
            <w:pPr>
              <w:ind w:left="320"/>
              <w:spacing w:after="0"/>
              <w:rPr>
                <w:sz w:val="20"/>
                <w:szCs w:val="20"/>
                <w:color w:val="auto"/>
              </w:rPr>
            </w:pPr>
            <w:r>
              <w:rPr>
                <w:rFonts w:ascii="Arial" w:cs="Arial" w:eastAsia="Arial" w:hAnsi="Arial"/>
                <w:sz w:val="18"/>
                <w:szCs w:val="18"/>
                <w:color w:val="auto"/>
              </w:rPr>
              <w:t>Current portion of notes payable</w:t>
            </w:r>
          </w:p>
        </w:tc>
        <w:tc>
          <w:tcPr>
            <w:tcW w:w="14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33,144</w:t>
            </w:r>
          </w:p>
        </w:tc>
        <w:tc>
          <w:tcPr>
            <w:tcW w:w="14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33,144</w:t>
            </w:r>
          </w:p>
        </w:tc>
        <w:tc>
          <w:tcPr>
            <w:tcW w:w="0" w:type="dxa"/>
            <w:vAlign w:val="bottom"/>
          </w:tcPr>
          <w:p>
            <w:pPr>
              <w:spacing w:after="0"/>
              <w:rPr>
                <w:sz w:val="1"/>
                <w:szCs w:val="1"/>
                <w:color w:val="auto"/>
              </w:rPr>
            </w:pPr>
          </w:p>
        </w:tc>
      </w:tr>
      <w:tr>
        <w:trPr>
          <w:trHeight w:val="209"/>
        </w:trPr>
        <w:tc>
          <w:tcPr>
            <w:tcW w:w="6860" w:type="dxa"/>
            <w:vAlign w:val="bottom"/>
          </w:tcPr>
          <w:p>
            <w:pPr>
              <w:spacing w:after="0"/>
              <w:rPr>
                <w:sz w:val="20"/>
                <w:szCs w:val="20"/>
                <w:color w:val="auto"/>
              </w:rPr>
            </w:pPr>
            <w:r>
              <w:rPr>
                <w:rFonts w:ascii="Arial" w:cs="Arial" w:eastAsia="Arial" w:hAnsi="Arial"/>
                <w:sz w:val="18"/>
                <w:szCs w:val="18"/>
                <w:b w:val="1"/>
                <w:bCs w:val="1"/>
                <w:color w:val="auto"/>
              </w:rPr>
              <w:t>Total current liabilities</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152,811</w:t>
            </w:r>
          </w:p>
        </w:tc>
        <w:tc>
          <w:tcPr>
            <w:tcW w:w="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118,718</w:t>
            </w:r>
          </w:p>
        </w:tc>
        <w:tc>
          <w:tcPr>
            <w:tcW w:w="0" w:type="dxa"/>
            <w:vAlign w:val="bottom"/>
          </w:tcPr>
          <w:p>
            <w:pPr>
              <w:spacing w:after="0"/>
              <w:rPr>
                <w:sz w:val="1"/>
                <w:szCs w:val="1"/>
                <w:color w:val="auto"/>
              </w:rPr>
            </w:pPr>
          </w:p>
        </w:tc>
      </w:tr>
      <w:tr>
        <w:trPr>
          <w:trHeight w:val="216"/>
        </w:trPr>
        <w:tc>
          <w:tcPr>
            <w:tcW w:w="6860" w:type="dxa"/>
            <w:vAlign w:val="bottom"/>
            <w:shd w:val="clear" w:color="auto" w:fill="CCEEFF"/>
          </w:tcPr>
          <w:p>
            <w:pPr>
              <w:spacing w:after="0"/>
              <w:rPr>
                <w:sz w:val="20"/>
                <w:szCs w:val="20"/>
                <w:color w:val="auto"/>
              </w:rPr>
            </w:pPr>
            <w:r>
              <w:rPr>
                <w:rFonts w:ascii="Arial" w:cs="Arial" w:eastAsia="Arial" w:hAnsi="Arial"/>
                <w:sz w:val="18"/>
                <w:szCs w:val="18"/>
                <w:color w:val="auto"/>
              </w:rPr>
              <w:t>Deferred income taxes, noncurrent</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22,029</w:t>
            </w:r>
          </w:p>
        </w:tc>
        <w:tc>
          <w:tcPr>
            <w:tcW w:w="1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20,288</w:t>
            </w:r>
          </w:p>
        </w:tc>
        <w:tc>
          <w:tcPr>
            <w:tcW w:w="0" w:type="dxa"/>
            <w:vAlign w:val="bottom"/>
          </w:tcPr>
          <w:p>
            <w:pPr>
              <w:spacing w:after="0"/>
              <w:rPr>
                <w:sz w:val="1"/>
                <w:szCs w:val="1"/>
                <w:color w:val="auto"/>
              </w:rPr>
            </w:pPr>
          </w:p>
        </w:tc>
      </w:tr>
      <w:tr>
        <w:trPr>
          <w:trHeight w:val="216"/>
        </w:trPr>
        <w:tc>
          <w:tcPr>
            <w:tcW w:w="6860" w:type="dxa"/>
            <w:vAlign w:val="bottom"/>
          </w:tcPr>
          <w:p>
            <w:pPr>
              <w:spacing w:after="0"/>
              <w:rPr>
                <w:sz w:val="20"/>
                <w:szCs w:val="20"/>
                <w:color w:val="auto"/>
              </w:rPr>
            </w:pPr>
            <w:r>
              <w:rPr>
                <w:rFonts w:ascii="Arial" w:cs="Arial" w:eastAsia="Arial" w:hAnsi="Arial"/>
                <w:sz w:val="18"/>
                <w:szCs w:val="18"/>
                <w:color w:val="auto"/>
              </w:rPr>
              <w:t>Other noncurrent liabilities</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107</w:t>
            </w:r>
          </w:p>
        </w:tc>
        <w:tc>
          <w:tcPr>
            <w:tcW w:w="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16"/>
        </w:trPr>
        <w:tc>
          <w:tcPr>
            <w:tcW w:w="6860" w:type="dxa"/>
            <w:vAlign w:val="bottom"/>
            <w:shd w:val="clear" w:color="auto" w:fill="CCEEFF"/>
          </w:tcPr>
          <w:p>
            <w:pPr>
              <w:spacing w:after="0"/>
              <w:rPr>
                <w:sz w:val="20"/>
                <w:szCs w:val="20"/>
                <w:color w:val="auto"/>
              </w:rPr>
            </w:pPr>
            <w:r>
              <w:rPr>
                <w:rFonts w:ascii="Arial" w:cs="Arial" w:eastAsia="Arial" w:hAnsi="Arial"/>
                <w:sz w:val="18"/>
                <w:szCs w:val="18"/>
                <w:color w:val="auto"/>
              </w:rPr>
              <w:t>Lease liability, less current portion</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55,058</w:t>
            </w:r>
          </w:p>
        </w:tc>
        <w:tc>
          <w:tcPr>
            <w:tcW w:w="1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56,611</w:t>
            </w:r>
          </w:p>
        </w:tc>
        <w:tc>
          <w:tcPr>
            <w:tcW w:w="0" w:type="dxa"/>
            <w:vAlign w:val="bottom"/>
          </w:tcPr>
          <w:p>
            <w:pPr>
              <w:spacing w:after="0"/>
              <w:rPr>
                <w:sz w:val="1"/>
                <w:szCs w:val="1"/>
                <w:color w:val="auto"/>
              </w:rPr>
            </w:pPr>
          </w:p>
        </w:tc>
      </w:tr>
      <w:tr>
        <w:trPr>
          <w:trHeight w:val="216"/>
        </w:trPr>
        <w:tc>
          <w:tcPr>
            <w:tcW w:w="686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Notes payable, less current portion</w:t>
            </w:r>
          </w:p>
        </w:tc>
        <w:tc>
          <w:tcPr>
            <w:tcW w:w="14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66,344</w:t>
            </w:r>
          </w:p>
        </w:tc>
        <w:tc>
          <w:tcPr>
            <w:tcW w:w="140" w:type="dxa"/>
            <w:vAlign w:val="bottom"/>
            <w:tcBorders>
              <w:bottom w:val="single" w:sz="8" w:color="CCEEFF"/>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74,630</w:t>
            </w:r>
          </w:p>
        </w:tc>
        <w:tc>
          <w:tcPr>
            <w:tcW w:w="0" w:type="dxa"/>
            <w:vAlign w:val="bottom"/>
          </w:tcPr>
          <w:p>
            <w:pPr>
              <w:spacing w:after="0"/>
              <w:rPr>
                <w:sz w:val="1"/>
                <w:szCs w:val="1"/>
                <w:color w:val="auto"/>
              </w:rPr>
            </w:pPr>
          </w:p>
        </w:tc>
      </w:tr>
      <w:tr>
        <w:trPr>
          <w:trHeight w:val="210"/>
        </w:trPr>
        <w:tc>
          <w:tcPr>
            <w:tcW w:w="68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Total liabilities</w:t>
            </w:r>
          </w:p>
        </w:tc>
        <w:tc>
          <w:tcPr>
            <w:tcW w:w="14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296,349</w:t>
            </w:r>
          </w:p>
        </w:tc>
        <w:tc>
          <w:tcPr>
            <w:tcW w:w="14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270,250</w:t>
            </w:r>
          </w:p>
        </w:tc>
        <w:tc>
          <w:tcPr>
            <w:tcW w:w="0" w:type="dxa"/>
            <w:vAlign w:val="bottom"/>
          </w:tcPr>
          <w:p>
            <w:pPr>
              <w:spacing w:after="0"/>
              <w:rPr>
                <w:sz w:val="1"/>
                <w:szCs w:val="1"/>
                <w:color w:val="auto"/>
              </w:rPr>
            </w:pPr>
          </w:p>
        </w:tc>
      </w:tr>
      <w:tr>
        <w:trPr>
          <w:trHeight w:val="209"/>
        </w:trPr>
        <w:tc>
          <w:tcPr>
            <w:tcW w:w="6860" w:type="dxa"/>
            <w:vAlign w:val="bottom"/>
          </w:tcPr>
          <w:p>
            <w:pPr>
              <w:spacing w:after="0"/>
              <w:rPr>
                <w:sz w:val="20"/>
                <w:szCs w:val="20"/>
                <w:color w:val="auto"/>
              </w:rPr>
            </w:pPr>
            <w:r>
              <w:rPr>
                <w:rFonts w:ascii="Arial" w:cs="Arial" w:eastAsia="Arial" w:hAnsi="Arial"/>
                <w:sz w:val="18"/>
                <w:szCs w:val="18"/>
                <w:color w:val="auto"/>
              </w:rPr>
              <w:t>Commitments and contingencies</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8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Stockholders’ equity</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6860" w:type="dxa"/>
            <w:vAlign w:val="bottom"/>
          </w:tcPr>
          <w:p>
            <w:pPr>
              <w:spacing w:after="0" w:line="201" w:lineRule="exact"/>
              <w:rPr>
                <w:sz w:val="20"/>
                <w:szCs w:val="20"/>
                <w:color w:val="auto"/>
              </w:rPr>
            </w:pPr>
            <w:r>
              <w:rPr>
                <w:rFonts w:ascii="Arial" w:cs="Arial" w:eastAsia="Arial" w:hAnsi="Arial"/>
                <w:sz w:val="18"/>
                <w:szCs w:val="18"/>
                <w:color w:val="auto"/>
                <w:w w:val="90"/>
              </w:rPr>
              <w:t>Preferred stock, $0.01 par value, 10,000 shares authorized; 0 shares issued and outstanding at</w:t>
            </w: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6860" w:type="dxa"/>
            <w:vAlign w:val="bottom"/>
          </w:tcPr>
          <w:p>
            <w:pPr>
              <w:spacing w:after="0"/>
              <w:rPr>
                <w:sz w:val="20"/>
                <w:szCs w:val="20"/>
                <w:color w:val="auto"/>
              </w:rPr>
            </w:pPr>
            <w:r>
              <w:rPr>
                <w:rFonts w:ascii="Arial" w:cs="Arial" w:eastAsia="Arial" w:hAnsi="Arial"/>
                <w:sz w:val="18"/>
                <w:szCs w:val="18"/>
                <w:color w:val="auto"/>
              </w:rPr>
              <w:t>March 31, 2021 and December 31, 2020</w:t>
            </w:r>
          </w:p>
        </w:tc>
        <w:tc>
          <w:tcPr>
            <w:tcW w:w="1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2"/>
        </w:trPr>
        <w:tc>
          <w:tcPr>
            <w:tcW w:w="686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0"/>
              </w:rPr>
              <w:t>Common stock, $0.01 par value, 100,000 shares authorized; 53,633 and 53,277 shares issued</w:t>
            </w: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6860" w:type="dxa"/>
            <w:vAlign w:val="bottom"/>
            <w:shd w:val="clear" w:color="auto" w:fill="CCEEFF"/>
          </w:tcPr>
          <w:p>
            <w:pPr>
              <w:spacing w:after="0"/>
              <w:rPr>
                <w:sz w:val="20"/>
                <w:szCs w:val="20"/>
                <w:color w:val="auto"/>
              </w:rPr>
            </w:pPr>
            <w:r>
              <w:rPr>
                <w:rFonts w:ascii="Arial" w:cs="Arial" w:eastAsia="Arial" w:hAnsi="Arial"/>
                <w:sz w:val="18"/>
                <w:szCs w:val="18"/>
                <w:color w:val="auto"/>
                <w:w w:val="98"/>
              </w:rPr>
              <w:t>and 46,382 and 46,649 shares outstanding at March 31, 2021 and December 31, 2020,</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860" w:type="dxa"/>
            <w:vAlign w:val="bottom"/>
            <w:shd w:val="clear" w:color="auto" w:fill="CCEEFF"/>
          </w:tcPr>
          <w:p>
            <w:pPr>
              <w:spacing w:after="0"/>
              <w:rPr>
                <w:sz w:val="20"/>
                <w:szCs w:val="20"/>
                <w:color w:val="auto"/>
              </w:rPr>
            </w:pPr>
            <w:r>
              <w:rPr>
                <w:rFonts w:ascii="Arial" w:cs="Arial" w:eastAsia="Arial" w:hAnsi="Arial"/>
                <w:sz w:val="18"/>
                <w:szCs w:val="18"/>
                <w:color w:val="auto"/>
              </w:rPr>
              <w:t>respectively</w:t>
            </w:r>
          </w:p>
        </w:tc>
        <w:tc>
          <w:tcPr>
            <w:tcW w:w="14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536</w:t>
            </w:r>
          </w:p>
        </w:tc>
        <w:tc>
          <w:tcPr>
            <w:tcW w:w="14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533</w:t>
            </w:r>
          </w:p>
        </w:tc>
        <w:tc>
          <w:tcPr>
            <w:tcW w:w="0" w:type="dxa"/>
            <w:vAlign w:val="bottom"/>
          </w:tcPr>
          <w:p>
            <w:pPr>
              <w:spacing w:after="0"/>
              <w:rPr>
                <w:sz w:val="1"/>
                <w:szCs w:val="1"/>
                <w:color w:val="auto"/>
              </w:rPr>
            </w:pPr>
          </w:p>
        </w:tc>
      </w:tr>
      <w:tr>
        <w:trPr>
          <w:trHeight w:val="202"/>
        </w:trPr>
        <w:tc>
          <w:tcPr>
            <w:tcW w:w="6860" w:type="dxa"/>
            <w:vAlign w:val="bottom"/>
          </w:tcPr>
          <w:p>
            <w:pPr>
              <w:spacing w:after="0" w:line="201" w:lineRule="exact"/>
              <w:rPr>
                <w:sz w:val="20"/>
                <w:szCs w:val="20"/>
                <w:color w:val="auto"/>
              </w:rPr>
            </w:pPr>
            <w:r>
              <w:rPr>
                <w:rFonts w:ascii="Arial" w:cs="Arial" w:eastAsia="Arial" w:hAnsi="Arial"/>
                <w:sz w:val="18"/>
                <w:szCs w:val="18"/>
                <w:color w:val="auto"/>
                <w:w w:val="96"/>
              </w:rPr>
              <w:t>Treasury stock, at cost, 7,251 and 6,628 shares of common stock at March 31, 2021 and</w:t>
            </w: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6860" w:type="dxa"/>
            <w:vAlign w:val="bottom"/>
          </w:tcPr>
          <w:p>
            <w:pPr>
              <w:spacing w:after="0"/>
              <w:rPr>
                <w:sz w:val="20"/>
                <w:szCs w:val="20"/>
                <w:color w:val="auto"/>
              </w:rPr>
            </w:pPr>
            <w:r>
              <w:rPr>
                <w:rFonts w:ascii="Arial" w:cs="Arial" w:eastAsia="Arial" w:hAnsi="Arial"/>
                <w:sz w:val="18"/>
                <w:szCs w:val="18"/>
                <w:color w:val="auto"/>
              </w:rPr>
              <w:t>December 31, 2020, respectively</w:t>
            </w:r>
          </w:p>
        </w:tc>
        <w:tc>
          <w:tcPr>
            <w:tcW w:w="1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(365,721)</w:t>
            </w:r>
          </w:p>
        </w:tc>
        <w:tc>
          <w:tcPr>
            <w:tcW w:w="1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(303,379)</w:t>
            </w:r>
          </w:p>
        </w:tc>
        <w:tc>
          <w:tcPr>
            <w:tcW w:w="0" w:type="dxa"/>
            <w:vAlign w:val="bottom"/>
          </w:tcPr>
          <w:p>
            <w:pPr>
              <w:spacing w:after="0"/>
              <w:rPr>
                <w:sz w:val="1"/>
                <w:szCs w:val="1"/>
                <w:color w:val="auto"/>
              </w:rPr>
            </w:pPr>
          </w:p>
        </w:tc>
      </w:tr>
      <w:tr>
        <w:trPr>
          <w:trHeight w:val="216"/>
        </w:trPr>
        <w:tc>
          <w:tcPr>
            <w:tcW w:w="6860" w:type="dxa"/>
            <w:vAlign w:val="bottom"/>
            <w:shd w:val="clear" w:color="auto" w:fill="CCEEFF"/>
          </w:tcPr>
          <w:p>
            <w:pPr>
              <w:spacing w:after="0"/>
              <w:rPr>
                <w:sz w:val="20"/>
                <w:szCs w:val="20"/>
                <w:color w:val="auto"/>
              </w:rPr>
            </w:pPr>
            <w:r>
              <w:rPr>
                <w:rFonts w:ascii="Arial" w:cs="Arial" w:eastAsia="Arial" w:hAnsi="Arial"/>
                <w:sz w:val="18"/>
                <w:szCs w:val="18"/>
                <w:color w:val="auto"/>
              </w:rPr>
              <w:t>Additional paid-in capital</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281,163</w:t>
            </w:r>
          </w:p>
        </w:tc>
        <w:tc>
          <w:tcPr>
            <w:tcW w:w="1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282,467</w:t>
            </w:r>
          </w:p>
        </w:tc>
        <w:tc>
          <w:tcPr>
            <w:tcW w:w="0" w:type="dxa"/>
            <w:vAlign w:val="bottom"/>
          </w:tcPr>
          <w:p>
            <w:pPr>
              <w:spacing w:after="0"/>
              <w:rPr>
                <w:sz w:val="1"/>
                <w:szCs w:val="1"/>
                <w:color w:val="auto"/>
              </w:rPr>
            </w:pPr>
          </w:p>
        </w:tc>
      </w:tr>
      <w:tr>
        <w:trPr>
          <w:trHeight w:val="216"/>
        </w:trPr>
        <w:tc>
          <w:tcPr>
            <w:tcW w:w="6860" w:type="dxa"/>
            <w:vAlign w:val="bottom"/>
          </w:tcPr>
          <w:p>
            <w:pPr>
              <w:spacing w:after="0"/>
              <w:rPr>
                <w:sz w:val="20"/>
                <w:szCs w:val="20"/>
                <w:color w:val="auto"/>
              </w:rPr>
            </w:pPr>
            <w:r>
              <w:rPr>
                <w:rFonts w:ascii="Arial" w:cs="Arial" w:eastAsia="Arial" w:hAnsi="Arial"/>
                <w:sz w:val="18"/>
                <w:szCs w:val="18"/>
                <w:color w:val="auto"/>
              </w:rPr>
              <w:t>Accumulated other comprehensive loss</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(120)</w:t>
            </w:r>
          </w:p>
        </w:tc>
        <w:tc>
          <w:tcPr>
            <w:tcW w:w="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6860" w:type="dxa"/>
            <w:vAlign w:val="bottom"/>
            <w:shd w:val="clear" w:color="auto" w:fill="CCEEFF"/>
          </w:tcPr>
          <w:p>
            <w:pPr>
              <w:spacing w:after="0"/>
              <w:rPr>
                <w:sz w:val="20"/>
                <w:szCs w:val="20"/>
                <w:color w:val="auto"/>
              </w:rPr>
            </w:pPr>
            <w:r>
              <w:rPr>
                <w:rFonts w:ascii="Arial" w:cs="Arial" w:eastAsia="Arial" w:hAnsi="Arial"/>
                <w:sz w:val="18"/>
                <w:szCs w:val="18"/>
                <w:color w:val="auto"/>
              </w:rPr>
              <w:t>Retained earnings</w:t>
            </w:r>
          </w:p>
        </w:tc>
        <w:tc>
          <w:tcPr>
            <w:tcW w:w="14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7"/>
              </w:rPr>
              <w:t>1,672,820</w:t>
            </w:r>
          </w:p>
        </w:tc>
        <w:tc>
          <w:tcPr>
            <w:tcW w:w="14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1,594,708</w:t>
            </w:r>
          </w:p>
        </w:tc>
        <w:tc>
          <w:tcPr>
            <w:tcW w:w="0" w:type="dxa"/>
            <w:vAlign w:val="bottom"/>
          </w:tcPr>
          <w:p>
            <w:pPr>
              <w:spacing w:after="0"/>
              <w:rPr>
                <w:sz w:val="1"/>
                <w:szCs w:val="1"/>
                <w:color w:val="auto"/>
              </w:rPr>
            </w:pPr>
          </w:p>
        </w:tc>
      </w:tr>
      <w:tr>
        <w:trPr>
          <w:trHeight w:val="210"/>
        </w:trPr>
        <w:tc>
          <w:tcPr>
            <w:tcW w:w="6860" w:type="dxa"/>
            <w:vAlign w:val="bottom"/>
            <w:tcBorders>
              <w:bottom w:val="single" w:sz="8" w:color="CCEEFF"/>
            </w:tcBorders>
          </w:tcPr>
          <w:p>
            <w:pPr>
              <w:spacing w:after="0"/>
              <w:rPr>
                <w:sz w:val="20"/>
                <w:szCs w:val="20"/>
                <w:color w:val="auto"/>
              </w:rPr>
            </w:pPr>
            <w:r>
              <w:rPr>
                <w:rFonts w:ascii="Arial" w:cs="Arial" w:eastAsia="Arial" w:hAnsi="Arial"/>
                <w:sz w:val="18"/>
                <w:szCs w:val="18"/>
                <w:b w:val="1"/>
                <w:bCs w:val="1"/>
                <w:color w:val="auto"/>
              </w:rPr>
              <w:t>Total stockholders’ equity</w:t>
            </w:r>
          </w:p>
        </w:tc>
        <w:tc>
          <w:tcPr>
            <w:tcW w:w="14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7"/>
              </w:rPr>
              <w:t>1,588,678</w:t>
            </w:r>
          </w:p>
        </w:tc>
        <w:tc>
          <w:tcPr>
            <w:tcW w:w="140" w:type="dxa"/>
            <w:vAlign w:val="bottom"/>
            <w:tcBorders>
              <w:bottom w:val="single" w:sz="8" w:color="CCEEFF"/>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1,574,329</w:t>
            </w:r>
          </w:p>
        </w:tc>
        <w:tc>
          <w:tcPr>
            <w:tcW w:w="0" w:type="dxa"/>
            <w:vAlign w:val="bottom"/>
          </w:tcPr>
          <w:p>
            <w:pPr>
              <w:spacing w:after="0"/>
              <w:rPr>
                <w:sz w:val="1"/>
                <w:szCs w:val="1"/>
                <w:color w:val="auto"/>
              </w:rPr>
            </w:pPr>
          </w:p>
        </w:tc>
      </w:tr>
      <w:tr>
        <w:trPr>
          <w:trHeight w:val="210"/>
        </w:trPr>
        <w:tc>
          <w:tcPr>
            <w:tcW w:w="68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Total liabilities and stockholders’ equity</w:t>
            </w:r>
          </w:p>
        </w:tc>
        <w:tc>
          <w:tcPr>
            <w:tcW w:w="14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7"/>
              </w:rPr>
              <w:t>1,885,027</w:t>
            </w:r>
          </w:p>
        </w:tc>
        <w:tc>
          <w:tcPr>
            <w:tcW w:w="140" w:type="dxa"/>
            <w:vAlign w:val="bottom"/>
            <w:tcBorders>
              <w:bottom w:val="single" w:sz="8" w:color="CCEEFF"/>
            </w:tcBorders>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1,844,579</w:t>
            </w:r>
          </w:p>
        </w:tc>
        <w:tc>
          <w:tcPr>
            <w:tcW w:w="0" w:type="dxa"/>
            <w:vAlign w:val="bottom"/>
          </w:tcPr>
          <w:p>
            <w:pPr>
              <w:spacing w:after="0"/>
              <w:rPr>
                <w:sz w:val="1"/>
                <w:szCs w:val="1"/>
                <w:color w:val="auto"/>
              </w:rPr>
            </w:pPr>
          </w:p>
        </w:tc>
      </w:tr>
      <w:tr>
        <w:trPr>
          <w:trHeight w:val="20"/>
        </w:trPr>
        <w:tc>
          <w:tcPr>
            <w:tcW w:w="68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357505</wp:posOffset>
            </wp:positionV>
            <wp:extent cx="5957570" cy="260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5957570" cy="26035"/>
                    </a:xfrm>
                    <a:prstGeom prst="rect">
                      <a:avLst/>
                    </a:prstGeom>
                    <a:noFill/>
                  </pic:spPr>
                </pic:pic>
              </a:graphicData>
            </a:graphic>
          </wp:anchor>
        </w:drawing>
      </w:r>
    </w:p>
    <w:p>
      <w:pPr>
        <w:sectPr>
          <w:pgSz w:w="11900" w:h="16838" w:orient="portrait"/>
          <w:cols w:equalWidth="0" w:num="1">
            <w:col w:w="9360"/>
          </w:cols>
          <w:pgMar w:left="1260" w:top="121" w:right="1279" w:bottom="1440" w:gutter="0" w:footer="0" w:header="0"/>
        </w:sectPr>
      </w:pPr>
    </w:p>
    <w:bookmarkStart w:id="13" w:name="page14"/>
    <w:bookmarkEnd w:id="13"/>
    <w:p>
      <w:pPr>
        <w:spacing w:after="0"/>
        <w:rPr>
          <w:sz w:val="20"/>
          <w:szCs w:val="20"/>
          <w:color w:val="auto"/>
        </w:rPr>
      </w:pPr>
      <w:r>
        <w:rPr>
          <w:rFonts w:ascii="Arial" w:cs="Arial" w:eastAsia="Arial" w:hAnsi="Arial"/>
          <w:sz w:val="18"/>
          <w:szCs w:val="18"/>
          <w:b w:val="1"/>
          <w:bCs w:val="1"/>
          <w:color w:val="auto"/>
        </w:rPr>
        <w:t>Grand Canyon Education, Inc. Reports First Quarter 2021 Results</w:t>
      </w:r>
    </w:p>
    <w:p>
      <w:pPr>
        <w:spacing w:after="0" w:line="225" w:lineRule="exact"/>
        <w:rPr>
          <w:sz w:val="20"/>
          <w:szCs w:val="20"/>
          <w:color w:val="auto"/>
        </w:rPr>
      </w:pPr>
    </w:p>
    <w:p>
      <w:pPr>
        <w:ind w:left="3140"/>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ind w:left="3160"/>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2"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20" w:type="dxa"/>
            <w:vAlign w:val="bottom"/>
          </w:tcPr>
          <w:p>
            <w:pPr>
              <w:spacing w:after="0"/>
              <w:rPr>
                <w:sz w:val="16"/>
                <w:szCs w:val="16"/>
                <w:color w:val="auto"/>
              </w:rPr>
            </w:pPr>
          </w:p>
        </w:tc>
        <w:tc>
          <w:tcPr>
            <w:tcW w:w="7140" w:type="dxa"/>
            <w:vAlign w:val="bottom"/>
          </w:tcPr>
          <w:p>
            <w:pPr>
              <w:jc w:val="center"/>
              <w:ind w:left="2110"/>
              <w:spacing w:after="0"/>
              <w:rPr>
                <w:sz w:val="20"/>
                <w:szCs w:val="20"/>
                <w:color w:val="auto"/>
              </w:rPr>
            </w:pPr>
            <w:r>
              <w:rPr>
                <w:rFonts w:ascii="Arial" w:cs="Arial" w:eastAsia="Arial" w:hAnsi="Arial"/>
                <w:sz w:val="14"/>
                <w:szCs w:val="14"/>
                <w:b w:val="1"/>
                <w:bCs w:val="1"/>
                <w:color w:val="auto"/>
                <w:w w:val="95"/>
              </w:rPr>
              <w:t>(Unaudited)</w:t>
            </w:r>
          </w:p>
        </w:tc>
        <w:tc>
          <w:tcPr>
            <w:tcW w:w="2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860" w:type="dxa"/>
            <w:vAlign w:val="bottom"/>
            <w:gridSpan w:val="5"/>
            <w:vMerge w:val="restart"/>
          </w:tcPr>
          <w:p>
            <w:pPr>
              <w:ind w:left="180"/>
              <w:spacing w:after="0"/>
              <w:rPr>
                <w:sz w:val="20"/>
                <w:szCs w:val="20"/>
                <w:color w:val="auto"/>
              </w:rPr>
            </w:pPr>
            <w:r>
              <w:rPr>
                <w:rFonts w:ascii="Arial" w:cs="Arial" w:eastAsia="Arial" w:hAnsi="Arial"/>
                <w:sz w:val="14"/>
                <w:szCs w:val="14"/>
                <w:b w:val="1"/>
                <w:bCs w:val="1"/>
                <w:color w:val="auto"/>
              </w:rPr>
              <w:t>Three Months Ended</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7140" w:type="dxa"/>
            <w:vAlign w:val="bottom"/>
          </w:tcPr>
          <w:p>
            <w:pPr>
              <w:spacing w:after="0"/>
              <w:rPr>
                <w:sz w:val="9"/>
                <w:szCs w:val="9"/>
                <w:color w:val="auto"/>
              </w:rPr>
            </w:pPr>
          </w:p>
        </w:tc>
        <w:tc>
          <w:tcPr>
            <w:tcW w:w="200" w:type="dxa"/>
            <w:vAlign w:val="bottom"/>
          </w:tcPr>
          <w:p>
            <w:pPr>
              <w:spacing w:after="0"/>
              <w:rPr>
                <w:sz w:val="9"/>
                <w:szCs w:val="9"/>
                <w:color w:val="auto"/>
              </w:rPr>
            </w:pPr>
          </w:p>
        </w:tc>
        <w:tc>
          <w:tcPr>
            <w:tcW w:w="160" w:type="dxa"/>
            <w:vAlign w:val="bottom"/>
          </w:tcPr>
          <w:p>
            <w:pPr>
              <w:spacing w:after="0"/>
              <w:rPr>
                <w:sz w:val="9"/>
                <w:szCs w:val="9"/>
                <w:color w:val="auto"/>
              </w:rPr>
            </w:pPr>
          </w:p>
        </w:tc>
        <w:tc>
          <w:tcPr>
            <w:tcW w:w="1860" w:type="dxa"/>
            <w:vAlign w:val="bottom"/>
            <w:gridSpan w:val="5"/>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71"/>
        </w:trPr>
        <w:tc>
          <w:tcPr>
            <w:tcW w:w="716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(In thousands)</w:t>
            </w:r>
          </w:p>
        </w:tc>
        <w:tc>
          <w:tcPr>
            <w:tcW w:w="20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16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March 31,</w:t>
            </w:r>
          </w:p>
        </w:tc>
        <w:tc>
          <w:tcPr>
            <w:tcW w:w="68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7160" w:type="dxa"/>
            <w:vAlign w:val="bottom"/>
            <w:gridSpan w:val="2"/>
            <w:vMerge w:val="continue"/>
          </w:tcPr>
          <w:p>
            <w:pPr>
              <w:spacing w:after="0"/>
              <w:rPr>
                <w:sz w:val="12"/>
                <w:szCs w:val="12"/>
                <w:color w:val="auto"/>
              </w:rPr>
            </w:pPr>
          </w:p>
        </w:tc>
        <w:tc>
          <w:tcPr>
            <w:tcW w:w="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40" w:type="dxa"/>
            <w:vAlign w:val="bottom"/>
          </w:tcPr>
          <w:p>
            <w:pPr>
              <w:jc w:val="right"/>
              <w:ind w:right="232"/>
              <w:spacing w:after="0" w:line="142" w:lineRule="exact"/>
              <w:rPr>
                <w:sz w:val="20"/>
                <w:szCs w:val="20"/>
                <w:color w:val="auto"/>
              </w:rPr>
            </w:pPr>
            <w:r>
              <w:rPr>
                <w:rFonts w:ascii="Arial" w:cs="Arial" w:eastAsia="Arial" w:hAnsi="Arial"/>
                <w:sz w:val="14"/>
                <w:szCs w:val="14"/>
                <w:b w:val="1"/>
                <w:bCs w:val="1"/>
                <w:color w:val="auto"/>
              </w:rPr>
              <w:t>2021</w:t>
            </w:r>
          </w:p>
        </w:tc>
        <w:tc>
          <w:tcPr>
            <w:tcW w:w="2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80" w:type="dxa"/>
            <w:vAlign w:val="bottom"/>
          </w:tcPr>
          <w:p>
            <w:pPr>
              <w:jc w:val="right"/>
              <w:ind w:right="211"/>
              <w:spacing w:after="0" w:line="142" w:lineRule="exact"/>
              <w:rPr>
                <w:sz w:val="20"/>
                <w:szCs w:val="20"/>
                <w:color w:val="auto"/>
              </w:rPr>
            </w:pPr>
            <w:r>
              <w:rPr>
                <w:rFonts w:ascii="Arial" w:cs="Arial" w:eastAsia="Arial" w:hAnsi="Arial"/>
                <w:sz w:val="14"/>
                <w:szCs w:val="14"/>
                <w:b w:val="1"/>
                <w:bCs w:val="1"/>
                <w:color w:val="auto"/>
              </w:rPr>
              <w:t>2020</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7140" w:type="dxa"/>
            <w:vAlign w:val="bottom"/>
            <w:tcBorders>
              <w:top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71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Cash flows provided by operating activities:</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tcPr>
          <w:p>
            <w:pPr>
              <w:spacing w:after="0"/>
              <w:rPr>
                <w:sz w:val="20"/>
                <w:szCs w:val="20"/>
                <w:color w:val="auto"/>
              </w:rPr>
            </w:pPr>
            <w:r>
              <w:rPr>
                <w:rFonts w:ascii="Arial" w:cs="Arial" w:eastAsia="Arial" w:hAnsi="Arial"/>
                <w:sz w:val="18"/>
                <w:szCs w:val="18"/>
                <w:color w:val="auto"/>
              </w:rPr>
              <w:t>Net income</w:t>
            </w:r>
          </w:p>
        </w:tc>
        <w:tc>
          <w:tcPr>
            <w:tcW w:w="360" w:type="dxa"/>
            <w:vAlign w:val="bottom"/>
            <w:gridSpan w:val="2"/>
          </w:tcPr>
          <w:p>
            <w:pPr>
              <w:jc w:val="right"/>
              <w:ind w:right="7"/>
              <w:spacing w:after="0"/>
              <w:rPr>
                <w:sz w:val="20"/>
                <w:szCs w:val="20"/>
                <w:color w:val="auto"/>
              </w:rPr>
            </w:pPr>
            <w:r>
              <w:rPr>
                <w:rFonts w:ascii="Arial" w:cs="Arial" w:eastAsia="Arial" w:hAnsi="Arial"/>
                <w:sz w:val="18"/>
                <w:szCs w:val="18"/>
                <w:color w:val="auto"/>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78,112</w:t>
            </w:r>
          </w:p>
        </w:tc>
        <w:tc>
          <w:tcPr>
            <w:tcW w:w="420" w:type="dxa"/>
            <w:vAlign w:val="bottom"/>
            <w:gridSpan w:val="2"/>
          </w:tcPr>
          <w:p>
            <w:pPr>
              <w:jc w:val="right"/>
              <w:ind w:right="67"/>
              <w:spacing w:after="0"/>
              <w:rPr>
                <w:sz w:val="20"/>
                <w:szCs w:val="20"/>
                <w:color w:val="auto"/>
              </w:rPr>
            </w:pPr>
            <w:r>
              <w:rPr>
                <w:rFonts w:ascii="Arial" w:cs="Arial" w:eastAsia="Arial" w:hAnsi="Arial"/>
                <w:sz w:val="18"/>
                <w:szCs w:val="18"/>
                <w:color w:val="auto"/>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71,385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shd w:val="clear" w:color="auto" w:fill="CCEEFF"/>
          </w:tcPr>
          <w:p>
            <w:pPr>
              <w:spacing w:after="0"/>
              <w:rPr>
                <w:sz w:val="20"/>
                <w:szCs w:val="20"/>
                <w:color w:val="auto"/>
              </w:rPr>
            </w:pPr>
            <w:r>
              <w:rPr>
                <w:rFonts w:ascii="Arial" w:cs="Arial" w:eastAsia="Arial" w:hAnsi="Arial"/>
                <w:sz w:val="18"/>
                <w:szCs w:val="18"/>
                <w:color w:val="auto"/>
              </w:rPr>
              <w:t>Adjustments to reconcile net income to net cash provided by operating activities:</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tcPr>
          <w:p>
            <w:pPr>
              <w:ind w:left="80"/>
              <w:spacing w:after="0"/>
              <w:rPr>
                <w:sz w:val="20"/>
                <w:szCs w:val="20"/>
                <w:color w:val="auto"/>
              </w:rPr>
            </w:pPr>
            <w:r>
              <w:rPr>
                <w:rFonts w:ascii="Arial" w:cs="Arial" w:eastAsia="Arial" w:hAnsi="Arial"/>
                <w:sz w:val="18"/>
                <w:szCs w:val="18"/>
                <w:color w:val="auto"/>
              </w:rPr>
              <w:t>Share-based compensation</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3,019</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2,656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shd w:val="clear" w:color="auto" w:fill="CCEEFF"/>
          </w:tcPr>
          <w:p>
            <w:pPr>
              <w:ind w:left="80"/>
              <w:spacing w:after="0"/>
              <w:rPr>
                <w:sz w:val="20"/>
                <w:szCs w:val="20"/>
                <w:color w:val="auto"/>
              </w:rPr>
            </w:pPr>
            <w:r>
              <w:rPr>
                <w:rFonts w:ascii="Arial" w:cs="Arial" w:eastAsia="Arial" w:hAnsi="Arial"/>
                <w:sz w:val="18"/>
                <w:szCs w:val="18"/>
                <w:color w:val="auto"/>
              </w:rPr>
              <w:t>Depreciation and amortization</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5,426</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4,989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tcPr>
          <w:p>
            <w:pPr>
              <w:ind w:left="80"/>
              <w:spacing w:after="0"/>
              <w:rPr>
                <w:sz w:val="20"/>
                <w:szCs w:val="20"/>
                <w:color w:val="auto"/>
              </w:rPr>
            </w:pPr>
            <w:r>
              <w:rPr>
                <w:rFonts w:ascii="Arial" w:cs="Arial" w:eastAsia="Arial" w:hAnsi="Arial"/>
                <w:sz w:val="18"/>
                <w:szCs w:val="18"/>
                <w:color w:val="auto"/>
              </w:rPr>
              <w:t>Amortization of intangible assets</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2,105</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2,105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shd w:val="clear" w:color="auto" w:fill="CCEEFF"/>
          </w:tcPr>
          <w:p>
            <w:pPr>
              <w:ind w:left="80"/>
              <w:spacing w:after="0"/>
              <w:rPr>
                <w:sz w:val="20"/>
                <w:szCs w:val="20"/>
                <w:color w:val="auto"/>
              </w:rPr>
            </w:pPr>
            <w:r>
              <w:rPr>
                <w:rFonts w:ascii="Arial" w:cs="Arial" w:eastAsia="Arial" w:hAnsi="Arial"/>
                <w:sz w:val="18"/>
                <w:szCs w:val="18"/>
                <w:color w:val="auto"/>
              </w:rPr>
              <w:t>Deferred income taxes</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1,776</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1,688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tcPr>
          <w:p>
            <w:pPr>
              <w:ind w:left="80"/>
              <w:spacing w:after="0"/>
              <w:rPr>
                <w:sz w:val="20"/>
                <w:szCs w:val="20"/>
                <w:color w:val="auto"/>
              </w:rPr>
            </w:pPr>
            <w:r>
              <w:rPr>
                <w:rFonts w:ascii="Arial" w:cs="Arial" w:eastAsia="Arial" w:hAnsi="Arial"/>
                <w:sz w:val="18"/>
                <w:szCs w:val="18"/>
                <w:color w:val="auto"/>
              </w:rPr>
              <w:t>Other, including fixed asset impairments</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65</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289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shd w:val="clear" w:color="auto" w:fill="CCEEFF"/>
          </w:tcPr>
          <w:p>
            <w:pPr>
              <w:ind w:left="80"/>
              <w:spacing w:after="0"/>
              <w:rPr>
                <w:sz w:val="20"/>
                <w:szCs w:val="20"/>
                <w:color w:val="auto"/>
              </w:rPr>
            </w:pPr>
            <w:r>
              <w:rPr>
                <w:rFonts w:ascii="Arial" w:cs="Arial" w:eastAsia="Arial" w:hAnsi="Arial"/>
                <w:sz w:val="18"/>
                <w:szCs w:val="18"/>
                <w:color w:val="auto"/>
              </w:rPr>
              <w:t>Changes in assets and liabilities:</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tcPr>
          <w:p>
            <w:pPr>
              <w:ind w:left="180"/>
              <w:spacing w:after="0"/>
              <w:rPr>
                <w:sz w:val="20"/>
                <w:szCs w:val="20"/>
                <w:color w:val="auto"/>
              </w:rPr>
            </w:pPr>
            <w:r>
              <w:rPr>
                <w:rFonts w:ascii="Arial" w:cs="Arial" w:eastAsia="Arial" w:hAnsi="Arial"/>
                <w:sz w:val="18"/>
                <w:szCs w:val="18"/>
                <w:color w:val="auto"/>
              </w:rPr>
              <w:t>Accounts receivable and interest receivable from university partners</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(29,601)</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w w:val="98"/>
              </w:rPr>
              <w:t>(28,451)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Other assets</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(6,166)</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(6,742)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tcPr>
          <w:p>
            <w:pPr>
              <w:ind w:left="180"/>
              <w:spacing w:after="0"/>
              <w:rPr>
                <w:sz w:val="20"/>
                <w:szCs w:val="20"/>
                <w:color w:val="auto"/>
              </w:rPr>
            </w:pPr>
            <w:r>
              <w:rPr>
                <w:rFonts w:ascii="Arial" w:cs="Arial" w:eastAsia="Arial" w:hAnsi="Arial"/>
                <w:sz w:val="18"/>
                <w:szCs w:val="18"/>
                <w:color w:val="auto"/>
              </w:rPr>
              <w:t>Right-of-use assets and lease liabilities</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165</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544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Accounts payable</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971</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3,957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tcPr>
          <w:p>
            <w:pPr>
              <w:ind w:left="180"/>
              <w:spacing w:after="0"/>
              <w:rPr>
                <w:sz w:val="20"/>
                <w:szCs w:val="20"/>
                <w:color w:val="auto"/>
              </w:rPr>
            </w:pPr>
            <w:r>
              <w:rPr>
                <w:rFonts w:ascii="Arial" w:cs="Arial" w:eastAsia="Arial" w:hAnsi="Arial"/>
                <w:sz w:val="18"/>
                <w:szCs w:val="18"/>
                <w:color w:val="auto"/>
              </w:rPr>
              <w:t>Accrued liabilities</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10,714</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5,972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Income taxes receivable/payable</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16,305</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19,174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tcBorders>
              <w:bottom w:val="single" w:sz="8" w:color="CCEEFF"/>
            </w:tcBorders>
          </w:tcPr>
          <w:p>
            <w:pPr>
              <w:ind w:left="180"/>
              <w:spacing w:after="0"/>
              <w:rPr>
                <w:sz w:val="20"/>
                <w:szCs w:val="20"/>
                <w:color w:val="auto"/>
              </w:rPr>
            </w:pPr>
            <w:r>
              <w:rPr>
                <w:rFonts w:ascii="Arial" w:cs="Arial" w:eastAsia="Arial" w:hAnsi="Arial"/>
                <w:sz w:val="18"/>
                <w:szCs w:val="18"/>
                <w:color w:val="auto"/>
              </w:rPr>
              <w:t>Deferred rent</w:t>
            </w:r>
          </w:p>
        </w:tc>
        <w:tc>
          <w:tcPr>
            <w:tcW w:w="20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6,936</w:t>
            </w:r>
          </w:p>
        </w:tc>
        <w:tc>
          <w:tcPr>
            <w:tcW w:w="20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8,153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71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Net cash provided by operating activities</w:t>
            </w:r>
          </w:p>
        </w:tc>
        <w:tc>
          <w:tcPr>
            <w:tcW w:w="20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89,827</w:t>
            </w:r>
          </w:p>
        </w:tc>
        <w:tc>
          <w:tcPr>
            <w:tcW w:w="20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85,719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7140" w:type="dxa"/>
            <w:vAlign w:val="bottom"/>
          </w:tcPr>
          <w:p>
            <w:pPr>
              <w:spacing w:after="0"/>
              <w:rPr>
                <w:sz w:val="20"/>
                <w:szCs w:val="20"/>
                <w:color w:val="auto"/>
              </w:rPr>
            </w:pPr>
            <w:r>
              <w:rPr>
                <w:rFonts w:ascii="Arial" w:cs="Arial" w:eastAsia="Arial" w:hAnsi="Arial"/>
                <w:sz w:val="18"/>
                <w:szCs w:val="18"/>
                <w:b w:val="1"/>
                <w:bCs w:val="1"/>
                <w:color w:val="auto"/>
              </w:rPr>
              <w:t>Cash flows used in investing activities:</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shd w:val="clear" w:color="auto" w:fill="CCEEFF"/>
          </w:tcPr>
          <w:p>
            <w:pPr>
              <w:ind w:left="80"/>
              <w:spacing w:after="0"/>
              <w:rPr>
                <w:sz w:val="20"/>
                <w:szCs w:val="20"/>
                <w:color w:val="auto"/>
              </w:rPr>
            </w:pPr>
            <w:r>
              <w:rPr>
                <w:rFonts w:ascii="Arial" w:cs="Arial" w:eastAsia="Arial" w:hAnsi="Arial"/>
                <w:sz w:val="18"/>
                <w:szCs w:val="18"/>
                <w:color w:val="auto"/>
              </w:rPr>
              <w:t>Capital expenditures</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(8,911)</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(6,085)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tcPr>
          <w:p>
            <w:pPr>
              <w:ind w:left="80"/>
              <w:spacing w:after="0"/>
              <w:rPr>
                <w:sz w:val="20"/>
                <w:szCs w:val="20"/>
                <w:color w:val="auto"/>
              </w:rPr>
            </w:pPr>
            <w:r>
              <w:rPr>
                <w:rFonts w:ascii="Arial" w:cs="Arial" w:eastAsia="Arial" w:hAnsi="Arial"/>
                <w:sz w:val="18"/>
                <w:szCs w:val="18"/>
                <w:color w:val="auto"/>
              </w:rPr>
              <w:t>Additions of amortizable content</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(90)</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(56)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shd w:val="clear" w:color="auto" w:fill="CCEEFF"/>
          </w:tcPr>
          <w:p>
            <w:pPr>
              <w:ind w:left="80"/>
              <w:spacing w:after="0"/>
              <w:rPr>
                <w:sz w:val="20"/>
                <w:szCs w:val="20"/>
                <w:color w:val="auto"/>
              </w:rPr>
            </w:pPr>
            <w:r>
              <w:rPr>
                <w:rFonts w:ascii="Arial" w:cs="Arial" w:eastAsia="Arial" w:hAnsi="Arial"/>
                <w:sz w:val="18"/>
                <w:szCs w:val="18"/>
                <w:color w:val="auto"/>
              </w:rPr>
              <w:t>Purchases of investments</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(31,337)</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tcBorders>
              <w:bottom w:val="single" w:sz="8" w:color="CCEEFF"/>
            </w:tcBorders>
          </w:tcPr>
          <w:p>
            <w:pPr>
              <w:ind w:left="80"/>
              <w:spacing w:after="0"/>
              <w:rPr>
                <w:sz w:val="20"/>
                <w:szCs w:val="20"/>
                <w:color w:val="auto"/>
              </w:rPr>
            </w:pPr>
            <w:r>
              <w:rPr>
                <w:rFonts w:ascii="Arial" w:cs="Arial" w:eastAsia="Arial" w:hAnsi="Arial"/>
                <w:sz w:val="18"/>
                <w:szCs w:val="18"/>
                <w:color w:val="auto"/>
              </w:rPr>
              <w:t>Proceeds from sale or maturity of investments</w:t>
            </w:r>
          </w:p>
        </w:tc>
        <w:tc>
          <w:tcPr>
            <w:tcW w:w="20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5,519</w:t>
            </w:r>
          </w:p>
        </w:tc>
        <w:tc>
          <w:tcPr>
            <w:tcW w:w="20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4,263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1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Net cash used in investing activities</w:t>
            </w:r>
          </w:p>
        </w:tc>
        <w:tc>
          <w:tcPr>
            <w:tcW w:w="20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(34,819)</w:t>
            </w:r>
          </w:p>
        </w:tc>
        <w:tc>
          <w:tcPr>
            <w:tcW w:w="20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(1,878)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140" w:type="dxa"/>
            <w:vAlign w:val="bottom"/>
          </w:tcPr>
          <w:p>
            <w:pPr>
              <w:spacing w:after="0"/>
              <w:rPr>
                <w:sz w:val="20"/>
                <w:szCs w:val="20"/>
                <w:color w:val="auto"/>
              </w:rPr>
            </w:pPr>
            <w:r>
              <w:rPr>
                <w:rFonts w:ascii="Arial" w:cs="Arial" w:eastAsia="Arial" w:hAnsi="Arial"/>
                <w:sz w:val="18"/>
                <w:szCs w:val="18"/>
                <w:b w:val="1"/>
                <w:bCs w:val="1"/>
                <w:color w:val="auto"/>
              </w:rPr>
              <w:t>Cash flows used in financing activities:</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shd w:val="clear" w:color="auto" w:fill="CCEEFF"/>
          </w:tcPr>
          <w:p>
            <w:pPr>
              <w:ind w:left="80"/>
              <w:spacing w:after="0"/>
              <w:rPr>
                <w:sz w:val="20"/>
                <w:szCs w:val="20"/>
                <w:color w:val="auto"/>
              </w:rPr>
            </w:pPr>
            <w:r>
              <w:rPr>
                <w:rFonts w:ascii="Arial" w:cs="Arial" w:eastAsia="Arial" w:hAnsi="Arial"/>
                <w:sz w:val="18"/>
                <w:szCs w:val="18"/>
                <w:color w:val="auto"/>
              </w:rPr>
              <w:t>Principal payments on notes payable</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(8,286)</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(8,286)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tcPr>
          <w:p>
            <w:pPr>
              <w:ind w:left="80"/>
              <w:spacing w:after="0"/>
              <w:rPr>
                <w:sz w:val="20"/>
                <w:szCs w:val="20"/>
                <w:color w:val="auto"/>
              </w:rPr>
            </w:pPr>
            <w:r>
              <w:rPr>
                <w:rFonts w:ascii="Arial" w:cs="Arial" w:eastAsia="Arial" w:hAnsi="Arial"/>
                <w:sz w:val="18"/>
                <w:szCs w:val="18"/>
                <w:color w:val="auto"/>
              </w:rPr>
              <w:t>Repurchase of common shares including shares withheld in lieu of income taxes</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(69,342)</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w w:val="98"/>
              </w:rPr>
              <w:t>(65,706)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shd w:val="clear" w:color="auto" w:fill="CCEEFF"/>
          </w:tcPr>
          <w:p>
            <w:pPr>
              <w:ind w:left="80"/>
              <w:spacing w:after="0"/>
              <w:rPr>
                <w:sz w:val="20"/>
                <w:szCs w:val="20"/>
                <w:color w:val="auto"/>
              </w:rPr>
            </w:pPr>
            <w:r>
              <w:rPr>
                <w:rFonts w:ascii="Arial" w:cs="Arial" w:eastAsia="Arial" w:hAnsi="Arial"/>
                <w:sz w:val="18"/>
                <w:szCs w:val="18"/>
                <w:color w:val="auto"/>
              </w:rPr>
              <w:t>Net proceeds from exercise of stock options</w:t>
            </w:r>
          </w:p>
        </w:tc>
        <w:tc>
          <w:tcPr>
            <w:tcW w:w="20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2,680</w:t>
            </w:r>
          </w:p>
        </w:tc>
        <w:tc>
          <w:tcPr>
            <w:tcW w:w="20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7140" w:type="dxa"/>
            <w:vAlign w:val="bottom"/>
            <w:tcBorders>
              <w:bottom w:val="single" w:sz="8" w:color="CCEEFF"/>
            </w:tcBorders>
          </w:tcPr>
          <w:p>
            <w:pPr>
              <w:spacing w:after="0"/>
              <w:rPr>
                <w:sz w:val="20"/>
                <w:szCs w:val="20"/>
                <w:color w:val="auto"/>
              </w:rPr>
            </w:pPr>
            <w:r>
              <w:rPr>
                <w:rFonts w:ascii="Arial" w:cs="Arial" w:eastAsia="Arial" w:hAnsi="Arial"/>
                <w:sz w:val="18"/>
                <w:szCs w:val="18"/>
                <w:b w:val="1"/>
                <w:bCs w:val="1"/>
                <w:color w:val="auto"/>
              </w:rPr>
              <w:t>Net cash used in financing activities</w:t>
            </w:r>
          </w:p>
        </w:tc>
        <w:tc>
          <w:tcPr>
            <w:tcW w:w="20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(74,948)</w:t>
            </w:r>
          </w:p>
        </w:tc>
        <w:tc>
          <w:tcPr>
            <w:tcW w:w="20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8"/>
              </w:rPr>
              <w:t>(73,920)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1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Net increase (decrease) in cash and cash equivalents and restricted cash</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(19,940)</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9,921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tcBorders>
              <w:bottom w:val="single" w:sz="8" w:color="CCEEFF"/>
            </w:tcBorders>
          </w:tcPr>
          <w:p>
            <w:pPr>
              <w:spacing w:after="0"/>
              <w:rPr>
                <w:sz w:val="20"/>
                <w:szCs w:val="20"/>
                <w:color w:val="auto"/>
              </w:rPr>
            </w:pPr>
            <w:r>
              <w:rPr>
                <w:rFonts w:ascii="Arial" w:cs="Arial" w:eastAsia="Arial" w:hAnsi="Arial"/>
                <w:sz w:val="18"/>
                <w:szCs w:val="18"/>
                <w:b w:val="1"/>
                <w:bCs w:val="1"/>
                <w:color w:val="auto"/>
              </w:rPr>
              <w:t>Cash and cash equivalents and restricted cash, beginning of period</w:t>
            </w:r>
          </w:p>
        </w:tc>
        <w:tc>
          <w:tcPr>
            <w:tcW w:w="20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245,769</w:t>
            </w:r>
          </w:p>
        </w:tc>
        <w:tc>
          <w:tcPr>
            <w:tcW w:w="20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2"/>
              </w:rPr>
              <w:t>122,572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714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Cash and cash equivalents and restricted cash, end of period</w:t>
            </w:r>
          </w:p>
        </w:tc>
        <w:tc>
          <w:tcPr>
            <w:tcW w:w="20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jc w:val="right"/>
              <w:ind w:right="7"/>
              <w:spacing w:after="0"/>
              <w:rPr>
                <w:sz w:val="20"/>
                <w:szCs w:val="20"/>
                <w:color w:val="auto"/>
              </w:rPr>
            </w:pPr>
            <w:r>
              <w:rPr>
                <w:rFonts w:ascii="Arial" w:cs="Arial" w:eastAsia="Arial" w:hAnsi="Arial"/>
                <w:sz w:val="15"/>
                <w:szCs w:val="15"/>
                <w:color w:val="auto"/>
                <w:w w:val="71"/>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225,829</w:t>
            </w:r>
          </w:p>
        </w:tc>
        <w:tc>
          <w:tcPr>
            <w:tcW w:w="20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jc w:val="right"/>
              <w:ind w:right="67"/>
              <w:spacing w:after="0"/>
              <w:rPr>
                <w:sz w:val="20"/>
                <w:szCs w:val="20"/>
                <w:color w:val="auto"/>
              </w:rPr>
            </w:pPr>
            <w:r>
              <w:rPr>
                <w:rFonts w:ascii="Arial" w:cs="Arial" w:eastAsia="Arial" w:hAnsi="Arial"/>
                <w:sz w:val="15"/>
                <w:szCs w:val="15"/>
                <w:color w:val="auto"/>
                <w:w w:val="71"/>
              </w:rPr>
              <w:t>$</w:t>
            </w: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2"/>
              </w:rPr>
              <w:t>132,493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716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Supplemental disclosure of cash flow information</w:t>
            </w:r>
          </w:p>
        </w:tc>
        <w:tc>
          <w:tcPr>
            <w:tcW w:w="2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7160" w:type="dxa"/>
            <w:vAlign w:val="bottom"/>
            <w:gridSpan w:val="2"/>
            <w:vMerge w:val="continue"/>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shd w:val="clear" w:color="auto" w:fill="CCEEFF"/>
          </w:tcPr>
          <w:p>
            <w:pPr>
              <w:ind w:left="80"/>
              <w:spacing w:after="0"/>
              <w:rPr>
                <w:sz w:val="20"/>
                <w:szCs w:val="20"/>
                <w:color w:val="auto"/>
              </w:rPr>
            </w:pPr>
            <w:r>
              <w:rPr>
                <w:rFonts w:ascii="Arial" w:cs="Arial" w:eastAsia="Arial" w:hAnsi="Arial"/>
                <w:sz w:val="18"/>
                <w:szCs w:val="18"/>
                <w:color w:val="auto"/>
              </w:rPr>
              <w:t>Cash paid for interest</w:t>
            </w:r>
          </w:p>
        </w:tc>
        <w:tc>
          <w:tcPr>
            <w:tcW w:w="360" w:type="dxa"/>
            <w:vAlign w:val="bottom"/>
            <w:gridSpan w:val="2"/>
            <w:shd w:val="clear" w:color="auto" w:fill="CCEEFF"/>
          </w:tcPr>
          <w:p>
            <w:pPr>
              <w:jc w:val="right"/>
              <w:ind w:right="7"/>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895</w:t>
            </w:r>
          </w:p>
        </w:tc>
        <w:tc>
          <w:tcPr>
            <w:tcW w:w="420" w:type="dxa"/>
            <w:vAlign w:val="bottom"/>
            <w:gridSpan w:val="2"/>
            <w:shd w:val="clear" w:color="auto" w:fill="CCEEFF"/>
          </w:tcPr>
          <w:p>
            <w:pPr>
              <w:jc w:val="right"/>
              <w:ind w:right="67"/>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1,546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tcPr>
          <w:p>
            <w:pPr>
              <w:ind w:left="80"/>
              <w:spacing w:after="0"/>
              <w:rPr>
                <w:sz w:val="20"/>
                <w:szCs w:val="20"/>
                <w:color w:val="auto"/>
              </w:rPr>
            </w:pPr>
            <w:r>
              <w:rPr>
                <w:rFonts w:ascii="Arial" w:cs="Arial" w:eastAsia="Arial" w:hAnsi="Arial"/>
                <w:sz w:val="18"/>
                <w:szCs w:val="18"/>
                <w:color w:val="auto"/>
              </w:rPr>
              <w:t>Cash paid for income taxes</w:t>
            </w:r>
          </w:p>
        </w:tc>
        <w:tc>
          <w:tcPr>
            <w:tcW w:w="360" w:type="dxa"/>
            <w:vAlign w:val="bottom"/>
            <w:gridSpan w:val="2"/>
          </w:tcPr>
          <w:p>
            <w:pPr>
              <w:jc w:val="right"/>
              <w:ind w:right="7"/>
              <w:spacing w:after="0"/>
              <w:rPr>
                <w:sz w:val="20"/>
                <w:szCs w:val="20"/>
                <w:color w:val="auto"/>
              </w:rPr>
            </w:pPr>
            <w:r>
              <w:rPr>
                <w:rFonts w:ascii="Arial" w:cs="Arial" w:eastAsia="Arial" w:hAnsi="Arial"/>
                <w:sz w:val="18"/>
                <w:szCs w:val="18"/>
                <w:color w:val="auto"/>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230</w:t>
            </w:r>
          </w:p>
        </w:tc>
        <w:tc>
          <w:tcPr>
            <w:tcW w:w="420" w:type="dxa"/>
            <w:vAlign w:val="bottom"/>
            <w:gridSpan w:val="2"/>
          </w:tcPr>
          <w:p>
            <w:pPr>
              <w:jc w:val="right"/>
              <w:ind w:right="67"/>
              <w:spacing w:after="0"/>
              <w:rPr>
                <w:sz w:val="20"/>
                <w:szCs w:val="20"/>
                <w:color w:val="auto"/>
              </w:rPr>
            </w:pPr>
            <w:r>
              <w:rPr>
                <w:rFonts w:ascii="Arial" w:cs="Arial" w:eastAsia="Arial" w:hAnsi="Arial"/>
                <w:sz w:val="18"/>
                <w:szCs w:val="18"/>
                <w:color w:val="auto"/>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250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Supplemental disclosure of non-cash investing and financing activities</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tcPr>
          <w:p>
            <w:pPr>
              <w:ind w:left="80"/>
              <w:spacing w:after="0"/>
              <w:rPr>
                <w:sz w:val="20"/>
                <w:szCs w:val="20"/>
                <w:color w:val="auto"/>
              </w:rPr>
            </w:pPr>
            <w:r>
              <w:rPr>
                <w:rFonts w:ascii="Arial" w:cs="Arial" w:eastAsia="Arial" w:hAnsi="Arial"/>
                <w:sz w:val="18"/>
                <w:szCs w:val="18"/>
                <w:color w:val="auto"/>
              </w:rPr>
              <w:t>Purchases of property and equipment included in accounts payable</w:t>
            </w:r>
          </w:p>
        </w:tc>
        <w:tc>
          <w:tcPr>
            <w:tcW w:w="360" w:type="dxa"/>
            <w:vAlign w:val="bottom"/>
            <w:gridSpan w:val="2"/>
          </w:tcPr>
          <w:p>
            <w:pPr>
              <w:jc w:val="right"/>
              <w:ind w:right="7"/>
              <w:spacing w:after="0"/>
              <w:rPr>
                <w:sz w:val="20"/>
                <w:szCs w:val="20"/>
                <w:color w:val="auto"/>
              </w:rPr>
            </w:pPr>
            <w:r>
              <w:rPr>
                <w:rFonts w:ascii="Arial" w:cs="Arial" w:eastAsia="Arial" w:hAnsi="Arial"/>
                <w:sz w:val="18"/>
                <w:szCs w:val="18"/>
                <w:color w:val="auto"/>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876</w:t>
            </w:r>
          </w:p>
        </w:tc>
        <w:tc>
          <w:tcPr>
            <w:tcW w:w="420" w:type="dxa"/>
            <w:vAlign w:val="bottom"/>
            <w:gridSpan w:val="2"/>
          </w:tcPr>
          <w:p>
            <w:pPr>
              <w:jc w:val="right"/>
              <w:ind w:right="67"/>
              <w:spacing w:after="0"/>
              <w:rPr>
                <w:sz w:val="20"/>
                <w:szCs w:val="20"/>
                <w:color w:val="auto"/>
              </w:rPr>
            </w:pPr>
            <w:r>
              <w:rPr>
                <w:rFonts w:ascii="Arial" w:cs="Arial" w:eastAsia="Arial" w:hAnsi="Arial"/>
                <w:sz w:val="18"/>
                <w:szCs w:val="18"/>
                <w:color w:val="auto"/>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899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shd w:val="clear" w:color="auto" w:fill="CCEEFF"/>
          </w:tcPr>
          <w:p>
            <w:pPr>
              <w:ind w:left="80"/>
              <w:spacing w:after="0"/>
              <w:rPr>
                <w:sz w:val="20"/>
                <w:szCs w:val="20"/>
                <w:color w:val="auto"/>
              </w:rPr>
            </w:pPr>
            <w:r>
              <w:rPr>
                <w:rFonts w:ascii="Arial" w:cs="Arial" w:eastAsia="Arial" w:hAnsi="Arial"/>
                <w:sz w:val="18"/>
                <w:szCs w:val="18"/>
                <w:color w:val="auto"/>
                <w:w w:val="97"/>
              </w:rPr>
              <w:t>Allowance for credit losses of $5,000, net of taxes of $1,168 from adoption of ASU 2016-13</w:t>
            </w:r>
          </w:p>
        </w:tc>
        <w:tc>
          <w:tcPr>
            <w:tcW w:w="360" w:type="dxa"/>
            <w:vAlign w:val="bottom"/>
            <w:gridSpan w:val="2"/>
            <w:shd w:val="clear" w:color="auto" w:fill="CCEEFF"/>
          </w:tcPr>
          <w:p>
            <w:pPr>
              <w:jc w:val="right"/>
              <w:ind w:right="7"/>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20" w:type="dxa"/>
            <w:vAlign w:val="bottom"/>
            <w:gridSpan w:val="2"/>
            <w:shd w:val="clear" w:color="auto" w:fill="CCEEFF"/>
          </w:tcPr>
          <w:p>
            <w:pPr>
              <w:jc w:val="right"/>
              <w:ind w:right="67"/>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3,832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7140" w:type="dxa"/>
            <w:vAlign w:val="bottom"/>
          </w:tcPr>
          <w:p>
            <w:pPr>
              <w:ind w:left="80"/>
              <w:spacing w:after="0"/>
              <w:rPr>
                <w:sz w:val="20"/>
                <w:szCs w:val="20"/>
                <w:color w:val="auto"/>
              </w:rPr>
            </w:pPr>
            <w:r>
              <w:rPr>
                <w:rFonts w:ascii="Arial" w:cs="Arial" w:eastAsia="Arial" w:hAnsi="Arial"/>
                <w:sz w:val="18"/>
                <w:szCs w:val="18"/>
                <w:color w:val="auto"/>
              </w:rPr>
              <w:t>ROU Asset and Liability recognition</w:t>
            </w:r>
          </w:p>
        </w:tc>
        <w:tc>
          <w:tcPr>
            <w:tcW w:w="360" w:type="dxa"/>
            <w:vAlign w:val="bottom"/>
            <w:gridSpan w:val="2"/>
          </w:tcPr>
          <w:p>
            <w:pPr>
              <w:jc w:val="right"/>
              <w:ind w:right="7"/>
              <w:spacing w:after="0"/>
              <w:rPr>
                <w:sz w:val="20"/>
                <w:szCs w:val="20"/>
                <w:color w:val="auto"/>
              </w:rPr>
            </w:pPr>
            <w:r>
              <w:rPr>
                <w:rFonts w:ascii="Arial" w:cs="Arial" w:eastAsia="Arial" w:hAnsi="Arial"/>
                <w:sz w:val="18"/>
                <w:szCs w:val="18"/>
                <w:color w:val="auto"/>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1,586</w:t>
            </w:r>
          </w:p>
        </w:tc>
        <w:tc>
          <w:tcPr>
            <w:tcW w:w="420" w:type="dxa"/>
            <w:vAlign w:val="bottom"/>
            <w:gridSpan w:val="2"/>
          </w:tcPr>
          <w:p>
            <w:pPr>
              <w:jc w:val="right"/>
              <w:ind w:right="67"/>
              <w:spacing w:after="0"/>
              <w:rPr>
                <w:sz w:val="20"/>
                <w:szCs w:val="20"/>
                <w:color w:val="auto"/>
              </w:rPr>
            </w:pPr>
            <w:r>
              <w:rPr>
                <w:rFonts w:ascii="Arial" w:cs="Arial" w:eastAsia="Arial" w:hAnsi="Arial"/>
                <w:sz w:val="18"/>
                <w:szCs w:val="18"/>
                <w:color w:val="auto"/>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6,775</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850"/>
        </w:trPr>
        <w:tc>
          <w:tcPr>
            <w:tcW w:w="7160" w:type="dxa"/>
            <w:vAlign w:val="bottom"/>
            <w:gridSpan w:val="2"/>
          </w:tcPr>
          <w:p>
            <w:pPr>
              <w:jc w:val="right"/>
              <w:ind w:right="2290"/>
              <w:spacing w:after="0"/>
              <w:rPr>
                <w:sz w:val="20"/>
                <w:szCs w:val="20"/>
                <w:color w:val="auto"/>
              </w:rPr>
            </w:pPr>
            <w:r>
              <w:rPr>
                <w:rFonts w:ascii="Arial" w:cs="Arial" w:eastAsia="Arial" w:hAnsi="Arial"/>
                <w:sz w:val="18"/>
                <w:szCs w:val="18"/>
                <w:color w:val="auto"/>
              </w:rPr>
              <w:t>10</w:t>
            </w:r>
          </w:p>
        </w:tc>
        <w:tc>
          <w:tcPr>
            <w:tcW w:w="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60"/>
        </w:trPr>
        <w:tc>
          <w:tcPr>
            <w:tcW w:w="20" w:type="dxa"/>
            <w:vAlign w:val="bottom"/>
          </w:tcPr>
          <w:p>
            <w:pPr>
              <w:spacing w:after="0"/>
              <w:rPr>
                <w:sz w:val="24"/>
                <w:szCs w:val="24"/>
                <w:color w:val="auto"/>
              </w:rPr>
            </w:pPr>
          </w:p>
        </w:tc>
        <w:tc>
          <w:tcPr>
            <w:tcW w:w="714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380"/>
          </w:cols>
          <w:pgMar w:left="1260" w:top="121" w:right="1259" w:bottom="1440" w:gutter="0" w:footer="0" w:header="0"/>
        </w:sectPr>
      </w:pPr>
    </w:p>
    <w:bookmarkStart w:id="14" w:name="page15"/>
    <w:bookmarkEnd w:id="14"/>
    <w:p>
      <w:pPr>
        <w:spacing w:after="0"/>
        <w:rPr>
          <w:sz w:val="20"/>
          <w:szCs w:val="20"/>
          <w:color w:val="auto"/>
        </w:rPr>
      </w:pPr>
      <w:r>
        <w:rPr>
          <w:rFonts w:ascii="Arial" w:cs="Arial" w:eastAsia="Arial" w:hAnsi="Arial"/>
          <w:sz w:val="18"/>
          <w:szCs w:val="18"/>
          <w:b w:val="1"/>
          <w:bCs w:val="1"/>
          <w:color w:val="auto"/>
        </w:rPr>
        <w:t>Grand Canyon Education, Inc. Reports First Quarter 2021 Results</w:t>
      </w:r>
    </w:p>
    <w:p>
      <w:pPr>
        <w:spacing w:after="0" w:line="225" w:lineRule="exact"/>
        <w:rPr>
          <w:sz w:val="20"/>
          <w:szCs w:val="20"/>
          <w:color w:val="auto"/>
        </w:rPr>
      </w:pPr>
    </w:p>
    <w:p>
      <w:pPr>
        <w:ind w:left="3140"/>
        <w:spacing w:after="0"/>
        <w:rPr>
          <w:sz w:val="20"/>
          <w:szCs w:val="20"/>
          <w:color w:val="auto"/>
        </w:rPr>
      </w:pPr>
      <w:r>
        <w:rPr>
          <w:rFonts w:ascii="Arial" w:cs="Arial" w:eastAsia="Arial" w:hAnsi="Arial"/>
          <w:sz w:val="18"/>
          <w:szCs w:val="18"/>
          <w:b w:val="1"/>
          <w:bCs w:val="1"/>
          <w:color w:val="auto"/>
        </w:rPr>
        <w:t>GRAND CANYON EDUCATION, INC.</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Adjusted EBITDA (Non-GAAP Financial Measure)</w:t>
      </w:r>
    </w:p>
    <w:p>
      <w:pPr>
        <w:spacing w:after="0" w:line="229" w:lineRule="exact"/>
        <w:rPr>
          <w:sz w:val="20"/>
          <w:szCs w:val="20"/>
          <w:color w:val="auto"/>
        </w:rPr>
      </w:pPr>
    </w:p>
    <w:p>
      <w:pPr>
        <w:ind w:right="60" w:firstLine="324"/>
        <w:spacing w:after="0" w:line="287" w:lineRule="auto"/>
        <w:rPr>
          <w:sz w:val="20"/>
          <w:szCs w:val="20"/>
          <w:color w:val="auto"/>
        </w:rPr>
      </w:pPr>
      <w:r>
        <w:rPr>
          <w:rFonts w:ascii="Arial" w:cs="Arial" w:eastAsia="Arial" w:hAnsi="Arial"/>
          <w:sz w:val="16"/>
          <w:szCs w:val="16"/>
          <w:color w:val="auto"/>
        </w:rPr>
        <w:t>Adjusted EBITDA is defined as net income plus interest expense, less interest income and other gain (loss) recognized on investments, plus income tax expense, and plus depreciation and amortization (EBITDA), as adjusted for (i) contributions to private Arizona school tuition organizations in lieu of the payment of state income taxes; (ii) loss on transaction; (iii) share-based compensation, and (iv) unusual charges or gains, such as litigation and regulatory reserves, impairment charges and asset write-offs, and exit or lease termination costs. We present Adjusted EBITDA because we consider it to be an important supplemental measure of our operating performance. We also make certain compensation decisions based, in part, on our operating performance, as measured by Adjusted EBITDA, and our loan agreement requires us to comply with covenants that include performance metrics substantially similar to Adjusted EBITDA. All of the adjustments made in our calculation of Adjusted EBITDA are adjustments to items that management does not consider to be reflective of our core operating performance. Management considers our core operating performance to be that which can be affected by our managers in any particular period through their management of the resources that affect our underlying revenue and profit generating operations during that period and does not consider the items for which we make adjustments (as listed above) to be reflective of our core performance.</w:t>
      </w:r>
    </w:p>
    <w:p>
      <w:pPr>
        <w:spacing w:after="0" w:line="168" w:lineRule="exact"/>
        <w:rPr>
          <w:sz w:val="20"/>
          <w:szCs w:val="20"/>
          <w:color w:val="auto"/>
        </w:rPr>
      </w:pPr>
    </w:p>
    <w:p>
      <w:pPr>
        <w:ind w:firstLine="324"/>
        <w:spacing w:after="0" w:line="291" w:lineRule="auto"/>
        <w:rPr>
          <w:sz w:val="20"/>
          <w:szCs w:val="20"/>
          <w:color w:val="auto"/>
        </w:rPr>
      </w:pPr>
      <w:r>
        <w:rPr>
          <w:rFonts w:ascii="Arial" w:cs="Arial" w:eastAsia="Arial" w:hAnsi="Arial"/>
          <w:sz w:val="16"/>
          <w:szCs w:val="16"/>
          <w:color w:val="auto"/>
        </w:rPr>
        <w:t>We believe Adjusted EBITDA allows us to compare our current operating results with corresponding historical periods and with the operational performance of other companies in our industry because it does not give effect to potential differences caused by variations in capital structures (affecting relative interest expense, including the impact of write-offs of deferred financing costs when companies refinance their indebtedness), tax positions (such as the impact on periods or companies of changes in effective tax rates or net operating losses), the book amortization of intangibles (affecting relative amortization expense), and other items that we do not consider reflective of underlying operating performance. We also present Adjusted EBITDA because we believe it is frequently used by securities analysts, investors, and other interested parties as a measure of performance.</w:t>
      </w:r>
    </w:p>
    <w:p>
      <w:pPr>
        <w:spacing w:after="0" w:line="166" w:lineRule="exact"/>
        <w:rPr>
          <w:sz w:val="20"/>
          <w:szCs w:val="20"/>
          <w:color w:val="auto"/>
        </w:rPr>
      </w:pPr>
    </w:p>
    <w:p>
      <w:pPr>
        <w:ind w:right="260" w:firstLine="324"/>
        <w:spacing w:after="0" w:line="259" w:lineRule="auto"/>
        <w:rPr>
          <w:sz w:val="20"/>
          <w:szCs w:val="20"/>
          <w:color w:val="auto"/>
        </w:rPr>
      </w:pPr>
      <w:r>
        <w:rPr>
          <w:rFonts w:ascii="Arial" w:cs="Arial" w:eastAsia="Arial" w:hAnsi="Arial"/>
          <w:sz w:val="18"/>
          <w:szCs w:val="18"/>
          <w:color w:val="auto"/>
        </w:rPr>
        <w:t>In evaluating Adjusted EBITDA, investors should be aware that in the future we may incur expenses similar to the adjustments described above. Our presentation of Adjusted EBITDA should not be construed as an inference that our future results will be unaffected by expenses that are unusual, non-routine, or non-recurring. Adjusted EBITDA has limitations as an analytical tool in that, among other things it does not reflect:</w:t>
      </w:r>
    </w:p>
    <w:p>
      <w:pPr>
        <w:spacing w:after="0" w:line="187" w:lineRule="exact"/>
        <w:rPr>
          <w:sz w:val="20"/>
          <w:szCs w:val="20"/>
          <w:color w:val="auto"/>
        </w:rPr>
      </w:pPr>
    </w:p>
    <w:p>
      <w:pPr>
        <w:ind w:left="640" w:hanging="323"/>
        <w:spacing w:after="0"/>
        <w:tabs>
          <w:tab w:leader="none" w:pos="640" w:val="left"/>
        </w:tabs>
        <w:numPr>
          <w:ilvl w:val="0"/>
          <w:numId w:val="5"/>
        </w:numPr>
        <w:rPr>
          <w:rFonts w:ascii="Arial" w:cs="Arial" w:eastAsia="Arial" w:hAnsi="Arial"/>
          <w:sz w:val="18"/>
          <w:szCs w:val="18"/>
          <w:color w:val="auto"/>
        </w:rPr>
      </w:pPr>
      <w:r>
        <w:rPr>
          <w:rFonts w:ascii="Arial" w:cs="Arial" w:eastAsia="Arial" w:hAnsi="Arial"/>
          <w:sz w:val="18"/>
          <w:szCs w:val="18"/>
          <w:color w:val="auto"/>
        </w:rPr>
        <w:t>cash expenditures for capital expenditures or contractual commitments;</w:t>
      </w:r>
    </w:p>
    <w:p>
      <w:pPr>
        <w:spacing w:after="0" w:line="225" w:lineRule="exact"/>
        <w:rPr>
          <w:rFonts w:ascii="Arial" w:cs="Arial" w:eastAsia="Arial" w:hAnsi="Arial"/>
          <w:sz w:val="18"/>
          <w:szCs w:val="18"/>
          <w:color w:val="auto"/>
        </w:rPr>
      </w:pPr>
    </w:p>
    <w:p>
      <w:pPr>
        <w:ind w:left="640" w:hanging="323"/>
        <w:spacing w:after="0"/>
        <w:tabs>
          <w:tab w:leader="none" w:pos="640" w:val="left"/>
        </w:tabs>
        <w:numPr>
          <w:ilvl w:val="0"/>
          <w:numId w:val="5"/>
        </w:numPr>
        <w:rPr>
          <w:rFonts w:ascii="Arial" w:cs="Arial" w:eastAsia="Arial" w:hAnsi="Arial"/>
          <w:sz w:val="18"/>
          <w:szCs w:val="18"/>
          <w:color w:val="auto"/>
        </w:rPr>
      </w:pPr>
      <w:r>
        <w:rPr>
          <w:rFonts w:ascii="Arial" w:cs="Arial" w:eastAsia="Arial" w:hAnsi="Arial"/>
          <w:sz w:val="18"/>
          <w:szCs w:val="18"/>
          <w:color w:val="auto"/>
        </w:rPr>
        <w:t>changes in, or cash requirements for, our working capital requirements;</w:t>
      </w:r>
    </w:p>
    <w:p>
      <w:pPr>
        <w:spacing w:after="0" w:line="225" w:lineRule="exact"/>
        <w:rPr>
          <w:rFonts w:ascii="Arial" w:cs="Arial" w:eastAsia="Arial" w:hAnsi="Arial"/>
          <w:sz w:val="18"/>
          <w:szCs w:val="18"/>
          <w:color w:val="auto"/>
        </w:rPr>
      </w:pPr>
    </w:p>
    <w:p>
      <w:pPr>
        <w:ind w:left="640" w:hanging="323"/>
        <w:spacing w:after="0"/>
        <w:tabs>
          <w:tab w:leader="none" w:pos="640" w:val="left"/>
        </w:tabs>
        <w:numPr>
          <w:ilvl w:val="0"/>
          <w:numId w:val="5"/>
        </w:numPr>
        <w:rPr>
          <w:rFonts w:ascii="Arial" w:cs="Arial" w:eastAsia="Arial" w:hAnsi="Arial"/>
          <w:sz w:val="18"/>
          <w:szCs w:val="18"/>
          <w:color w:val="auto"/>
        </w:rPr>
      </w:pPr>
      <w:r>
        <w:rPr>
          <w:rFonts w:ascii="Arial" w:cs="Arial" w:eastAsia="Arial" w:hAnsi="Arial"/>
          <w:sz w:val="18"/>
          <w:szCs w:val="18"/>
          <w:color w:val="auto"/>
        </w:rPr>
        <w:t>interest expense, or the cash required to replace assets that are being depreciated or amortized; and</w:t>
      </w:r>
    </w:p>
    <w:p>
      <w:pPr>
        <w:spacing w:after="0" w:line="225" w:lineRule="exact"/>
        <w:rPr>
          <w:rFonts w:ascii="Arial" w:cs="Arial" w:eastAsia="Arial" w:hAnsi="Arial"/>
          <w:sz w:val="18"/>
          <w:szCs w:val="18"/>
          <w:color w:val="auto"/>
        </w:rPr>
      </w:pPr>
    </w:p>
    <w:p>
      <w:pPr>
        <w:ind w:left="640" w:right="80" w:hanging="323"/>
        <w:spacing w:after="0" w:line="277" w:lineRule="auto"/>
        <w:tabs>
          <w:tab w:leader="none" w:pos="64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impact on our reported results of earnings or charges resulting from the items for which we make adjustments to our EBITDA, as described above and set forth in the table below.</w:t>
      </w:r>
    </w:p>
    <w:p>
      <w:pPr>
        <w:spacing w:after="0" w:line="170" w:lineRule="exact"/>
        <w:rPr>
          <w:sz w:val="20"/>
          <w:szCs w:val="20"/>
          <w:color w:val="auto"/>
        </w:rPr>
      </w:pPr>
    </w:p>
    <w:p>
      <w:pPr>
        <w:ind w:right="60" w:firstLine="243"/>
        <w:spacing w:after="0" w:line="255" w:lineRule="auto"/>
        <w:rPr>
          <w:sz w:val="20"/>
          <w:szCs w:val="20"/>
          <w:color w:val="auto"/>
        </w:rPr>
      </w:pPr>
      <w:r>
        <w:rPr>
          <w:rFonts w:ascii="Arial" w:cs="Arial" w:eastAsia="Arial" w:hAnsi="Arial"/>
          <w:sz w:val="18"/>
          <w:szCs w:val="18"/>
          <w:color w:val="auto"/>
        </w:rPr>
        <w:t>In addition, other companies, including other companies in our industry, may calculate these measures differently than we do, limiting the usefulness of Adjusted EBITDA as a comparative measure. Because of these limitations, Adjusted EBITDA should not be considered as a substitute for net income, operating income, or any other performance measure derived in accordance with and reported under GAAP, or as an alternative to cash flow from operating activities or as a measure of our liquidity. We compensate for these limitations by relying primarily on our GAAP results and only use Adjusted EBITDA as a supplemental performance measure.</w:t>
      </w: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357505</wp:posOffset>
            </wp:positionV>
            <wp:extent cx="5957570" cy="260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5957570" cy="26035"/>
                    </a:xfrm>
                    <a:prstGeom prst="rect">
                      <a:avLst/>
                    </a:prstGeom>
                    <a:noFill/>
                  </pic:spPr>
                </pic:pic>
              </a:graphicData>
            </a:graphic>
          </wp:anchor>
        </w:drawing>
      </w:r>
    </w:p>
    <w:p>
      <w:pPr>
        <w:sectPr>
          <w:pgSz w:w="11900" w:h="16838" w:orient="portrait"/>
          <w:cols w:equalWidth="0" w:num="1">
            <w:col w:w="9360"/>
          </w:cols>
          <w:pgMar w:left="1260" w:top="121" w:right="1279" w:bottom="1440" w:gutter="0" w:footer="0" w:header="0"/>
        </w:sectPr>
      </w:pPr>
    </w:p>
    <w:bookmarkStart w:id="15" w:name="page16"/>
    <w:bookmarkEnd w:id="15"/>
    <w:p>
      <w:pPr>
        <w:ind w:left="7" w:right="80"/>
        <w:spacing w:after="0" w:line="277" w:lineRule="auto"/>
        <w:rPr>
          <w:sz w:val="20"/>
          <w:szCs w:val="20"/>
          <w:color w:val="auto"/>
        </w:rPr>
      </w:pPr>
      <w:r>
        <w:rPr>
          <w:rFonts w:ascii="Arial" w:cs="Arial" w:eastAsia="Arial" w:hAnsi="Arial"/>
          <w:sz w:val="18"/>
          <w:szCs w:val="18"/>
          <w:color w:val="auto"/>
        </w:rPr>
        <w:t>The following table provides a reconciliation of net income to Adjusted EBITDA, which is a non-GAAP measure for the periods indicated:</w:t>
      </w:r>
    </w:p>
    <w:p>
      <w:pPr>
        <w:spacing w:after="0" w:line="175" w:lineRule="exact"/>
        <w:rPr>
          <w:sz w:val="20"/>
          <w:szCs w:val="20"/>
          <w:color w:val="auto"/>
        </w:rPr>
      </w:pPr>
    </w:p>
    <w:p>
      <w:pPr>
        <w:ind w:left="7707"/>
        <w:spacing w:after="0"/>
        <w:rPr>
          <w:sz w:val="20"/>
          <w:szCs w:val="20"/>
          <w:color w:val="auto"/>
        </w:rPr>
      </w:pPr>
      <w:r>
        <w:rPr>
          <w:rFonts w:ascii="Arial" w:cs="Arial" w:eastAsia="Arial" w:hAnsi="Arial"/>
          <w:sz w:val="14"/>
          <w:szCs w:val="14"/>
          <w:b w:val="1"/>
          <w:bCs w:val="1"/>
          <w:color w:val="auto"/>
        </w:rPr>
        <w:t>Three Months Ended</w:t>
      </w:r>
    </w:p>
    <w:p>
      <w:pPr>
        <w:ind w:left="8047"/>
        <w:spacing w:after="0" w:line="236" w:lineRule="auto"/>
        <w:rPr>
          <w:sz w:val="20"/>
          <w:szCs w:val="20"/>
          <w:color w:val="auto"/>
        </w:rPr>
      </w:pPr>
      <w:r>
        <w:rPr>
          <w:rFonts w:ascii="Arial" w:cs="Arial" w:eastAsia="Arial" w:hAnsi="Arial"/>
          <w:sz w:val="14"/>
          <w:szCs w:val="14"/>
          <w:b w:val="1"/>
          <w:bCs w:val="1"/>
          <w:color w:val="auto"/>
        </w:rPr>
        <w:t>March 31,</w:t>
      </w:r>
    </w:p>
    <w:tbl>
      <w:tblPr>
        <w:tblLayout w:type="fixed"/>
        <w:tblInd w:w="7" w:type="dxa"/>
        <w:tblCellMar>
          <w:top w:w="0" w:type="dxa"/>
          <w:left w:w="0" w:type="dxa"/>
          <w:bottom w:w="0" w:type="dxa"/>
          <w:right w:w="0" w:type="dxa"/>
        </w:tblCellMar>
      </w:tblPr>
      <w:tr>
        <w:trPr>
          <w:trHeight w:val="142"/>
        </w:trPr>
        <w:tc>
          <w:tcPr>
            <w:tcW w:w="7360" w:type="dxa"/>
            <w:vAlign w:val="bottom"/>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760" w:type="dxa"/>
            <w:vAlign w:val="bottom"/>
            <w:tcBorders>
              <w:top w:val="single" w:sz="8" w:color="auto"/>
              <w:bottom w:val="single" w:sz="8" w:color="auto"/>
            </w:tcBorders>
          </w:tcPr>
          <w:p>
            <w:pPr>
              <w:jc w:val="right"/>
              <w:ind w:right="213"/>
              <w:spacing w:after="0" w:line="142" w:lineRule="exact"/>
              <w:rPr>
                <w:sz w:val="20"/>
                <w:szCs w:val="20"/>
                <w:color w:val="auto"/>
              </w:rPr>
            </w:pPr>
            <w:r>
              <w:rPr>
                <w:rFonts w:ascii="Arial" w:cs="Arial" w:eastAsia="Arial" w:hAnsi="Arial"/>
                <w:sz w:val="14"/>
                <w:szCs w:val="14"/>
                <w:b w:val="1"/>
                <w:bCs w:val="1"/>
                <w:color w:val="auto"/>
              </w:rPr>
              <w:t>2021</w:t>
            </w:r>
          </w:p>
        </w:tc>
        <w:tc>
          <w:tcPr>
            <w:tcW w:w="200" w:type="dxa"/>
            <w:vAlign w:val="bottom"/>
            <w:tcBorders>
              <w:top w:val="single" w:sz="8" w:color="auto"/>
              <w:bottom w:val="single" w:sz="8" w:color="auto"/>
            </w:tcBorders>
            <w:vMerge w:val="restart"/>
          </w:tcPr>
          <w:p>
            <w:pPr>
              <w:jc w:val="right"/>
              <w:spacing w:after="0"/>
              <w:rPr>
                <w:sz w:val="20"/>
                <w:szCs w:val="20"/>
                <w:color w:val="auto"/>
              </w:rPr>
            </w:pPr>
            <w:r>
              <w:rPr>
                <w:rFonts w:ascii="Arial" w:cs="Arial" w:eastAsia="Arial" w:hAnsi="Arial"/>
                <w:sz w:val="14"/>
                <w:szCs w:val="14"/>
                <w:b w:val="1"/>
                <w:bCs w:val="1"/>
                <w:color w:val="auto"/>
              </w:rPr>
              <w:t>in</w:t>
            </w:r>
          </w:p>
        </w:tc>
        <w:tc>
          <w:tcPr>
            <w:tcW w:w="200" w:type="dxa"/>
            <w:vAlign w:val="bottom"/>
            <w:tcBorders>
              <w:top w:val="single" w:sz="8" w:color="auto"/>
              <w:bottom w:val="single" w:sz="8" w:color="auto"/>
            </w:tcBorders>
          </w:tcPr>
          <w:p>
            <w:pPr>
              <w:spacing w:after="0"/>
              <w:rPr>
                <w:sz w:val="12"/>
                <w:szCs w:val="12"/>
                <w:color w:val="auto"/>
              </w:rPr>
            </w:pPr>
          </w:p>
        </w:tc>
        <w:tc>
          <w:tcPr>
            <w:tcW w:w="700" w:type="dxa"/>
            <w:vAlign w:val="bottom"/>
            <w:tcBorders>
              <w:top w:val="single" w:sz="8" w:color="auto"/>
              <w:bottom w:val="single" w:sz="8" w:color="auto"/>
            </w:tcBorders>
          </w:tcPr>
          <w:p>
            <w:pPr>
              <w:jc w:val="right"/>
              <w:ind w:right="212"/>
              <w:spacing w:after="0" w:line="142" w:lineRule="exact"/>
              <w:rPr>
                <w:sz w:val="20"/>
                <w:szCs w:val="20"/>
                <w:color w:val="auto"/>
              </w:rPr>
            </w:pPr>
            <w:r>
              <w:rPr>
                <w:rFonts w:ascii="Arial" w:cs="Arial" w:eastAsia="Arial" w:hAnsi="Arial"/>
                <w:sz w:val="14"/>
                <w:szCs w:val="14"/>
                <w:b w:val="1"/>
                <w:bCs w:val="1"/>
                <w:color w:val="auto"/>
              </w:rPr>
              <w:t>2020</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8"/>
        </w:trPr>
        <w:tc>
          <w:tcPr>
            <w:tcW w:w="7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60" w:type="dxa"/>
            <w:vAlign w:val="bottom"/>
          </w:tcPr>
          <w:p>
            <w:pPr>
              <w:jc w:val="right"/>
              <w:spacing w:after="0" w:line="129" w:lineRule="exact"/>
              <w:rPr>
                <w:sz w:val="20"/>
                <w:szCs w:val="20"/>
                <w:color w:val="auto"/>
              </w:rPr>
            </w:pPr>
            <w:r>
              <w:rPr>
                <w:rFonts w:ascii="Arial" w:cs="Arial" w:eastAsia="Arial" w:hAnsi="Arial"/>
                <w:sz w:val="14"/>
                <w:szCs w:val="14"/>
                <w:b w:val="1"/>
                <w:bCs w:val="1"/>
                <w:color w:val="auto"/>
                <w:w w:val="96"/>
              </w:rPr>
              <w:t>(Unaudited,</w:t>
            </w:r>
          </w:p>
        </w:tc>
        <w:tc>
          <w:tcPr>
            <w:tcW w:w="200" w:type="dxa"/>
            <w:vAlign w:val="bottom"/>
            <w:vMerge w:val="continue"/>
          </w:tcPr>
          <w:p>
            <w:pPr>
              <w:spacing w:after="0"/>
              <w:rPr>
                <w:sz w:val="11"/>
                <w:szCs w:val="11"/>
                <w:color w:val="auto"/>
              </w:rPr>
            </w:pPr>
          </w:p>
        </w:tc>
        <w:tc>
          <w:tcPr>
            <w:tcW w:w="900" w:type="dxa"/>
            <w:vAlign w:val="bottom"/>
            <w:gridSpan w:val="2"/>
          </w:tcPr>
          <w:p>
            <w:pPr>
              <w:jc w:val="right"/>
              <w:ind w:right="112"/>
              <w:spacing w:after="0" w:line="129" w:lineRule="exact"/>
              <w:rPr>
                <w:sz w:val="20"/>
                <w:szCs w:val="20"/>
                <w:color w:val="auto"/>
              </w:rPr>
            </w:pPr>
            <w:r>
              <w:rPr>
                <w:rFonts w:ascii="Arial" w:cs="Arial" w:eastAsia="Arial" w:hAnsi="Arial"/>
                <w:sz w:val="14"/>
                <w:szCs w:val="14"/>
                <w:b w:val="1"/>
                <w:bCs w:val="1"/>
                <w:color w:val="auto"/>
                <w:w w:val="90"/>
              </w:rPr>
              <w:t>thousands)</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7360" w:type="dxa"/>
            <w:vAlign w:val="bottom"/>
            <w:shd w:val="clear" w:color="auto" w:fill="CCEEFF"/>
          </w:tcPr>
          <w:p>
            <w:pPr>
              <w:spacing w:after="0"/>
              <w:rPr>
                <w:sz w:val="20"/>
                <w:szCs w:val="20"/>
                <w:color w:val="auto"/>
              </w:rPr>
            </w:pPr>
            <w:r>
              <w:rPr>
                <w:rFonts w:ascii="Arial" w:cs="Arial" w:eastAsia="Arial" w:hAnsi="Arial"/>
                <w:sz w:val="18"/>
                <w:szCs w:val="18"/>
                <w:color w:val="auto"/>
              </w:rPr>
              <w:t>Net income</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78,112</w:t>
            </w:r>
          </w:p>
        </w:tc>
        <w:tc>
          <w:tcPr>
            <w:tcW w:w="20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16"/>
              <w:spacing w:after="0"/>
              <w:rPr>
                <w:sz w:val="20"/>
                <w:szCs w:val="20"/>
                <w:color w:val="auto"/>
              </w:rPr>
            </w:pPr>
            <w:r>
              <w:rPr>
                <w:rFonts w:ascii="Arial" w:cs="Arial" w:eastAsia="Arial" w:hAnsi="Arial"/>
                <w:sz w:val="18"/>
                <w:szCs w:val="18"/>
                <w:color w:val="auto"/>
                <w:w w:val="79"/>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71,385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360" w:type="dxa"/>
            <w:vAlign w:val="bottom"/>
          </w:tcPr>
          <w:p>
            <w:pPr>
              <w:spacing w:after="0"/>
              <w:rPr>
                <w:sz w:val="20"/>
                <w:szCs w:val="20"/>
                <w:color w:val="auto"/>
              </w:rPr>
            </w:pPr>
            <w:r>
              <w:rPr>
                <w:rFonts w:ascii="Arial" w:cs="Arial" w:eastAsia="Arial" w:hAnsi="Arial"/>
                <w:sz w:val="18"/>
                <w:szCs w:val="18"/>
                <w:color w:val="auto"/>
              </w:rPr>
              <w:t>Plus: interest expense</w:t>
            </w:r>
          </w:p>
        </w:tc>
        <w:tc>
          <w:tcPr>
            <w:tcW w:w="1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799</w:t>
            </w: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1,546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360" w:type="dxa"/>
            <w:vAlign w:val="bottom"/>
            <w:shd w:val="clear" w:color="auto" w:fill="CCEEFF"/>
          </w:tcPr>
          <w:p>
            <w:pPr>
              <w:spacing w:after="0"/>
              <w:rPr>
                <w:sz w:val="20"/>
                <w:szCs w:val="20"/>
                <w:color w:val="auto"/>
              </w:rPr>
            </w:pPr>
            <w:r>
              <w:rPr>
                <w:rFonts w:ascii="Arial" w:cs="Arial" w:eastAsia="Arial" w:hAnsi="Arial"/>
                <w:sz w:val="18"/>
                <w:szCs w:val="18"/>
                <w:color w:val="auto"/>
              </w:rPr>
              <w:t>Less: interest income on Secured Note</w:t>
            </w:r>
          </w:p>
        </w:tc>
        <w:tc>
          <w:tcPr>
            <w:tcW w:w="14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28"/>
              <w:spacing w:after="0"/>
              <w:rPr>
                <w:sz w:val="20"/>
                <w:szCs w:val="20"/>
                <w:color w:val="auto"/>
              </w:rPr>
            </w:pPr>
            <w:r>
              <w:rPr>
                <w:rFonts w:ascii="Arial" w:cs="Arial" w:eastAsia="Arial" w:hAnsi="Arial"/>
                <w:sz w:val="18"/>
                <w:szCs w:val="18"/>
                <w:color w:val="auto"/>
              </w:rPr>
              <w:t>(14,549)</w:t>
            </w: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(14,710)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360" w:type="dxa"/>
            <w:vAlign w:val="bottom"/>
          </w:tcPr>
          <w:p>
            <w:pPr>
              <w:spacing w:after="0"/>
              <w:rPr>
                <w:sz w:val="20"/>
                <w:szCs w:val="20"/>
                <w:color w:val="auto"/>
              </w:rPr>
            </w:pPr>
            <w:r>
              <w:rPr>
                <w:rFonts w:ascii="Arial" w:cs="Arial" w:eastAsia="Arial" w:hAnsi="Arial"/>
                <w:sz w:val="18"/>
                <w:szCs w:val="18"/>
                <w:color w:val="auto"/>
              </w:rPr>
              <w:t>Less: investment interest and other</w:t>
            </w:r>
          </w:p>
        </w:tc>
        <w:tc>
          <w:tcPr>
            <w:tcW w:w="140" w:type="dxa"/>
            <w:vAlign w:val="bottom"/>
          </w:tcPr>
          <w:p>
            <w:pPr>
              <w:spacing w:after="0"/>
              <w:rPr>
                <w:sz w:val="18"/>
                <w:szCs w:val="18"/>
                <w:color w:val="auto"/>
              </w:rPr>
            </w:pPr>
          </w:p>
        </w:tc>
        <w:tc>
          <w:tcPr>
            <w:tcW w:w="960" w:type="dxa"/>
            <w:vAlign w:val="bottom"/>
            <w:gridSpan w:val="2"/>
          </w:tcPr>
          <w:p>
            <w:pPr>
              <w:jc w:val="right"/>
              <w:ind w:right="128"/>
              <w:spacing w:after="0"/>
              <w:rPr>
                <w:sz w:val="20"/>
                <w:szCs w:val="20"/>
                <w:color w:val="auto"/>
              </w:rPr>
            </w:pPr>
            <w:r>
              <w:rPr>
                <w:rFonts w:ascii="Arial" w:cs="Arial" w:eastAsia="Arial" w:hAnsi="Arial"/>
                <w:sz w:val="18"/>
                <w:szCs w:val="18"/>
                <w:color w:val="auto"/>
              </w:rPr>
              <w:t>(121)</w:t>
            </w:r>
          </w:p>
        </w:tc>
        <w:tc>
          <w:tcPr>
            <w:tcW w:w="2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(216)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360" w:type="dxa"/>
            <w:vAlign w:val="bottom"/>
            <w:shd w:val="clear" w:color="auto" w:fill="CCEEFF"/>
          </w:tcPr>
          <w:p>
            <w:pPr>
              <w:spacing w:after="0"/>
              <w:rPr>
                <w:sz w:val="20"/>
                <w:szCs w:val="20"/>
                <w:color w:val="auto"/>
              </w:rPr>
            </w:pPr>
            <w:r>
              <w:rPr>
                <w:rFonts w:ascii="Arial" w:cs="Arial" w:eastAsia="Arial" w:hAnsi="Arial"/>
                <w:sz w:val="18"/>
                <w:szCs w:val="18"/>
                <w:color w:val="auto"/>
              </w:rPr>
              <w:t>Plus: income tax expense</w:t>
            </w: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19,985</w:t>
            </w:r>
          </w:p>
        </w:tc>
        <w:tc>
          <w:tcPr>
            <w:tcW w:w="2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22,791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360" w:type="dxa"/>
            <w:vAlign w:val="bottom"/>
          </w:tcPr>
          <w:p>
            <w:pPr>
              <w:spacing w:after="0"/>
              <w:rPr>
                <w:sz w:val="20"/>
                <w:szCs w:val="20"/>
                <w:color w:val="auto"/>
              </w:rPr>
            </w:pPr>
            <w:r>
              <w:rPr>
                <w:rFonts w:ascii="Arial" w:cs="Arial" w:eastAsia="Arial" w:hAnsi="Arial"/>
                <w:sz w:val="18"/>
                <w:szCs w:val="18"/>
                <w:color w:val="auto"/>
              </w:rPr>
              <w:t>Plus: amortization of intangible assets</w:t>
            </w:r>
          </w:p>
        </w:tc>
        <w:tc>
          <w:tcPr>
            <w:tcW w:w="1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2,105</w:t>
            </w: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2,105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360" w:type="dxa"/>
            <w:vAlign w:val="bottom"/>
            <w:shd w:val="clear" w:color="auto" w:fill="CCEEFF"/>
          </w:tcPr>
          <w:p>
            <w:pPr>
              <w:spacing w:after="0"/>
              <w:rPr>
                <w:sz w:val="20"/>
                <w:szCs w:val="20"/>
                <w:color w:val="auto"/>
              </w:rPr>
            </w:pPr>
            <w:r>
              <w:rPr>
                <w:rFonts w:ascii="Arial" w:cs="Arial" w:eastAsia="Arial" w:hAnsi="Arial"/>
                <w:sz w:val="18"/>
                <w:szCs w:val="18"/>
                <w:color w:val="auto"/>
              </w:rPr>
              <w:t>Plus: depreciation and amortization</w:t>
            </w:r>
          </w:p>
        </w:tc>
        <w:tc>
          <w:tcPr>
            <w:tcW w:w="14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5,426</w:t>
            </w:r>
          </w:p>
        </w:tc>
        <w:tc>
          <w:tcPr>
            <w:tcW w:w="20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4,989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360" w:type="dxa"/>
            <w:vAlign w:val="bottom"/>
            <w:tcBorders>
              <w:bottom w:val="single" w:sz="8" w:color="CCEEFF"/>
            </w:tcBorders>
          </w:tcPr>
          <w:p>
            <w:pPr>
              <w:ind w:left="100"/>
              <w:spacing w:after="0"/>
              <w:rPr>
                <w:sz w:val="20"/>
                <w:szCs w:val="20"/>
                <w:color w:val="auto"/>
              </w:rPr>
            </w:pPr>
            <w:r>
              <w:rPr>
                <w:rFonts w:ascii="Arial" w:cs="Arial" w:eastAsia="Arial" w:hAnsi="Arial"/>
                <w:sz w:val="18"/>
                <w:szCs w:val="18"/>
                <w:color w:val="auto"/>
              </w:rPr>
              <w:t>EBITDA</w:t>
            </w:r>
          </w:p>
        </w:tc>
        <w:tc>
          <w:tcPr>
            <w:tcW w:w="14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91,757</w:t>
            </w:r>
          </w:p>
        </w:tc>
        <w:tc>
          <w:tcPr>
            <w:tcW w:w="20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87,890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7360" w:type="dxa"/>
            <w:vAlign w:val="bottom"/>
            <w:shd w:val="clear" w:color="auto" w:fill="CCEEFF"/>
          </w:tcPr>
          <w:p>
            <w:pPr>
              <w:spacing w:after="0"/>
              <w:rPr>
                <w:sz w:val="20"/>
                <w:szCs w:val="20"/>
                <w:color w:val="auto"/>
              </w:rPr>
            </w:pPr>
            <w:r>
              <w:rPr>
                <w:rFonts w:ascii="Arial" w:cs="Arial" w:eastAsia="Arial" w:hAnsi="Arial"/>
                <w:sz w:val="18"/>
                <w:szCs w:val="18"/>
                <w:color w:val="auto"/>
              </w:rPr>
              <w:t>Plus: share-based compensation</w:t>
            </w: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3,019</w:t>
            </w:r>
          </w:p>
        </w:tc>
        <w:tc>
          <w:tcPr>
            <w:tcW w:w="2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2,656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36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Plus: estimated litigation and regulatory reserves</w:t>
            </w:r>
          </w:p>
        </w:tc>
        <w:tc>
          <w:tcPr>
            <w:tcW w:w="14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814</w:t>
            </w:r>
          </w:p>
        </w:tc>
        <w:tc>
          <w:tcPr>
            <w:tcW w:w="20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305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3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Adjusted EBITDA</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95,590</w:t>
            </w:r>
          </w:p>
        </w:tc>
        <w:tc>
          <w:tcPr>
            <w:tcW w:w="20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jc w:val="right"/>
              <w:ind w:right="16"/>
              <w:spacing w:after="0"/>
              <w:rPr>
                <w:sz w:val="20"/>
                <w:szCs w:val="20"/>
                <w:color w:val="auto"/>
              </w:rPr>
            </w:pPr>
            <w:r>
              <w:rPr>
                <w:rFonts w:ascii="Arial" w:cs="Arial" w:eastAsia="Arial" w:hAnsi="Arial"/>
                <w:sz w:val="18"/>
                <w:szCs w:val="18"/>
                <w:color w:val="auto"/>
                <w:w w:val="79"/>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90,851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73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ind w:left="7"/>
        <w:spacing w:after="0"/>
        <w:rPr>
          <w:sz w:val="20"/>
          <w:szCs w:val="20"/>
          <w:color w:val="auto"/>
        </w:rPr>
      </w:pPr>
      <w:r>
        <w:rPr>
          <w:rFonts w:ascii="Arial" w:cs="Arial" w:eastAsia="Arial" w:hAnsi="Arial"/>
          <w:sz w:val="18"/>
          <w:szCs w:val="18"/>
          <w:b w:val="1"/>
          <w:bCs w:val="1"/>
          <w:color w:val="auto"/>
        </w:rPr>
        <w:t>Non-GAAP Net Income and Non-GAAP Diluted Income Per Share</w:t>
      </w:r>
    </w:p>
    <w:p>
      <w:pPr>
        <w:spacing w:after="0" w:line="189" w:lineRule="exact"/>
        <w:rPr>
          <w:sz w:val="20"/>
          <w:szCs w:val="20"/>
          <w:color w:val="auto"/>
        </w:rPr>
      </w:pPr>
    </w:p>
    <w:p>
      <w:pPr>
        <w:ind w:left="7" w:right="100" w:firstLine="324"/>
        <w:spacing w:after="0" w:line="279" w:lineRule="auto"/>
        <w:rPr>
          <w:sz w:val="20"/>
          <w:szCs w:val="20"/>
          <w:color w:val="auto"/>
        </w:rPr>
      </w:pPr>
      <w:r>
        <w:rPr>
          <w:rFonts w:ascii="Arial" w:cs="Arial" w:eastAsia="Arial" w:hAnsi="Arial"/>
          <w:sz w:val="17"/>
          <w:szCs w:val="17"/>
          <w:color w:val="auto"/>
        </w:rPr>
        <w:t>The Company believes the presentation of non-GAAP net income and non-GAAP diluted income per share information that excludes amortization of intangible assets allows investors to develop a more meaningful understanding of the Company’s performance over time. Accordingly, for the three-months ended March 31, 2021 and 2020, the table below provides reconciliations of these non-GAAP items to GAAP net income and GAAP diluted income per share, respectively:</w:t>
      </w:r>
    </w:p>
    <w:p>
      <w:pPr>
        <w:spacing w:after="0" w:line="176" w:lineRule="exact"/>
        <w:rPr>
          <w:sz w:val="20"/>
          <w:szCs w:val="20"/>
          <w:color w:val="auto"/>
        </w:rPr>
      </w:pPr>
    </w:p>
    <w:p>
      <w:pPr>
        <w:ind w:left="7087"/>
        <w:spacing w:after="0"/>
        <w:rPr>
          <w:sz w:val="20"/>
          <w:szCs w:val="20"/>
          <w:color w:val="auto"/>
        </w:rPr>
      </w:pPr>
      <w:r>
        <w:rPr>
          <w:rFonts w:ascii="Arial" w:cs="Arial" w:eastAsia="Arial" w:hAnsi="Arial"/>
          <w:sz w:val="14"/>
          <w:szCs w:val="14"/>
          <w:b w:val="1"/>
          <w:bCs w:val="1"/>
          <w:color w:val="auto"/>
        </w:rPr>
        <w:t>Three Months Ended</w:t>
      </w:r>
    </w:p>
    <w:p>
      <w:pPr>
        <w:ind w:left="7407"/>
        <w:spacing w:after="0" w:line="236" w:lineRule="auto"/>
        <w:rPr>
          <w:sz w:val="20"/>
          <w:szCs w:val="20"/>
          <w:color w:val="auto"/>
        </w:rPr>
      </w:pPr>
      <w:r>
        <w:rPr>
          <w:rFonts w:ascii="Arial" w:cs="Arial" w:eastAsia="Arial" w:hAnsi="Arial"/>
          <w:sz w:val="14"/>
          <w:szCs w:val="14"/>
          <w:b w:val="1"/>
          <w:bCs w:val="1"/>
          <w:color w:val="auto"/>
        </w:rPr>
        <w:t>March 31,</w:t>
      </w:r>
    </w:p>
    <w:tbl>
      <w:tblPr>
        <w:tblLayout w:type="fixed"/>
        <w:tblInd w:w="7" w:type="dxa"/>
        <w:tblCellMar>
          <w:top w:w="0" w:type="dxa"/>
          <w:left w:w="0" w:type="dxa"/>
          <w:bottom w:w="0" w:type="dxa"/>
          <w:right w:w="0" w:type="dxa"/>
        </w:tblCellMar>
      </w:tblPr>
      <w:tr>
        <w:trPr>
          <w:trHeight w:val="142"/>
        </w:trPr>
        <w:tc>
          <w:tcPr>
            <w:tcW w:w="20" w:type="dxa"/>
            <w:vAlign w:val="bottom"/>
          </w:tcPr>
          <w:p>
            <w:pPr>
              <w:spacing w:after="0"/>
              <w:rPr>
                <w:sz w:val="12"/>
                <w:szCs w:val="12"/>
                <w:color w:val="auto"/>
              </w:rPr>
            </w:pPr>
          </w:p>
        </w:tc>
        <w:tc>
          <w:tcPr>
            <w:tcW w:w="2320" w:type="dxa"/>
            <w:vAlign w:val="bottom"/>
          </w:tcPr>
          <w:p>
            <w:pPr>
              <w:spacing w:after="0"/>
              <w:rPr>
                <w:sz w:val="12"/>
                <w:szCs w:val="12"/>
                <w:color w:val="auto"/>
              </w:rPr>
            </w:pPr>
          </w:p>
        </w:tc>
        <w:tc>
          <w:tcPr>
            <w:tcW w:w="2720" w:type="dxa"/>
            <w:vAlign w:val="bottom"/>
          </w:tcPr>
          <w:p>
            <w:pPr>
              <w:spacing w:after="0"/>
              <w:rPr>
                <w:sz w:val="12"/>
                <w:szCs w:val="12"/>
                <w:color w:val="auto"/>
              </w:rPr>
            </w:pPr>
          </w:p>
        </w:tc>
        <w:tc>
          <w:tcPr>
            <w:tcW w:w="1340" w:type="dxa"/>
            <w:vAlign w:val="bottom"/>
          </w:tcPr>
          <w:p>
            <w:pPr>
              <w:spacing w:after="0"/>
              <w:rPr>
                <w:sz w:val="12"/>
                <w:szCs w:val="12"/>
                <w:color w:val="auto"/>
              </w:rPr>
            </w:pPr>
          </w:p>
        </w:tc>
        <w:tc>
          <w:tcPr>
            <w:tcW w:w="280" w:type="dxa"/>
            <w:vAlign w:val="bottom"/>
            <w:tcBorders>
              <w:top w:val="single" w:sz="8" w:color="auto"/>
              <w:bottom w:val="single" w:sz="8" w:color="auto"/>
            </w:tcBorders>
          </w:tcPr>
          <w:p>
            <w:pPr>
              <w:spacing w:after="0"/>
              <w:rPr>
                <w:sz w:val="12"/>
                <w:szCs w:val="12"/>
                <w:color w:val="auto"/>
              </w:rPr>
            </w:pPr>
          </w:p>
        </w:tc>
        <w:tc>
          <w:tcPr>
            <w:tcW w:w="920" w:type="dxa"/>
            <w:vAlign w:val="bottom"/>
            <w:tcBorders>
              <w:top w:val="single" w:sz="8" w:color="auto"/>
              <w:bottom w:val="single" w:sz="8" w:color="auto"/>
            </w:tcBorders>
          </w:tcPr>
          <w:p>
            <w:pPr>
              <w:jc w:val="right"/>
              <w:ind w:right="372"/>
              <w:spacing w:after="0" w:line="142" w:lineRule="exact"/>
              <w:rPr>
                <w:sz w:val="20"/>
                <w:szCs w:val="20"/>
                <w:color w:val="auto"/>
              </w:rPr>
            </w:pPr>
            <w:r>
              <w:rPr>
                <w:rFonts w:ascii="Arial" w:cs="Arial" w:eastAsia="Arial" w:hAnsi="Arial"/>
                <w:sz w:val="14"/>
                <w:szCs w:val="14"/>
                <w:b w:val="1"/>
                <w:bCs w:val="1"/>
                <w:color w:val="auto"/>
              </w:rPr>
              <w:t>2021</w:t>
            </w:r>
          </w:p>
        </w:tc>
        <w:tc>
          <w:tcPr>
            <w:tcW w:w="260" w:type="dxa"/>
            <w:vAlign w:val="bottom"/>
            <w:tcBorders>
              <w:top w:val="single" w:sz="8" w:color="auto"/>
            </w:tcBorders>
          </w:tcPr>
          <w:p>
            <w:pPr>
              <w:spacing w:after="0"/>
              <w:rPr>
                <w:sz w:val="12"/>
                <w:szCs w:val="12"/>
                <w:color w:val="auto"/>
              </w:rPr>
            </w:pPr>
          </w:p>
        </w:tc>
        <w:tc>
          <w:tcPr>
            <w:tcW w:w="280" w:type="dxa"/>
            <w:vAlign w:val="bottom"/>
            <w:tcBorders>
              <w:top w:val="single" w:sz="8" w:color="auto"/>
              <w:bottom w:val="single" w:sz="8" w:color="auto"/>
            </w:tcBorders>
          </w:tcPr>
          <w:p>
            <w:pPr>
              <w:spacing w:after="0"/>
              <w:rPr>
                <w:sz w:val="12"/>
                <w:szCs w:val="12"/>
                <w:color w:val="auto"/>
              </w:rPr>
            </w:pPr>
          </w:p>
        </w:tc>
        <w:tc>
          <w:tcPr>
            <w:tcW w:w="940" w:type="dxa"/>
            <w:vAlign w:val="bottom"/>
            <w:tcBorders>
              <w:top w:val="single" w:sz="8" w:color="auto"/>
              <w:bottom w:val="single" w:sz="8" w:color="auto"/>
            </w:tcBorders>
          </w:tcPr>
          <w:p>
            <w:pPr>
              <w:jc w:val="right"/>
              <w:ind w:right="372"/>
              <w:spacing w:after="0" w:line="142" w:lineRule="exact"/>
              <w:rPr>
                <w:sz w:val="20"/>
                <w:szCs w:val="20"/>
                <w:color w:val="auto"/>
              </w:rPr>
            </w:pPr>
            <w:r>
              <w:rPr>
                <w:rFonts w:ascii="Arial" w:cs="Arial" w:eastAsia="Arial" w:hAnsi="Arial"/>
                <w:sz w:val="14"/>
                <w:szCs w:val="14"/>
                <w:b w:val="1"/>
                <w:bCs w:val="1"/>
                <w:color w:val="auto"/>
              </w:rPr>
              <w:t>2020</w:t>
            </w:r>
          </w:p>
        </w:tc>
        <w:tc>
          <w:tcPr>
            <w:tcW w:w="280" w:type="dxa"/>
            <w:vAlign w:val="bottom"/>
            <w:vMerge w:val="restart"/>
          </w:tcPr>
          <w:p>
            <w:pPr>
              <w:jc w:val="right"/>
              <w:spacing w:after="0"/>
              <w:rPr>
                <w:sz w:val="20"/>
                <w:szCs w:val="20"/>
                <w:color w:val="auto"/>
              </w:rPr>
            </w:pPr>
            <w:r>
              <w:rPr>
                <w:rFonts w:ascii="Arial" w:cs="Arial" w:eastAsia="Arial" w:hAnsi="Arial"/>
                <w:sz w:val="14"/>
                <w:szCs w:val="14"/>
                <w:b w:val="1"/>
                <w:bCs w:val="1"/>
                <w:color w:val="auto"/>
                <w:w w:val="77"/>
              </w:rPr>
              <w:t>data)</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2320" w:type="dxa"/>
            <w:vAlign w:val="bottom"/>
          </w:tcPr>
          <w:p>
            <w:pPr>
              <w:spacing w:after="0"/>
              <w:rPr>
                <w:sz w:val="11"/>
                <w:szCs w:val="11"/>
                <w:color w:val="auto"/>
              </w:rPr>
            </w:pPr>
          </w:p>
        </w:tc>
        <w:tc>
          <w:tcPr>
            <w:tcW w:w="27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1460" w:type="dxa"/>
            <w:vAlign w:val="bottom"/>
            <w:gridSpan w:val="3"/>
          </w:tcPr>
          <w:p>
            <w:pPr>
              <w:ind w:left="20"/>
              <w:spacing w:after="0" w:line="129" w:lineRule="exact"/>
              <w:rPr>
                <w:sz w:val="20"/>
                <w:szCs w:val="20"/>
                <w:color w:val="auto"/>
              </w:rPr>
            </w:pPr>
            <w:r>
              <w:rPr>
                <w:rFonts w:ascii="Arial" w:cs="Arial" w:eastAsia="Arial" w:hAnsi="Arial"/>
                <w:sz w:val="14"/>
                <w:szCs w:val="14"/>
                <w:b w:val="1"/>
                <w:bCs w:val="1"/>
                <w:color w:val="auto"/>
                <w:w w:val="84"/>
              </w:rPr>
              <w:t>(Unaudited, in thousands</w:t>
            </w:r>
          </w:p>
        </w:tc>
        <w:tc>
          <w:tcPr>
            <w:tcW w:w="1220" w:type="dxa"/>
            <w:vAlign w:val="bottom"/>
            <w:gridSpan w:val="2"/>
          </w:tcPr>
          <w:p>
            <w:pPr>
              <w:jc w:val="right"/>
              <w:spacing w:after="0" w:line="129" w:lineRule="exact"/>
              <w:rPr>
                <w:sz w:val="20"/>
                <w:szCs w:val="20"/>
                <w:color w:val="auto"/>
              </w:rPr>
            </w:pPr>
            <w:r>
              <w:rPr>
                <w:rFonts w:ascii="Arial" w:cs="Arial" w:eastAsia="Arial" w:hAnsi="Arial"/>
                <w:sz w:val="14"/>
                <w:szCs w:val="14"/>
                <w:b w:val="1"/>
                <w:bCs w:val="1"/>
                <w:color w:val="auto"/>
              </w:rPr>
              <w:t>except per share</w:t>
            </w:r>
          </w:p>
        </w:tc>
        <w:tc>
          <w:tcPr>
            <w:tcW w:w="28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GAAP Net income</w:t>
            </w:r>
          </w:p>
        </w:tc>
        <w:tc>
          <w:tcPr>
            <w:tcW w:w="1620" w:type="dxa"/>
            <w:vAlign w:val="bottom"/>
            <w:gridSpan w:val="2"/>
            <w:shd w:val="clear" w:color="auto" w:fill="CCEEFF"/>
          </w:tcPr>
          <w:p>
            <w:pPr>
              <w:ind w:left="1340"/>
              <w:spacing w:after="0"/>
              <w:rPr>
                <w:sz w:val="20"/>
                <w:szCs w:val="20"/>
                <w:color w:val="auto"/>
              </w:rPr>
            </w:pPr>
            <w:r>
              <w:rPr>
                <w:rFonts w:ascii="Arial" w:cs="Arial" w:eastAsia="Arial" w:hAnsi="Arial"/>
                <w:sz w:val="18"/>
                <w:szCs w:val="18"/>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78,112</w:t>
            </w:r>
          </w:p>
        </w:tc>
        <w:tc>
          <w:tcPr>
            <w:tcW w:w="260" w:type="dxa"/>
            <w:vAlign w:val="bottom"/>
            <w:shd w:val="clear" w:color="auto" w:fill="CCEEFF"/>
          </w:tcPr>
          <w:p>
            <w:pPr>
              <w:spacing w:after="0"/>
              <w:rPr>
                <w:sz w:val="18"/>
                <w:szCs w:val="18"/>
                <w:color w:val="auto"/>
              </w:rPr>
            </w:pPr>
          </w:p>
        </w:tc>
        <w:tc>
          <w:tcPr>
            <w:tcW w:w="280" w:type="dxa"/>
            <w:vAlign w:val="bottom"/>
            <w:shd w:val="clear" w:color="auto" w:fill="CCEEFF"/>
          </w:tcPr>
          <w:p>
            <w:pPr>
              <w:jc w:val="right"/>
              <w:ind w:right="93"/>
              <w:spacing w:after="0"/>
              <w:rPr>
                <w:sz w:val="20"/>
                <w:szCs w:val="20"/>
                <w:color w:val="auto"/>
              </w:rPr>
            </w:pPr>
            <w:r>
              <w:rPr>
                <w:rFonts w:ascii="Arial" w:cs="Arial" w:eastAsia="Arial" w:hAnsi="Arial"/>
                <w:sz w:val="18"/>
                <w:szCs w:val="18"/>
                <w:color w:val="auto"/>
                <w:w w:val="79"/>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71,385</w:t>
            </w:r>
          </w:p>
        </w:tc>
        <w:tc>
          <w:tcPr>
            <w:tcW w:w="2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40" w:type="dxa"/>
            <w:vAlign w:val="bottom"/>
            <w:gridSpan w:val="2"/>
          </w:tcPr>
          <w:p>
            <w:pPr>
              <w:spacing w:after="0"/>
              <w:rPr>
                <w:sz w:val="20"/>
                <w:szCs w:val="20"/>
                <w:color w:val="auto"/>
              </w:rPr>
            </w:pPr>
            <w:r>
              <w:rPr>
                <w:rFonts w:ascii="Arial" w:cs="Arial" w:eastAsia="Arial" w:hAnsi="Arial"/>
                <w:sz w:val="18"/>
                <w:szCs w:val="18"/>
                <w:color w:val="auto"/>
              </w:rPr>
              <w:t>Amortization of intangible assets</w:t>
            </w:r>
          </w:p>
        </w:tc>
        <w:tc>
          <w:tcPr>
            <w:tcW w:w="13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2,105</w:t>
            </w: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2,105</w:t>
            </w:r>
          </w:p>
        </w:tc>
        <w:tc>
          <w:tcPr>
            <w:tcW w:w="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Income tax effects of adjustments(1)</w:t>
            </w:r>
          </w:p>
        </w:tc>
        <w:tc>
          <w:tcPr>
            <w:tcW w:w="13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(429)</w:t>
            </w:r>
          </w:p>
        </w:tc>
        <w:tc>
          <w:tcPr>
            <w:tcW w:w="28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208"/>
              <w:spacing w:after="0"/>
              <w:rPr>
                <w:sz w:val="20"/>
                <w:szCs w:val="20"/>
                <w:color w:val="auto"/>
              </w:rPr>
            </w:pPr>
            <w:r>
              <w:rPr>
                <w:rFonts w:ascii="Arial" w:cs="Arial" w:eastAsia="Arial" w:hAnsi="Arial"/>
                <w:sz w:val="18"/>
                <w:szCs w:val="18"/>
                <w:color w:val="auto"/>
              </w:rPr>
              <w:t>(509)</w:t>
            </w:r>
          </w:p>
        </w:tc>
        <w:tc>
          <w:tcPr>
            <w:tcW w:w="0" w:type="dxa"/>
            <w:vAlign w:val="bottom"/>
          </w:tcPr>
          <w:p>
            <w:pPr>
              <w:spacing w:after="0"/>
              <w:rPr>
                <w:sz w:val="1"/>
                <w:szCs w:val="1"/>
                <w:color w:val="auto"/>
              </w:rPr>
            </w:pPr>
          </w:p>
        </w:tc>
      </w:tr>
      <w:tr>
        <w:trPr>
          <w:trHeight w:val="250"/>
        </w:trPr>
        <w:tc>
          <w:tcPr>
            <w:tcW w:w="5060" w:type="dxa"/>
            <w:vAlign w:val="bottom"/>
            <w:gridSpan w:val="3"/>
          </w:tcPr>
          <w:p>
            <w:pPr>
              <w:spacing w:after="0"/>
              <w:rPr>
                <w:sz w:val="20"/>
                <w:szCs w:val="20"/>
                <w:color w:val="auto"/>
              </w:rPr>
            </w:pPr>
            <w:r>
              <w:rPr>
                <w:rFonts w:ascii="Arial" w:cs="Arial" w:eastAsia="Arial" w:hAnsi="Arial"/>
                <w:sz w:val="18"/>
                <w:szCs w:val="18"/>
                <w:color w:val="auto"/>
              </w:rPr>
              <w:t>As Adjusted, Non-GAAP Net income</w:t>
            </w:r>
          </w:p>
        </w:tc>
        <w:tc>
          <w:tcPr>
            <w:tcW w:w="1340" w:type="dxa"/>
            <w:vAlign w:val="bottom"/>
          </w:tcPr>
          <w:p>
            <w:pPr>
              <w:spacing w:after="0"/>
              <w:rPr>
                <w:sz w:val="21"/>
                <w:szCs w:val="21"/>
                <w:color w:val="auto"/>
              </w:rPr>
            </w:pPr>
          </w:p>
        </w:tc>
        <w:tc>
          <w:tcPr>
            <w:tcW w:w="28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79,788</w:t>
            </w:r>
          </w:p>
        </w:tc>
        <w:tc>
          <w:tcPr>
            <w:tcW w:w="260" w:type="dxa"/>
            <w:vAlign w:val="bottom"/>
          </w:tcPr>
          <w:p>
            <w:pPr>
              <w:spacing w:after="0"/>
              <w:rPr>
                <w:sz w:val="21"/>
                <w:szCs w:val="21"/>
                <w:color w:val="auto"/>
              </w:rPr>
            </w:pPr>
          </w:p>
        </w:tc>
        <w:tc>
          <w:tcPr>
            <w:tcW w:w="280" w:type="dxa"/>
            <w:vAlign w:val="bottom"/>
            <w:tcBorders>
              <w:top w:val="single" w:sz="8" w:color="auto"/>
              <w:bottom w:val="single" w:sz="8" w:color="auto"/>
            </w:tcBorders>
          </w:tcPr>
          <w:p>
            <w:pPr>
              <w:jc w:val="right"/>
              <w:ind w:right="93"/>
              <w:spacing w:after="0"/>
              <w:rPr>
                <w:sz w:val="20"/>
                <w:szCs w:val="20"/>
                <w:color w:val="auto"/>
              </w:rPr>
            </w:pPr>
            <w:r>
              <w:rPr>
                <w:rFonts w:ascii="Arial" w:cs="Arial" w:eastAsia="Arial" w:hAnsi="Arial"/>
                <w:sz w:val="18"/>
                <w:szCs w:val="18"/>
                <w:color w:val="auto"/>
                <w:w w:val="79"/>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72,981</w:t>
            </w:r>
          </w:p>
        </w:tc>
        <w:tc>
          <w:tcPr>
            <w:tcW w:w="2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6"/>
        </w:trPr>
        <w:tc>
          <w:tcPr>
            <w:tcW w:w="20" w:type="dxa"/>
            <w:vAlign w:val="bottom"/>
            <w:vMerge w:val="restart"/>
          </w:tcPr>
          <w:p>
            <w:pPr>
              <w:spacing w:after="0"/>
              <w:rPr>
                <w:sz w:val="17"/>
                <w:szCs w:val="17"/>
                <w:color w:val="auto"/>
              </w:rPr>
            </w:pPr>
          </w:p>
        </w:tc>
        <w:tc>
          <w:tcPr>
            <w:tcW w:w="2320" w:type="dxa"/>
            <w:vAlign w:val="bottom"/>
            <w:tcBorders>
              <w:top w:val="single" w:sz="8" w:color="CCEEFF"/>
            </w:tcBorders>
            <w:shd w:val="clear" w:color="auto" w:fill="CCEEFF"/>
          </w:tcPr>
          <w:p>
            <w:pPr>
              <w:spacing w:after="0"/>
              <w:rPr>
                <w:sz w:val="17"/>
                <w:szCs w:val="17"/>
                <w:color w:val="auto"/>
              </w:rPr>
            </w:pPr>
          </w:p>
        </w:tc>
        <w:tc>
          <w:tcPr>
            <w:tcW w:w="2720" w:type="dxa"/>
            <w:vAlign w:val="bottom"/>
            <w:tcBorders>
              <w:top w:val="single" w:sz="8" w:color="CCEEFF"/>
            </w:tcBorders>
            <w:shd w:val="clear" w:color="auto" w:fill="CCEEFF"/>
          </w:tcPr>
          <w:p>
            <w:pPr>
              <w:spacing w:after="0"/>
              <w:rPr>
                <w:sz w:val="17"/>
                <w:szCs w:val="17"/>
                <w:color w:val="auto"/>
              </w:rPr>
            </w:pPr>
          </w:p>
        </w:tc>
        <w:tc>
          <w:tcPr>
            <w:tcW w:w="1340" w:type="dxa"/>
            <w:vAlign w:val="bottom"/>
            <w:tcBorders>
              <w:top w:val="single" w:sz="8" w:color="CCEEFF"/>
            </w:tcBorders>
            <w:shd w:val="clear" w:color="auto" w:fill="CCEEFF"/>
          </w:tcPr>
          <w:p>
            <w:pPr>
              <w:spacing w:after="0"/>
              <w:rPr>
                <w:sz w:val="17"/>
                <w:szCs w:val="17"/>
                <w:color w:val="auto"/>
              </w:rPr>
            </w:pPr>
          </w:p>
        </w:tc>
        <w:tc>
          <w:tcPr>
            <w:tcW w:w="280" w:type="dxa"/>
            <w:vAlign w:val="bottom"/>
            <w:tcBorders>
              <w:top w:val="single" w:sz="8" w:color="auto"/>
            </w:tcBorders>
            <w:shd w:val="clear" w:color="auto" w:fill="CCEEFF"/>
          </w:tcPr>
          <w:p>
            <w:pPr>
              <w:spacing w:after="0"/>
              <w:rPr>
                <w:sz w:val="17"/>
                <w:szCs w:val="17"/>
                <w:color w:val="auto"/>
              </w:rPr>
            </w:pPr>
          </w:p>
        </w:tc>
        <w:tc>
          <w:tcPr>
            <w:tcW w:w="920" w:type="dxa"/>
            <w:vAlign w:val="bottom"/>
            <w:tcBorders>
              <w:top w:val="single" w:sz="8" w:color="auto"/>
            </w:tcBorders>
            <w:shd w:val="clear" w:color="auto" w:fill="CCEEFF"/>
          </w:tcPr>
          <w:p>
            <w:pPr>
              <w:spacing w:after="0"/>
              <w:rPr>
                <w:sz w:val="17"/>
                <w:szCs w:val="17"/>
                <w:color w:val="auto"/>
              </w:rPr>
            </w:pPr>
          </w:p>
        </w:tc>
        <w:tc>
          <w:tcPr>
            <w:tcW w:w="260" w:type="dxa"/>
            <w:vAlign w:val="bottom"/>
            <w:tcBorders>
              <w:top w:val="single" w:sz="8" w:color="CCEEFF"/>
            </w:tcBorders>
            <w:shd w:val="clear" w:color="auto" w:fill="CCEEFF"/>
          </w:tcPr>
          <w:p>
            <w:pPr>
              <w:spacing w:after="0"/>
              <w:rPr>
                <w:sz w:val="17"/>
                <w:szCs w:val="17"/>
                <w:color w:val="auto"/>
              </w:rPr>
            </w:pPr>
          </w:p>
        </w:tc>
        <w:tc>
          <w:tcPr>
            <w:tcW w:w="280" w:type="dxa"/>
            <w:vAlign w:val="bottom"/>
            <w:tcBorders>
              <w:top w:val="single" w:sz="8" w:color="auto"/>
            </w:tcBorders>
            <w:shd w:val="clear" w:color="auto" w:fill="CCEEFF"/>
          </w:tcPr>
          <w:p>
            <w:pPr>
              <w:spacing w:after="0"/>
              <w:rPr>
                <w:sz w:val="17"/>
                <w:szCs w:val="17"/>
                <w:color w:val="auto"/>
              </w:rPr>
            </w:pPr>
          </w:p>
        </w:tc>
        <w:tc>
          <w:tcPr>
            <w:tcW w:w="940" w:type="dxa"/>
            <w:vAlign w:val="bottom"/>
            <w:tcBorders>
              <w:top w:val="single" w:sz="8" w:color="auto"/>
            </w:tcBorders>
            <w:shd w:val="clear" w:color="auto" w:fill="CCEEFF"/>
          </w:tcPr>
          <w:p>
            <w:pPr>
              <w:spacing w:after="0"/>
              <w:rPr>
                <w:sz w:val="17"/>
                <w:szCs w:val="17"/>
                <w:color w:val="auto"/>
              </w:rPr>
            </w:pPr>
          </w:p>
        </w:tc>
        <w:tc>
          <w:tcPr>
            <w:tcW w:w="28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040" w:type="dxa"/>
            <w:vAlign w:val="bottom"/>
            <w:gridSpan w:val="2"/>
          </w:tcPr>
          <w:p>
            <w:pPr>
              <w:spacing w:after="0"/>
              <w:rPr>
                <w:sz w:val="20"/>
                <w:szCs w:val="20"/>
                <w:color w:val="auto"/>
              </w:rPr>
            </w:pPr>
            <w:r>
              <w:rPr>
                <w:rFonts w:ascii="Arial" w:cs="Arial" w:eastAsia="Arial" w:hAnsi="Arial"/>
                <w:sz w:val="18"/>
                <w:szCs w:val="18"/>
                <w:color w:val="auto"/>
              </w:rPr>
              <w:t>GAAP Diluted income per share</w:t>
            </w:r>
          </w:p>
        </w:tc>
        <w:tc>
          <w:tcPr>
            <w:tcW w:w="1620" w:type="dxa"/>
            <w:vAlign w:val="bottom"/>
            <w:gridSpan w:val="2"/>
          </w:tcPr>
          <w:p>
            <w:pPr>
              <w:ind w:left="1340"/>
              <w:spacing w:after="0"/>
              <w:rPr>
                <w:sz w:val="20"/>
                <w:szCs w:val="20"/>
                <w:color w:val="auto"/>
              </w:rPr>
            </w:pPr>
            <w:r>
              <w:rPr>
                <w:rFonts w:ascii="Arial" w:cs="Arial" w:eastAsia="Arial" w:hAnsi="Arial"/>
                <w:sz w:val="18"/>
                <w:szCs w:val="18"/>
                <w:color w:val="auto"/>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1.69</w:t>
            </w:r>
          </w:p>
        </w:tc>
        <w:tc>
          <w:tcPr>
            <w:tcW w:w="260" w:type="dxa"/>
            <w:vAlign w:val="bottom"/>
          </w:tcPr>
          <w:p>
            <w:pPr>
              <w:spacing w:after="0"/>
              <w:rPr>
                <w:sz w:val="18"/>
                <w:szCs w:val="18"/>
                <w:color w:val="auto"/>
              </w:rPr>
            </w:pPr>
          </w:p>
        </w:tc>
        <w:tc>
          <w:tcPr>
            <w:tcW w:w="280" w:type="dxa"/>
            <w:vAlign w:val="bottom"/>
          </w:tcPr>
          <w:p>
            <w:pPr>
              <w:jc w:val="right"/>
              <w:ind w:right="93"/>
              <w:spacing w:after="0"/>
              <w:rPr>
                <w:sz w:val="20"/>
                <w:szCs w:val="20"/>
                <w:color w:val="auto"/>
              </w:rPr>
            </w:pPr>
            <w:r>
              <w:rPr>
                <w:rFonts w:ascii="Arial" w:cs="Arial" w:eastAsia="Arial" w:hAnsi="Arial"/>
                <w:sz w:val="18"/>
                <w:szCs w:val="18"/>
                <w:color w:val="auto"/>
                <w:w w:val="79"/>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1.49</w:t>
            </w:r>
          </w:p>
        </w:tc>
        <w:tc>
          <w:tcPr>
            <w:tcW w:w="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Amortization of intangible assets (2)</w:t>
            </w:r>
          </w:p>
        </w:tc>
        <w:tc>
          <w:tcPr>
            <w:tcW w:w="1620" w:type="dxa"/>
            <w:vAlign w:val="bottom"/>
            <w:gridSpan w:val="2"/>
            <w:shd w:val="clear" w:color="auto" w:fill="CCEEFF"/>
          </w:tcPr>
          <w:p>
            <w:pPr>
              <w:ind w:left="1340"/>
              <w:spacing w:after="0"/>
              <w:rPr>
                <w:sz w:val="20"/>
                <w:szCs w:val="20"/>
                <w:color w:val="auto"/>
              </w:rPr>
            </w:pPr>
            <w:r>
              <w:rPr>
                <w:rFonts w:ascii="Arial" w:cs="Arial" w:eastAsia="Arial" w:hAnsi="Arial"/>
                <w:sz w:val="18"/>
                <w:szCs w:val="18"/>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0.03</w:t>
            </w:r>
          </w:p>
        </w:tc>
        <w:tc>
          <w:tcPr>
            <w:tcW w:w="260" w:type="dxa"/>
            <w:vAlign w:val="bottom"/>
            <w:shd w:val="clear" w:color="auto" w:fill="CCEEFF"/>
          </w:tcPr>
          <w:p>
            <w:pPr>
              <w:spacing w:after="0"/>
              <w:rPr>
                <w:sz w:val="18"/>
                <w:szCs w:val="18"/>
                <w:color w:val="auto"/>
              </w:rPr>
            </w:pPr>
          </w:p>
        </w:tc>
        <w:tc>
          <w:tcPr>
            <w:tcW w:w="280" w:type="dxa"/>
            <w:vAlign w:val="bottom"/>
            <w:shd w:val="clear" w:color="auto" w:fill="CCEEFF"/>
          </w:tcPr>
          <w:p>
            <w:pPr>
              <w:jc w:val="right"/>
              <w:ind w:right="93"/>
              <w:spacing w:after="0"/>
              <w:rPr>
                <w:sz w:val="20"/>
                <w:szCs w:val="20"/>
                <w:color w:val="auto"/>
              </w:rPr>
            </w:pPr>
            <w:r>
              <w:rPr>
                <w:rFonts w:ascii="Arial" w:cs="Arial" w:eastAsia="Arial" w:hAnsi="Arial"/>
                <w:sz w:val="18"/>
                <w:szCs w:val="18"/>
                <w:color w:val="auto"/>
                <w:w w:val="79"/>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0.04</w:t>
            </w:r>
          </w:p>
        </w:tc>
        <w:tc>
          <w:tcPr>
            <w:tcW w:w="2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060" w:type="dxa"/>
            <w:vAlign w:val="bottom"/>
            <w:gridSpan w:val="3"/>
          </w:tcPr>
          <w:p>
            <w:pPr>
              <w:spacing w:after="0"/>
              <w:rPr>
                <w:sz w:val="20"/>
                <w:szCs w:val="20"/>
                <w:color w:val="auto"/>
              </w:rPr>
            </w:pPr>
            <w:r>
              <w:rPr>
                <w:rFonts w:ascii="Arial" w:cs="Arial" w:eastAsia="Arial" w:hAnsi="Arial"/>
                <w:sz w:val="18"/>
                <w:szCs w:val="18"/>
                <w:color w:val="auto"/>
              </w:rPr>
              <w:t>As Adjusted, Non-GAAP Diluted income per share</w:t>
            </w:r>
          </w:p>
        </w:tc>
        <w:tc>
          <w:tcPr>
            <w:tcW w:w="1340" w:type="dxa"/>
            <w:vAlign w:val="bottom"/>
          </w:tcPr>
          <w:p>
            <w:pPr>
              <w:spacing w:after="0"/>
              <w:rPr>
                <w:sz w:val="18"/>
                <w:szCs w:val="18"/>
                <w:color w:val="auto"/>
              </w:rPr>
            </w:pPr>
          </w:p>
        </w:tc>
        <w:tc>
          <w:tcPr>
            <w:tcW w:w="28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1.72</w:t>
            </w:r>
          </w:p>
        </w:tc>
        <w:tc>
          <w:tcPr>
            <w:tcW w:w="260" w:type="dxa"/>
            <w:vAlign w:val="bottom"/>
          </w:tcPr>
          <w:p>
            <w:pPr>
              <w:spacing w:after="0"/>
              <w:rPr>
                <w:sz w:val="18"/>
                <w:szCs w:val="18"/>
                <w:color w:val="auto"/>
              </w:rPr>
            </w:pPr>
          </w:p>
        </w:tc>
        <w:tc>
          <w:tcPr>
            <w:tcW w:w="280" w:type="dxa"/>
            <w:vAlign w:val="bottom"/>
            <w:tcBorders>
              <w:top w:val="single" w:sz="8" w:color="auto"/>
              <w:bottom w:val="single" w:sz="8" w:color="auto"/>
            </w:tcBorders>
          </w:tcPr>
          <w:p>
            <w:pPr>
              <w:jc w:val="right"/>
              <w:ind w:right="93"/>
              <w:spacing w:after="0"/>
              <w:rPr>
                <w:sz w:val="20"/>
                <w:szCs w:val="20"/>
                <w:color w:val="auto"/>
              </w:rPr>
            </w:pPr>
            <w:r>
              <w:rPr>
                <w:rFonts w:ascii="Arial" w:cs="Arial" w:eastAsia="Arial" w:hAnsi="Arial"/>
                <w:sz w:val="18"/>
                <w:szCs w:val="18"/>
                <w:color w:val="auto"/>
                <w:w w:val="79"/>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1.53</w:t>
            </w:r>
          </w:p>
        </w:tc>
        <w:tc>
          <w:tcPr>
            <w:tcW w:w="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320" w:type="dxa"/>
            <w:vAlign w:val="bottom"/>
          </w:tcPr>
          <w:p>
            <w:pPr>
              <w:spacing w:after="0" w:line="20" w:lineRule="exact"/>
              <w:rPr>
                <w:sz w:val="1"/>
                <w:szCs w:val="1"/>
                <w:color w:val="auto"/>
              </w:rPr>
            </w:pPr>
          </w:p>
        </w:tc>
        <w:tc>
          <w:tcPr>
            <w:tcW w:w="272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5"/>
        </w:trPr>
        <w:tc>
          <w:tcPr>
            <w:tcW w:w="20" w:type="dxa"/>
            <w:vAlign w:val="bottom"/>
          </w:tcPr>
          <w:p>
            <w:pPr>
              <w:spacing w:after="0"/>
              <w:rPr>
                <w:sz w:val="8"/>
                <w:szCs w:val="8"/>
                <w:color w:val="auto"/>
              </w:rPr>
            </w:pPr>
          </w:p>
        </w:tc>
        <w:tc>
          <w:tcPr>
            <w:tcW w:w="2320" w:type="dxa"/>
            <w:vAlign w:val="bottom"/>
            <w:tcBorders>
              <w:bottom w:val="single" w:sz="8" w:color="auto"/>
            </w:tcBorders>
          </w:tcPr>
          <w:p>
            <w:pPr>
              <w:spacing w:after="0"/>
              <w:rPr>
                <w:sz w:val="8"/>
                <w:szCs w:val="8"/>
                <w:color w:val="auto"/>
              </w:rPr>
            </w:pPr>
          </w:p>
        </w:tc>
        <w:tc>
          <w:tcPr>
            <w:tcW w:w="27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80" w:type="dxa"/>
            <w:vAlign w:val="bottom"/>
          </w:tcPr>
          <w:p>
            <w:pPr>
              <w:spacing w:after="0"/>
              <w:rPr>
                <w:sz w:val="8"/>
                <w:szCs w:val="8"/>
                <w:color w:val="auto"/>
              </w:rPr>
            </w:pPr>
          </w:p>
        </w:tc>
        <w:tc>
          <w:tcPr>
            <w:tcW w:w="920" w:type="dxa"/>
            <w:vAlign w:val="bottom"/>
          </w:tcPr>
          <w:p>
            <w:pPr>
              <w:spacing w:after="0"/>
              <w:rPr>
                <w:sz w:val="8"/>
                <w:szCs w:val="8"/>
                <w:color w:val="auto"/>
              </w:rPr>
            </w:pPr>
          </w:p>
        </w:tc>
        <w:tc>
          <w:tcPr>
            <w:tcW w:w="260" w:type="dxa"/>
            <w:vAlign w:val="bottom"/>
          </w:tcPr>
          <w:p>
            <w:pPr>
              <w:spacing w:after="0"/>
              <w:rPr>
                <w:sz w:val="8"/>
                <w:szCs w:val="8"/>
                <w:color w:val="auto"/>
              </w:rPr>
            </w:pPr>
          </w:p>
        </w:tc>
        <w:tc>
          <w:tcPr>
            <w:tcW w:w="280" w:type="dxa"/>
            <w:vAlign w:val="bottom"/>
          </w:tcPr>
          <w:p>
            <w:pPr>
              <w:spacing w:after="0"/>
              <w:rPr>
                <w:sz w:val="8"/>
                <w:szCs w:val="8"/>
                <w:color w:val="auto"/>
              </w:rPr>
            </w:pPr>
          </w:p>
        </w:tc>
        <w:tc>
          <w:tcPr>
            <w:tcW w:w="940" w:type="dxa"/>
            <w:vAlign w:val="bottom"/>
          </w:tcPr>
          <w:p>
            <w:pPr>
              <w:spacing w:after="0"/>
              <w:rPr>
                <w:sz w:val="8"/>
                <w:szCs w:val="8"/>
                <w:color w:val="auto"/>
              </w:rPr>
            </w:pPr>
          </w:p>
        </w:tc>
        <w:tc>
          <w:tcPr>
            <w:tcW w:w="28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67" w:lineRule="exact"/>
        <w:rPr>
          <w:sz w:val="20"/>
          <w:szCs w:val="20"/>
          <w:color w:val="auto"/>
        </w:rPr>
      </w:pPr>
    </w:p>
    <w:p>
      <w:pPr>
        <w:ind w:left="327" w:hanging="327"/>
        <w:spacing w:after="0"/>
        <w:tabs>
          <w:tab w:leader="none" w:pos="327" w:val="left"/>
        </w:tabs>
        <w:numPr>
          <w:ilvl w:val="0"/>
          <w:numId w:val="6"/>
        </w:numPr>
        <w:rPr>
          <w:rFonts w:ascii="Arial" w:cs="Arial" w:eastAsia="Arial" w:hAnsi="Arial"/>
          <w:sz w:val="16"/>
          <w:szCs w:val="16"/>
          <w:color w:val="auto"/>
        </w:rPr>
      </w:pPr>
      <w:r>
        <w:rPr>
          <w:rFonts w:ascii="Arial" w:cs="Arial" w:eastAsia="Arial" w:hAnsi="Arial"/>
          <w:sz w:val="16"/>
          <w:szCs w:val="16"/>
          <w:color w:val="auto"/>
        </w:rPr>
        <w:t>The income tax effects of adjustments are based on the effective income tax rate applicable to adjusted (non-GAAP) results.</w:t>
      </w:r>
    </w:p>
    <w:p>
      <w:pPr>
        <w:spacing w:after="0" w:line="221" w:lineRule="exact"/>
        <w:rPr>
          <w:rFonts w:ascii="Arial" w:cs="Arial" w:eastAsia="Arial" w:hAnsi="Arial"/>
          <w:sz w:val="16"/>
          <w:szCs w:val="16"/>
          <w:color w:val="auto"/>
        </w:rPr>
      </w:pPr>
    </w:p>
    <w:p>
      <w:pPr>
        <w:ind w:left="327" w:right="340" w:hanging="327"/>
        <w:spacing w:after="0" w:line="277" w:lineRule="auto"/>
        <w:tabs>
          <w:tab w:leader="none" w:pos="327"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amortization of acquired intangible assets per diluted share is net of an income tax benefit of $0.01 and $0.01 for the three months ended March 31, 2021 and 2020, respectively.</w:t>
      </w:r>
    </w:p>
    <w:p>
      <w:pPr>
        <w:spacing w:after="0" w:line="386" w:lineRule="exact"/>
        <w:rPr>
          <w:sz w:val="20"/>
          <w:szCs w:val="20"/>
          <w:color w:val="auto"/>
        </w:rPr>
      </w:pPr>
    </w:p>
    <w:p>
      <w:pPr>
        <w:jc w:val="center"/>
        <w:ind w:right="-6"/>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357505</wp:posOffset>
            </wp:positionV>
            <wp:extent cx="5957570" cy="171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5957570" cy="17145"/>
                    </a:xfrm>
                    <a:prstGeom prst="rect">
                      <a:avLst/>
                    </a:prstGeom>
                    <a:noFill/>
                  </pic:spPr>
                </pic:pic>
              </a:graphicData>
            </a:graphic>
          </wp:anchor>
        </w:drawing>
      </w:r>
    </w:p>
    <w:sectPr>
      <w:pgSz w:w="11900" w:h="16838" w:orient="portrait"/>
      <w:cols w:equalWidth="0" w:num="1">
        <w:col w:w="9367"/>
      </w:cols>
      <w:pgMar w:left="1253" w:top="125" w:right="12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AE8944A"/>
    <w:multiLevelType w:val="hybridMultilevel"/>
    <w:lvl w:ilvl="0">
      <w:lvlJc w:val="left"/>
      <w:lvlText w:val="☐"/>
      <w:numFmt w:val="bullet"/>
      <w:start w:val="1"/>
    </w:lvl>
  </w:abstractNum>
  <w:abstractNum w:abstractNumId="1">
    <w:nsid w:val="625558EC"/>
    <w:multiLevelType w:val="hybridMultilevel"/>
    <w:lvl w:ilvl="0">
      <w:lvlJc w:val="left"/>
      <w:lvlText w:val="●"/>
      <w:numFmt w:val="bullet"/>
      <w:start w:val="1"/>
    </w:lvl>
  </w:abstractNum>
  <w:abstractNum w:abstractNumId="2">
    <w:nsid w:val="238E1F29"/>
    <w:multiLevelType w:val="hybridMultilevel"/>
    <w:lvl w:ilvl="0">
      <w:lvlJc w:val="left"/>
      <w:lvlText w:val="●"/>
      <w:numFmt w:val="bullet"/>
      <w:start w:val="1"/>
    </w:lvl>
  </w:abstractNum>
  <w:abstractNum w:abstractNumId="3">
    <w:nsid w:val="46E87CCD"/>
    <w:multiLevelType w:val="hybridMultilevel"/>
    <w:lvl w:ilvl="0">
      <w:lvlJc w:val="left"/>
      <w:lvlText w:val="●"/>
      <w:numFmt w:val="bullet"/>
      <w:start w:val="1"/>
    </w:lvl>
  </w:abstractNum>
  <w:abstractNum w:abstractNumId="4">
    <w:nsid w:val="3D1B58BA"/>
    <w:multiLevelType w:val="hybridMultilevel"/>
    <w:lvl w:ilvl="0">
      <w:lvlJc w:val="left"/>
      <w:lvlText w:val="●"/>
      <w:numFmt w:val="bullet"/>
      <w:start w:val="1"/>
    </w:lvl>
  </w:abstractNum>
  <w:abstractNum w:abstractNumId="5">
    <w:nsid w:val="507ED7AB"/>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2021-05-05T15:28:19Z</dcterms:created>
  <dcterms:modified xsi:type="dcterms:W3CDTF">2021-05-05T15:28:19Z</dcterms:modified>
</cp:coreProperties>
</file>