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total number of shares of common stock outstanding as of May 1, 2017, was 47,897,471.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6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2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21"/>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90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Item 2 Management’s Discussion and Analysis of Financial Condition and Results of Operations</w:t>
              </w:r>
            </w:hyperlink>
          </w:p>
        </w:tc>
        <w:tc>
          <w:tcPr>
            <w:tcW w:w="40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3 Quantitative and Qualitative Disclosures About Market Risk</w:t>
              </w:r>
            </w:hyperlink>
          </w:p>
        </w:tc>
        <w:tc>
          <w:tcPr>
            <w:tcW w:w="61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Item 4 Controls and Procedures</w:t>
              </w:r>
            </w:hyperlink>
          </w:p>
        </w:tc>
        <w:tc>
          <w:tcPr>
            <w:tcW w:w="876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060" w:type="dxa"/>
            <w:vAlign w:val="bottom"/>
            <w:gridSpan w:val="21"/>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6"/>
          </w:tcPr>
          <w:p>
            <w:pPr>
              <w:spacing w:after="0"/>
              <w:rPr>
                <w:sz w:val="24"/>
                <w:szCs w:val="24"/>
                <w:color w:val="auto"/>
              </w:rPr>
            </w:pPr>
          </w:p>
        </w:tc>
        <w:tc>
          <w:tcPr>
            <w:tcW w:w="820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1A Risk Factors</w:t>
              </w:r>
            </w:hyperlink>
          </w:p>
        </w:tc>
        <w:tc>
          <w:tcPr>
            <w:tcW w:w="950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060" w:type="dxa"/>
            <w:vAlign w:val="bottom"/>
            <w:gridSpan w:val="2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Unregistered Sales of Equity Securities and Use of Proceeds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3 Defaults Upon Senior Securities</w:t>
              </w:r>
            </w:hyperlink>
          </w:p>
        </w:tc>
        <w:tc>
          <w:tcPr>
            <w:tcW w:w="62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 Mine Safety Disclosures</w:t>
              </w:r>
            </w:hyperlink>
          </w:p>
        </w:tc>
        <w:tc>
          <w:tcPr>
            <w:tcW w:w="822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Item 5 Other Information</w:t>
              </w:r>
            </w:hyperlink>
          </w:p>
        </w:tc>
        <w:tc>
          <w:tcPr>
            <w:tcW w:w="440" w:type="dxa"/>
            <w:vAlign w:val="bottom"/>
            <w:tcBorders>
              <w:top w:val="single" w:sz="8" w:color="0000EE"/>
            </w:tcBorders>
            <w:gridSpan w:val="3"/>
          </w:tcPr>
          <w:p>
            <w:pPr>
              <w:spacing w:after="0"/>
              <w:rPr>
                <w:sz w:val="17"/>
                <w:szCs w:val="17"/>
                <w:color w:val="auto"/>
              </w:rPr>
            </w:pPr>
          </w:p>
        </w:tc>
        <w:tc>
          <w:tcPr>
            <w:tcW w:w="878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Item 6 Exhibits</w:t>
              </w:r>
            </w:hyperlink>
          </w:p>
        </w:tc>
        <w:tc>
          <w:tcPr>
            <w:tcW w:w="994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06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101.</w:t>
            </w:r>
            <w:r>
              <w:rPr>
                <w:rFonts w:ascii="Arial" w:cs="Arial" w:eastAsia="Arial" w:hAnsi="Arial"/>
                <w:sz w:val="18"/>
                <w:szCs w:val="18"/>
                <w:u w:val="single" w:color="auto"/>
                <w:color w:val="0000EE"/>
                <w:w w:val="92"/>
              </w:rPr>
              <w:t>INS</w:t>
            </w:r>
            <w:r>
              <w:rPr>
                <w:rFonts w:ascii="Arial" w:cs="Arial" w:eastAsia="Arial" w:hAnsi="Arial"/>
                <w:sz w:val="18"/>
                <w:szCs w:val="18"/>
                <w:color w:val="0000EE"/>
                <w:w w:val="92"/>
              </w:rPr>
              <w:t xml:space="preserve"> XBRL Instance Document</w:t>
            </w:r>
          </w:p>
        </w:tc>
        <w:tc>
          <w:tcPr>
            <w:tcW w:w="848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101.</w:t>
            </w:r>
            <w:r>
              <w:rPr>
                <w:rFonts w:ascii="Arial" w:cs="Arial" w:eastAsia="Arial" w:hAnsi="Arial"/>
                <w:sz w:val="18"/>
                <w:szCs w:val="18"/>
                <w:u w:val="single" w:color="auto"/>
                <w:color w:val="0000EE"/>
                <w:w w:val="91"/>
              </w:rPr>
              <w:t>SCH</w:t>
            </w:r>
            <w:r>
              <w:rPr>
                <w:rFonts w:ascii="Arial" w:cs="Arial" w:eastAsia="Arial" w:hAnsi="Arial"/>
                <w:sz w:val="18"/>
                <w:szCs w:val="18"/>
                <w:color w:val="0000EE"/>
                <w:w w:val="91"/>
              </w:rPr>
              <w:t xml:space="preserve"> XBRL Taxonomy Extension Schema</w:t>
            </w:r>
          </w:p>
        </w:tc>
        <w:tc>
          <w:tcPr>
            <w:tcW w:w="76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60" w:type="dxa"/>
            <w:vAlign w:val="bottom"/>
            <w:gridSpan w:val="21"/>
          </w:tcPr>
          <w:p>
            <w:pPr>
              <w:spacing w:after="0" w:line="196" w:lineRule="exact"/>
              <w:rPr>
                <w:sz w:val="20"/>
                <w:szCs w:val="20"/>
                <w:color w:val="auto"/>
              </w:rPr>
            </w:pPr>
            <w:r>
              <w:rPr>
                <w:rFonts w:ascii="Arial" w:cs="Arial" w:eastAsia="Arial" w:hAnsi="Arial"/>
                <w:sz w:val="18"/>
                <w:szCs w:val="18"/>
                <w:color w:val="0000EE"/>
              </w:rPr>
              <w:t>101.</w:t>
            </w:r>
            <w:r>
              <w:rPr>
                <w:rFonts w:ascii="Arial" w:cs="Arial" w:eastAsia="Arial" w:hAnsi="Arial"/>
                <w:sz w:val="18"/>
                <w:szCs w:val="18"/>
                <w:u w:val="single" w:color="auto"/>
                <w:color w:val="0000EE"/>
              </w:rPr>
              <w:t>CAL</w:t>
            </w:r>
            <w:r>
              <w:rPr>
                <w:rFonts w:ascii="Arial" w:cs="Arial" w:eastAsia="Arial" w:hAnsi="Arial"/>
                <w:sz w:val="18"/>
                <w:szCs w:val="18"/>
                <w:color w:val="0000EE"/>
              </w:rPr>
              <w:t xml:space="preserve"> XBRL Taxonomy Extension Calculation Linkbase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101.</w:t>
            </w:r>
            <w:r>
              <w:rPr>
                <w:rFonts w:ascii="Arial" w:cs="Arial" w:eastAsia="Arial" w:hAnsi="Arial"/>
                <w:sz w:val="18"/>
                <w:szCs w:val="18"/>
                <w:u w:val="single" w:color="auto"/>
                <w:color w:val="0000EE"/>
              </w:rPr>
              <w:t>LAB</w:t>
            </w:r>
            <w:r>
              <w:rPr>
                <w:rFonts w:ascii="Arial" w:cs="Arial" w:eastAsia="Arial" w:hAnsi="Arial"/>
                <w:sz w:val="18"/>
                <w:szCs w:val="18"/>
                <w:color w:val="0000EE"/>
              </w:rPr>
              <w:t xml:space="preserve"> XBRL Taxonomy Extension Label Linkbase</w:t>
            </w:r>
          </w:p>
        </w:tc>
        <w:tc>
          <w:tcPr>
            <w:tcW w:w="67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940" w:type="dxa"/>
            <w:vAlign w:val="bottom"/>
            <w:gridSpan w:val="1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1"/>
              </w:rPr>
              <w:t>101.</w:t>
            </w:r>
            <w:r>
              <w:rPr>
                <w:rFonts w:ascii="Arial" w:cs="Arial" w:eastAsia="Arial" w:hAnsi="Arial"/>
                <w:sz w:val="18"/>
                <w:szCs w:val="18"/>
                <w:u w:val="single" w:color="auto"/>
                <w:color w:val="0000EE"/>
                <w:w w:val="91"/>
              </w:rPr>
              <w:t>PRE</w:t>
            </w:r>
            <w:r>
              <w:rPr>
                <w:rFonts w:ascii="Arial" w:cs="Arial" w:eastAsia="Arial" w:hAnsi="Arial"/>
                <w:sz w:val="18"/>
                <w:szCs w:val="18"/>
                <w:color w:val="0000EE"/>
                <w:w w:val="91"/>
              </w:rPr>
              <w:t xml:space="preserve"> XBRL Taxonomy Extension Presentation Linkbase</w:t>
            </w:r>
          </w:p>
        </w:tc>
        <w:tc>
          <w:tcPr>
            <w:tcW w:w="66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3"/>
              </w:rPr>
              <w:t>101.</w:t>
            </w:r>
            <w:r>
              <w:rPr>
                <w:rFonts w:ascii="Arial" w:cs="Arial" w:eastAsia="Arial" w:hAnsi="Arial"/>
                <w:sz w:val="18"/>
                <w:szCs w:val="18"/>
                <w:u w:val="single" w:color="auto"/>
                <w:color w:val="0000EE"/>
                <w:w w:val="93"/>
              </w:rPr>
              <w:t>DEF</w:t>
            </w:r>
            <w:r>
              <w:rPr>
                <w:rFonts w:ascii="Arial" w:cs="Arial" w:eastAsia="Arial" w:hAnsi="Arial"/>
                <w:sz w:val="18"/>
                <w:szCs w:val="18"/>
                <w:color w:val="0000EE"/>
                <w:w w:val="93"/>
              </w:rPr>
              <w:t xml:space="preserve"> XBRL Taxonomy Extension Definition Linkbase</w:t>
            </w:r>
          </w:p>
        </w:tc>
        <w:tc>
          <w:tcPr>
            <w:tcW w:w="680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85"/>
        </w:trPr>
        <w:tc>
          <w:tcPr>
            <w:tcW w:w="6980" w:type="dxa"/>
            <w:vAlign w:val="bottom"/>
            <w:gridSpan w:val="20"/>
          </w:tcPr>
          <w:p>
            <w:pPr>
              <w:ind w:left="5660"/>
              <w:spacing w:after="0"/>
              <w:rPr>
                <w:sz w:val="20"/>
                <w:szCs w:val="20"/>
                <w:color w:val="auto"/>
              </w:rPr>
            </w:pPr>
            <w:r>
              <w:rPr>
                <w:rFonts w:ascii="Arial" w:cs="Arial" w:eastAsia="Arial" w:hAnsi="Arial"/>
                <w:sz w:val="18"/>
                <w:szCs w:val="18"/>
                <w:color w:val="auto"/>
              </w:rPr>
              <w:t>2</w:t>
            </w:r>
          </w:p>
        </w:tc>
        <w:tc>
          <w:tcPr>
            <w:tcW w:w="4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9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00" w:type="dxa"/>
            <w:vAlign w:val="bottom"/>
            <w:gridSpan w:val="3"/>
            <w:vMerge w:val="continue"/>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w:t>
            </w:r>
          </w:p>
        </w:tc>
        <w:tc>
          <w:tcPr>
            <w:tcW w:w="4400" w:type="dxa"/>
            <w:vAlign w:val="bottom"/>
            <w:tcBorders>
              <w:top w:val="single" w:sz="8" w:color="CCEEFF"/>
            </w:tcBorders>
            <w:shd w:val="clear" w:color="auto" w:fill="CCEEFF"/>
          </w:tcPr>
          <w:p>
            <w:pPr>
              <w:spacing w:after="0"/>
              <w:rPr>
                <w:sz w:val="17"/>
                <w:szCs w:val="17"/>
                <w:color w:val="auto"/>
              </w:rPr>
            </w:pPr>
          </w:p>
        </w:tc>
        <w:tc>
          <w:tcPr>
            <w:tcW w:w="30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248,206</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89"/>
              </w:rPr>
              <w:t>226,958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102,574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Admissions advisory and related</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31,972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Marketing and promotional</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10,720</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Total costs and expenses</w:t>
            </w:r>
          </w:p>
        </w:tc>
        <w:tc>
          <w:tcPr>
            <w:tcW w:w="29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171,578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76,628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23"/>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2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26,745</w:t>
            </w:r>
          </w:p>
        </w:tc>
        <w:tc>
          <w:tcPr>
            <w:tcW w:w="0" w:type="dxa"/>
            <w:vAlign w:val="bottom"/>
          </w:tcPr>
          <w:p>
            <w:pPr>
              <w:spacing w:after="0"/>
              <w:rPr>
                <w:sz w:val="1"/>
                <w:szCs w:val="1"/>
                <w:color w:val="auto"/>
              </w:rPr>
            </w:pPr>
          </w:p>
        </w:tc>
      </w:tr>
      <w:tr>
        <w:trPr>
          <w:trHeight w:val="223"/>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55,912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vMerge w:val="continue"/>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46,748</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0" w:type="dxa"/>
            <w:vAlign w:val="bottom"/>
            <w:gridSpan w:val="3"/>
            <w:vMerge w:val="continue"/>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8"/>
              </w:rPr>
              <w:t>Net income</w:t>
            </w:r>
          </w:p>
        </w:tc>
        <w:tc>
          <w:tcPr>
            <w:tcW w:w="8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89"/>
              </w:rPr>
              <w:t>$55,912</w:t>
            </w:r>
          </w:p>
        </w:tc>
        <w:tc>
          <w:tcPr>
            <w:tcW w:w="840" w:type="dxa"/>
            <w:vAlign w:val="bottom"/>
            <w:tcBorders>
              <w:top w:val="single" w:sz="8" w:color="CCEEFF"/>
            </w:tcBorders>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Unrealized gains on available-for-sale securities and restricted cash equivalents, net of taxes of $242 and $24 for March 31,</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2017 and 2016, respectively</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Unrealized losses on hedging derivatives, net of taxes of $3 and $148 for March 31, 2017 and 2016, respectively</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56,300</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40" w:type="dxa"/>
            <w:vAlign w:val="bottom"/>
            <w:shd w:val="clear" w:color="auto" w:fill="CCEEFF"/>
          </w:tcPr>
          <w:p>
            <w:pPr>
              <w:ind w:left="22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88,541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70,342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81,557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277,922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870,289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1,155,260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1,092,493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40" w:type="dxa"/>
            <w:vAlign w:val="bottom"/>
            <w:shd w:val="clear" w:color="auto" w:fill="CCEEFF"/>
          </w:tcPr>
          <w:p>
            <w:pPr>
              <w:ind w:left="17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20,670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19,531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69,759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31,636</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235,145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27,043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64,943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66,616</w:t>
            </w:r>
          </w:p>
        </w:tc>
        <w:tc>
          <w:tcPr>
            <w:tcW w:w="0" w:type="dxa"/>
            <w:vAlign w:val="bottom"/>
          </w:tcPr>
          <w:p>
            <w:pPr>
              <w:spacing w:after="0"/>
              <w:rPr>
                <w:sz w:val="1"/>
                <w:szCs w:val="1"/>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328,737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 outstanding at March 31, 2017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gridSpan w:val="2"/>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51,939 and 51,509 shares issued and 47,829 and 47,559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tcPr>
          <w:p>
            <w:pPr>
              <w:ind w:left="160"/>
              <w:spacing w:after="0"/>
              <w:rPr>
                <w:sz w:val="20"/>
                <w:szCs w:val="20"/>
                <w:color w:val="auto"/>
              </w:rPr>
            </w:pPr>
            <w:r>
              <w:rPr>
                <w:rFonts w:ascii="Arial" w:cs="Arial" w:eastAsia="Arial" w:hAnsi="Arial"/>
                <w:sz w:val="18"/>
                <w:szCs w:val="18"/>
                <w:color w:val="auto"/>
              </w:rPr>
              <w:t>outstanding at March 31, 2017 and December 31, 2016,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Treasury stock, at cost, 4,110 and 3,950 shares of common stock at March 31, 2017 and December 31, 2016,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(98,910)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218,667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706,769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826,523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773,686</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1,155,260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1,092,493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4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54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Par Value</w:t>
            </w:r>
          </w:p>
        </w:tc>
        <w:tc>
          <w:tcPr>
            <w:tcW w:w="2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5"/>
              </w:rPr>
              <w:t>Loss</w:t>
            </w: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51,509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$(89,394)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$212,559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1"/>
              </w:rPr>
              <w:t>(910)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$650,916</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$773,686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Cumulative effect from the adoption of accounting</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pronouncements, net of taxes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388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55,912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(9,516)</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51,939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4,110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(98,910)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218,667</w:t>
            </w:r>
          </w:p>
        </w:tc>
        <w:tc>
          <w:tcPr>
            <w:tcW w:w="3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(522)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706,769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826,523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9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7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6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55,912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13,267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700"/>
              <w:spacing w:after="0"/>
              <w:rPr>
                <w:sz w:val="20"/>
                <w:szCs w:val="20"/>
                <w:color w:val="auto"/>
              </w:rPr>
            </w:pPr>
            <w:r>
              <w:rPr>
                <w:rFonts w:ascii="Arial" w:cs="Arial" w:eastAsia="Arial" w:hAnsi="Arial"/>
                <w:sz w:val="18"/>
                <w:szCs w:val="18"/>
                <w:color w:val="auto"/>
              </w:rPr>
              <w:t>Income taxes receivable/payable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16,654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Student deposits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(13,605)</w:t>
            </w:r>
          </w:p>
        </w:tc>
        <w:tc>
          <w:tcPr>
            <w:tcW w:w="0" w:type="dxa"/>
            <w:vAlign w:val="bottom"/>
          </w:tcPr>
          <w:p>
            <w:pPr>
              <w:spacing w:after="0"/>
              <w:rPr>
                <w:sz w:val="1"/>
                <w:szCs w:val="1"/>
                <w:color w:val="auto"/>
              </w:rPr>
            </w:pPr>
          </w:p>
        </w:tc>
      </w:tr>
      <w:tr>
        <w:trPr>
          <w:trHeight w:val="230"/>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109,656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(21,729)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land, building and golf course improvements related to off-site development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Return of equity method investment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12,924</w:t>
            </w:r>
          </w:p>
        </w:tc>
        <w:tc>
          <w:tcPr>
            <w:tcW w:w="0" w:type="dxa"/>
            <w:vAlign w:val="bottom"/>
          </w:tcPr>
          <w:p>
            <w:pPr>
              <w:spacing w:after="0"/>
              <w:rPr>
                <w:sz w:val="1"/>
                <w:szCs w:val="1"/>
                <w:color w:val="auto"/>
              </w:rPr>
            </w:pPr>
          </w:p>
        </w:tc>
      </w:tr>
      <w:tr>
        <w:trPr>
          <w:trHeight w:val="230"/>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(48,588)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(56,013)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Net borrowings from revolving line of credit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(18,043)</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130,907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98,420</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158,883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Grand Canyon Education, Inc. (together with its subsidiaries, the “University”) is a comprehensive regionally accredited university that offers over 200 graduate and undergraduate degree programs, emphases and certificates across nine colleges both online and on ground at our over 260 acre campus in Phoenix, Arizona, at leased facilities and at facilities owned by third party employers. Our undergraduate programs are designed to be innovative and to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wholly-owned subsidiaries are primarily used to facilitate expansion of the University campus.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2016.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2016 from which the December 31, 2016 balance sheet information was derived.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and cash equivalents. The majority of these funds remains as restricted for an average of 60 to 90 days from the date of receipt.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University considers its investments in municipal securities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February 27, 2013, the University entered into an interest rate corridor to manage its 30 Day LIBOR interest exposure related to its variable rate debt. The fair value of the interest rate corridor instrument as of March 31, 2017 and December 31, 2016 was $483 and $490,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$8 and $386 for the three months ended March 31, 2017 and 2016, respectively, for the effective portion of the losses on the derivatives is included as a component of other comprehensive income, net of taxes.</w:t>
      </w:r>
    </w:p>
    <w:p>
      <w:pPr>
        <w:spacing w:after="0" w:line="15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$71,667 as of March 31, 2017.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3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March 31, 2017, no derivative ineffectiveness was identified. Any ineffectiveness in the University’s derivative instrument designated as a hedge is reported in interest expense in the income statement. At March 31, 2017, the University does not expect to reclassify gains or losses on derivative instruments from accumulated other comprehensive income (loss) into earnings during the next 12 months.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carrying value of cash and cash equivalents, investments, accounts receivable, accounts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fair value of investments, primarily municipal securities, were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Net revenues consist primarily of tuition and fees derived from courses taught by the University online, on ground at its over 260 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three months ended March 31, 2017 and 2016, the University’s revenue was reduced by approximately $54,653 and $53,591,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of such money to the Department of Education under Title IV is required as a result of his or her withdrawal, the University recognizes revenue after a student withdraws only at the time of cash collection. Sales tax collected from students is excluded from net revenues. Collected but unremitted sales tax</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ectPr>
          <w:pgSz w:w="11900" w:h="16838" w:orient="portrait"/>
          <w:cols w:equalWidth="0" w:num="1">
            <w:col w:w="11420"/>
          </w:cols>
          <w:pgMar w:left="240" w:top="45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 in 2017</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2016, the FASB issued “Compensation – Stock Compensation: Improvement to Employee Share-Based Payment Accounting,” to simplify certain aspects of the accounting for share-based payment transactions to employees. The new standard requires excess tax benefits and tax deficiencies to be recorded in the consolidated statements of income as a component of the provision for income taxes when stock awards vest or options are exercised. In addition, it eliminates the requirement to reclassify cash flows related to excess tax benefits from operating activities to financing activities on the consolidated statements of cash flows. The standard also provides an accounting policy election to account for forfeitures as they occur, allows us to withhold more of an employee’s vesting shares for tax withholding purposes without triggering liability accounting, and clarifies that all cash payments made to tax authorities on an employee’s behalf for withheld shares should be presented as a financing activity on our consolidated cash flows statement.</w:t>
      </w:r>
    </w:p>
    <w:p>
      <w:pPr>
        <w:spacing w:after="0" w:line="12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University adopted the new guidance in the first quarter of 2017 which required us to reflect any adjustments as of January 1, 2017. Upon adoption, excess tax benefits or deficiencies from share-based awards or options are now reflected in the consolidated statement of income as a component of the provision for income taxes, whereas previously they were recognized in equity. The University elected to account for forfeitures as they occur, rather than estimate expected forfeitures. The net cumulative effect of this change increased additional paid-in capital and decreased retained earnings as of January 1, 2017 by $59, net of tax. The University did not have any previously unrecognized excess tax effects that had not been recorded as a reduction to tax liability.</w:t>
      </w:r>
    </w:p>
    <w:p>
      <w:pPr>
        <w:spacing w:after="0" w:line="11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University adopted the provisions of the standard impacting the cash flow presentation retrospectively, and accordingly, to conform to the current period presentation, we reclassified $3,495 of excess tax benefits which had been included as a financing activity to an operating activity for the three months ended March 31, 2016 in our consolidated statement of cash flows. The presentation requirement for cash flows related to employee taxes paid for withheld shares had no impact on our consolidated statement of cash flows since such cash flows have historically been presented as a financing activity.</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Adoption of the provision of the new standard related to income taxes was adopted prospectively and resulted in a reduction to our provision for income taxes of $8,524 for the three months ended March 31, 2017, due to the recognition of excess tax benefits from restricted stock awards that vested or stock options that were exercised in 2017. Our restricted stock awards vest in March each year so the excess tax benefits and deficiencies will primarily impact the first quarter each year.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w:t>
      </w:r>
    </w:p>
    <w:p>
      <w:pPr>
        <w:spacing w:after="0" w:line="13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August 2016, the FASB issued a new standard that clarifies how certain cash receipts and cash payments are presented and classified in the consolidated statement of cash flows. The University elected to early adopt this guidance in the first quarter of 2017 on a retrospective basis. There was no reclassification impact of the adoption on our consolidated statement of cash flows for the three months ended March 31, 2017 and 2016, as our historical statements have been presented in accordance with this new guidance.</w:t>
      </w:r>
    </w:p>
    <w:p>
      <w:pPr>
        <w:spacing w:after="0" w:line="14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November 2016, the FASB issued a new standard that requires restricted cash and cash equivalents to be included with the amount of cash and cash equivalents that are reconciled on the consolidated statement of cash flows. The University elected to early adopt this guidance in the first quarter of 2017 on a retrospective basis, and accordingly, to conform to the current period presentation, we reclassified our restricted cash and cash equivalents to be included in the total of cash and cash equivalents presented at the bottom of our consolidated statement of cash flows for both the beginning and ending periods for our three months ended March 31, 2017 and 2016. As a result the amount of the change in our net cash provided by operating activities no longer includes the impact of the change in restricted cash and cash equivalents for either period.</w:t>
      </w:r>
    </w:p>
    <w:p>
      <w:pPr>
        <w:spacing w:after="0" w:line="13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summarizes the effects related to the adoption of both accounting standards (share-based compensation and restricted cash and cash equivalents) for the three months ended March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Data:</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 2016</w:t>
            </w:r>
          </w:p>
        </w:tc>
      </w:tr>
      <w:tr>
        <w:trPr>
          <w:trHeight w:val="142"/>
        </w:trPr>
        <w:tc>
          <w:tcPr>
            <w:tcW w:w="5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9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As adjusted</w:t>
            </w:r>
          </w:p>
        </w:tc>
        <w:tc>
          <w:tcPr>
            <w:tcW w:w="120" w:type="dxa"/>
            <w:vAlign w:val="bottom"/>
          </w:tcPr>
          <w:p>
            <w:pPr>
              <w:spacing w:after="0"/>
              <w:rPr>
                <w:sz w:val="12"/>
                <w:szCs w:val="12"/>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96,318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(14,548)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(18,043)</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12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Cash and cash equivalents and restricted cash, beginning of period</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23,036</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98,420</w:t>
            </w:r>
          </w:p>
        </w:tc>
        <w:tc>
          <w:tcPr>
            <w:tcW w:w="1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111,274</w:t>
            </w:r>
          </w:p>
        </w:tc>
        <w:tc>
          <w:tcPr>
            <w:tcW w:w="12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May 2014, the FASB issued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 amended.”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accounting guidance also requires additional disclosure about the nature, amount, timing and uncertainty of revenue and cash flows arising from customer contracts, including significant judgements and changes in judgements and assets recognized from costs incurred to obtain or fulfill a contract. In July 2015, the FASB approved a one-year delay in the effective date. The University will adopt this new standard January 1, 2018 using either of two acceptable adoption methods: (i) retrospective adoption to each prior reporting period presented with the option to elect certain practical expedients as defined within the standard; or (ii) adoption with the cumulative effect of initially applying the standard recognized at the date of initial application and providing certain additional disclosure as defined within the standard. Management is in the diagnostic phase of assessing the financial and business impacts of implementing,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including identifying revenue sources within the University and developing a preliminary assessment. The majority of our revenues are related to tuition due from our students. Tuition revenues are recognized pro-rata over the applicable period of instruction which the University believes is consistent with the revenue recognition method required by the new standard. Thus, we anticipate the adoption of this standard will not have a material impact on our consolidated financial statements or results of operations. The University is continuing to evaluate the impact the adoption of this standard will have on our other revenues and fees in our consolidated financial statements and the method of adoption to be used. Management expects that there may be some changes as a result of implementing the new standard.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2016, the FASB issued “</w:t>
      </w:r>
      <w:r>
        <w:rPr>
          <w:rFonts w:ascii="Arial" w:cs="Arial" w:eastAsia="Arial" w:hAnsi="Arial"/>
          <w:sz w:val="18"/>
          <w:szCs w:val="18"/>
          <w:i w:val="1"/>
          <w:iCs w:val="1"/>
          <w:color w:val="auto"/>
        </w:rPr>
        <w:t>Financial Instruments – Overall: Recognition and Measurement of Financial Assets and Financial Liabilities</w:t>
      </w:r>
      <w:r>
        <w:rPr>
          <w:rFonts w:ascii="Arial" w:cs="Arial" w:eastAsia="Arial" w:hAnsi="Arial"/>
          <w:sz w:val="18"/>
          <w:szCs w:val="18"/>
          <w:color w:val="auto"/>
        </w:rPr>
        <w:t>.” The standard addresses certain aspects of recognition, measurement, presentation, and disclosure of financial instruments. Most prominent among the amendments is the requirement for changes in the fair value of equity investments, with certain exceptions, to be recognized through net income rather than other comprehensive income (“OCI”). This standard is effective for fiscal years, and interim periods within those years, beginning after December 15, 2017, and early adoption is not permitted. Accordingly, the standard is effective for us on January 1, 2018. We are currently evaluating the impact that the standard will have on our consolidated financial statements.</w:t>
      </w:r>
    </w:p>
    <w:p>
      <w:pPr>
        <w:spacing w:after="0" w:line="193"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February 2016, the FASB issued “</w:t>
      </w:r>
      <w:r>
        <w:rPr>
          <w:rFonts w:ascii="Arial" w:cs="Arial" w:eastAsia="Arial" w:hAnsi="Arial"/>
          <w:sz w:val="17"/>
          <w:szCs w:val="17"/>
          <w:i w:val="1"/>
          <w:iCs w:val="1"/>
          <w:color w:val="auto"/>
        </w:rPr>
        <w:t>Leases</w:t>
      </w:r>
      <w:r>
        <w:rPr>
          <w:rFonts w:ascii="Arial" w:cs="Arial" w:eastAsia="Arial" w:hAnsi="Arial"/>
          <w:sz w:val="17"/>
          <w:szCs w:val="17"/>
          <w:color w:val="auto"/>
        </w:rPr>
        <w:t>.” The standard establishes a right-of-use (“ROU”) model that requires a lessee to recognize a ROU asset and a lease liability on the balance sheet for all leases with lease terms longer than 12 months. Leases will be classified as either finance or operating, with classification affecting the pattern of expense recognition in the income statement. This standard is effective for fiscal years, and interim periods within those years, beginning after December 15, 2018, and early adoption is permitted. Accordingly, the standard is effective for us on January 1, 2019 using a modified retrospective transition approach. A modified retrospective transition approach is required for lessees for capital and operating leases existing at, or entered into after, the beginning of the earliest comparative period presented in the financial statements, with certain practical expedients available. The University has begun evaluating the impact that the future adoption of this standard will have on our consolidated financial statements and we believe the adoption will slightly increase our assets and liabilities, and will increase our financial statement disclosures.</w:t>
      </w:r>
    </w:p>
    <w:p>
      <w:pPr>
        <w:spacing w:after="0" w:line="17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June 2016, the FASB issued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The new guidance revises the accounting requirements related to the measurement of credit losses on financial instruments and the timing of when such losses are recorded. The standard is effective for fiscal years, and interim periods within those years, beginning after December 15, 2019. Early adoption is permitted for fiscal years and interim periods within those years, beginning after December 15, 2018. Accordingly, the standard is effective for us on January 1, 2020 using a modified retrospective approach, and we are currently evaluating the impact that the standard will have on our consolidated financial statements.</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could otherwise have a material impact on its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investments as of March 31, 2017 and December 31, 2016. The University considered all investments as available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As of March 31, 2017</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116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5"/>
              </w:rPr>
              <w:t>Gross</w:t>
            </w: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(Losses)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81,617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80" w:type="dxa"/>
            <w:vAlign w:val="bottom"/>
            <w:tcBorders>
              <w:top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$ 81,557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96"/>
              </w:rPr>
              <w:t>As of December 31, 2016</w:t>
            </w: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116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5"/>
              </w:rPr>
              <w:t>Gross</w:t>
            </w: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(Losses)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62,769</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580" w:type="dxa"/>
            <w:vAlign w:val="bottom"/>
            <w:tcBorders>
              <w:top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$ 62,596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cash flows of municipal securities are backed by the issuing municipality’s credit worthiness. All municipal securities are due in one year or less as of March 31, 2017. For the three months ended March 31, 2017, the net unrealized losses on available-for-sale securities was $37, net of taxes.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380" w:type="dxa"/>
            <w:vAlign w:val="bottom"/>
          </w:tcPr>
          <w:p>
            <w:pPr>
              <w:spacing w:after="0"/>
              <w:rPr>
                <w:sz w:val="12"/>
                <w:szCs w:val="12"/>
                <w:color w:val="auto"/>
              </w:rPr>
            </w:pPr>
          </w:p>
        </w:tc>
        <w:tc>
          <w:tcPr>
            <w:tcW w:w="86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13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46,748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45,622</w:t>
            </w:r>
          </w:p>
        </w:tc>
        <w:tc>
          <w:tcPr>
            <w:tcW w:w="6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60" w:type="dxa"/>
            <w:vAlign w:val="bottom"/>
            <w:shd w:val="clear" w:color="auto" w:fill="CCEEFF"/>
          </w:tcPr>
          <w:p>
            <w:pPr>
              <w:spacing w:after="0"/>
              <w:rPr>
                <w:sz w:val="18"/>
                <w:szCs w:val="18"/>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48,070</w:t>
            </w:r>
          </w:p>
        </w:tc>
        <w:tc>
          <w:tcPr>
            <w:tcW w:w="5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46,860</w:t>
            </w:r>
          </w:p>
        </w:tc>
        <w:tc>
          <w:tcPr>
            <w:tcW w:w="6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Diluted weighted average shares outstanding exclude the incremental effect of unvested restricted stock and shares that would be issued upon the assumed exercise of stock options in accordance with the treasury stock method. For the three months ended March 31, 2017 and 2016, approximately 8 and 421, respectively, of the University’s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128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w w:val="91"/>
              </w:rPr>
              <w:t>Charged to</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280" w:type="dxa"/>
            <w:vAlign w:val="bottom"/>
            <w:gridSpan w:val="5"/>
            <w:vMerge w:val="continue"/>
          </w:tcPr>
          <w:p>
            <w:pPr>
              <w:spacing w:after="0"/>
              <w:rPr>
                <w:sz w:val="12"/>
                <w:szCs w:val="12"/>
                <w:color w:val="auto"/>
              </w:rPr>
            </w:pPr>
          </w:p>
        </w:tc>
        <w:tc>
          <w:tcPr>
            <w:tcW w:w="14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w w:val="90"/>
              </w:rPr>
              <w:t>Deductions</w:t>
            </w:r>
            <w:r>
              <w:rPr>
                <w:rFonts w:ascii="Arial" w:cs="Arial" w:eastAsia="Arial" w:hAnsi="Arial"/>
                <w:sz w:val="12"/>
                <w:szCs w:val="12"/>
                <w:b w:val="1"/>
                <w:bCs w:val="1"/>
                <w:color w:val="auto"/>
                <w:w w:val="90"/>
              </w:rPr>
              <w:t>(1)</w:t>
            </w: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Period</w:t>
            </w:r>
          </w:p>
        </w:tc>
        <w:tc>
          <w:tcPr>
            <w:tcW w:w="1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Expense</w:t>
            </w:r>
          </w:p>
        </w:tc>
        <w:tc>
          <w:tcPr>
            <w:tcW w:w="14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2017</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4,383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Three months ended March 31, 2016</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5,137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4,520</w:t>
            </w:r>
          </w:p>
        </w:tc>
        <w:tc>
          <w:tcPr>
            <w:tcW w:w="260" w:type="dxa"/>
            <w:vAlign w:val="bottom"/>
          </w:tcPr>
          <w:p>
            <w:pPr>
              <w:spacing w:after="0"/>
              <w:rPr>
                <w:sz w:val="20"/>
                <w:szCs w:val="20"/>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445"/>
        </w:trPr>
        <w:tc>
          <w:tcPr>
            <w:tcW w:w="550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consist of the following:</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March 31,</w:t>
            </w:r>
          </w:p>
        </w:tc>
        <w:tc>
          <w:tcPr>
            <w:tcW w:w="148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133,521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Land improvements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24,472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23,158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567,926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559,791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108,870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105,168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Computer equipment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113,133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108,551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60,236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59,300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31,484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30,407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20,748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19,112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1,067,571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1,040,375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(197,282)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(184,847)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870,289</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855,528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The University reserve is not material for tax matters where its ultimate exposure is considered probable and the potential loss can be reasonably estimated.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three months ended March 31, 2017, the University granted 187 shares of common stock with a service vesting condition to certain of its executives, officers, faculty and employees. The restricted shares have voting rights and vest in five annual installments of 20%, with this first installment vesting in March of the calendar year following the date of grant (the “first vesting date”) and on each of the four anniversaries of the first vesting date. Upon vesting, shares will be held in lieu of taxes equivalent to the minimum statutory tax withholding required to be paid when the restricted stock vests. During the three months ended March 31, 2017, the University withheld 147 shares of common stock in lieu of taxes at a cost of $9,516 on the restricted stock vesting dates.</w:t>
      </w:r>
    </w:p>
    <w:p>
      <w:pPr>
        <w:spacing w:after="0" w:line="15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summary of the activity related to restricted stock granted under the University’s 2008 Equity Incentive Plan (“Incentive Plan”) since December 31, 2016 is as follows:</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1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Granted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460" w:type="dxa"/>
            <w:vAlign w:val="bottom"/>
          </w:tcPr>
          <w:p>
            <w:pPr>
              <w:spacing w:after="0"/>
              <w:rPr>
                <w:sz w:val="18"/>
                <w:szCs w:val="18"/>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(360)</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6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2017</w:t>
            </w:r>
          </w:p>
        </w:tc>
        <w:tc>
          <w:tcPr>
            <w:tcW w:w="16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During the three months ended March 31, 2017, no options were granted. A summary of the activity since December 31, 2016 related to stock options granted under the University’s Incentive Plan is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8"/>
              </w:rPr>
              <w:t>Summary of Stock Options Outstanding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Weighted</w:t>
            </w:r>
          </w:p>
        </w:tc>
        <w:tc>
          <w:tcPr>
            <w:tcW w:w="12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Term (Years)</w:t>
            </w: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12.83</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2017</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15.84</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57,369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March 31, 2017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5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5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March 31, 2017 ($71.61) in excess of the exercise price multiplied by the number of shares underlying options outstanding or exercisable, as applicable.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three months ended March 31, 2017 and 2016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$ 1,863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9"/>
                <w:szCs w:val="19"/>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98"/>
              </w:rPr>
              <w:t>Share-based compensation expense included in operating expenses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7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(1,172)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(1,159)</w:t>
            </w:r>
          </w:p>
        </w:tc>
      </w:tr>
      <w:tr>
        <w:trPr>
          <w:trHeight w:val="27"/>
        </w:trPr>
        <w:tc>
          <w:tcPr>
            <w:tcW w:w="6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$ 1,759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$ 1,739</w:t>
            </w:r>
          </w:p>
        </w:tc>
        <w:tc>
          <w:tcPr>
            <w:tcW w:w="12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University’s accreditation has been reaffirmed by the Higher Learning Commission (“HLC”) after a comprehensive review of the institution’s academic offerings, governance and administration, mission, finances and resources during an on-site visit in November 2016. The accreditation was reaffirmed by the HLC’s Institutional Actions council at its meeting on February 28, 2017 with no requirements for any monitoring or interim reports. The comprehensive review occurs every 10 years, along with a mid-term report in year four. As of March 31, 2017, management believes the University is in compliance with the applicable regulations in all material respects.</w:t>
      </w:r>
    </w:p>
    <w:p>
      <w:pPr>
        <w:spacing w:after="0" w:line="182"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900" w:right="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900" w:right="36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900" w:right="5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other universities in our geographic region and market sector, including competition for students, qualified executives and other personnel;</w:t>
      </w:r>
    </w:p>
    <w:p>
      <w:pPr>
        <w:spacing w:after="0" w:line="75" w:lineRule="exact"/>
        <w:rPr>
          <w:rFonts w:ascii="Arial" w:cs="Arial" w:eastAsia="Arial" w:hAnsi="Arial"/>
          <w:sz w:val="18"/>
          <w:szCs w:val="18"/>
          <w:color w:val="auto"/>
        </w:rPr>
      </w:pPr>
    </w:p>
    <w:p>
      <w:pPr>
        <w:ind w:left="900" w:right="660" w:hanging="325"/>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properly manage risks and challenges associated with strategic initiatives, including the expansion of our campus, potential acquisitions of, or investments in, new businesses, acquisitions of new properties, or the development of new campuses;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2016,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are a comprehensive regionally accredited university that offers over 200 graduate and undergraduate degree programs, emphases and certificates across nine colleges both online and on ground at our over 260 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believe the growing brand of the University and the value proposition for both traditional aged students attending on our campus in Phoenix, Arizona and working adult students attending on our campus or at off-site locations in cohorts (referred to by us as professional studies students) or online, has enabled us to increase enrollment to approximately 83,400 at March 31, 2017.</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End-of-period enrollment increased 11.0% between March 31, 2017 and March 31, 2016, as ground enrollment increased 12.0% and online enrollment increased 10.8% over the prior year. We attribute the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our largest local competitor’s undergraduate tuition for online programs ranges from $490 to $633 per credit hour and its graduate tuition for online programs ranges from $492 to $1,132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Net revenues increased 9.4% over the first fiscal quarter of the prior year primarily due to the enrollment growth and due to an increase in ancillary revenues resulting from the increased traditional student enrollment (e.g. housing, food, etc.). The decrease in revenue per student between years is primarily due to a shift in the timing of our residential traditional campus start dates, as the Spring semester started five days later in 2017 than in 2016 and we have one less day of revenue in the first quarter of 2017 due to 2016 being a leap year. We have not raised our tuition for our traditional ground programs in eight years and we have not raised tuition for our working adult students since September 2015. Operating income was $76.6 million for the three months ended March 31, 2017, an increase of 11.6% over the $68.7 million in operating income for the three months ended March 31,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March 31, 2017 and 2016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34,962</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30,519</w:t>
            </w:r>
          </w:p>
        </w:tc>
        <w:tc>
          <w:tcPr>
            <w:tcW w:w="5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Undergraduate degree</w:t>
            </w:r>
          </w:p>
        </w:tc>
        <w:tc>
          <w:tcPr>
            <w:tcW w:w="780" w:type="dxa"/>
            <w:vAlign w:val="bottom"/>
          </w:tcPr>
          <w:p>
            <w:pPr>
              <w:jc w:val="right"/>
              <w:spacing w:after="0"/>
              <w:rPr>
                <w:sz w:val="20"/>
                <w:szCs w:val="20"/>
                <w:color w:val="auto"/>
              </w:rPr>
            </w:pPr>
            <w:r>
              <w:rPr>
                <w:rFonts w:ascii="Arial" w:cs="Arial" w:eastAsia="Arial" w:hAnsi="Arial"/>
                <w:sz w:val="18"/>
                <w:szCs w:val="18"/>
                <w:color w:val="auto"/>
              </w:rPr>
              <w:t>48,390</w:t>
            </w:r>
          </w:p>
        </w:tc>
        <w:tc>
          <w:tcPr>
            <w:tcW w:w="5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58.1%</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44,577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83,352</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75,096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64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5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5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60,938</w:t>
            </w:r>
          </w:p>
        </w:tc>
        <w:tc>
          <w:tcPr>
            <w:tcW w:w="5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15,857</w:t>
            </w:r>
          </w:p>
        </w:tc>
        <w:tc>
          <w:tcPr>
            <w:tcW w:w="5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19.0%</w:t>
            </w:r>
          </w:p>
        </w:tc>
        <w:tc>
          <w:tcPr>
            <w:tcW w:w="780" w:type="dxa"/>
            <w:vAlign w:val="bottom"/>
          </w:tcPr>
          <w:p>
            <w:pPr>
              <w:jc w:val="right"/>
              <w:spacing w:after="0"/>
              <w:rPr>
                <w:sz w:val="20"/>
                <w:szCs w:val="20"/>
                <w:color w:val="auto"/>
              </w:rPr>
            </w:pPr>
            <w:r>
              <w:rPr>
                <w:rFonts w:ascii="Arial" w:cs="Arial" w:eastAsia="Arial" w:hAnsi="Arial"/>
                <w:sz w:val="18"/>
                <w:szCs w:val="18"/>
                <w:color w:val="auto"/>
              </w:rPr>
              <w:t>14,158</w:t>
            </w:r>
          </w:p>
        </w:tc>
        <w:tc>
          <w:tcPr>
            <w:tcW w:w="5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83,352</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75,096</w:t>
            </w:r>
          </w:p>
        </w:tc>
        <w:tc>
          <w:tcPr>
            <w:tcW w:w="5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60" w:hanging="452"/>
        <w:spacing w:after="0" w:line="274"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Enrollment at March 31, 2017 and 2016 represents individual students who attended a course during the last two months of the calendar quarter. Included in enrollment at March 31, 2017 and 2016 are students pursuing non-degree certificates of 1,086 and 927, respectively.</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7,441 and 6,648 students pursuing doctoral degrees at March 31, 2017 and 2016, respectively.</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March 31, 2017 and 2016, 49.9% and 48.5%, respectively, of our working adult students (online and professional studies students) were pursuing graduate degrees.</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both our traditional on-campus ground students, as well as our professional studies students.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2016. During the three months ended March 31, 2017, there have been no significant changes in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key trends, developments and challenges facing the University are disclosed in our Annual Report on Form 10-K for the fiscal year ended December 31, 2016. During the three months ended March 31, 2017, there have been no significant changes in these trends. See Item 7, “Management’s Discussion and Analysis of Financial Condition and Results of Operations – Key Trends, Developments and Challenges” in our Annual Report on Form 10-K for our fiscal year ended December 31, 2016, which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6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8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(0.2)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8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8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to Three Months Ended March 31, 2016</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three months ended March 31, 2017 was $248.2 million, an increase of $21.2 million, or 9.4%,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$227.0 million for the three months ended March 31, 2016. This increase was primarily due to an increase in ground and online enrollment and, to a lesser extent, an increase in room and board and other student fees, partially offset by an increase in institutional scholarships. We have not raised our tuition for our traditional ground program in eight years and we have not raised tuition for our working adult students since September 2015. End-of-period enrollment increased 11.0% between March 31, 2017 and March 31, 2016, as ground enrollment increased 12.0%, and online enrollment increased 10.8% over the prior year. The majority of the ground enrollment growth between years was residential students at our ground traditional campus in Phoenix, Arizona. We attribute the growth in our enrollment between years to our increasing brand recognition and the value proposition we believe we provide to students and their parents. After scholarships, our ground traditional students pay an amount for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that compete with us.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slight decrease in revenue per student between years is primarily due to a shift in the timing of our residential traditional campus start dates, as the Spring semester started five days later in 2017 than in 2016 and we have one less day of revenue in the first quarter of 2017 due to 2016 being a leap year.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three months ended March 31, 2017 were</w:t>
      </w:r>
    </w:p>
    <w:p>
      <w:pPr>
        <w:spacing w:after="0" w:line="3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$102.6 million, an increase of $7.9 million, or 8.4%, as compared to instructional costs and services expenses of $94.7 million for the three months ended March 31, 2016. This increase was primarily due to increases in employee compensation and related expenses including share based compensation, faculty compensation, depreciation and amortization and occupancy expense, and other instructional compensation and related expenses, of $2.3 million, $2.1 million, $2.5 million, and $1.0 million, respectively.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increase in employee compensation and related expenses and faculty compensation are primarily due to the increase in the number of staff and faculty needed to support the increasing number of students attending the University. In addition, we have incurred an increase in benefit costs between years. The increase in depreciation and amortization and occupancy costs is the result of our placing into service additional buildings to support the growing number of ground traditional students in the Fall of 2016. Our instructional costs and services expenses as a percentage of net revenues decreased 0.4% to 41.3% for the three months ended March 31, 2017, from 41.7% for the three months ended March 31, 2016 primarily due to a decrease in dues, fees, subscriptions and other instructional supplies and bad debt expense as a percentage of revenue, partially offset by an increase in depreciation and amortization and occupancy expense as a percentage of revenue over the prior year. Bad debt expense decreased to 1.8% for the three months ended March 31, 2017 from 2.0% for the three months ended March 31, 2016.</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three months ended March 31, 2017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$32.0 million, an increase of $2.5 million, or 8.2%, as compared to admissions advisory and related expenses of $29.5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2016. This increase is primarily the result of increases in employee compensation and related expenses including share based compensation of</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$2.8 million, partially offset by a decrease in other advisory related expenses of $0.3 million. The increase in employee compensation and related expenses is primarily due to tenure based salary adjustments and an increase in benefit costs between years. Our admissions advisory and related expenses as a percentage of revenue decreased 0.1% to 12.9% for the three months ended March 31, 2017, from 13.0% for the three months ended March 31, 2016 primarily due to our ability to leverage our admissions advisory personnel across an increasing revenue base.</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three months ended March 31, 2017 were $24.6 million, an increase of $3.5 million, or 16.7%,</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advertising expenses of $21.1 million for the three months ended March 31, 2016. This increase is primarily the result of increased national brand advertising. Our advertising expenses as a percentage of net revenue increased by 0.6% to 9.9% for the three months ended March 31, 2017, from 9.3% for the three months ended March 31, 2016.</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three months ended March 31, 2017 were $2.5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$0.3 million, or 9.7%, as compared to marketing and promotional expenses of $2.2 million for the three months ended March 31, 2016. This increase is primarily the result of increases in employee compensation and related expenses including stock based compensation and other promotional expenses of $0.2 million and $0.1 million, respectively. Our marketing and promotional expenses as a percentage of net revenue stayed flat at 1.0% for both the three months ended March 31, 2017 and 2016.</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three months ended March 31, 2017 was $9.9 million, a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$0.8 million, or 7.3%, as compared to general and administrative expenses of $10.7 million for the three months ended March 31, 2016. This decrease was primarily due to decreases in legal and other professional costs incurred primarily as a result of our consideration of a not for profit entity conversion of $1.3 million, partially offset by slight increases in employee compensation and related expenses including share based compensation of $0.5 million. Our general and administrative expenses as a percentage of net revenue decreased by 0.7% to 4.0% for the three months ended March 31, 2017, from 4.7% for the three months ended March 31, 2016 due to our ability to leverage the fixed costs structure of our general and administrative expenses across an increasing revenue base and the reduction in legal and other professional costs between periods.</w:t>
      </w:r>
    </w:p>
    <w:p>
      <w:pPr>
        <w:spacing w:after="0" w:line="17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for the three months ended March 31, 2017 was $0.6 million, an increase of $0.3 million, as compared to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$0.3 million for the three months ended March 31, 2016. This increase was primarily due to higher interest costs from the draw on our revolving line of credit and lower capitalized interest due to a decrease in capital spending in 2017. Our interest expense increased as a percentage of net revenue by 0.1% to 0.2% for the three months ended March 31, 2017, from 0.1% for the three months ended March 31, 2016.</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i w:val="1"/>
          <w:iCs w:val="1"/>
          <w:color w:val="auto"/>
        </w:rPr>
        <w:t>Interest and other income</w:t>
      </w:r>
      <w:r>
        <w:rPr>
          <w:rFonts w:ascii="Arial" w:cs="Arial" w:eastAsia="Arial" w:hAnsi="Arial"/>
          <w:sz w:val="17"/>
          <w:szCs w:val="17"/>
          <w:color w:val="auto"/>
        </w:rPr>
        <w:t>. Interest and other income for the three months ended March 31, 2017 was nil, a decrease of $2.0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and other income of $2.0 million in the three months ended March 31, 2016. The decrease was primarily due to the University’s proportional share of equity interest income of $1.8 million related to our ownership interest in LoudCloud that was received in the first quarter of 2016.</w:t>
      </w:r>
    </w:p>
    <w:p>
      <w:pPr>
        <w:spacing w:after="0" w:line="166"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March 31, 2017 was $20.1 million, a decrease of $6.6 million, or 24.7%,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income tax expense of $26.7 million for the three months ended March 31, 2016. Our effective tax rate was 26.5% during the first quarter of 2017 compared to 38.0% during the first quarter of 2016. This decrease is the result of a decrease in our effective tax rate partially offset by higher taxable income between periods. The lower effective tax rate year over year is due to our adoption of the share-based compensation standard in the first quarter of 2017, which resulted in the recognition of excess tax benefits from share-based compensation awards that vested or settled in 2017 in the consolidated income statement.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March 31, 2017 was $55.9 million, an increase of $12.2 million, as compared to $43.7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2016,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three months ended March 31, 2017 and 2016 primarily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Our unrestricted cash and cash equivalents and investments were $170.1 million and $108.6 million at March 31, 2017 and December 31, 2016, respectively. Our restricted cash and cash equivalents at March 31, 2017 and December 31, 2016 were $70.3 million and</w:t>
      </w:r>
    </w:p>
    <w:p>
      <w:pPr>
        <w:ind w:right="20"/>
        <w:spacing w:after="0" w:line="273" w:lineRule="auto"/>
        <w:rPr>
          <w:sz w:val="20"/>
          <w:szCs w:val="20"/>
          <w:color w:val="auto"/>
        </w:rPr>
      </w:pPr>
      <w:r>
        <w:rPr>
          <w:rFonts w:ascii="Arial" w:cs="Arial" w:eastAsia="Arial" w:hAnsi="Arial"/>
          <w:sz w:val="17"/>
          <w:szCs w:val="17"/>
          <w:color w:val="auto"/>
        </w:rPr>
        <w:t>$84.9 million, respectively. In December 2012, we entered into a new credit agreement, which increased our term loan to $100 million with a maturity date of December 2019. Additionally, this facility, as amended in January 2016, provides a revolving line of credit in the amount of $150 million through December 2017 to be utilized for working capital, capital expenditures and other general corporate purposes. Indebtedness under the credit facility is secured by our assets and is guaranteed by certain of our subsidiaries. No amounts were drawn on the revolver as of March 31, 2017.</w:t>
      </w:r>
    </w:p>
    <w:p>
      <w:pPr>
        <w:spacing w:after="0" w:line="17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our common stock, from time to time, depending on market conditions and other considerations. The current expiration date on the repurchase authorization by our Board of Directors is December 31, 2017. Repurchases occur at the University’s discretion.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the inception of our share repurchase program, the University has purchased 3.5 million shares of common stock at an aggregate cost of</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$75.8 million. During the three months ended March 31, 2017 no shares were repurchased by the University. At March 31, 2017, there remains $99.2 million available under our share repurchase authorization.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three months ended March 31, 2017 was $109.7 million as compared to</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$86.9 million for the three months ended March 31, 2016. The increase in cash generated from operating activities between the three months ended March 31, 2016 and the three months ended March 31, 2017 is primarily due to increased net income and the timing of income tax and employee related payments as well as changes in other working capital such as accounts payable and deferred revenue.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was $48.6 million and $56.0 million for the three months ended March 31,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2017 and 2016, respectively. Our cash used in investing activities was primarily related to the purchase of short-term investments and capital expenditures. Purchases of short-term investments net of proceeds of these investments was $19.0 million and $0.8 million during the three months ended March 31, 2017 and 2016, respectively. Capital expenditures were $21.7 million and $49.8 million for the three months ended March 31, 2017 and 2016, respectively. During the three-month period for 2017, capital expenditures primarily consisted of ground campus building projects such as the construction of an additional dormitory to support our growing traditional student enrollment, land acquisitions adjacent to our campus, as well as purchases of computer equipment, other internal use software projects and furniture and equipment to support our increasing employee headcount. Included in off-site development for 2017 is</w:t>
      </w:r>
    </w:p>
    <w:p>
      <w:pPr>
        <w:spacing w:after="0" w:line="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$7.9 million we spent to finish the building and parking garage in close proximity to our ground traditional campus. Employees that work in two leased office buildings in the Phoenix area were relocated to this new building by the end of 2016. During the three-month period for 2016, capital expenditures primarily consisted of ground campus building projects that started in late 2015 such as three more apartment style residence halls, a 170,000 square foot classroom building for our College of Science, Engineering and Technology, a student service center, and a fourth parking structure, as well as land purchases adjacent to or near our Phoenix campus, and purchases of computer equipment, other internal use software projects and furniture and equipment to support our increasing employee headcount. Included in off-site development during 2016 is $7.7 million related to the off-site office building and parking garage. In addition, during the first quarter of 2016, we received a $1.8 million distribution related to our ownership interest in LoudCloud upon its sale to a third party.</w:t>
      </w:r>
    </w:p>
    <w:p>
      <w:pPr>
        <w:spacing w:after="0" w:line="16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was $33.1 million and $18.0 million for the three months ended March 31,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the three-month period for 2017, $25.0 million was used to repay the revolving line of credit, $9.5 million was used to purchase common shares withheld in lieu of income taxes resulting from restricted share awards and principal payments on notes payable and capital leases totaled $1.7 million, which amounts were partially offset by proceeds from the exercise of stock options of $3.1 million. During the three-month period for 2016, $14.6 million was used to purchase treasury stock in accordance with the University’s share repurchase program and $4.6 million was used to purchase common shares withheld in lieu of income taxes resulting from restricted share awards while principal payments on notes payable and capital leases totaled $2.1 million and debt issuance costs for the increase in our revolving line of credit totaled $0.2 million, partially offset by proceeds from the exercise of stock options of $3.5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as of March 31, 2017,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4"/>
              </w:rPr>
              <w:t>Payments Due by Period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240" w:type="dxa"/>
            <w:vAlign w:val="bottom"/>
          </w:tcPr>
          <w:p>
            <w:pPr>
              <w:spacing w:after="0"/>
              <w:rPr>
                <w:sz w:val="10"/>
                <w:szCs w:val="10"/>
                <w:color w:val="auto"/>
              </w:rPr>
            </w:pPr>
          </w:p>
        </w:tc>
        <w:tc>
          <w:tcPr>
            <w:tcW w:w="10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86"/>
              </w:rPr>
              <w:t>4-5 Years</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r>
              <w:rPr>
                <w:rFonts w:ascii="Arial" w:cs="Arial" w:eastAsia="Arial" w:hAnsi="Arial"/>
                <w:sz w:val="12"/>
                <w:szCs w:val="12"/>
                <w:b w:val="1"/>
                <w:bCs w:val="1"/>
                <w:color w:val="auto"/>
              </w:rPr>
              <w:t>(1)</w:t>
            </w:r>
          </w:p>
        </w:tc>
        <w:tc>
          <w:tcPr>
            <w:tcW w:w="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116.9</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April 1, 2017 through December 31, 2017.</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March 31,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three months ended March 31, 2017 or</w:t>
      </w:r>
      <w:r>
        <w:rPr>
          <w:rFonts w:ascii="Arial" w:cs="Arial" w:eastAsia="Arial" w:hAnsi="Arial"/>
          <w:sz w:val="17"/>
          <w:szCs w:val="17"/>
          <w:i w:val="1"/>
          <w:iCs w:val="1"/>
          <w:color w:val="auto"/>
        </w:rPr>
        <w:t xml:space="preserve"> </w:t>
      </w:r>
      <w:r>
        <w:rPr>
          <w:rFonts w:ascii="Arial" w:cs="Arial" w:eastAsia="Arial" w:hAnsi="Arial"/>
          <w:sz w:val="17"/>
          <w:szCs w:val="17"/>
          <w:color w:val="auto"/>
        </w:rPr>
        <w:t>2016. There can be no assurance that future inflation will not have an adverse impact on our operating results and financial condition.</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 Day LIBOR interest exposure from the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debt matures in December 2019. The corridor instrument, which hedges variable interest rate risk starting March 1, 2013 through December 20, 2019 with a notional amount of $71.7 million as of March 31, 2017,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4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through the instruments noted above and by investing excess funds in cash equivalents,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mutual funds tied to various market indices and municipal bonds with a BBB rating or higher bearing variable interest rates, or individual bond coupon rates. Our future interest income may fall short of expectations due to changes in interest rates or we may suffer losses in principal if we are forced to sell securities that have declined in market value due to changes in interest rates. At March 31, 2017, a 10% increase or decrease in interest rates would not have a material impact on our future earnings, fair values, or cash flows. For information regarding our variable rate debt, see “Market risk” above.</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March 31, 2017,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2016.</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common stock, from time to time, depending on market conditions and other considerations. The current expiration date on the repurchase authorization is December 31, 2017.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March 31, 2017, we did not repurchase any shares of common stock. At March 31, 2017, there remains $99.2 million available under our share repurchase authorization.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Total Number of</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Number of</w:t>
            </w:r>
          </w:p>
        </w:tc>
        <w:tc>
          <w:tcPr>
            <w:tcW w:w="1240" w:type="dxa"/>
            <w:vAlign w:val="bottom"/>
            <w:gridSpan w:val="3"/>
            <w:vMerge w:val="continue"/>
          </w:tcPr>
          <w:p>
            <w:pPr>
              <w:spacing w:after="0"/>
              <w:rPr>
                <w:sz w:val="12"/>
                <w:szCs w:val="12"/>
                <w:color w:val="auto"/>
              </w:rPr>
            </w:pP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Announced</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Purchased Under</w:t>
            </w:r>
          </w:p>
        </w:tc>
        <w:tc>
          <w:tcPr>
            <w:tcW w:w="0" w:type="dxa"/>
            <w:vAlign w:val="bottom"/>
          </w:tcPr>
          <w:p>
            <w:pPr>
              <w:spacing w:after="0"/>
              <w:rPr>
                <w:sz w:val="1"/>
                <w:szCs w:val="1"/>
                <w:color w:val="auto"/>
              </w:rPr>
            </w:pPr>
          </w:p>
        </w:tc>
      </w:tr>
      <w:tr>
        <w:trPr>
          <w:trHeight w:val="171"/>
        </w:trPr>
        <w:tc>
          <w:tcPr>
            <w:tcW w:w="9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Shares Purchased</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5"/>
              </w:rPr>
              <w:t>Share</w:t>
            </w:r>
          </w:p>
        </w:tc>
        <w:tc>
          <w:tcPr>
            <w:tcW w:w="1060" w:type="dxa"/>
            <w:vAlign w:val="bottom"/>
            <w:tcBorders>
              <w:top w:val="single" w:sz="8" w:color="CCEEFF"/>
              <w:bottom w:val="single" w:sz="8" w:color="auto"/>
            </w:tcBorders>
            <w:gridSpan w:val="3"/>
            <w:shd w:val="clear" w:color="auto" w:fill="CCEEFF"/>
          </w:tcPr>
          <w:p>
            <w:pPr>
              <w:ind w:left="80"/>
              <w:spacing w:after="0" w:line="156" w:lineRule="exact"/>
              <w:rPr>
                <w:sz w:val="20"/>
                <w:szCs w:val="20"/>
                <w:color w:val="auto"/>
              </w:rPr>
            </w:pPr>
            <w:r>
              <w:rPr>
                <w:rFonts w:ascii="Arial" w:cs="Arial" w:eastAsia="Arial" w:hAnsi="Arial"/>
                <w:sz w:val="18"/>
                <w:szCs w:val="18"/>
                <w:b w:val="1"/>
                <w:bCs w:val="1"/>
                <w:color w:val="auto"/>
                <w:w w:val="84"/>
              </w:rPr>
              <w:t>Repurchases</w:t>
            </w:r>
          </w:p>
        </w:tc>
        <w:tc>
          <w:tcPr>
            <w:tcW w:w="404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Arial" w:cs="Arial" w:eastAsia="Arial" w:hAnsi="Arial"/>
                <w:sz w:val="18"/>
                <w:szCs w:val="18"/>
                <w:color w:val="auto"/>
              </w:rPr>
              <w:t>January 1, 2017 – January 31, 2017</w:t>
            </w:r>
          </w:p>
        </w:tc>
        <w:tc>
          <w:tcPr>
            <w:tcW w:w="16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,99,200,000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February 1, 2017 – February 28, 2017</w:t>
            </w:r>
          </w:p>
        </w:tc>
        <w:tc>
          <w:tcPr>
            <w:tcW w:w="16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Arial" w:cs="Arial" w:eastAsia="Arial" w:hAnsi="Arial"/>
                <w:sz w:val="18"/>
                <w:szCs w:val="18"/>
                <w:color w:val="auto"/>
              </w:rPr>
              <w:t>March 1, 2017 – March 31, 2017</w:t>
            </w:r>
          </w:p>
        </w:tc>
        <w:tc>
          <w:tcPr>
            <w:tcW w:w="16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Tax Withholdings</w:t>
            </w: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January 1, 2017 – January 31, 2017</w:t>
            </w:r>
          </w:p>
        </w:tc>
        <w:tc>
          <w:tcPr>
            <w:tcW w:w="16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Arial" w:cs="Arial" w:eastAsia="Arial" w:hAnsi="Arial"/>
                <w:sz w:val="18"/>
                <w:szCs w:val="18"/>
                <w:color w:val="auto"/>
              </w:rPr>
              <w:t>February 1, 2017 – February 28, 2017</w:t>
            </w:r>
          </w:p>
        </w:tc>
        <w:tc>
          <w:tcPr>
            <w:tcW w:w="16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March 1, 2017 – March 31, 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3"/>
              </w:rPr>
              <w:t>64.59</w:t>
            </w:r>
          </w:p>
        </w:tc>
        <w:tc>
          <w:tcPr>
            <w:tcW w:w="18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147,330</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64.59</w:t>
            </w:r>
          </w:p>
        </w:tc>
        <w:tc>
          <w:tcPr>
            <w:tcW w:w="18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2"/>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3"/>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9"/>
              </w:rPr>
              <w:t>None.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560" w:type="dxa"/>
            <w:vAlign w:val="bottom"/>
            <w:gridSpan w:val="3"/>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9"/>
              </w:rPr>
              <w:t>None.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456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9"/>
              </w:rPr>
              <w:t>None.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459" w:right="339" w:bottom="1440" w:gutter="0" w:footer="0" w:header="0"/>
        </w:sect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46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6200" w:type="dxa"/>
            <w:vAlign w:val="bottom"/>
            <w:gridSpan w:val="3"/>
          </w:tcPr>
          <w:p>
            <w:pPr>
              <w:ind w:left="460"/>
              <w:spacing w:after="0"/>
              <w:rPr>
                <w:sz w:val="20"/>
                <w:szCs w:val="20"/>
                <w:color w:val="auto"/>
              </w:rPr>
            </w:pPr>
            <w:r>
              <w:rPr>
                <w:rFonts w:ascii="Arial" w:cs="Arial" w:eastAsia="Arial" w:hAnsi="Arial"/>
                <w:sz w:val="18"/>
                <w:szCs w:val="18"/>
                <w:color w:val="auto"/>
              </w:rPr>
              <w:t>(a) Exhibits</w:t>
            </w:r>
          </w:p>
        </w:tc>
      </w:tr>
      <w:tr>
        <w:trPr>
          <w:trHeight w:val="405"/>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Numberber</w:t>
            </w:r>
          </w:p>
        </w:tc>
        <w:tc>
          <w:tcPr>
            <w:tcW w:w="32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740" w:type="dxa"/>
            <w:vAlign w:val="bottom"/>
          </w:tcPr>
          <w:p>
            <w:pPr>
              <w:jc w:val="right"/>
              <w:ind w:right="231"/>
              <w:spacing w:after="0"/>
              <w:rPr>
                <w:sz w:val="20"/>
                <w:szCs w:val="20"/>
                <w:color w:val="auto"/>
              </w:rPr>
            </w:pPr>
            <w:r>
              <w:rPr>
                <w:rFonts w:ascii="Arial" w:cs="Arial" w:eastAsia="Arial" w:hAnsi="Arial"/>
                <w:sz w:val="18"/>
                <w:szCs w:val="18"/>
                <w:color w:val="auto"/>
              </w:rPr>
              <w:t>3.1</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Amended and Restated Certificate of Incorporation.</w:t>
            </w:r>
          </w:p>
        </w:tc>
      </w:tr>
      <w:tr>
        <w:trPr>
          <w:trHeight w:val="742"/>
        </w:trPr>
        <w:tc>
          <w:tcPr>
            <w:tcW w:w="740" w:type="dxa"/>
            <w:vAlign w:val="bottom"/>
          </w:tcPr>
          <w:p>
            <w:pPr>
              <w:jc w:val="right"/>
              <w:ind w:right="111"/>
              <w:spacing w:after="0"/>
              <w:rPr>
                <w:sz w:val="20"/>
                <w:szCs w:val="20"/>
                <w:color w:val="auto"/>
              </w:rPr>
            </w:pPr>
            <w:r>
              <w:rPr>
                <w:rFonts w:ascii="Arial" w:cs="Arial" w:eastAsia="Arial" w:hAnsi="Arial"/>
                <w:sz w:val="18"/>
                <w:szCs w:val="18"/>
                <w:color w:val="auto"/>
              </w:rPr>
              <w:t>3.1.1</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w w:val="97"/>
              </w:rPr>
              <w:t>Certificate of Amendment of Amended and Restated Certificate of</w:t>
            </w:r>
          </w:p>
        </w:tc>
      </w:tr>
      <w:tr>
        <w:trPr>
          <w:trHeight w:val="230"/>
        </w:trPr>
        <w:tc>
          <w:tcPr>
            <w:tcW w:w="740" w:type="dxa"/>
            <w:vAlign w:val="bottom"/>
          </w:tcPr>
          <w:p>
            <w:pPr>
              <w:spacing w:after="0"/>
              <w:rPr>
                <w:sz w:val="20"/>
                <w:szCs w:val="20"/>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Incorporation.</w:t>
            </w:r>
          </w:p>
        </w:tc>
      </w:tr>
      <w:tr>
        <w:trPr>
          <w:trHeight w:val="540"/>
        </w:trPr>
        <w:tc>
          <w:tcPr>
            <w:tcW w:w="74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740" w:type="dxa"/>
            <w:vAlign w:val="bottom"/>
          </w:tcPr>
          <w:p>
            <w:pPr>
              <w:jc w:val="right"/>
              <w:ind w:right="231"/>
              <w:spacing w:after="0"/>
              <w:rPr>
                <w:sz w:val="20"/>
                <w:szCs w:val="20"/>
                <w:color w:val="auto"/>
              </w:rPr>
            </w:pPr>
            <w:r>
              <w:rPr>
                <w:rFonts w:ascii="Arial" w:cs="Arial" w:eastAsia="Arial" w:hAnsi="Arial"/>
                <w:sz w:val="18"/>
                <w:szCs w:val="18"/>
                <w:color w:val="auto"/>
              </w:rPr>
              <w:t>4.1</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740" w:type="dxa"/>
            <w:vAlign w:val="bottom"/>
          </w:tcPr>
          <w:p>
            <w:pPr>
              <w:jc w:val="right"/>
              <w:ind w:right="231"/>
              <w:spacing w:after="0"/>
              <w:rPr>
                <w:sz w:val="20"/>
                <w:szCs w:val="20"/>
                <w:color w:val="auto"/>
              </w:rPr>
            </w:pPr>
            <w:r>
              <w:rPr>
                <w:rFonts w:ascii="Arial" w:cs="Arial" w:eastAsia="Arial" w:hAnsi="Arial"/>
                <w:sz w:val="18"/>
                <w:szCs w:val="18"/>
                <w:color w:val="auto"/>
              </w:rPr>
              <w:t>31.1</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Certification of Principal Executive Officer pursuant to Rules</w:t>
            </w:r>
          </w:p>
        </w:tc>
      </w:tr>
      <w:tr>
        <w:trPr>
          <w:trHeight w:val="216"/>
        </w:trPr>
        <w:tc>
          <w:tcPr>
            <w:tcW w:w="740" w:type="dxa"/>
            <w:vAlign w:val="bottom"/>
          </w:tcPr>
          <w:p>
            <w:pPr>
              <w:spacing w:after="0"/>
              <w:rPr>
                <w:sz w:val="18"/>
                <w:szCs w:val="18"/>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w w:val="94"/>
              </w:rPr>
              <w:t>13a-14(a) and 15d-14(a), as adopted pursuant to Section 302 of the</w:t>
            </w:r>
          </w:p>
        </w:tc>
      </w:tr>
      <w:tr>
        <w:trPr>
          <w:trHeight w:val="230"/>
        </w:trPr>
        <w:tc>
          <w:tcPr>
            <w:tcW w:w="740" w:type="dxa"/>
            <w:vAlign w:val="bottom"/>
          </w:tcPr>
          <w:p>
            <w:pPr>
              <w:spacing w:after="0"/>
              <w:rPr>
                <w:sz w:val="20"/>
                <w:szCs w:val="20"/>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Sarbanes-Oxley Act of 2002.</w:t>
            </w:r>
          </w:p>
        </w:tc>
      </w:tr>
      <w:tr>
        <w:trPr>
          <w:trHeight w:val="310"/>
        </w:trPr>
        <w:tc>
          <w:tcPr>
            <w:tcW w:w="740" w:type="dxa"/>
            <w:vAlign w:val="bottom"/>
          </w:tcPr>
          <w:p>
            <w:pPr>
              <w:jc w:val="right"/>
              <w:ind w:right="231"/>
              <w:spacing w:after="0"/>
              <w:rPr>
                <w:sz w:val="20"/>
                <w:szCs w:val="20"/>
                <w:color w:val="auto"/>
              </w:rPr>
            </w:pPr>
            <w:r>
              <w:rPr>
                <w:rFonts w:ascii="Arial" w:cs="Arial" w:eastAsia="Arial" w:hAnsi="Arial"/>
                <w:sz w:val="18"/>
                <w:szCs w:val="18"/>
                <w:color w:val="auto"/>
              </w:rPr>
              <w:t>31.2</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16"/>
        </w:trPr>
        <w:tc>
          <w:tcPr>
            <w:tcW w:w="740" w:type="dxa"/>
            <w:vAlign w:val="bottom"/>
          </w:tcPr>
          <w:p>
            <w:pPr>
              <w:spacing w:after="0"/>
              <w:rPr>
                <w:sz w:val="18"/>
                <w:szCs w:val="18"/>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w w:val="93"/>
              </w:rPr>
              <w:t>and 15d-14(a), as adopted pursuant to Section 302 of the Sarbanes-</w:t>
            </w:r>
          </w:p>
        </w:tc>
      </w:tr>
      <w:tr>
        <w:trPr>
          <w:trHeight w:val="230"/>
        </w:trPr>
        <w:tc>
          <w:tcPr>
            <w:tcW w:w="740" w:type="dxa"/>
            <w:vAlign w:val="bottom"/>
          </w:tcPr>
          <w:p>
            <w:pPr>
              <w:spacing w:after="0"/>
              <w:rPr>
                <w:sz w:val="20"/>
                <w:szCs w:val="20"/>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Oxley Act of 2002.</w:t>
            </w:r>
          </w:p>
        </w:tc>
      </w:tr>
      <w:tr>
        <w:trPr>
          <w:trHeight w:val="310"/>
        </w:trPr>
        <w:tc>
          <w:tcPr>
            <w:tcW w:w="740" w:type="dxa"/>
            <w:vAlign w:val="bottom"/>
          </w:tcPr>
          <w:p>
            <w:pPr>
              <w:jc w:val="right"/>
              <w:ind w:right="231"/>
              <w:spacing w:after="0"/>
              <w:rPr>
                <w:sz w:val="20"/>
                <w:szCs w:val="20"/>
                <w:color w:val="auto"/>
              </w:rPr>
            </w:pPr>
            <w:r>
              <w:rPr>
                <w:rFonts w:ascii="Arial" w:cs="Arial" w:eastAsia="Arial" w:hAnsi="Arial"/>
                <w:sz w:val="18"/>
                <w:szCs w:val="18"/>
                <w:color w:val="auto"/>
              </w:rPr>
              <w:t>32.1</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740" w:type="dxa"/>
            <w:vAlign w:val="bottom"/>
          </w:tcPr>
          <w:p>
            <w:pPr>
              <w:spacing w:after="0"/>
              <w:rPr>
                <w:sz w:val="18"/>
                <w:szCs w:val="18"/>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740" w:type="dxa"/>
            <w:vAlign w:val="bottom"/>
          </w:tcPr>
          <w:p>
            <w:pPr>
              <w:spacing w:after="0"/>
              <w:rPr>
                <w:sz w:val="20"/>
                <w:szCs w:val="20"/>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Oxley Act of 2002. ††</w:t>
            </w:r>
          </w:p>
        </w:tc>
      </w:tr>
      <w:tr>
        <w:trPr>
          <w:trHeight w:val="310"/>
        </w:trPr>
        <w:tc>
          <w:tcPr>
            <w:tcW w:w="740" w:type="dxa"/>
            <w:vAlign w:val="bottom"/>
          </w:tcPr>
          <w:p>
            <w:pPr>
              <w:jc w:val="right"/>
              <w:ind w:right="231"/>
              <w:spacing w:after="0"/>
              <w:rPr>
                <w:sz w:val="20"/>
                <w:szCs w:val="20"/>
                <w:color w:val="auto"/>
              </w:rPr>
            </w:pPr>
            <w:r>
              <w:rPr>
                <w:rFonts w:ascii="Arial" w:cs="Arial" w:eastAsia="Arial" w:hAnsi="Arial"/>
                <w:sz w:val="18"/>
                <w:szCs w:val="18"/>
                <w:color w:val="auto"/>
              </w:rPr>
              <w:t>32.2</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740" w:type="dxa"/>
            <w:vAlign w:val="bottom"/>
          </w:tcPr>
          <w:p>
            <w:pPr>
              <w:spacing w:after="0"/>
              <w:rPr>
                <w:sz w:val="18"/>
                <w:szCs w:val="18"/>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740" w:type="dxa"/>
            <w:vAlign w:val="bottom"/>
          </w:tcPr>
          <w:p>
            <w:pPr>
              <w:spacing w:after="0"/>
              <w:rPr>
                <w:sz w:val="20"/>
                <w:szCs w:val="20"/>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Oxley Act of 2002. ††</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XBRL Instance Document</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31813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Incorporated by reference to Appendix A to the University’s Proxy Statement for its 2016 Annual meeting of Stockholders, filed with the SEC on April 29, 2016.</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200" w:space="200"/>
            <w:col w:w="4920"/>
          </w:cols>
          <w:pgMar w:left="240" w:top="459" w:right="339" w:bottom="1440" w:gutter="0" w:footer="0" w:header="0"/>
          <w:type w:val="continuous"/>
        </w:sectPr>
      </w:pPr>
    </w:p>
    <w:p>
      <w:pPr>
        <w:spacing w:after="0" w:line="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right="32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GRAND CANYON EDUCATION, INC.</w:t>
      </w:r>
    </w:p>
    <w:p>
      <w:pPr>
        <w:sectPr>
          <w:pgSz w:w="11900" w:h="16838" w:orient="portrait"/>
          <w:cols w:equalWidth="0" w:num="1">
            <w:col w:w="10740"/>
          </w:cols>
          <w:pgMar w:left="240" w:top="459" w:right="9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 Accounting Officer)</w:t>
      </w:r>
    </w:p>
    <w:p>
      <w:pPr>
        <w:sectPr>
          <w:pgSz w:w="11900" w:h="16838" w:orient="portrait"/>
          <w:cols w:equalWidth="0" w:num="2">
            <w:col w:w="5800" w:space="100"/>
            <w:col w:w="4840"/>
          </w:cols>
          <w:pgMar w:left="240" w:top="459" w:right="9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1360"/>
          </w:cols>
          <w:pgMar w:left="240" w:top="459" w:right="299" w:bottom="1440" w:gutter="0" w:footer="0" w:header="0"/>
        </w:sectPr>
      </w:pPr>
    </w:p>
    <w:p>
      <w:pPr>
        <w:spacing w:after="0" w:line="244"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15240</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7" w:lineRule="exact"/>
        <w:rPr>
          <w:sz w:val="20"/>
          <w:szCs w:val="20"/>
          <w:color w:val="auto"/>
        </w:rPr>
      </w:pPr>
    </w:p>
    <w:p>
      <w:pPr>
        <w:ind w:left="180"/>
        <w:spacing w:after="0"/>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60" w:right="320" w:hanging="872"/>
        <w:spacing w:after="0" w:line="277" w:lineRule="auto"/>
        <w:tabs>
          <w:tab w:leader="none" w:pos="1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Certificate of Amendment of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tabs>
          <w:tab w:leader="none" w:pos="10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Third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of Stock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ind w:left="100"/>
              <w:spacing w:after="0"/>
              <w:rPr>
                <w:sz w:val="20"/>
                <w:szCs w:val="20"/>
                <w:color w:val="auto"/>
              </w:rPr>
            </w:pPr>
            <w:r>
              <w:rPr>
                <w:rFonts w:ascii="Arial" w:cs="Arial" w:eastAsia="Arial" w:hAnsi="Arial"/>
                <w:sz w:val="18"/>
                <w:szCs w:val="18"/>
                <w:color w:val="auto"/>
              </w:rPr>
              <w:t>31.1</w:t>
            </w:r>
          </w:p>
        </w:tc>
        <w:tc>
          <w:tcPr>
            <w:tcW w:w="530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Rules</w:t>
            </w:r>
          </w:p>
        </w:tc>
      </w:tr>
      <w:tr>
        <w:trPr>
          <w:trHeight w:val="216"/>
        </w:trPr>
        <w:tc>
          <w:tcPr>
            <w:tcW w:w="88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w w:val="94"/>
              </w:rPr>
              <w:t>13a-14(a) and 15d-14(a), as adopted pursuant to Section 302 of the</w:t>
            </w:r>
          </w:p>
        </w:tc>
      </w:tr>
      <w:tr>
        <w:trPr>
          <w:trHeight w:val="230"/>
        </w:trPr>
        <w:tc>
          <w:tcPr>
            <w:tcW w:w="88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310"/>
        </w:trPr>
        <w:tc>
          <w:tcPr>
            <w:tcW w:w="880" w:type="dxa"/>
            <w:vAlign w:val="bottom"/>
          </w:tcPr>
          <w:p>
            <w:pPr>
              <w:ind w:left="100"/>
              <w:spacing w:after="0"/>
              <w:rPr>
                <w:sz w:val="20"/>
                <w:szCs w:val="20"/>
                <w:color w:val="auto"/>
              </w:rPr>
            </w:pPr>
            <w:r>
              <w:rPr>
                <w:rFonts w:ascii="Arial" w:cs="Arial" w:eastAsia="Arial" w:hAnsi="Arial"/>
                <w:sz w:val="18"/>
                <w:szCs w:val="18"/>
                <w:color w:val="auto"/>
              </w:rPr>
              <w:t>31.2</w:t>
            </w:r>
          </w:p>
        </w:tc>
        <w:tc>
          <w:tcPr>
            <w:tcW w:w="5300" w:type="dxa"/>
            <w:vAlign w:val="bottom"/>
          </w:tcPr>
          <w:p>
            <w:pPr>
              <w:ind w:left="180"/>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16"/>
        </w:trPr>
        <w:tc>
          <w:tcPr>
            <w:tcW w:w="88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w w:val="93"/>
              </w:rPr>
              <w:t>and 15d-14(a), as adopted pursuant to Section 302 of the Sarbanes-</w:t>
            </w:r>
          </w:p>
        </w:tc>
      </w:tr>
      <w:tr>
        <w:trPr>
          <w:trHeight w:val="230"/>
        </w:trPr>
        <w:tc>
          <w:tcPr>
            <w:tcW w:w="88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Oxley Act of 2002.</w:t>
            </w:r>
          </w:p>
        </w:tc>
      </w:tr>
      <w:tr>
        <w:trPr>
          <w:trHeight w:val="310"/>
        </w:trPr>
        <w:tc>
          <w:tcPr>
            <w:tcW w:w="880" w:type="dxa"/>
            <w:vAlign w:val="bottom"/>
          </w:tcPr>
          <w:p>
            <w:pPr>
              <w:ind w:left="100"/>
              <w:spacing w:after="0"/>
              <w:rPr>
                <w:sz w:val="20"/>
                <w:szCs w:val="20"/>
                <w:color w:val="auto"/>
              </w:rPr>
            </w:pPr>
            <w:r>
              <w:rPr>
                <w:rFonts w:ascii="Arial" w:cs="Arial" w:eastAsia="Arial" w:hAnsi="Arial"/>
                <w:sz w:val="18"/>
                <w:szCs w:val="18"/>
                <w:color w:val="auto"/>
              </w:rPr>
              <w:t>32.1</w:t>
            </w:r>
          </w:p>
        </w:tc>
        <w:tc>
          <w:tcPr>
            <w:tcW w:w="530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88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88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Oxley Act of 2002. ††</w:t>
            </w:r>
          </w:p>
        </w:tc>
      </w:tr>
      <w:tr>
        <w:trPr>
          <w:trHeight w:val="310"/>
        </w:trPr>
        <w:tc>
          <w:tcPr>
            <w:tcW w:w="880" w:type="dxa"/>
            <w:vAlign w:val="bottom"/>
          </w:tcPr>
          <w:p>
            <w:pPr>
              <w:ind w:left="100"/>
              <w:spacing w:after="0"/>
              <w:rPr>
                <w:sz w:val="20"/>
                <w:szCs w:val="20"/>
                <w:color w:val="auto"/>
              </w:rPr>
            </w:pPr>
            <w:r>
              <w:rPr>
                <w:rFonts w:ascii="Arial" w:cs="Arial" w:eastAsia="Arial" w:hAnsi="Arial"/>
                <w:sz w:val="18"/>
                <w:szCs w:val="18"/>
                <w:color w:val="auto"/>
              </w:rPr>
              <w:t>32.2</w:t>
            </w:r>
          </w:p>
        </w:tc>
        <w:tc>
          <w:tcPr>
            <w:tcW w:w="530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88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88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Oxley Act of 2002. ††</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530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31813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46" w:lineRule="exact"/>
        <w:rPr>
          <w:sz w:val="20"/>
          <w:szCs w:val="20"/>
          <w:color w:val="auto"/>
        </w:rPr>
      </w:pPr>
    </w:p>
    <w:p>
      <w:pPr>
        <w:ind w:right="200"/>
        <w:spacing w:after="0" w:line="342" w:lineRule="auto"/>
        <w:rPr>
          <w:rFonts w:ascii="Arial" w:cs="Arial" w:eastAsia="Arial" w:hAnsi="Arial"/>
          <w:sz w:val="16"/>
          <w:szCs w:val="16"/>
          <w:u w:val="single" w:color="auto"/>
          <w:color w:val="0000EE"/>
        </w:rPr>
      </w:pPr>
      <w:hyperlink r:id="rId49">
        <w:r>
          <w:rPr>
            <w:rFonts w:ascii="Arial" w:cs="Arial" w:eastAsia="Arial" w:hAnsi="Arial"/>
            <w:sz w:val="16"/>
            <w:szCs w:val="16"/>
            <w:u w:val="single" w:color="auto"/>
            <w:color w:val="0000EE"/>
          </w:rPr>
          <w:t>Exhibit 3.1 to Amendment No. 6 to the University’s Registration</w:t>
        </w:r>
      </w:hyperlink>
      <w:r>
        <w:rPr>
          <w:rFonts w:ascii="Arial" w:cs="Arial" w:eastAsia="Arial" w:hAnsi="Arial"/>
          <w:sz w:val="16"/>
          <w:szCs w:val="16"/>
          <w:u w:val="single" w:color="auto"/>
          <w:color w:val="0000EE"/>
        </w:rPr>
        <w:t xml:space="preserve"> </w:t>
      </w:r>
      <w:hyperlink r:id="rId49">
        <w:r>
          <w:rPr>
            <w:rFonts w:ascii="Arial" w:cs="Arial" w:eastAsia="Arial" w:hAnsi="Arial"/>
            <w:sz w:val="16"/>
            <w:szCs w:val="16"/>
            <w:u w:val="single" w:color="auto"/>
            <w:color w:val="0000EE"/>
          </w:rPr>
          <w:t>Statement on Form S-1 filed with the SEC on November 12, 2008</w:t>
        </w:r>
      </w:hyperlink>
    </w:p>
    <w:p>
      <w:pPr>
        <w:spacing w:after="0" w:line="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Incorporated by reference to Appendix A to the University’s Proxy Statement for its 2016 Annual Meeting of Stockholders, filed with the SEC on April 29, 2016.</w:t>
      </w:r>
    </w:p>
    <w:p>
      <w:pPr>
        <w:spacing w:after="0" w:line="46" w:lineRule="exact"/>
        <w:rPr>
          <w:sz w:val="20"/>
          <w:szCs w:val="20"/>
          <w:color w:val="auto"/>
        </w:rPr>
      </w:pPr>
    </w:p>
    <w:p>
      <w:pPr>
        <w:spacing w:after="0" w:line="342" w:lineRule="auto"/>
        <w:rPr>
          <w:rFonts w:ascii="Arial" w:cs="Arial" w:eastAsia="Arial" w:hAnsi="Arial"/>
          <w:sz w:val="16"/>
          <w:szCs w:val="16"/>
          <w:u w:val="single" w:color="auto"/>
          <w:color w:val="0000EE"/>
        </w:rPr>
      </w:pPr>
      <w:hyperlink r:id="rId50">
        <w:r>
          <w:rPr>
            <w:rFonts w:ascii="Arial" w:cs="Arial" w:eastAsia="Arial" w:hAnsi="Arial"/>
            <w:sz w:val="16"/>
            <w:szCs w:val="16"/>
            <w:u w:val="single" w:color="auto"/>
            <w:color w:val="0000EE"/>
          </w:rPr>
          <w:t>Appendix A to the University’s Proxy Statement for its 2016 Annual</w:t>
        </w:r>
      </w:hyperlink>
      <w:r>
        <w:rPr>
          <w:rFonts w:ascii="Arial" w:cs="Arial" w:eastAsia="Arial" w:hAnsi="Arial"/>
          <w:sz w:val="16"/>
          <w:szCs w:val="16"/>
          <w:u w:val="single" w:color="auto"/>
          <w:color w:val="0000EE"/>
        </w:rPr>
        <w:t xml:space="preserve"> </w:t>
      </w:r>
      <w:hyperlink r:id="rId50">
        <w:r>
          <w:rPr>
            <w:rFonts w:ascii="Arial" w:cs="Arial" w:eastAsia="Arial" w:hAnsi="Arial"/>
            <w:sz w:val="16"/>
            <w:szCs w:val="16"/>
            <w:u w:val="single" w:color="auto"/>
            <w:color w:val="0000EE"/>
          </w:rPr>
          <w:t>Meeting of Stockholders, filed with the SEC on April 29, 2016</w:t>
        </w:r>
      </w:hyperlink>
    </w:p>
    <w:p>
      <w:pPr>
        <w:spacing w:after="0" w:line="29" w:lineRule="exact"/>
        <w:rPr>
          <w:sz w:val="20"/>
          <w:szCs w:val="20"/>
          <w:color w:val="auto"/>
        </w:rPr>
      </w:pPr>
    </w:p>
    <w:p>
      <w:pPr>
        <w:ind w:right="100"/>
        <w:spacing w:after="0" w:line="334"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 w:lineRule="exact"/>
        <w:rPr>
          <w:sz w:val="20"/>
          <w:szCs w:val="20"/>
          <w:color w:val="auto"/>
        </w:rPr>
      </w:pPr>
    </w:p>
    <w:p>
      <w:pPr>
        <w:ind w:right="280"/>
        <w:spacing w:after="0" w:line="277" w:lineRule="auto"/>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Exhibit 3.1 to the University’s Current Report on Form 8-K filed</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with the SEC on October 29, 2014</w:t>
        </w:r>
      </w:hyperlink>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46" w:lineRule="exact"/>
        <w:rPr>
          <w:sz w:val="20"/>
          <w:szCs w:val="20"/>
          <w:color w:val="auto"/>
        </w:rPr>
      </w:pPr>
    </w:p>
    <w:p>
      <w:pPr>
        <w:ind w:right="180"/>
        <w:spacing w:after="0" w:line="342" w:lineRule="auto"/>
        <w:rPr>
          <w:rFonts w:ascii="Arial" w:cs="Arial" w:eastAsia="Arial" w:hAnsi="Arial"/>
          <w:sz w:val="16"/>
          <w:szCs w:val="16"/>
          <w:u w:val="single" w:color="auto"/>
          <w:color w:val="0000EE"/>
        </w:rPr>
      </w:pPr>
      <w:hyperlink r:id="rId52">
        <w:r>
          <w:rPr>
            <w:rFonts w:ascii="Arial" w:cs="Arial" w:eastAsia="Arial" w:hAnsi="Arial"/>
            <w:sz w:val="16"/>
            <w:szCs w:val="16"/>
            <w:u w:val="single" w:color="auto"/>
            <w:color w:val="0000EE"/>
          </w:rPr>
          <w:t>Exhibit 4.1 to Amendment No. 2 to the University’s Registration</w:t>
        </w:r>
      </w:hyperlink>
      <w:r>
        <w:rPr>
          <w:rFonts w:ascii="Arial" w:cs="Arial" w:eastAsia="Arial" w:hAnsi="Arial"/>
          <w:sz w:val="16"/>
          <w:szCs w:val="16"/>
          <w:u w:val="single" w:color="auto"/>
          <w:color w:val="0000EE"/>
        </w:rPr>
        <w:t xml:space="preserve"> </w:t>
      </w:r>
      <w:hyperlink r:id="rId52">
        <w:r>
          <w:rPr>
            <w:rFonts w:ascii="Arial" w:cs="Arial" w:eastAsia="Arial" w:hAnsi="Arial"/>
            <w:sz w:val="16"/>
            <w:szCs w:val="16"/>
            <w:u w:val="single" w:color="auto"/>
            <w:color w:val="0000EE"/>
          </w:rPr>
          <w:t>Statement on Form S-1 filed with the SEC on September 29, 2008</w:t>
        </w:r>
      </w:hyperlink>
    </w:p>
    <w:p>
      <w:pPr>
        <w:spacing w:after="0" w:line="2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Filed herewith.</w:t>
        </w:r>
      </w:hyperlink>
    </w:p>
    <w:p>
      <w:pPr>
        <w:spacing w:after="0" w:line="200" w:lineRule="exact"/>
        <w:rPr>
          <w:sz w:val="20"/>
          <w:szCs w:val="20"/>
          <w:color w:val="auto"/>
        </w:rPr>
      </w:pPr>
    </w:p>
    <w:p>
      <w:pPr>
        <w:spacing w:after="0" w:line="34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Filed herewith.</w:t>
        </w:r>
      </w:hyperlink>
    </w:p>
    <w:p>
      <w:pPr>
        <w:spacing w:after="0" w:line="200" w:lineRule="exact"/>
        <w:rPr>
          <w:sz w:val="20"/>
          <w:szCs w:val="20"/>
          <w:color w:val="auto"/>
        </w:rPr>
      </w:pPr>
    </w:p>
    <w:p>
      <w:pPr>
        <w:spacing w:after="0" w:line="34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Filed herewith.</w:t>
        </w:r>
      </w:hyperlink>
    </w:p>
    <w:p>
      <w:pPr>
        <w:spacing w:after="0" w:line="200" w:lineRule="exact"/>
        <w:rPr>
          <w:sz w:val="20"/>
          <w:szCs w:val="20"/>
          <w:color w:val="auto"/>
        </w:rPr>
      </w:pPr>
    </w:p>
    <w:p>
      <w:pPr>
        <w:spacing w:after="0" w:line="349"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Filed herewith.</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180" w:space="220"/>
            <w:col w:w="4960"/>
          </w:cols>
          <w:pgMar w:left="240" w:top="459" w:right="299" w:bottom="1440" w:gutter="0" w:footer="0" w:header="0"/>
          <w:type w:val="continuous"/>
        </w:sectPr>
      </w:pPr>
    </w:p>
    <w:p>
      <w:pPr>
        <w:spacing w:after="0" w:line="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right="36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2017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14605</wp:posOffset>
            </wp:positionV>
            <wp:extent cx="3027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2017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March 31, 2017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March 31, 2017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49" Type="http://schemas.openxmlformats.org/officeDocument/2006/relationships/hyperlink" Target="http://www.sec.gov/Archives/edgar/data/1434588/000095015308001925/p75463a6exv3w1.htm" TargetMode="External"/><Relationship Id="rId50" Type="http://schemas.openxmlformats.org/officeDocument/2006/relationships/hyperlink" Target="http://www.sec.gov/Archives/edgar/data/1434588/000119312516566183/d117924ddef14a.htm#toc117924_54" TargetMode="External"/><Relationship Id="rId51" Type="http://schemas.openxmlformats.org/officeDocument/2006/relationships/hyperlink" Target="http://www.sec.gov/Archives/edgar/data/1434588/000119312514387149/d812440dex31.htm" TargetMode="External"/><Relationship Id="rId52"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2019-12-29T08:01:15Z</dcterms:created>
  <dcterms:modified xsi:type="dcterms:W3CDTF">2019-12-29T08:01:15Z</dcterms:modified>
</cp:coreProperties>
</file>