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lope-20240612xdef14a.htm"/>
        <w:bookmarkStart w:id="1" w:name="kslope20240612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6"/>
        </w:rPr>
      </w:pPr>
      <w:bookmarkStart w:id="2" w:name="_5d9d4d05_48c4_4bbe_8a69_46d415337447"/>
      <w:bookmarkEnd w:id="2"/>
      <w:r>
        <w:rPr>
          <w:rFonts w:ascii="Times New Roman;Times;serif" w:hAnsi="Times New Roman;Times;serif"/>
          <w:b/>
          <w:sz w:val="26"/>
        </w:rPr>
        <w:t>UNITED STATES</w:t>
      </w:r>
    </w:p>
    <w:p>
      <w:pPr>
        <w:pStyle w:val="TextBody"/>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SCHEDULE 14A</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Proxy Statement Pursuant to Section 14(a) of the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(Amendment No.    )</w:t>
      </w:r>
    </w:p>
    <w:p>
      <w:pPr>
        <w:pStyle w:val="TextBody"/>
        <w:bidi w:val="0"/>
        <w:spacing w:before="0" w:after="0"/>
        <w:ind w:left="0" w:right="0" w:hanging="0"/>
        <w:jc w:val="center"/>
        <w:rPr/>
      </w:pPr>
      <w:r>
        <w:rPr/>
        <w:t>​</w:t>
      </w:r>
    </w:p>
    <w:p>
      <w:pPr>
        <w:pStyle w:val="TextBody"/>
        <w:pBdr>
          <w:top w:val="single" w:sz="2" w:space="1" w:color="000000"/>
        </w:pBdr>
        <w:bidi w:val="0"/>
        <w:spacing w:before="0" w:after="0"/>
        <w:ind w:left="0" w:right="0" w:hanging="0"/>
        <w:jc w:val="center"/>
        <w:rPr/>
      </w:pPr>
      <w:r>
        <w:rPr/>
        <w:t>​</w:t>
      </w:r>
    </w:p>
    <w:tbl>
      <w:tblPr>
        <w:tblW w:w="7277" w:type="dxa"/>
        <w:jc w:val="left"/>
        <w:tblInd w:w="0" w:type="dxa"/>
        <w:tblLayout w:type="fixed"/>
        <w:tblCellMar>
          <w:top w:w="0" w:type="dxa"/>
          <w:left w:w="0" w:type="dxa"/>
          <w:bottom w:w="0" w:type="dxa"/>
          <w:right w:w="0" w:type="dxa"/>
        </w:tblCellMar>
      </w:tblPr>
      <w:tblGrid>
        <w:gridCol w:w="391"/>
        <w:gridCol w:w="6886"/>
      </w:tblGrid>
      <w:tr>
        <w:trPr/>
        <w:tc>
          <w:tcPr>
            <w:tcW w:w="391" w:type="dxa"/>
            <w:tcBorders/>
            <w:vAlign w:val="center"/>
          </w:tcPr>
          <w:p>
            <w:pPr>
              <w:pStyle w:val="TableContents"/>
              <w:bidi w:val="0"/>
              <w:spacing w:before="0" w:after="283"/>
              <w:ind w:left="0" w:right="0" w:hanging="0"/>
              <w:jc w:val="left"/>
              <w:rPr>
                <w:sz w:val="4"/>
                <w:szCs w:val="4"/>
              </w:rPr>
            </w:pPr>
            <w:r>
              <w:rPr>
                <w:sz w:val="4"/>
                <w:szCs w:val="4"/>
              </w:rPr>
            </w:r>
          </w:p>
        </w:tc>
        <w:tc>
          <w:tcPr>
            <w:tcW w:w="6886" w:type="dxa"/>
            <w:tcBorders/>
            <w:vAlign w:val="center"/>
          </w:tcPr>
          <w:p>
            <w:pPr>
              <w:pStyle w:val="TableContents"/>
              <w:bidi w:val="0"/>
              <w:spacing w:before="0" w:after="283"/>
              <w:ind w:left="0" w:right="0" w:hanging="0"/>
              <w:jc w:val="left"/>
              <w:rPr>
                <w:sz w:val="4"/>
                <w:szCs w:val="4"/>
              </w:rPr>
            </w:pPr>
            <w:r>
              <w:rPr>
                <w:sz w:val="4"/>
                <w:szCs w:val="4"/>
              </w:rPr>
            </w:r>
          </w:p>
        </w:tc>
      </w:tr>
      <w:tr>
        <w:trPr/>
        <w:tc>
          <w:tcPr>
            <w:tcW w:w="72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the Registrant  ⌧</w:t>
            </w:r>
          </w:p>
        </w:tc>
      </w:tr>
      <w:tr>
        <w:trPr/>
        <w:tc>
          <w:tcPr>
            <w:tcW w:w="7277" w:type="dxa"/>
            <w:gridSpan w:val="2"/>
            <w:tcBorders/>
            <w:vAlign w:val="center"/>
          </w:tcPr>
          <w:p>
            <w:pPr>
              <w:pStyle w:val="TableContents"/>
              <w:bidi w:val="0"/>
              <w:spacing w:before="0" w:after="0"/>
              <w:ind w:left="0" w:right="0" w:hanging="0"/>
              <w:jc w:val="left"/>
              <w:rPr/>
            </w:pPr>
            <w:r>
              <w:rPr/>
              <w:t>​</w:t>
            </w:r>
          </w:p>
        </w:tc>
      </w:tr>
      <w:tr>
        <w:trPr/>
        <w:tc>
          <w:tcPr>
            <w:tcW w:w="72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7277" w:type="dxa"/>
            <w:gridSpan w:val="2"/>
            <w:tcBorders/>
            <w:vAlign w:val="center"/>
          </w:tcPr>
          <w:p>
            <w:pPr>
              <w:pStyle w:val="TableContents"/>
              <w:bidi w:val="0"/>
              <w:spacing w:before="0" w:after="0"/>
              <w:ind w:left="0" w:right="0" w:hanging="0"/>
              <w:jc w:val="left"/>
              <w:rPr/>
            </w:pPr>
            <w:r>
              <w:rPr/>
              <w:t>​</w:t>
            </w:r>
          </w:p>
        </w:tc>
      </w:tr>
      <w:tr>
        <w:trPr/>
        <w:tc>
          <w:tcPr>
            <w:tcW w:w="727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91" w:type="dxa"/>
            <w:tcBorders/>
            <w:vAlign w:val="center"/>
          </w:tcPr>
          <w:p>
            <w:pPr>
              <w:pStyle w:val="TableContents"/>
              <w:bidi w:val="0"/>
              <w:spacing w:before="0" w:after="20"/>
              <w:ind w:left="0" w:right="0" w:hanging="0"/>
              <w:jc w:val="left"/>
              <w:rPr/>
            </w:pPr>
            <w:r>
              <w:rPr/>
              <w:t>☐</w:t>
            </w:r>
          </w:p>
        </w:tc>
        <w:tc>
          <w:tcPr>
            <w:tcW w:w="688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91" w:type="dxa"/>
            <w:tcBorders/>
            <w:vAlign w:val="center"/>
          </w:tcPr>
          <w:p>
            <w:pPr>
              <w:pStyle w:val="TableContents"/>
              <w:bidi w:val="0"/>
              <w:spacing w:before="0" w:after="20"/>
              <w:ind w:left="0" w:right="0" w:hanging="0"/>
              <w:jc w:val="left"/>
              <w:rPr/>
            </w:pPr>
            <w:r>
              <w:rPr/>
              <w:t xml:space="preserve">☐ </w:t>
            </w:r>
          </w:p>
        </w:tc>
        <w:tc>
          <w:tcPr>
            <w:tcW w:w="6886"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91" w:type="dxa"/>
            <w:tcBorders/>
            <w:vAlign w:val="center"/>
          </w:tcPr>
          <w:p>
            <w:pPr>
              <w:pStyle w:val="TableContents"/>
              <w:bidi w:val="0"/>
              <w:spacing w:before="0" w:after="20"/>
              <w:ind w:left="0" w:right="0" w:hanging="0"/>
              <w:jc w:val="left"/>
              <w:rPr/>
            </w:pPr>
            <w:r>
              <w:rPr/>
              <w:t>⌧</w:t>
            </w:r>
          </w:p>
        </w:tc>
        <w:tc>
          <w:tcPr>
            <w:tcW w:w="688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91" w:type="dxa"/>
            <w:tcBorders/>
            <w:vAlign w:val="center"/>
          </w:tcPr>
          <w:p>
            <w:pPr>
              <w:pStyle w:val="TableContents"/>
              <w:bidi w:val="0"/>
              <w:spacing w:before="0" w:after="20"/>
              <w:ind w:left="0" w:right="0" w:hanging="0"/>
              <w:jc w:val="left"/>
              <w:rPr/>
            </w:pPr>
            <w:r>
              <w:rPr/>
              <w:t>☐</w:t>
            </w:r>
          </w:p>
        </w:tc>
        <w:tc>
          <w:tcPr>
            <w:tcW w:w="688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91" w:type="dxa"/>
            <w:tcBorders/>
            <w:vAlign w:val="center"/>
          </w:tcPr>
          <w:p>
            <w:pPr>
              <w:pStyle w:val="TableContents"/>
              <w:bidi w:val="0"/>
              <w:spacing w:before="0" w:after="20"/>
              <w:ind w:left="0" w:right="0" w:hanging="0"/>
              <w:jc w:val="left"/>
              <w:rPr/>
            </w:pPr>
            <w:r>
              <w:rPr/>
              <w:t>☐</w:t>
            </w:r>
          </w:p>
        </w:tc>
        <w:tc>
          <w:tcPr>
            <w:tcW w:w="688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52"/>
        <w:gridCol w:w="2995"/>
        <w:gridCol w:w="4158"/>
      </w:tblGrid>
      <w:tr>
        <w:trPr/>
        <w:tc>
          <w:tcPr>
            <w:tcW w:w="3052" w:type="dxa"/>
            <w:tcBorders/>
            <w:vAlign w:val="center"/>
          </w:tcPr>
          <w:p>
            <w:pPr>
              <w:pStyle w:val="TableContents"/>
              <w:bidi w:val="0"/>
              <w:spacing w:before="0" w:after="0"/>
              <w:ind w:left="0" w:right="0" w:hanging="0"/>
              <w:jc w:val="left"/>
              <w:rPr/>
            </w:pPr>
            <w:r>
              <w:rPr/>
              <w:t>​</w:t>
            </w:r>
          </w:p>
        </w:tc>
        <w:tc>
          <w:tcPr>
            <w:tcW w:w="2995" w:type="dxa"/>
            <w:tcBorders/>
            <w:vAlign w:val="center"/>
          </w:tcPr>
          <w:p>
            <w:pPr>
              <w:pStyle w:val="TableContents"/>
              <w:bidi w:val="0"/>
              <w:spacing w:before="0" w:after="0"/>
              <w:ind w:left="0" w:right="0" w:hanging="0"/>
              <w:jc w:val="left"/>
              <w:rPr/>
            </w:pPr>
            <w:r>
              <w:rPr/>
              <w:t>​</w:t>
            </w:r>
          </w:p>
        </w:tc>
        <w:tc>
          <w:tcPr>
            <w:tcW w:w="4158" w:type="dxa"/>
            <w:tcBorders/>
            <w:vAlign w:val="center"/>
          </w:tcPr>
          <w:p>
            <w:pPr>
              <w:pStyle w:val="TableContents"/>
              <w:bidi w:val="0"/>
              <w:spacing w:before="0" w:after="0"/>
              <w:ind w:left="0" w:right="0" w:hanging="0"/>
              <w:jc w:val="left"/>
              <w:rPr/>
            </w:pPr>
            <w:r>
              <w:rPr/>
              <w:t>​</w:t>
            </w:r>
          </w:p>
        </w:tc>
      </w:tr>
      <w:tr>
        <w:trPr/>
        <w:tc>
          <w:tcPr>
            <w:tcW w:w="1020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6"/>
              </w:rPr>
            </w:pPr>
            <w:r>
              <w:rPr>
                <w:rFonts w:ascii="Times New Roman;Times;serif" w:hAnsi="Times New Roman;Times;serif"/>
                <w:b/>
                <w:sz w:val="26"/>
              </w:rPr>
              <w:t>Grand Canyon Education, Inc.</w:t>
            </w:r>
          </w:p>
        </w:tc>
      </w:tr>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Registrant as Specified in Its Charter)</w:t>
            </w:r>
          </w:p>
        </w:tc>
      </w:tr>
      <w:tr>
        <w:trPr/>
        <w:tc>
          <w:tcPr>
            <w:tcW w:w="10205" w:type="dxa"/>
            <w:gridSpan w:val="3"/>
            <w:tcBorders/>
            <w:vAlign w:val="center"/>
          </w:tcPr>
          <w:p>
            <w:pPr>
              <w:pStyle w:val="TableContents"/>
              <w:bidi w:val="0"/>
              <w:spacing w:before="0" w:after="0"/>
              <w:ind w:left="0" w:right="0" w:hanging="0"/>
              <w:jc w:val="center"/>
              <w:rPr/>
            </w:pPr>
            <w:r>
              <w:rPr/>
              <w:t>​</w:t>
            </w:r>
          </w:p>
        </w:tc>
      </w:tr>
      <w:tr>
        <w:trPr/>
        <w:tc>
          <w:tcPr>
            <w:tcW w:w="10205" w:type="dxa"/>
            <w:gridSpan w:val="3"/>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0205" w:type="dxa"/>
            <w:gridSpan w:val="3"/>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Person(s) Filing Proxy Statement, if Other Than the Registrant)</w:t>
            </w:r>
          </w:p>
        </w:tc>
      </w:tr>
      <w:tr>
        <w:trPr/>
        <w:tc>
          <w:tcPr>
            <w:tcW w:w="10205" w:type="dxa"/>
            <w:gridSpan w:val="3"/>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3052" w:type="dxa"/>
            <w:tcBorders/>
            <w:vAlign w:val="center"/>
          </w:tcPr>
          <w:p>
            <w:pPr>
              <w:pStyle w:val="TableContents"/>
              <w:bidi w:val="0"/>
              <w:spacing w:before="0" w:after="0"/>
              <w:ind w:left="0" w:right="0" w:hanging="0"/>
              <w:jc w:val="left"/>
              <w:rPr/>
            </w:pPr>
            <w:r>
              <w:rPr/>
              <w:t>☒</w:t>
            </w:r>
          </w:p>
        </w:tc>
        <w:tc>
          <w:tcPr>
            <w:tcW w:w="715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052" w:type="dxa"/>
            <w:tcBorders/>
            <w:vAlign w:val="center"/>
          </w:tcPr>
          <w:p>
            <w:pPr>
              <w:pStyle w:val="TableContents"/>
              <w:bidi w:val="0"/>
              <w:spacing w:before="0" w:after="0"/>
              <w:ind w:left="0" w:right="0" w:hanging="0"/>
              <w:jc w:val="left"/>
              <w:rPr/>
            </w:pPr>
            <w:r>
              <w:rPr/>
              <w:t>​</w:t>
            </w:r>
          </w:p>
        </w:tc>
        <w:tc>
          <w:tcPr>
            <w:tcW w:w="7153" w:type="dxa"/>
            <w:gridSpan w:val="2"/>
            <w:tcBorders/>
            <w:vAlign w:val="center"/>
          </w:tcPr>
          <w:p>
            <w:pPr>
              <w:pStyle w:val="TableContents"/>
              <w:bidi w:val="0"/>
              <w:spacing w:before="0" w:after="0"/>
              <w:ind w:left="0" w:right="0" w:hanging="0"/>
              <w:jc w:val="left"/>
              <w:rPr/>
            </w:pPr>
            <w:r>
              <w:rPr/>
              <w:t>​</w:t>
            </w:r>
          </w:p>
        </w:tc>
      </w:tr>
      <w:tr>
        <w:trPr/>
        <w:tc>
          <w:tcPr>
            <w:tcW w:w="3052" w:type="dxa"/>
            <w:tcBorders/>
            <w:vAlign w:val="center"/>
          </w:tcPr>
          <w:p>
            <w:pPr>
              <w:pStyle w:val="TableContents"/>
              <w:bidi w:val="0"/>
              <w:spacing w:before="0" w:after="0"/>
              <w:ind w:left="0" w:right="0" w:hanging="0"/>
              <w:jc w:val="left"/>
              <w:rPr/>
            </w:pPr>
            <w:r>
              <w:rPr/>
              <w:t>​</w:t>
            </w:r>
          </w:p>
        </w:tc>
        <w:tc>
          <w:tcPr>
            <w:tcW w:w="7153" w:type="dxa"/>
            <w:gridSpan w:val="2"/>
            <w:tcBorders/>
            <w:vAlign w:val="center"/>
          </w:tcPr>
          <w:p>
            <w:pPr>
              <w:pStyle w:val="TableContents"/>
              <w:bidi w:val="0"/>
              <w:spacing w:before="0" w:after="0"/>
              <w:ind w:left="0" w:right="0" w:hanging="0"/>
              <w:jc w:val="left"/>
              <w:rPr/>
            </w:pPr>
            <w:r>
              <w:rPr/>
              <w:t>​</w:t>
            </w:r>
          </w:p>
        </w:tc>
      </w:tr>
      <w:tr>
        <w:trPr/>
        <w:tc>
          <w:tcPr>
            <w:tcW w:w="3052" w:type="dxa"/>
            <w:tcBorders/>
            <w:vAlign w:val="center"/>
          </w:tcPr>
          <w:p>
            <w:pPr>
              <w:pStyle w:val="TableContents"/>
              <w:bidi w:val="0"/>
              <w:spacing w:before="0" w:after="0"/>
              <w:ind w:left="0" w:right="0" w:hanging="0"/>
              <w:jc w:val="left"/>
              <w:rPr/>
            </w:pPr>
            <w:r>
              <w:rPr/>
              <w:t>☐</w:t>
            </w:r>
          </w:p>
        </w:tc>
        <w:tc>
          <w:tcPr>
            <w:tcW w:w="715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w:t>
            </w:r>
          </w:p>
        </w:tc>
      </w:tr>
      <w:tr>
        <w:trPr/>
        <w:tc>
          <w:tcPr>
            <w:tcW w:w="3052" w:type="dxa"/>
            <w:tcBorders/>
            <w:vAlign w:val="center"/>
          </w:tcPr>
          <w:p>
            <w:pPr>
              <w:pStyle w:val="TableContents"/>
              <w:bidi w:val="0"/>
              <w:spacing w:before="0" w:after="0"/>
              <w:ind w:left="0" w:right="0" w:hanging="0"/>
              <w:jc w:val="left"/>
              <w:rPr/>
            </w:pPr>
            <w:r>
              <w:rPr/>
              <w:t>​</w:t>
            </w:r>
          </w:p>
        </w:tc>
        <w:tc>
          <w:tcPr>
            <w:tcW w:w="7153" w:type="dxa"/>
            <w:gridSpan w:val="2"/>
            <w:tcBorders/>
            <w:vAlign w:val="center"/>
          </w:tcPr>
          <w:p>
            <w:pPr>
              <w:pStyle w:val="TableContents"/>
              <w:bidi w:val="0"/>
              <w:spacing w:before="0" w:after="0"/>
              <w:ind w:left="0" w:right="0" w:hanging="0"/>
              <w:jc w:val="left"/>
              <w:rPr/>
            </w:pPr>
            <w:r>
              <w:rPr/>
              <w:t>​</w:t>
            </w:r>
          </w:p>
        </w:tc>
      </w:tr>
      <w:tr>
        <w:trPr/>
        <w:tc>
          <w:tcPr>
            <w:tcW w:w="3052" w:type="dxa"/>
            <w:tcBorders/>
            <w:vAlign w:val="center"/>
          </w:tcPr>
          <w:p>
            <w:pPr>
              <w:pStyle w:val="TableContents"/>
              <w:bidi w:val="0"/>
              <w:spacing w:before="0" w:after="0"/>
              <w:ind w:left="0" w:right="0" w:hanging="0"/>
              <w:jc w:val="left"/>
              <w:rPr/>
            </w:pPr>
            <w:r>
              <w:rPr/>
              <w:t xml:space="preserve">☐ </w:t>
            </w:r>
          </w:p>
        </w:tc>
        <w:tc>
          <w:tcPr>
            <w:tcW w:w="715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r>
        <w:trPr/>
        <w:tc>
          <w:tcPr>
            <w:tcW w:w="3052" w:type="dxa"/>
            <w:tcBorders/>
            <w:vAlign w:val="center"/>
          </w:tcPr>
          <w:p>
            <w:pPr>
              <w:pStyle w:val="TableContents"/>
              <w:bidi w:val="0"/>
              <w:spacing w:before="0" w:after="0"/>
              <w:ind w:left="0" w:right="0" w:hanging="0"/>
              <w:jc w:val="left"/>
              <w:rPr/>
            </w:pPr>
            <w:r>
              <w:rPr/>
              <w:t>​</w:t>
            </w:r>
          </w:p>
        </w:tc>
        <w:tc>
          <w:tcPr>
            <w:tcW w:w="7153" w:type="dxa"/>
            <w:gridSpan w:val="2"/>
            <w:tcBorders/>
            <w:vAlign w:val="center"/>
          </w:tcPr>
          <w:p>
            <w:pPr>
              <w:pStyle w:val="TableContents"/>
              <w:bidi w:val="0"/>
              <w:spacing w:before="0" w:after="0"/>
              <w:ind w:left="0" w:right="0" w:hanging="0"/>
              <w:jc w:val="left"/>
              <w:rPr/>
            </w:pPr>
            <w:r>
              <w:rPr/>
              <w:t>​</w:t>
            </w:r>
          </w:p>
        </w:tc>
      </w:tr>
    </w:tbl>
    <w:p>
      <w:pPr>
        <w:pStyle w:val="TextBody"/>
        <w:pBdr/>
        <w:bidi w:val="0"/>
        <w:spacing w:before="0" w:after="0"/>
        <w:ind w:left="0" w:right="0" w:hanging="0"/>
        <w:jc w:val="left"/>
        <w:rPr/>
      </w:pPr>
      <w:r>
        <w:rPr/>
        <w:t>​</w:t>
      </w:r>
    </w:p>
    <w:p>
      <w:pPr>
        <w:pStyle w:val="TextBody"/>
        <w:pBdr>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3" w:name="_60b67c59_790f_41d2_abbb_092fcce4a665"/>
      <w:bookmarkEnd w:id="3"/>
      <w:r>
        <w:rPr/>
        <w:drawing>
          <wp:inline distT="0" distB="0" distL="0" distR="0">
            <wp:extent cx="6163310" cy="932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63310" cy="93281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2600 W. Camelback Road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 85017</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(602) 247-4400</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20"/>
        </w:rPr>
        <w:t>April 26,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Stockholder: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You are cordially invited to attend the 2024 Annual Meeting of Stockholders (the “Annual Meeting”) of Grand Canyon Education, Inc. (the “Company” or “GCE”) to be held at the offices of GCE located at 2600 W. Camelback Road, Phoenix, Arizona 85017, commencing at 10:30 a.m., Arizona time, on Wednesday, June 12, 2024.</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notice of annual meeting and the proxy statement that follow describe the matters to come before the Annual Meeting. Each holder of record of shares of the Company’s common stock (Nasdaq GM: LOPE) at the close of business on April 18, 2024 is entitled to receive notice of and to vote at the Annual Meeting, and any adjournment or postponement of the Annual Meeting. Shares of our common stock can be voted at the Annual Meeting only if the holder is present in person or by valid proxy.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tbl>
      <w:tblPr>
        <w:tblW w:w="3301" w:type="dxa"/>
        <w:jc w:val="left"/>
        <w:tblInd w:w="0" w:type="dxa"/>
        <w:tblLayout w:type="fixed"/>
        <w:tblCellMar>
          <w:top w:w="0" w:type="dxa"/>
          <w:left w:w="0" w:type="dxa"/>
          <w:bottom w:w="0" w:type="dxa"/>
          <w:right w:w="0" w:type="dxa"/>
        </w:tblCellMar>
      </w:tblPr>
      <w:tblGrid>
        <w:gridCol w:w="330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20"/>
              </w:rPr>
              <w:t>Sincerely,</w:t>
            </w:r>
            <w:r>
              <w:rPr>
                <w:rFonts w:ascii="Times New Roman;Times;serif" w:hAnsi="Times New Roman;Times;serif"/>
                <w:sz w:val="16"/>
              </w:rPr>
              <w:t> </w:t>
            </w:r>
          </w:p>
        </w:tc>
      </w:tr>
      <w:tr>
        <w:trPr/>
        <w:tc>
          <w:tcPr>
            <w:tcW w:w="3301" w:type="dxa"/>
            <w:tcBorders/>
            <w:vAlign w:val="center"/>
          </w:tcPr>
          <w:p>
            <w:pPr>
              <w:pStyle w:val="TableContents"/>
              <w:bidi w:val="0"/>
              <w:spacing w:before="0" w:after="240"/>
              <w:ind w:left="0" w:right="0" w:hanging="0"/>
              <w:jc w:val="left"/>
              <w:rPr/>
            </w:pPr>
            <w:r>
              <w:rPr/>
              <w:t>​</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Chairman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This proxy statement is dated April 26, 2024 and is first being sent or made available to stockholders on or about April 30, 2024.</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Notice of Annual Meeting of Stockholders</w:t>
      </w:r>
      <w:r>
        <w:rPr>
          <w:rFonts w:ascii="Times New Roman;Times;serif" w:hAnsi="Times New Roman;Times;serif"/>
          <w:sz w:val="20"/>
        </w:rPr>
        <w:t xml:space="preserve"> </w:t>
        <w:br/>
      </w:r>
      <w:r>
        <w:rPr>
          <w:rFonts w:ascii="Times New Roman;Times;serif" w:hAnsi="Times New Roman;Times;serif"/>
          <w:b/>
          <w:sz w:val="20"/>
        </w:rPr>
        <w:t>to be held on June 12, 2024</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444"/>
        <w:gridCol w:w="326"/>
        <w:gridCol w:w="8435"/>
      </w:tblGrid>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and Time:</w:t>
            </w:r>
          </w:p>
        </w:tc>
        <w:tc>
          <w:tcPr>
            <w:tcW w:w="326" w:type="dxa"/>
            <w:tcBorders/>
            <w:vAlign w:val="center"/>
          </w:tcPr>
          <w:p>
            <w:pPr>
              <w:pStyle w:val="TableContents"/>
              <w:bidi w:val="0"/>
              <w:spacing w:before="0" w:after="0"/>
              <w:ind w:left="0" w:right="0" w:hanging="0"/>
              <w:jc w:val="left"/>
              <w:rPr/>
            </w:pPr>
            <w:r>
              <w:rPr/>
              <w:t>    </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Wednesday, June 12, 2024, at 10:30 a.m., Arizona time</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Place:</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Grand Canyon Education, Inc. at 2600 W. Camelback Road, Phoenix, Arizona 85017.</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Items of Business:</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the Annual Meeting, holders of our common stock will be asked to consider and vote upon the following proposals, all of which are discussed in greater detail in the accompanying proxy statement:</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To elect a Board of Directors of six directors, each to serve until the 2025 annual meeting of stockholders or until his or her successor has been duly elected and qualified or until his or her earlier resignation or removal;</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To approve, on an advisory basis, the compensation of our named executive officers as disclosed in the enclosed Proxy Statement;</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To ratify the appointment of KPMG LLP as our independent registered public accounting firm for the fiscal year ending December 31, 2024; and</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To transact such other business as may properly be brought before the meeting or any adjournments or postponements thereof.</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pBdr/>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Record Date:</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Only stockholders of record at the close of business on April 18, 2024, the record date for the Annual Meeting, will be entitled to notice of and to vote at the Annual Meeting and any adjournments or postponements thereof.</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Delivery of Proxy Materials:</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on April 30, 2024, we began mailing a Notice of Internet Availability of Proxy Materials to our stockholders rather than a full paper set of the proxy materials. The Notice of Internet Availability of Proxy Materials contains instructions on how to access our proxy materials over the Internet, as well as instructions on how stockholders may obtain a paper copy of our proxy materials.</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Internet Availability of Proxy Materials:</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Important Notice Regarding the Availability of Proxy Materials for the Annual Meeting of Stockholders to be Held on June 12, 2024</w:t>
            </w:r>
            <w:r>
              <w:rPr>
                <w:rFonts w:ascii="Times New Roman;Times;serif" w:hAnsi="Times New Roman;Times;serif"/>
                <w:sz w:val="20"/>
              </w:rPr>
              <w:t xml:space="preserve">. Our Proxy Statement is attached. Financial and other information concerning Grand Canyon Education, Inc. is contained in our Annual Report to Stockholders for the fiscal year ended December 31, 2023. A complete set of proxy materials relating to our Annual Meeting is available on the Internet. These materials, consisting of the Notice of Annual Meeting, Proxy Statement, Proxy Card and Annual Report to Stockholders, are available and may be viewed at </w:t>
            </w:r>
            <w:r>
              <w:rPr>
                <w:rFonts w:ascii="Times New Roman;Times;serif" w:hAnsi="Times New Roman;Times;serif"/>
                <w:i/>
                <w:sz w:val="20"/>
              </w:rPr>
              <w:t>www.edocumentview.com/LOPE</w:t>
            </w:r>
            <w:r>
              <w:rPr>
                <w:rFonts w:ascii="Times New Roman;Times;serif" w:hAnsi="Times New Roman;Times;serif"/>
                <w:sz w:val="20"/>
              </w:rPr>
              <w:t>.</w:t>
            </w:r>
          </w:p>
        </w:tc>
      </w:tr>
      <w:tr>
        <w:trPr/>
        <w:tc>
          <w:tcPr>
            <w:tcW w:w="14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pPr>
            <w:r>
              <w:rPr/>
              <w:t>​</w:t>
            </w:r>
          </w:p>
        </w:tc>
      </w:tr>
      <w:tr>
        <w:trPr/>
        <w:tc>
          <w:tcPr>
            <w:tcW w:w="144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Voting:</w:t>
            </w:r>
          </w:p>
        </w:tc>
        <w:tc>
          <w:tcPr>
            <w:tcW w:w="326" w:type="dxa"/>
            <w:tcBorders/>
            <w:vAlign w:val="center"/>
          </w:tcPr>
          <w:p>
            <w:pPr>
              <w:pStyle w:val="TableContents"/>
              <w:bidi w:val="0"/>
              <w:spacing w:before="0" w:after="0"/>
              <w:ind w:left="0" w:right="0" w:hanging="0"/>
              <w:jc w:val="left"/>
              <w:rPr/>
            </w:pPr>
            <w:r>
              <w:rPr/>
              <w:t>​</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make it easier for you to vote, Internet and telephone voting are available. The instructions on the Notice of Internet Availability of Proxy Materials or, if you received a paper copy of the proxy materials, the proxy card describe how to use these convenient services.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92" w:type="dxa"/>
        <w:jc w:val="left"/>
        <w:tblInd w:w="0" w:type="dxa"/>
        <w:tblLayout w:type="fixed"/>
        <w:tblCellMar>
          <w:top w:w="0" w:type="dxa"/>
          <w:left w:w="0" w:type="dxa"/>
          <w:bottom w:w="0" w:type="dxa"/>
          <w:right w:w="0" w:type="dxa"/>
        </w:tblCellMar>
      </w:tblPr>
      <w:tblGrid>
        <w:gridCol w:w="1531"/>
        <w:gridCol w:w="3961"/>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p>
        </w:tc>
        <w:tc>
          <w:tcPr>
            <w:tcW w:w="3961" w:type="dxa"/>
            <w:tcBorders/>
            <w:vAlign w:val="center"/>
          </w:tcPr>
          <w:p>
            <w:pPr>
              <w:pStyle w:val="TableContents"/>
              <w:bidi w:val="0"/>
              <w:spacing w:before="0" w:after="283"/>
              <w:ind w:left="0" w:right="0" w:hanging="0"/>
              <w:jc w:val="left"/>
              <w:rPr>
                <w:sz w:val="4"/>
                <w:szCs w:val="4"/>
              </w:rPr>
            </w:pPr>
            <w:r>
              <w:rPr>
                <w:sz w:val="4"/>
                <w:szCs w:val="4"/>
              </w:rPr>
            </w:r>
          </w:p>
        </w:tc>
      </w:tr>
      <w:tr>
        <w:trPr/>
        <w:tc>
          <w:tcPr>
            <w:tcW w:w="1531" w:type="dxa"/>
            <w:tcBorders/>
            <w:vAlign w:val="center"/>
          </w:tcPr>
          <w:p>
            <w:pPr>
              <w:pStyle w:val="TableContents"/>
              <w:bidi w:val="0"/>
              <w:spacing w:before="0" w:after="283"/>
              <w:ind w:left="0" w:right="0" w:hanging="0"/>
              <w:jc w:val="left"/>
              <w:rPr>
                <w:sz w:val="4"/>
                <w:szCs w:val="4"/>
              </w:rPr>
            </w:pPr>
            <w:r>
              <w:rPr>
                <w:sz w:val="4"/>
                <w:szCs w:val="4"/>
              </w:rPr>
            </w:r>
          </w:p>
        </w:tc>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531" w:type="dxa"/>
            <w:tcBorders/>
            <w:vAlign w:val="center"/>
          </w:tcPr>
          <w:p>
            <w:pPr>
              <w:pStyle w:val="TableContents"/>
              <w:bidi w:val="0"/>
              <w:spacing w:before="0" w:after="0"/>
              <w:ind w:left="0" w:right="0" w:hanging="0"/>
              <w:jc w:val="left"/>
              <w:rPr/>
            </w:pPr>
            <w:r>
              <w:rPr/>
              <w:t>​</w:t>
            </w:r>
          </w:p>
        </w:tc>
        <w:tc>
          <w:tcPr>
            <w:tcW w:w="396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tc>
        <w:tc>
          <w:tcPr>
            <w:tcW w:w="3961" w:type="dxa"/>
            <w:tcBorders>
              <w:bottom w:val="single" w:sz="2" w:space="0" w:color="000000"/>
            </w:tcBorders>
            <w:tcMar>
              <w:bottom w:w="28" w:type="dxa"/>
            </w:tcMar>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 BRIAN E. MUELLER </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26, 2024</w:t>
            </w:r>
          </w:p>
        </w:tc>
        <w:tc>
          <w:tcPr>
            <w:tcW w:w="396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r>
      <w:tr>
        <w:trPr/>
        <w:tc>
          <w:tcPr>
            <w:tcW w:w="1531" w:type="dxa"/>
            <w:tcBorders/>
            <w:vAlign w:val="center"/>
          </w:tcPr>
          <w:p>
            <w:pPr>
              <w:pStyle w:val="TableContents"/>
              <w:bidi w:val="0"/>
              <w:spacing w:before="0" w:after="283"/>
              <w:ind w:left="0" w:right="0" w:hanging="0"/>
              <w:jc w:val="left"/>
              <w:rPr>
                <w:sz w:val="4"/>
                <w:szCs w:val="4"/>
              </w:rPr>
            </w:pPr>
            <w:r>
              <w:rPr>
                <w:sz w:val="4"/>
                <w:szCs w:val="4"/>
              </w:rPr>
            </w:r>
          </w:p>
        </w:tc>
        <w:tc>
          <w:tcPr>
            <w:tcW w:w="396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Chairman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4" w:name="TOC"/>
      <w:bookmarkEnd w:id="4"/>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5" w:name="_bcecc343_0fc0_4281_8287_6d098b148f42"/>
      <w:bookmarkEnd w:id="5"/>
      <w:r>
        <w:rPr/>
        <w:t>​</w:t>
      </w:r>
    </w:p>
    <w:tbl>
      <w:tblPr>
        <w:tblW w:w="9017" w:type="dxa"/>
        <w:jc w:val="left"/>
        <w:tblInd w:w="0" w:type="dxa"/>
        <w:tblLayout w:type="fixed"/>
        <w:tblCellMar>
          <w:top w:w="0" w:type="dxa"/>
          <w:left w:w="0" w:type="dxa"/>
          <w:bottom w:w="0" w:type="dxa"/>
          <w:right w:w="0" w:type="dxa"/>
        </w:tblCellMar>
      </w:tblPr>
      <w:tblGrid>
        <w:gridCol w:w="8656"/>
        <w:gridCol w:w="361"/>
      </w:tblGrid>
      <w:tr>
        <w:trPr/>
        <w:tc>
          <w:tcPr>
            <w:tcW w:w="8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496560" cy="175260"/>
                      <wp:effectExtent l="0" t="0" r="0" b="0"/>
                      <wp:wrapNone/>
                      <wp:docPr id="2" name="Frame1"/>
                      <a:graphic xmlns:a="http://schemas.openxmlformats.org/drawingml/2006/main">
                        <a:graphicData uri="http://schemas.microsoft.com/office/word/2010/wordprocessingShape">
                          <wps:wsp>
                            <wps:cNvSpPr txBox="1"/>
                            <wps:spPr>
                              <a:xfrm>
                                <a:off x="0" y="0"/>
                                <a:ext cx="549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29235" cy="175260"/>
                      <wp:effectExtent l="0" t="0" r="0" b="0"/>
                      <wp:wrapNone/>
                      <wp:docPr id="3" name="Frame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8656" w:type="dxa"/>
            <w:tcBorders/>
            <w:vAlign w:val="center"/>
          </w:tcPr>
          <w:p>
            <w:pPr>
              <w:pStyle w:val="TableContents"/>
              <w:bidi w:val="0"/>
              <w:spacing w:before="0" w:after="0"/>
              <w:ind w:left="0" w:right="0" w:hanging="0"/>
              <w:jc w:val="left"/>
              <w:rPr/>
            </w:pPr>
            <w:hyperlink w:anchor="GENERALINFORMATION_318309">
              <w:r>
                <w:rPr>
                  <w:rStyle w:val="InternetLink"/>
                  <w:rFonts w:ascii="Times New Roman;Times;serif" w:hAnsi="Times New Roman;Times;serif"/>
                  <w:b w:val="false"/>
                  <w:i w:val="false"/>
                  <w:caps w:val="false"/>
                  <w:smallCaps w:val="false"/>
                  <w:sz w:val="20"/>
                </w:rPr>
                <w:t>GENERAL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NoticeofInternetAvailability_475776">
              <w:r>
                <w:rPr>
                  <w:rStyle w:val="InternetLink"/>
                  <w:rFonts w:ascii="Times New Roman;Times;serif" w:hAnsi="Times New Roman;Times;serif"/>
                  <w:b w:val="false"/>
                  <w:i w:val="false"/>
                  <w:caps w:val="false"/>
                  <w:smallCaps w:val="false"/>
                  <w:sz w:val="20"/>
                </w:rPr>
                <w:t>Notice of Internet Availability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656" w:type="dxa"/>
            <w:tcBorders/>
            <w:vAlign w:val="center"/>
          </w:tcPr>
          <w:p>
            <w:pPr>
              <w:pStyle w:val="TableContents"/>
              <w:bidi w:val="0"/>
              <w:spacing w:before="0" w:after="0"/>
              <w:ind w:left="0" w:right="0" w:hanging="0"/>
              <w:jc w:val="left"/>
              <w:rPr/>
            </w:pPr>
            <w:hyperlink w:anchor="RecordDateandQuorum_527272">
              <w:r>
                <w:rPr>
                  <w:rStyle w:val="InternetLink"/>
                  <w:rFonts w:ascii="Times New Roman;Times;serif" w:hAnsi="Times New Roman;Times;serif"/>
                  <w:b w:val="false"/>
                  <w:i w:val="false"/>
                  <w:caps w:val="false"/>
                  <w:smallCaps w:val="false"/>
                  <w:sz w:val="20"/>
                </w:rPr>
                <w:t>Record Date and Quorum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656" w:type="dxa"/>
            <w:tcBorders/>
            <w:vAlign w:val="center"/>
          </w:tcPr>
          <w:p>
            <w:pPr>
              <w:pStyle w:val="TableContents"/>
              <w:bidi w:val="0"/>
              <w:spacing w:before="0" w:after="0"/>
              <w:ind w:left="0" w:right="0" w:hanging="0"/>
              <w:jc w:val="left"/>
              <w:rPr/>
            </w:pPr>
            <w:hyperlink w:anchor="SubmissionofProxiesRevocation_394726">
              <w:r>
                <w:rPr>
                  <w:rStyle w:val="InternetLink"/>
                  <w:rFonts w:ascii="Times New Roman;Times;serif" w:hAnsi="Times New Roman;Times;serif"/>
                  <w:b w:val="false"/>
                  <w:i w:val="false"/>
                  <w:caps w:val="false"/>
                  <w:smallCaps w:val="false"/>
                  <w:sz w:val="20"/>
                </w:rPr>
                <w:t>Submission of Proxies; Revocation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656" w:type="dxa"/>
            <w:tcBorders/>
            <w:vAlign w:val="center"/>
          </w:tcPr>
          <w:p>
            <w:pPr>
              <w:pStyle w:val="TableContents"/>
              <w:bidi w:val="0"/>
              <w:spacing w:before="0" w:after="0"/>
              <w:ind w:left="0" w:right="0" w:hanging="0"/>
              <w:jc w:val="left"/>
              <w:rPr/>
            </w:pPr>
            <w:hyperlink w:anchor="DeadlinesforStockholderProposals_758155">
              <w:r>
                <w:rPr>
                  <w:rStyle w:val="InternetLink"/>
                  <w:rFonts w:ascii="Times New Roman;Times;serif" w:hAnsi="Times New Roman;Times;serif"/>
                  <w:b w:val="false"/>
                  <w:i w:val="false"/>
                  <w:caps w:val="false"/>
                  <w:smallCaps w:val="false"/>
                  <w:sz w:val="20"/>
                </w:rPr>
                <w:t>Deadlines for Stockholder Proposals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656" w:type="dxa"/>
            <w:tcBorders/>
            <w:vAlign w:val="center"/>
          </w:tcPr>
          <w:p>
            <w:pPr>
              <w:pStyle w:val="TableContents"/>
              <w:bidi w:val="0"/>
              <w:spacing w:before="0" w:after="0"/>
              <w:ind w:left="0" w:right="0" w:hanging="0"/>
              <w:jc w:val="left"/>
              <w:rPr/>
            </w:pPr>
            <w:hyperlink w:anchor="Quorum_108022">
              <w:r>
                <w:rPr>
                  <w:rStyle w:val="InternetLink"/>
                  <w:rFonts w:ascii="Times New Roman;Times;serif" w:hAnsi="Times New Roman;Times;serif"/>
                  <w:b w:val="false"/>
                  <w:i w:val="false"/>
                  <w:caps w:val="false"/>
                  <w:smallCaps w:val="false"/>
                  <w:sz w:val="20"/>
                </w:rPr>
                <w:t>Quorum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656" w:type="dxa"/>
            <w:tcBorders/>
            <w:vAlign w:val="center"/>
          </w:tcPr>
          <w:p>
            <w:pPr>
              <w:pStyle w:val="TableContents"/>
              <w:bidi w:val="0"/>
              <w:spacing w:before="0" w:after="0"/>
              <w:ind w:left="0" w:right="0" w:hanging="0"/>
              <w:jc w:val="left"/>
              <w:rPr/>
            </w:pPr>
            <w:hyperlink w:anchor="VoteRequired_679041">
              <w:r>
                <w:rPr>
                  <w:rStyle w:val="InternetLink"/>
                  <w:rFonts w:ascii="Times New Roman;Times;serif" w:hAnsi="Times New Roman;Times;serif"/>
                  <w:b w:val="false"/>
                  <w:i w:val="false"/>
                  <w:caps w:val="false"/>
                  <w:smallCaps w:val="false"/>
                  <w:sz w:val="20"/>
                </w:rPr>
                <w:t>Vote Required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656" w:type="dxa"/>
            <w:tcBorders/>
            <w:vAlign w:val="center"/>
          </w:tcPr>
          <w:p>
            <w:pPr>
              <w:pStyle w:val="TableContents"/>
              <w:bidi w:val="0"/>
              <w:spacing w:before="0" w:after="0"/>
              <w:ind w:left="0" w:right="0" w:hanging="0"/>
              <w:jc w:val="left"/>
              <w:rPr/>
            </w:pPr>
            <w:hyperlink w:anchor="AdjournmentorPostponementofMeeting_42992">
              <w:r>
                <w:rPr>
                  <w:rStyle w:val="InternetLink"/>
                  <w:rFonts w:ascii="Times New Roman;Times;serif" w:hAnsi="Times New Roman;Times;serif"/>
                  <w:b w:val="false"/>
                  <w:i w:val="false"/>
                  <w:caps w:val="false"/>
                  <w:smallCaps w:val="false"/>
                  <w:sz w:val="20"/>
                </w:rPr>
                <w:t>Adjournment or Postponement of Meeting</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656" w:type="dxa"/>
            <w:tcBorders/>
            <w:vAlign w:val="center"/>
          </w:tcPr>
          <w:p>
            <w:pPr>
              <w:pStyle w:val="TableContents"/>
              <w:bidi w:val="0"/>
              <w:spacing w:before="0" w:after="0"/>
              <w:ind w:left="0" w:right="0" w:hanging="0"/>
              <w:jc w:val="left"/>
              <w:rPr/>
            </w:pPr>
            <w:hyperlink w:anchor="ExpensesofSolicitingProxies_791359">
              <w:r>
                <w:rPr>
                  <w:rStyle w:val="InternetLink"/>
                  <w:rFonts w:ascii="Times New Roman;Times;serif" w:hAnsi="Times New Roman;Times;serif"/>
                  <w:b w:val="false"/>
                  <w:i w:val="false"/>
                  <w:caps w:val="false"/>
                  <w:smallCaps w:val="false"/>
                  <w:sz w:val="20"/>
                </w:rPr>
                <w:t>Expenses of Soliciting Proxies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CORPORATEGOVERNANCEANDBOARDMATTERS_15037">
              <w:r>
                <w:rPr>
                  <w:rStyle w:val="InternetLink"/>
                  <w:rFonts w:ascii="Times New Roman;Times;serif" w:hAnsi="Times New Roman;Times;serif"/>
                  <w:b w:val="false"/>
                  <w:i w:val="false"/>
                  <w:caps w:val="false"/>
                  <w:smallCaps w:val="false"/>
                  <w:sz w:val="20"/>
                </w:rPr>
                <w:t>CORPORATE GOVERNANCE AND BOARD MATTERS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CorporateGovernancePhilosophy_919937">
              <w:r>
                <w:rPr>
                  <w:rStyle w:val="InternetLink"/>
                  <w:rFonts w:ascii="Times New Roman;Times;serif" w:hAnsi="Times New Roman;Times;serif"/>
                  <w:b w:val="false"/>
                  <w:i w:val="false"/>
                  <w:caps w:val="false"/>
                  <w:smallCaps w:val="false"/>
                  <w:sz w:val="20"/>
                </w:rPr>
                <w:t>Corporate Governance Philosophy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656" w:type="dxa"/>
            <w:tcBorders/>
            <w:vAlign w:val="center"/>
          </w:tcPr>
          <w:p>
            <w:pPr>
              <w:pStyle w:val="TableContents"/>
              <w:bidi w:val="0"/>
              <w:spacing w:before="0" w:after="0"/>
              <w:ind w:left="0" w:right="0" w:hanging="0"/>
              <w:jc w:val="left"/>
              <w:rPr/>
            </w:pPr>
            <w:hyperlink w:anchor="ChangestotheBoardofDirectorsDuring">
              <w:r>
                <w:rPr>
                  <w:rStyle w:val="InternetLink"/>
                  <w:rFonts w:ascii="Times New Roman;Times;serif" w:hAnsi="Times New Roman;Times;serif"/>
                  <w:b w:val="false"/>
                  <w:i w:val="false"/>
                  <w:caps w:val="false"/>
                  <w:smallCaps w:val="false"/>
                  <w:sz w:val="20"/>
                </w:rPr>
                <w:t>Changes to the Board of Directors During 2023 and 2024</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656" w:type="dxa"/>
            <w:tcBorders/>
            <w:vAlign w:val="center"/>
          </w:tcPr>
          <w:p>
            <w:pPr>
              <w:pStyle w:val="TableContents"/>
              <w:bidi w:val="0"/>
              <w:spacing w:before="0" w:after="0"/>
              <w:ind w:left="0" w:right="0" w:hanging="0"/>
              <w:jc w:val="left"/>
              <w:rPr/>
            </w:pPr>
            <w:hyperlink w:anchor="BoardofDirectorsMeetingsandAttendance_64">
              <w:r>
                <w:rPr>
                  <w:rStyle w:val="InternetLink"/>
                  <w:rFonts w:ascii="Times New Roman;Times;serif" w:hAnsi="Times New Roman;Times;serif"/>
                  <w:b w:val="false"/>
                  <w:i w:val="false"/>
                  <w:caps w:val="false"/>
                  <w:smallCaps w:val="false"/>
                  <w:sz w:val="20"/>
                </w:rPr>
                <w:t>Board of Directors Meetings and Attendance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656" w:type="dxa"/>
            <w:tcBorders/>
            <w:vAlign w:val="center"/>
          </w:tcPr>
          <w:p>
            <w:pPr>
              <w:pStyle w:val="TableContents"/>
              <w:bidi w:val="0"/>
              <w:spacing w:before="0" w:after="0"/>
              <w:ind w:left="0" w:right="0" w:hanging="0"/>
              <w:jc w:val="left"/>
              <w:rPr/>
            </w:pPr>
            <w:hyperlink w:anchor="DirectorIndependence_194731">
              <w:r>
                <w:rPr>
                  <w:rStyle w:val="InternetLink"/>
                  <w:rFonts w:ascii="Times New Roman;Times;serif" w:hAnsi="Times New Roman;Times;serif"/>
                  <w:b w:val="false"/>
                  <w:i w:val="false"/>
                  <w:caps w:val="false"/>
                  <w:smallCaps w:val="false"/>
                  <w:sz w:val="20"/>
                </w:rPr>
                <w:t>Director Independence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656" w:type="dxa"/>
            <w:tcBorders/>
            <w:vAlign w:val="center"/>
          </w:tcPr>
          <w:p>
            <w:pPr>
              <w:pStyle w:val="TableContents"/>
              <w:bidi w:val="0"/>
              <w:spacing w:before="0" w:after="0"/>
              <w:ind w:left="0" w:right="0" w:hanging="0"/>
              <w:jc w:val="left"/>
              <w:rPr/>
            </w:pPr>
            <w:hyperlink w:anchor="BoardLeadershipStructure_134430">
              <w:r>
                <w:rPr>
                  <w:rStyle w:val="InternetLink"/>
                  <w:rFonts w:ascii="Times New Roman;Times;serif" w:hAnsi="Times New Roman;Times;serif"/>
                  <w:b w:val="false"/>
                  <w:i w:val="false"/>
                  <w:caps w:val="false"/>
                  <w:smallCaps w:val="false"/>
                  <w:sz w:val="20"/>
                </w:rPr>
                <w:t>Board Leadership Structure</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656" w:type="dxa"/>
            <w:tcBorders/>
            <w:vAlign w:val="center"/>
          </w:tcPr>
          <w:p>
            <w:pPr>
              <w:pStyle w:val="TableContents"/>
              <w:bidi w:val="0"/>
              <w:spacing w:before="0" w:after="0"/>
              <w:ind w:left="0" w:right="0" w:hanging="0"/>
              <w:jc w:val="left"/>
              <w:rPr/>
            </w:pPr>
            <w:hyperlink w:anchor="CommitteesofOurBoardofDirectors_11162">
              <w:r>
                <w:rPr>
                  <w:rStyle w:val="InternetLink"/>
                  <w:rFonts w:ascii="Times New Roman;Times;serif" w:hAnsi="Times New Roman;Times;serif"/>
                  <w:b w:val="false"/>
                  <w:i w:val="false"/>
                  <w:caps w:val="false"/>
                  <w:smallCaps w:val="false"/>
                  <w:sz w:val="20"/>
                </w:rPr>
                <w:t>Committees of Our Board of Directors During 2023</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656" w:type="dxa"/>
            <w:tcBorders/>
            <w:vAlign w:val="center"/>
          </w:tcPr>
          <w:p>
            <w:pPr>
              <w:pStyle w:val="TableContents"/>
              <w:bidi w:val="0"/>
              <w:spacing w:before="0" w:after="0"/>
              <w:ind w:left="0" w:right="0" w:hanging="0"/>
              <w:jc w:val="left"/>
              <w:rPr/>
            </w:pPr>
            <w:hyperlink w:anchor="InformationAbouttheBoardofDirectors">
              <w:r>
                <w:rPr>
                  <w:rStyle w:val="InternetLink"/>
                  <w:rFonts w:ascii="Times New Roman;Times;serif" w:hAnsi="Times New Roman;Times;serif"/>
                  <w:b w:val="false"/>
                  <w:i w:val="false"/>
                  <w:caps w:val="false"/>
                  <w:smallCaps w:val="false"/>
                  <w:sz w:val="20"/>
                </w:rPr>
                <w:t>Information About the Board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656" w:type="dxa"/>
            <w:tcBorders/>
            <w:vAlign w:val="center"/>
          </w:tcPr>
          <w:p>
            <w:pPr>
              <w:pStyle w:val="TableContents"/>
              <w:bidi w:val="0"/>
              <w:spacing w:before="0" w:after="0"/>
              <w:ind w:left="0" w:right="0" w:hanging="0"/>
              <w:jc w:val="left"/>
              <w:rPr/>
            </w:pPr>
            <w:hyperlink w:anchor="CodeofConduct_324280">
              <w:r>
                <w:rPr>
                  <w:rStyle w:val="InternetLink"/>
                  <w:rFonts w:ascii="Times New Roman;Times;serif" w:hAnsi="Times New Roman;Times;serif"/>
                  <w:b w:val="false"/>
                  <w:i w:val="false"/>
                  <w:caps w:val="false"/>
                  <w:smallCaps w:val="false"/>
                  <w:sz w:val="20"/>
                </w:rPr>
                <w:t>Code of Conduct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656" w:type="dxa"/>
            <w:tcBorders/>
            <w:vAlign w:val="center"/>
          </w:tcPr>
          <w:p>
            <w:pPr>
              <w:pStyle w:val="TableContents"/>
              <w:bidi w:val="0"/>
              <w:spacing w:before="0" w:after="0"/>
              <w:ind w:left="0" w:right="0" w:hanging="0"/>
              <w:jc w:val="left"/>
              <w:rPr/>
            </w:pPr>
            <w:hyperlink w:anchor="RiskOversight_316826">
              <w:r>
                <w:rPr>
                  <w:rStyle w:val="InternetLink"/>
                  <w:rFonts w:ascii="Times New Roman;Times;serif" w:hAnsi="Times New Roman;Times;serif"/>
                  <w:b w:val="false"/>
                  <w:i w:val="false"/>
                  <w:caps w:val="false"/>
                  <w:smallCaps w:val="false"/>
                  <w:sz w:val="20"/>
                </w:rPr>
                <w:t>Risk Oversight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656" w:type="dxa"/>
            <w:tcBorders/>
            <w:vAlign w:val="center"/>
          </w:tcPr>
          <w:p>
            <w:pPr>
              <w:pStyle w:val="TableContents"/>
              <w:bidi w:val="0"/>
              <w:spacing w:before="0" w:after="0"/>
              <w:ind w:left="0" w:right="0" w:hanging="0"/>
              <w:jc w:val="left"/>
              <w:rPr/>
            </w:pPr>
            <w:hyperlink w:anchor="DirectorNominationProcess_851198">
              <w:r>
                <w:rPr>
                  <w:rStyle w:val="InternetLink"/>
                  <w:rFonts w:ascii="Times New Roman;Times;serif" w:hAnsi="Times New Roman;Times;serif"/>
                  <w:b w:val="false"/>
                  <w:i w:val="false"/>
                  <w:caps w:val="false"/>
                  <w:smallCaps w:val="false"/>
                  <w:sz w:val="20"/>
                </w:rPr>
                <w:t>Director Nomination Process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8656" w:type="dxa"/>
            <w:tcBorders/>
            <w:vAlign w:val="center"/>
          </w:tcPr>
          <w:p>
            <w:pPr>
              <w:pStyle w:val="TableContents"/>
              <w:bidi w:val="0"/>
              <w:spacing w:before="0" w:after="0"/>
              <w:ind w:left="0" w:right="0" w:hanging="0"/>
              <w:jc w:val="left"/>
              <w:rPr/>
            </w:pPr>
            <w:hyperlink w:anchor="AnnualElectionsandMajorityVoting_526265">
              <w:r>
                <w:rPr>
                  <w:rStyle w:val="InternetLink"/>
                  <w:rFonts w:ascii="Times New Roman;Times;serif" w:hAnsi="Times New Roman;Times;serif"/>
                  <w:b w:val="false"/>
                  <w:i w:val="false"/>
                  <w:caps w:val="false"/>
                  <w:smallCaps w:val="false"/>
                  <w:sz w:val="20"/>
                </w:rPr>
                <w:t>Annual Elections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656" w:type="dxa"/>
            <w:tcBorders/>
            <w:vAlign w:val="center"/>
          </w:tcPr>
          <w:p>
            <w:pPr>
              <w:pStyle w:val="TableContents"/>
              <w:bidi w:val="0"/>
              <w:spacing w:before="0" w:after="0"/>
              <w:ind w:left="0" w:right="0" w:hanging="0"/>
              <w:jc w:val="left"/>
              <w:rPr/>
            </w:pPr>
            <w:hyperlink w:anchor="PolicyonMajorityVoting_412273">
              <w:r>
                <w:rPr>
                  <w:rStyle w:val="InternetLink"/>
                  <w:rFonts w:ascii="Times New Roman;Times;serif" w:hAnsi="Times New Roman;Times;serif"/>
                  <w:b w:val="false"/>
                  <w:i w:val="false"/>
                  <w:caps w:val="false"/>
                  <w:smallCaps w:val="false"/>
                  <w:sz w:val="20"/>
                </w:rPr>
                <w:t>Policy on Majority Voting</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656" w:type="dxa"/>
            <w:tcBorders/>
            <w:vAlign w:val="center"/>
          </w:tcPr>
          <w:p>
            <w:pPr>
              <w:pStyle w:val="TableContents"/>
              <w:bidi w:val="0"/>
              <w:spacing w:before="0" w:after="0"/>
              <w:ind w:left="0" w:right="0" w:hanging="0"/>
              <w:jc w:val="left"/>
              <w:rPr/>
            </w:pPr>
            <w:hyperlink w:anchor="CompensationCommitteeInterlocksandInside">
              <w:r>
                <w:rPr>
                  <w:rStyle w:val="InternetLink"/>
                  <w:rFonts w:ascii="Times New Roman;Times;serif" w:hAnsi="Times New Roman;Times;serif"/>
                  <w:b w:val="false"/>
                  <w:i w:val="false"/>
                  <w:caps w:val="false"/>
                  <w:smallCaps w:val="false"/>
                  <w:sz w:val="20"/>
                </w:rPr>
                <w:t>Compensation Committee Interlocks and Insider Participation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656" w:type="dxa"/>
            <w:tcBorders/>
            <w:vAlign w:val="center"/>
          </w:tcPr>
          <w:p>
            <w:pPr>
              <w:pStyle w:val="TableContents"/>
              <w:bidi w:val="0"/>
              <w:spacing w:before="0" w:after="0"/>
              <w:ind w:left="0" w:right="0" w:hanging="0"/>
              <w:jc w:val="left"/>
              <w:rPr/>
            </w:pPr>
            <w:hyperlink w:anchor="StockholderCommunicationswiththeBoardofD">
              <w:r>
                <w:rPr>
                  <w:rStyle w:val="InternetLink"/>
                  <w:rFonts w:ascii="Times New Roman;Times;serif" w:hAnsi="Times New Roman;Times;serif"/>
                  <w:b w:val="false"/>
                  <w:i w:val="false"/>
                  <w:caps w:val="false"/>
                  <w:smallCaps w:val="false"/>
                  <w:sz w:val="20"/>
                </w:rPr>
                <w:t>Stockholder Communications with the Board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656" w:type="dxa"/>
            <w:tcBorders/>
            <w:vAlign w:val="center"/>
          </w:tcPr>
          <w:p>
            <w:pPr>
              <w:pStyle w:val="TableContents"/>
              <w:bidi w:val="0"/>
              <w:spacing w:before="0" w:after="0"/>
              <w:ind w:left="0" w:right="0" w:hanging="0"/>
              <w:jc w:val="left"/>
              <w:rPr/>
            </w:pPr>
            <w:hyperlink w:anchor="StockOwnershipPolicy_662559">
              <w:r>
                <w:rPr>
                  <w:rStyle w:val="InternetLink"/>
                  <w:rFonts w:ascii="Times New Roman;Times;serif" w:hAnsi="Times New Roman;Times;serif"/>
                  <w:b w:val="false"/>
                  <w:i w:val="false"/>
                  <w:caps w:val="false"/>
                  <w:smallCaps w:val="false"/>
                  <w:sz w:val="20"/>
                </w:rPr>
                <w:t>Stock Ownership Policy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656" w:type="dxa"/>
            <w:tcBorders/>
            <w:vAlign w:val="center"/>
          </w:tcPr>
          <w:p>
            <w:pPr>
              <w:pStyle w:val="TableContents"/>
              <w:bidi w:val="0"/>
              <w:spacing w:before="0" w:after="0"/>
              <w:ind w:left="0" w:right="0" w:hanging="0"/>
              <w:jc w:val="left"/>
              <w:rPr/>
            </w:pPr>
            <w:hyperlink w:anchor="AntiHedgingAntiPledgingPolicy_353047">
              <w:r>
                <w:rPr>
                  <w:rStyle w:val="InternetLink"/>
                  <w:rFonts w:ascii="Times New Roman;Times;serif" w:hAnsi="Times New Roman;Times;serif"/>
                  <w:b w:val="false"/>
                  <w:i w:val="false"/>
                  <w:caps w:val="false"/>
                  <w:smallCaps w:val="false"/>
                  <w:sz w:val="20"/>
                </w:rPr>
                <w:t>Anti-Hedging and Anti-Pledging Policy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656" w:type="dxa"/>
            <w:tcBorders/>
            <w:vAlign w:val="center"/>
          </w:tcPr>
          <w:p>
            <w:pPr>
              <w:pStyle w:val="TableContents"/>
              <w:bidi w:val="0"/>
              <w:spacing w:before="0" w:after="0"/>
              <w:ind w:left="0" w:right="0" w:hanging="0"/>
              <w:jc w:val="left"/>
              <w:rPr/>
            </w:pPr>
            <w:hyperlink w:anchor="CompensationofDirectors_544198">
              <w:r>
                <w:rPr>
                  <w:rStyle w:val="InternetLink"/>
                  <w:rFonts w:ascii="Times New Roman;Times;serif" w:hAnsi="Times New Roman;Times;serif"/>
                  <w:b w:val="false"/>
                  <w:i w:val="false"/>
                  <w:caps w:val="false"/>
                  <w:smallCaps w:val="false"/>
                  <w:sz w:val="20"/>
                </w:rPr>
                <w:t>Compensation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656" w:type="dxa"/>
            <w:tcBorders/>
            <w:vAlign w:val="center"/>
          </w:tcPr>
          <w:p>
            <w:pPr>
              <w:pStyle w:val="TableContents"/>
              <w:bidi w:val="0"/>
              <w:spacing w:before="0" w:after="0"/>
              <w:ind w:left="0" w:right="0" w:hanging="0"/>
              <w:jc w:val="left"/>
              <w:rPr/>
            </w:pPr>
            <w:hyperlink w:anchor="a2018DirectorCompensation_609781">
              <w:r>
                <w:rPr>
                  <w:rStyle w:val="InternetLink"/>
                  <w:rFonts w:ascii="Times New Roman;Times;serif" w:hAnsi="Times New Roman;Times;serif"/>
                  <w:b w:val="false"/>
                  <w:i w:val="false"/>
                  <w:caps w:val="false"/>
                  <w:smallCaps w:val="false"/>
                  <w:sz w:val="20"/>
                </w:rPr>
                <w:t>2023 Director Compensation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PROPOSALNO1_762246">
              <w:r>
                <w:rPr>
                  <w:rStyle w:val="InternetLink"/>
                  <w:rFonts w:ascii="Times New Roman;Times;serif" w:hAnsi="Times New Roman;Times;serif"/>
                  <w:b w:val="false"/>
                  <w:i w:val="false"/>
                  <w:caps w:val="false"/>
                  <w:smallCaps w:val="false"/>
                  <w:sz w:val="20"/>
                </w:rPr>
                <w:t>PROPOSAL NO. 1 ELECTION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CompositionofourBoardofDirectors_504912">
              <w:r>
                <w:rPr>
                  <w:rStyle w:val="InternetLink"/>
                  <w:rFonts w:ascii="Times New Roman;Times;serif" w:hAnsi="Times New Roman;Times;serif"/>
                  <w:b w:val="false"/>
                  <w:i w:val="false"/>
                  <w:caps w:val="false"/>
                  <w:smallCaps w:val="false"/>
                  <w:sz w:val="20"/>
                </w:rPr>
                <w:t>Composition of our Board of Directors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656" w:type="dxa"/>
            <w:tcBorders/>
            <w:vAlign w:val="center"/>
          </w:tcPr>
          <w:p>
            <w:pPr>
              <w:pStyle w:val="TableContents"/>
              <w:bidi w:val="0"/>
              <w:spacing w:before="0" w:after="0"/>
              <w:ind w:left="0" w:right="0" w:hanging="0"/>
              <w:jc w:val="left"/>
              <w:rPr/>
            </w:pPr>
            <w:hyperlink w:anchor="DirectorsandDirectorNominees_647261">
              <w:r>
                <w:rPr>
                  <w:rStyle w:val="InternetLink"/>
                  <w:rFonts w:ascii="Times New Roman;Times;serif" w:hAnsi="Times New Roman;Times;serif"/>
                  <w:b w:val="false"/>
                  <w:i w:val="false"/>
                  <w:caps w:val="false"/>
                  <w:smallCaps w:val="false"/>
                  <w:sz w:val="20"/>
                </w:rPr>
                <w:t>Directors and Director Nominees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PROPOSALNO2_534055">
              <w:r>
                <w:rPr>
                  <w:rStyle w:val="InternetLink"/>
                  <w:rFonts w:ascii="Times New Roman;Times;serif" w:hAnsi="Times New Roman;Times;serif"/>
                  <w:b w:val="false"/>
                  <w:i w:val="false"/>
                  <w:caps w:val="false"/>
                  <w:smallCaps w:val="false"/>
                  <w:sz w:val="20"/>
                </w:rPr>
                <w:t>PROPOSAL NO. 2 ADVISORY VOTE TO APPROVE NAMED EXECUTIVE OFFICER COMPENSATION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EXECUTIVEOFFICERS_363481">
              <w:r>
                <w:rPr>
                  <w:rStyle w:val="InternetLink"/>
                  <w:rFonts w:ascii="Times New Roman;Times;serif" w:hAnsi="Times New Roman;Times;serif"/>
                  <w:b w:val="false"/>
                  <w:i w:val="false"/>
                  <w:caps w:val="false"/>
                  <w:smallCaps w:val="false"/>
                  <w:sz w:val="20"/>
                </w:rPr>
                <w:t>EXECUTIVE OFFICERS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EXECUTIVECOMPENSATION_7528">
              <w:r>
                <w:rPr>
                  <w:rStyle w:val="InternetLink"/>
                  <w:rFonts w:ascii="Times New Roman;Times;serif" w:hAnsi="Times New Roman;Times;serif"/>
                  <w:b w:val="false"/>
                  <w:i w:val="false"/>
                  <w:caps w:val="false"/>
                  <w:smallCaps w:val="false"/>
                  <w:sz w:val="20"/>
                </w:rPr>
                <w:t>EXECUTIVE COMPENSATION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CompensationDiscussionandAnalysis_353723">
              <w:r>
                <w:rPr>
                  <w:rStyle w:val="InternetLink"/>
                  <w:rFonts w:ascii="Times New Roman;Times;serif" w:hAnsi="Times New Roman;Times;serif"/>
                  <w:b w:val="false"/>
                  <w:i w:val="false"/>
                  <w:caps w:val="false"/>
                  <w:smallCaps w:val="false"/>
                  <w:sz w:val="20"/>
                </w:rPr>
                <w:t>Compensation Discussion and Analysis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656" w:type="dxa"/>
            <w:tcBorders/>
            <w:vAlign w:val="center"/>
          </w:tcPr>
          <w:p>
            <w:pPr>
              <w:pStyle w:val="TableContents"/>
              <w:bidi w:val="0"/>
              <w:spacing w:before="0" w:after="0"/>
              <w:ind w:left="0" w:right="0" w:hanging="0"/>
              <w:jc w:val="left"/>
              <w:rPr/>
            </w:pPr>
            <w:hyperlink w:anchor="ClawbackPolicy_864375">
              <w:r>
                <w:rPr>
                  <w:rStyle w:val="InternetLink"/>
                  <w:rFonts w:ascii="Times New Roman;Times;serif" w:hAnsi="Times New Roman;Times;serif"/>
                  <w:b w:val="false"/>
                  <w:i w:val="false"/>
                  <w:caps w:val="false"/>
                  <w:smallCaps w:val="false"/>
                  <w:sz w:val="20"/>
                </w:rPr>
                <w:t>Clawback Policy</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656" w:type="dxa"/>
            <w:tcBorders/>
            <w:vAlign w:val="center"/>
          </w:tcPr>
          <w:p>
            <w:pPr>
              <w:pStyle w:val="TableContents"/>
              <w:bidi w:val="0"/>
              <w:spacing w:before="0" w:after="0"/>
              <w:ind w:left="0" w:right="0" w:hanging="0"/>
              <w:jc w:val="left"/>
              <w:rPr/>
            </w:pPr>
            <w:hyperlink w:anchor="CompensationofNamedExecutiveOfficers_915">
              <w:r>
                <w:rPr>
                  <w:rStyle w:val="InternetLink"/>
                  <w:rFonts w:ascii="Times New Roman;Times;serif" w:hAnsi="Times New Roman;Times;serif"/>
                  <w:b w:val="false"/>
                  <w:i w:val="false"/>
                  <w:caps w:val="false"/>
                  <w:smallCaps w:val="false"/>
                  <w:sz w:val="20"/>
                </w:rPr>
                <w:t>Compensation of Named Executive Officers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656" w:type="dxa"/>
            <w:tcBorders/>
            <w:vAlign w:val="center"/>
          </w:tcPr>
          <w:p>
            <w:pPr>
              <w:pStyle w:val="TableContents"/>
              <w:bidi w:val="0"/>
              <w:spacing w:before="0" w:after="0"/>
              <w:ind w:left="0" w:right="0" w:hanging="0"/>
              <w:jc w:val="left"/>
              <w:rPr/>
            </w:pPr>
            <w:hyperlink w:anchor="ExecutiveEmploymentAgreements_118897">
              <w:r>
                <w:rPr>
                  <w:rStyle w:val="InternetLink"/>
                  <w:rFonts w:ascii="Times New Roman;Times;serif" w:hAnsi="Times New Roman;Times;serif"/>
                  <w:b w:val="false"/>
                  <w:i w:val="false"/>
                  <w:caps w:val="false"/>
                  <w:smallCaps w:val="false"/>
                  <w:sz w:val="20"/>
                </w:rPr>
                <w:t>Executive Employment Agreements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656" w:type="dxa"/>
            <w:tcBorders/>
            <w:vAlign w:val="center"/>
          </w:tcPr>
          <w:p>
            <w:pPr>
              <w:pStyle w:val="TableContents"/>
              <w:bidi w:val="0"/>
              <w:spacing w:before="0" w:after="0"/>
              <w:ind w:left="0" w:right="0" w:hanging="0"/>
              <w:jc w:val="left"/>
              <w:rPr/>
            </w:pPr>
            <w:hyperlink w:anchor="PotentialPaymentsuponTerminationorChange">
              <w:r>
                <w:rPr>
                  <w:rStyle w:val="InternetLink"/>
                  <w:rFonts w:ascii="Times New Roman;Times;serif" w:hAnsi="Times New Roman;Times;serif"/>
                  <w:b w:val="false"/>
                  <w:i w:val="false"/>
                  <w:caps w:val="false"/>
                  <w:smallCaps w:val="false"/>
                  <w:sz w:val="20"/>
                </w:rPr>
                <w:t>Potential Payments upon Termination or Change in Control</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656" w:type="dxa"/>
            <w:tcBorders/>
            <w:vAlign w:val="center"/>
          </w:tcPr>
          <w:p>
            <w:pPr>
              <w:pStyle w:val="TableContents"/>
              <w:bidi w:val="0"/>
              <w:spacing w:before="0" w:after="0"/>
              <w:ind w:left="0" w:right="0" w:hanging="0"/>
              <w:jc w:val="left"/>
              <w:rPr/>
            </w:pPr>
            <w:hyperlink w:anchor="PAYVSPERFORMANCE">
              <w:r>
                <w:rPr>
                  <w:rStyle w:val="InternetLink"/>
                  <w:rFonts w:ascii="Times New Roman;Times;serif" w:hAnsi="Times New Roman;Times;serif"/>
                  <w:b w:val="false"/>
                  <w:i w:val="false"/>
                  <w:caps w:val="false"/>
                  <w:smallCaps w:val="false"/>
                  <w:sz w:val="20"/>
                </w:rPr>
                <w:t>Pay vs. Performance Comparison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8656" w:type="dxa"/>
            <w:tcBorders/>
            <w:vAlign w:val="center"/>
          </w:tcPr>
          <w:p>
            <w:pPr>
              <w:pStyle w:val="TableContents"/>
              <w:bidi w:val="0"/>
              <w:spacing w:before="0" w:after="0"/>
              <w:ind w:left="0" w:right="0" w:hanging="0"/>
              <w:jc w:val="left"/>
              <w:rPr/>
            </w:pPr>
            <w:hyperlink w:anchor="CompensationCommitteeReport_99522">
              <w:r>
                <w:rPr>
                  <w:rStyle w:val="InternetLink"/>
                  <w:rFonts w:ascii="Times New Roman;Times;serif" w:hAnsi="Times New Roman;Times;serif"/>
                  <w:b w:val="false"/>
                  <w:i w:val="false"/>
                  <w:caps w:val="false"/>
                  <w:smallCaps w:val="false"/>
                  <w:sz w:val="20"/>
                </w:rPr>
                <w:t>Compensation Committee Report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pBdr/>
              <w:bidi w:val="0"/>
              <w:spacing w:before="0" w:after="0"/>
              <w:ind w:left="0" w:right="0" w:hanging="0"/>
              <w:jc w:val="left"/>
              <w:rPr/>
            </w:pPr>
            <w:hyperlink w:anchor="PROPOSALNO3_912565">
              <w:r>
                <w:rPr>
                  <w:rStyle w:val="InternetLink"/>
                  <w:rFonts w:ascii="Times New Roman;Times;serif" w:hAnsi="Times New Roman;Times;serif"/>
                  <w:b w:val="false"/>
                  <w:i w:val="false"/>
                  <w:caps w:val="false"/>
                  <w:smallCaps w:val="false"/>
                  <w:sz w:val="20"/>
                </w:rPr>
                <w:t>PROPOSAL NO. 3 RATIFICATION OF INDEPENDENT REGISTERED PUBLIC ACCOUNTING FIRM</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65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8656" w:type="dxa"/>
            <w:tcBorders/>
            <w:vAlign w:val="center"/>
          </w:tcPr>
          <w:p>
            <w:pPr>
              <w:pStyle w:val="TableContents"/>
              <w:bidi w:val="0"/>
              <w:spacing w:before="0" w:after="0"/>
              <w:ind w:left="0" w:right="0" w:hanging="0"/>
              <w:jc w:val="left"/>
              <w:rPr/>
            </w:pPr>
            <w:hyperlink w:anchor="Fees_464615">
              <w:r>
                <w:rPr>
                  <w:rStyle w:val="InternetLink"/>
                  <w:rFonts w:ascii="Times New Roman;Times;serif" w:hAnsi="Times New Roman;Times;serif"/>
                  <w:b w:val="false"/>
                  <w:i w:val="false"/>
                  <w:caps w:val="false"/>
                  <w:smallCaps w:val="false"/>
                  <w:sz w:val="20"/>
                </w:rPr>
                <w:t>Fees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8656" w:type="dxa"/>
            <w:tcBorders/>
            <w:vAlign w:val="center"/>
          </w:tcPr>
          <w:p>
            <w:pPr>
              <w:pStyle w:val="TableContents"/>
              <w:bidi w:val="0"/>
              <w:spacing w:before="0" w:after="0"/>
              <w:ind w:left="0" w:right="0" w:hanging="0"/>
              <w:jc w:val="left"/>
              <w:rPr/>
            </w:pPr>
            <w:hyperlink w:anchor="ApprovalofIndependentRegisteredPublicAcc">
              <w:r>
                <w:rPr>
                  <w:rStyle w:val="InternetLink"/>
                  <w:rFonts w:ascii="Times New Roman;Times;serif" w:hAnsi="Times New Roman;Times;serif"/>
                  <w:b w:val="false"/>
                  <w:i w:val="false"/>
                  <w:caps w:val="false"/>
                  <w:smallCaps w:val="false"/>
                  <w:sz w:val="20"/>
                </w:rPr>
                <w:t>Approval of Independent Registered Public Accounting Firm Services and Fees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8192" w:type="dxa"/>
        <w:jc w:val="left"/>
        <w:tblInd w:w="0" w:type="dxa"/>
        <w:tblLayout w:type="fixed"/>
        <w:tblCellMar>
          <w:top w:w="0" w:type="dxa"/>
          <w:left w:w="0" w:type="dxa"/>
          <w:bottom w:w="0" w:type="dxa"/>
          <w:right w:w="0" w:type="dxa"/>
        </w:tblCellMar>
      </w:tblPr>
      <w:tblGrid>
        <w:gridCol w:w="7831"/>
        <w:gridCol w:w="361"/>
      </w:tblGrid>
      <w:tr>
        <w:trPr/>
        <w:tc>
          <w:tcPr>
            <w:tcW w:w="7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72685" cy="175260"/>
                      <wp:effectExtent l="0" t="0" r="0" b="0"/>
                      <wp:wrapNone/>
                      <wp:docPr id="4" name="Frame3"/>
                      <a:graphic xmlns:a="http://schemas.openxmlformats.org/drawingml/2006/main">
                        <a:graphicData uri="http://schemas.microsoft.com/office/word/2010/wordprocessingShape">
                          <wps:wsp>
                            <wps:cNvSpPr txBox="1"/>
                            <wps:spPr>
                              <a:xfrm>
                                <a:off x="0" y="0"/>
                                <a:ext cx="497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29235" cy="175260"/>
                      <wp:effectExtent l="0" t="0" r="0" b="0"/>
                      <wp:wrapNone/>
                      <wp:docPr id="5"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831" w:type="dxa"/>
            <w:tcBorders/>
            <w:vAlign w:val="center"/>
          </w:tcPr>
          <w:p>
            <w:pPr>
              <w:pStyle w:val="TableContents"/>
              <w:bidi w:val="0"/>
              <w:spacing w:before="0" w:after="0"/>
              <w:ind w:left="0" w:right="0" w:hanging="0"/>
              <w:jc w:val="left"/>
              <w:rPr/>
            </w:pPr>
            <w:hyperlink w:anchor="AUDITCOMMITTEEREPORT_52457">
              <w:r>
                <w:rPr>
                  <w:rStyle w:val="InternetLink"/>
                  <w:rFonts w:ascii="Times New Roman;Times;serif" w:hAnsi="Times New Roman;Times;serif"/>
                  <w:b w:val="false"/>
                  <w:i w:val="false"/>
                  <w:caps w:val="false"/>
                  <w:smallCaps w:val="false"/>
                  <w:sz w:val="20"/>
                </w:rPr>
                <w:t>AUDIT COMMITTEE REPORT</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831" w:type="dxa"/>
            <w:tcBorders/>
            <w:vAlign w:val="center"/>
          </w:tcPr>
          <w:p>
            <w:pPr>
              <w:pStyle w:val="TableContents"/>
              <w:bidi w:val="0"/>
              <w:spacing w:before="0" w:after="0"/>
              <w:ind w:left="0" w:right="0" w:hanging="0"/>
              <w:jc w:val="left"/>
              <w:rPr/>
            </w:pPr>
            <w:hyperlink w:anchor="PrimaryResponsibilitiesoftheAuditCommitt">
              <w:r>
                <w:rPr>
                  <w:rStyle w:val="InternetLink"/>
                  <w:rFonts w:ascii="Times New Roman;Times;serif" w:hAnsi="Times New Roman;Times;serif"/>
                  <w:b w:val="false"/>
                  <w:i w:val="false"/>
                  <w:caps w:val="false"/>
                  <w:smallCaps w:val="false"/>
                  <w:sz w:val="20"/>
                </w:rPr>
                <w:t>Primary Responsibilities of the Audit Committee and the Audit Committee’s Activities in 2023</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7831" w:type="dxa"/>
            <w:tcBorders/>
            <w:vAlign w:val="center"/>
          </w:tcPr>
          <w:p>
            <w:pPr>
              <w:pStyle w:val="TableContents"/>
              <w:bidi w:val="0"/>
              <w:spacing w:before="0" w:after="0"/>
              <w:ind w:left="0" w:right="0" w:hanging="0"/>
              <w:jc w:val="left"/>
              <w:rPr/>
            </w:pPr>
            <w:hyperlink w:anchor="a2019AuditedFinancialStatements_445903">
              <w:r>
                <w:rPr>
                  <w:rStyle w:val="InternetLink"/>
                  <w:rFonts w:ascii="Times New Roman;Times;serif" w:hAnsi="Times New Roman;Times;serif"/>
                  <w:b w:val="false"/>
                  <w:i w:val="false"/>
                  <w:caps w:val="false"/>
                  <w:smallCaps w:val="false"/>
                  <w:sz w:val="20"/>
                </w:rPr>
                <w:t>2023 Audited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8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831" w:type="dxa"/>
            <w:tcBorders/>
            <w:vAlign w:val="center"/>
          </w:tcPr>
          <w:p>
            <w:pPr>
              <w:pStyle w:val="TableContents"/>
              <w:bidi w:val="0"/>
              <w:spacing w:before="0" w:after="0"/>
              <w:ind w:left="0" w:right="0" w:hanging="0"/>
              <w:jc w:val="left"/>
              <w:rPr/>
            </w:pPr>
            <w:hyperlink w:anchor="BENEFICIALOWNERSHIPOFCOMMONSTOCK_351108">
              <w:r>
                <w:rPr>
                  <w:rStyle w:val="InternetLink"/>
                  <w:rFonts w:ascii="Times New Roman;Times;serif" w:hAnsi="Times New Roman;Times;serif"/>
                  <w:b w:val="false"/>
                  <w:i w:val="false"/>
                  <w:caps w:val="false"/>
                  <w:smallCaps w:val="false"/>
                  <w:sz w:val="20"/>
                </w:rPr>
                <w:t>BENEFICIAL OWNERSHIP OF COMMON STOCK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8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831" w:type="dxa"/>
            <w:tcBorders/>
            <w:vAlign w:val="center"/>
          </w:tcPr>
          <w:p>
            <w:pPr>
              <w:pStyle w:val="TableContents"/>
              <w:bidi w:val="0"/>
              <w:spacing w:before="0" w:after="0"/>
              <w:ind w:left="0" w:right="0" w:hanging="0"/>
              <w:jc w:val="left"/>
              <w:rPr/>
            </w:pPr>
            <w:hyperlink w:anchor="CERTAINRELATIONSHIPSANDRELATEDTRANSACTIO">
              <w:r>
                <w:rPr>
                  <w:rStyle w:val="InternetLink"/>
                  <w:rFonts w:ascii="Times New Roman;Times;serif" w:hAnsi="Times New Roman;Times;serif"/>
                  <w:b w:val="false"/>
                  <w:i w:val="false"/>
                  <w:caps w:val="false"/>
                  <w:smallCaps w:val="false"/>
                  <w:sz w:val="20"/>
                </w:rPr>
                <w:t>CERTAIN RELATIONSHIPS AND RELATED TRANSACTIONS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8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831" w:type="dxa"/>
            <w:tcBorders/>
            <w:vAlign w:val="center"/>
          </w:tcPr>
          <w:p>
            <w:pPr>
              <w:pStyle w:val="TableContents"/>
              <w:bidi w:val="0"/>
              <w:spacing w:before="0" w:after="0"/>
              <w:ind w:left="0" w:right="0" w:hanging="0"/>
              <w:jc w:val="left"/>
              <w:rPr/>
            </w:pPr>
            <w:hyperlink w:anchor="PoliciesandProceduresforRelatedPartyTran">
              <w:r>
                <w:rPr>
                  <w:rStyle w:val="InternetLink"/>
                  <w:rFonts w:ascii="Times New Roman;Times;serif" w:hAnsi="Times New Roman;Times;serif"/>
                  <w:b w:val="false"/>
                  <w:i w:val="false"/>
                  <w:caps w:val="false"/>
                  <w:smallCaps w:val="false"/>
                  <w:sz w:val="20"/>
                </w:rPr>
                <w:t>Policies and Procedures for Related Party Transactions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831" w:type="dxa"/>
            <w:tcBorders/>
            <w:vAlign w:val="center"/>
          </w:tcPr>
          <w:p>
            <w:pPr>
              <w:pStyle w:val="TableContents"/>
              <w:bidi w:val="0"/>
              <w:spacing w:before="0" w:after="0"/>
              <w:ind w:left="0" w:right="0" w:hanging="0"/>
              <w:jc w:val="left"/>
              <w:rPr/>
            </w:pPr>
            <w:hyperlink w:anchor="CertainTransactions_743659">
              <w:r>
                <w:rPr>
                  <w:rStyle w:val="InternetLink"/>
                  <w:rFonts w:ascii="Times New Roman;Times;serif" w:hAnsi="Times New Roman;Times;serif"/>
                  <w:b w:val="false"/>
                  <w:i w:val="false"/>
                  <w:caps w:val="false"/>
                  <w:smallCaps w:val="false"/>
                  <w:sz w:val="20"/>
                </w:rPr>
                <w:t>Certain Transactions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8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831" w:type="dxa"/>
            <w:tcBorders/>
            <w:vAlign w:val="center"/>
          </w:tcPr>
          <w:p>
            <w:pPr>
              <w:pStyle w:val="TableContents"/>
              <w:bidi w:val="0"/>
              <w:spacing w:before="0" w:after="0"/>
              <w:ind w:left="0" w:right="0" w:hanging="0"/>
              <w:jc w:val="left"/>
              <w:rPr/>
            </w:pPr>
            <w:hyperlink w:anchor="HOUSEHOLDINGOFPROXYMATERIALS_178462">
              <w:r>
                <w:rPr>
                  <w:rStyle w:val="InternetLink"/>
                  <w:rFonts w:ascii="Times New Roman;Times;serif" w:hAnsi="Times New Roman;Times;serif"/>
                  <w:b w:val="false"/>
                  <w:i w:val="false"/>
                  <w:caps w:val="false"/>
                  <w:smallCaps w:val="false"/>
                  <w:sz w:val="20"/>
                </w:rPr>
                <w:t>HOUSEHOLDING OF PROXY MATERIALS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83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831" w:type="dxa"/>
            <w:tcBorders/>
            <w:vAlign w:val="center"/>
          </w:tcPr>
          <w:p>
            <w:pPr>
              <w:pStyle w:val="TableContents"/>
              <w:bidi w:val="0"/>
              <w:spacing w:before="0" w:after="0"/>
              <w:ind w:left="0" w:right="0" w:hanging="0"/>
              <w:jc w:val="left"/>
              <w:rPr/>
            </w:pPr>
            <w:hyperlink w:anchor="ADDITIONALINFORMATION_301982">
              <w:r>
                <w:rPr>
                  <w:rStyle w:val="InternetLink"/>
                  <w:rFonts w:ascii="Times New Roman;Times;serif" w:hAnsi="Times New Roman;Times;serif"/>
                  <w:b w:val="false"/>
                  <w:i w:val="false"/>
                  <w:caps w:val="false"/>
                  <w:smallCaps w:val="false"/>
                  <w:sz w:val="20"/>
                </w:rPr>
                <w:t>ADDITIONAL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6" w:name="_50da79d9_954d_4cdc_a1d6_5c9ba2ea3f6b"/>
      <w:bookmarkEnd w:id="6"/>
      <w:r>
        <w:rPr/>
        <w:drawing>
          <wp:inline distT="0" distB="0" distL="0" distR="0">
            <wp:extent cx="6163310" cy="93281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163310" cy="932815"/>
                    </a:xfrm>
                    <a:prstGeom prst="rect">
                      <a:avLst/>
                    </a:prstGeom>
                  </pic:spPr>
                </pic:pic>
              </a:graphicData>
            </a:graphic>
          </wp:inline>
        </w:drawing>
      </w:r>
    </w:p>
    <w:tbl>
      <w:tblPr>
        <w:tblW w:w="2461" w:type="dxa"/>
        <w:jc w:val="left"/>
        <w:tblInd w:w="0" w:type="dxa"/>
        <w:tblLayout w:type="fixed"/>
        <w:tblCellMar>
          <w:top w:w="28" w:type="dxa"/>
          <w:left w:w="0" w:type="dxa"/>
          <w:bottom w:w="0" w:type="dxa"/>
          <w:right w:w="0" w:type="dxa"/>
        </w:tblCellMar>
      </w:tblPr>
      <w:tblGrid>
        <w:gridCol w:w="2461"/>
      </w:tblGrid>
      <w:tr>
        <w:trPr/>
        <w:tc>
          <w:tcPr>
            <w:tcW w:w="2461" w:type="dxa"/>
            <w:tcBorders>
              <w:top w:val="single" w:sz="2" w:space="0" w:color="000000"/>
            </w:tcBorders>
            <w:vAlign w:val="center"/>
          </w:tcPr>
          <w:p>
            <w:pPr>
              <w:pStyle w:val="TableContents"/>
              <w:bidi w:val="0"/>
              <w:spacing w:before="0" w:after="0"/>
              <w:ind w:left="0" w:right="0" w:hanging="0"/>
              <w:jc w:val="left"/>
              <w:rPr/>
            </w:pPr>
            <w:r>
              <w:rPr/>
              <w:t>​</w:t>
            </w:r>
          </w:p>
        </w:tc>
      </w:tr>
      <w:tr>
        <w:trPr/>
        <w:tc>
          <w:tcPr>
            <w:tcW w:w="2461" w:type="dxa"/>
            <w:tcBorders>
              <w:bottom w:val="single" w:sz="2" w:space="0" w:color="000000"/>
            </w:tcBorders>
            <w:tcMar>
              <w:top w:w="0" w:type="dxa"/>
              <w:bottom w:w="28" w:type="dxa"/>
            </w:tcMar>
            <w:vAlign w:val="center"/>
          </w:tcPr>
          <w:p>
            <w:pPr>
              <w:pStyle w:val="TableContents"/>
              <w:bidi w:val="0"/>
              <w:spacing w:before="200" w:after="200"/>
              <w:ind w:left="0" w:right="0" w:hanging="0"/>
              <w:jc w:val="center"/>
              <w:rPr>
                <w:rFonts w:ascii="Times New Roman;Times;serif" w:hAnsi="Times New Roman;Times;serif"/>
                <w:b/>
                <w:sz w:val="20"/>
              </w:rPr>
            </w:pPr>
            <w:r>
              <w:rPr>
                <w:rFonts w:ascii="Times New Roman;Times;serif" w:hAnsi="Times New Roman;Times;serif"/>
                <w:b/>
                <w:sz w:val="20"/>
              </w:rPr>
              <w:t>Proxy Statement Summary</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2023 performance, please review the Company’s Annual Report on Form 10-K for the year ended December 31, 2023.</w:t>
      </w:r>
    </w:p>
    <w:tbl>
      <w:tblPr>
        <w:tblW w:w="10205" w:type="dxa"/>
        <w:jc w:val="left"/>
        <w:tblInd w:w="0" w:type="dxa"/>
        <w:tblLayout w:type="fixed"/>
        <w:tblCellMar>
          <w:top w:w="0" w:type="dxa"/>
          <w:left w:w="0" w:type="dxa"/>
          <w:bottom w:w="0" w:type="dxa"/>
          <w:right w:w="0" w:type="dxa"/>
        </w:tblCellMar>
      </w:tblPr>
      <w:tblGrid>
        <w:gridCol w:w="1546"/>
        <w:gridCol w:w="8659"/>
      </w:tblGrid>
      <w:tr>
        <w:trPr/>
        <w:tc>
          <w:tcPr>
            <w:tcW w:w="1546" w:type="dxa"/>
            <w:tcBorders/>
            <w:vAlign w:val="center"/>
          </w:tcPr>
          <w:p>
            <w:pPr>
              <w:pStyle w:val="TableContents"/>
              <w:bidi w:val="0"/>
              <w:spacing w:before="0" w:after="0"/>
              <w:ind w:left="0" w:right="0" w:hanging="0"/>
              <w:jc w:val="left"/>
              <w:rPr/>
            </w:pPr>
            <w:r>
              <w:rPr/>
              <w:t>​</w:t>
            </w:r>
          </w:p>
        </w:tc>
        <w:tc>
          <w:tcPr>
            <w:tcW w:w="8659" w:type="dxa"/>
            <w:tcBorders/>
            <w:vAlign w:val="center"/>
          </w:tcPr>
          <w:p>
            <w:pPr>
              <w:pStyle w:val="TableContents"/>
              <w:bidi w:val="0"/>
              <w:spacing w:before="0" w:after="0"/>
              <w:ind w:left="0" w:right="0" w:hanging="0"/>
              <w:jc w:val="left"/>
              <w:rPr/>
            </w:pPr>
            <w:r>
              <w:rPr/>
              <w:t>​</w:t>
            </w:r>
          </w:p>
        </w:tc>
      </w:tr>
      <w:tr>
        <w:trPr/>
        <w:tc>
          <w:tcPr>
            <w:tcW w:w="1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w:t>
              <w:br/>
              <w:t>INFORMATION</w:t>
            </w:r>
          </w:p>
        </w:tc>
        <w:tc>
          <w:tcPr>
            <w:tcW w:w="865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5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and Time:</w:t>
            </w:r>
          </w:p>
        </w:tc>
        <w:tc>
          <w:tcPr>
            <w:tcW w:w="865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Wednesday, June 12, 2024 10:30 a.m., Arizona time</w:t>
            </w:r>
          </w:p>
        </w:tc>
      </w:tr>
      <w:tr>
        <w:trPr/>
        <w:tc>
          <w:tcPr>
            <w:tcW w:w="1546" w:type="dxa"/>
            <w:tcBorders/>
            <w:vAlign w:val="center"/>
          </w:tcPr>
          <w:p>
            <w:pPr>
              <w:pStyle w:val="TableContents"/>
              <w:bidi w:val="0"/>
              <w:spacing w:before="0" w:after="0"/>
              <w:ind w:left="0" w:right="0" w:hanging="0"/>
              <w:jc w:val="left"/>
              <w:rPr/>
            </w:pPr>
            <w:r>
              <w:rPr/>
              <w:t>​</w:t>
            </w:r>
          </w:p>
        </w:tc>
        <w:tc>
          <w:tcPr>
            <w:tcW w:w="8659"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Record Date:</w:t>
            </w:r>
          </w:p>
        </w:tc>
        <w:tc>
          <w:tcPr>
            <w:tcW w:w="8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18, 2024</w:t>
            </w:r>
          </w:p>
        </w:tc>
      </w:tr>
      <w:tr>
        <w:trPr/>
        <w:tc>
          <w:tcPr>
            <w:tcW w:w="1546" w:type="dxa"/>
            <w:tcBorders/>
            <w:vAlign w:val="center"/>
          </w:tcPr>
          <w:p>
            <w:pPr>
              <w:pStyle w:val="TableContents"/>
              <w:bidi w:val="0"/>
              <w:spacing w:before="0" w:after="0"/>
              <w:ind w:left="0" w:right="0" w:hanging="0"/>
              <w:jc w:val="left"/>
              <w:rPr/>
            </w:pPr>
            <w:r>
              <w:rPr/>
              <w:t>​</w:t>
            </w:r>
          </w:p>
        </w:tc>
        <w:tc>
          <w:tcPr>
            <w:tcW w:w="8659"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Place:</w:t>
            </w:r>
          </w:p>
        </w:tc>
        <w:tc>
          <w:tcPr>
            <w:tcW w:w="8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Grand Canyon Education, Inc.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2600 W. Camelback Road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 85017</w:t>
            </w:r>
          </w:p>
        </w:tc>
      </w:tr>
      <w:tr>
        <w:trPr/>
        <w:tc>
          <w:tcPr>
            <w:tcW w:w="1546" w:type="dxa"/>
            <w:tcBorders/>
            <w:vAlign w:val="center"/>
          </w:tcPr>
          <w:p>
            <w:pPr>
              <w:pStyle w:val="TableContents"/>
              <w:bidi w:val="0"/>
              <w:spacing w:before="0" w:after="0"/>
              <w:ind w:left="0" w:right="0" w:hanging="0"/>
              <w:jc w:val="left"/>
              <w:rPr/>
            </w:pPr>
            <w:r>
              <w:rPr/>
              <w:t>​</w:t>
            </w:r>
          </w:p>
        </w:tc>
        <w:tc>
          <w:tcPr>
            <w:tcW w:w="8659" w:type="dxa"/>
            <w:tcBorders/>
            <w:vAlign w:val="center"/>
          </w:tcPr>
          <w:p>
            <w:pPr>
              <w:pStyle w:val="TableContents"/>
              <w:bidi w:val="0"/>
              <w:spacing w:before="0" w:after="0"/>
              <w:ind w:left="0" w:right="0" w:hanging="0"/>
              <w:jc w:val="left"/>
              <w:rPr/>
            </w:pPr>
            <w:r>
              <w:rPr/>
              <w:t>​</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Voting:</w:t>
            </w:r>
          </w:p>
        </w:tc>
        <w:tc>
          <w:tcPr>
            <w:tcW w:w="86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proxy statement describes important issues affecting Grand Canyon Education, Inc. If you are a stockholder of record as of the record date, you have the right to submit your proxy through the Internet, by telephone or by mail. Please help us save time and administrative costs by submitting your proxy through the Internet or by telephone. Each method is generally available 24 hours a day and will ensure that your voting instructions are confirmed and posted immediately. Stockholders of record as of April 18, 2024 may cast their votes in any of the following ways:</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90"/>
        <w:gridCol w:w="326"/>
        <w:gridCol w:w="2267"/>
        <w:gridCol w:w="326"/>
        <w:gridCol w:w="1544"/>
        <w:gridCol w:w="326"/>
        <w:gridCol w:w="2426"/>
      </w:tblGrid>
      <w:tr>
        <w:trPr/>
        <w:tc>
          <w:tcPr>
            <w:tcW w:w="299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26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2426" w:type="dxa"/>
            <w:tcBorders/>
            <w:vAlign w:val="center"/>
          </w:tcPr>
          <w:p>
            <w:pPr>
              <w:pStyle w:val="TableContents"/>
              <w:bidi w:val="0"/>
              <w:spacing w:before="0" w:after="283"/>
              <w:ind w:left="0" w:right="0" w:hanging="0"/>
              <w:jc w:val="left"/>
              <w:rPr>
                <w:sz w:val="4"/>
                <w:szCs w:val="4"/>
              </w:rPr>
            </w:pPr>
            <w:r>
              <w:rPr>
                <w:sz w:val="4"/>
                <w:szCs w:val="4"/>
              </w:rPr>
            </w:r>
          </w:p>
        </w:tc>
      </w:tr>
      <w:tr>
        <w:trPr/>
        <w:tc>
          <w:tcPr>
            <w:tcW w:w="2990" w:type="dxa"/>
            <w:tcBorders/>
            <w:vAlign w:val="center"/>
          </w:tcPr>
          <w:p>
            <w:pPr>
              <w:pStyle w:val="TableContents"/>
              <w:bidi w:val="0"/>
              <w:spacing w:before="0" w:after="0"/>
              <w:ind w:left="0" w:right="0" w:hanging="0"/>
              <w:jc w:val="center"/>
              <w:rPr/>
            </w:pPr>
            <w:r>
              <w:rPr/>
              <w:drawing>
                <wp:inline distT="0" distB="0" distL="0" distR="0">
                  <wp:extent cx="666750" cy="6191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66750" cy="619125"/>
                          </a:xfrm>
                          <a:prstGeom prst="rect">
                            <a:avLst/>
                          </a:prstGeom>
                        </pic:spPr>
                      </pic:pic>
                    </a:graphicData>
                  </a:graphic>
                </wp:inline>
              </w:drawing>
            </w:r>
          </w:p>
        </w:tc>
        <w:tc>
          <w:tcPr>
            <w:tcW w:w="326" w:type="dxa"/>
            <w:tcBorders/>
            <w:vAlign w:val="center"/>
          </w:tcPr>
          <w:p>
            <w:pPr>
              <w:pStyle w:val="TableContents"/>
              <w:bidi w:val="0"/>
              <w:spacing w:before="0" w:after="0"/>
              <w:ind w:left="0" w:right="0" w:hanging="0"/>
              <w:jc w:val="center"/>
              <w:rPr/>
            </w:pPr>
            <w:r>
              <w:rPr/>
              <w:t>    </w:t>
            </w:r>
          </w:p>
        </w:tc>
        <w:tc>
          <w:tcPr>
            <w:tcW w:w="2267" w:type="dxa"/>
            <w:tcBorders/>
            <w:vAlign w:val="center"/>
          </w:tcPr>
          <w:p>
            <w:pPr>
              <w:pStyle w:val="TableContents"/>
              <w:bidi w:val="0"/>
              <w:spacing w:before="0" w:after="0"/>
              <w:ind w:left="0" w:right="0" w:hanging="0"/>
              <w:jc w:val="center"/>
              <w:rPr/>
            </w:pPr>
            <w:r>
              <w:rPr/>
              <w:drawing>
                <wp:inline distT="0" distB="0" distL="0" distR="0">
                  <wp:extent cx="333375" cy="5810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333375" cy="581025"/>
                          </a:xfrm>
                          <a:prstGeom prst="rect">
                            <a:avLst/>
                          </a:prstGeom>
                        </pic:spPr>
                      </pic:pic>
                    </a:graphicData>
                  </a:graphic>
                </wp:inline>
              </w:drawing>
            </w:r>
          </w:p>
        </w:tc>
        <w:tc>
          <w:tcPr>
            <w:tcW w:w="326" w:type="dxa"/>
            <w:tcBorders/>
            <w:vAlign w:val="center"/>
          </w:tcPr>
          <w:p>
            <w:pPr>
              <w:pStyle w:val="TableContents"/>
              <w:bidi w:val="0"/>
              <w:spacing w:before="0" w:after="0"/>
              <w:ind w:left="0" w:right="0" w:hanging="0"/>
              <w:jc w:val="center"/>
              <w:rPr/>
            </w:pPr>
            <w:r>
              <w:rPr/>
              <w:t>    </w:t>
            </w:r>
          </w:p>
        </w:tc>
        <w:tc>
          <w:tcPr>
            <w:tcW w:w="1544" w:type="dxa"/>
            <w:tcBorders/>
            <w:vAlign w:val="center"/>
          </w:tcPr>
          <w:p>
            <w:pPr>
              <w:pStyle w:val="TableContents"/>
              <w:bidi w:val="0"/>
              <w:spacing w:before="0" w:after="0"/>
              <w:ind w:left="0" w:right="0" w:hanging="0"/>
              <w:jc w:val="center"/>
              <w:rPr/>
            </w:pPr>
            <w:r>
              <w:rPr/>
              <w:drawing>
                <wp:inline distT="0" distB="0" distL="0" distR="0">
                  <wp:extent cx="495300" cy="5524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495300" cy="552450"/>
                          </a:xfrm>
                          <a:prstGeom prst="rect">
                            <a:avLst/>
                          </a:prstGeom>
                        </pic:spPr>
                      </pic:pic>
                    </a:graphicData>
                  </a:graphic>
                </wp:inline>
              </w:drawing>
            </w:r>
          </w:p>
        </w:tc>
        <w:tc>
          <w:tcPr>
            <w:tcW w:w="326" w:type="dxa"/>
            <w:tcBorders/>
            <w:vAlign w:val="center"/>
          </w:tcPr>
          <w:p>
            <w:pPr>
              <w:pStyle w:val="TableContents"/>
              <w:bidi w:val="0"/>
              <w:spacing w:before="0" w:after="0"/>
              <w:ind w:left="0" w:right="0" w:hanging="0"/>
              <w:jc w:val="center"/>
              <w:rPr/>
            </w:pPr>
            <w:r>
              <w:rPr/>
              <w:t>    </w:t>
            </w:r>
          </w:p>
        </w:tc>
        <w:tc>
          <w:tcPr>
            <w:tcW w:w="2426" w:type="dxa"/>
            <w:tcBorders/>
            <w:vAlign w:val="center"/>
          </w:tcPr>
          <w:p>
            <w:pPr>
              <w:pStyle w:val="TableContents"/>
              <w:bidi w:val="0"/>
              <w:spacing w:before="0" w:after="0"/>
              <w:ind w:left="0" w:right="0" w:hanging="0"/>
              <w:jc w:val="center"/>
              <w:rPr/>
            </w:pPr>
            <w:r>
              <w:rPr/>
              <w:drawing>
                <wp:inline distT="0" distB="0" distL="0" distR="0">
                  <wp:extent cx="609600" cy="79057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609600" cy="790575"/>
                          </a:xfrm>
                          <a:prstGeom prst="rect">
                            <a:avLst/>
                          </a:prstGeom>
                        </pic:spPr>
                      </pic:pic>
                    </a:graphicData>
                  </a:graphic>
                </wp:inline>
              </w:drawing>
            </w:r>
          </w:p>
        </w:tc>
      </w:tr>
      <w:tr>
        <w:trPr/>
        <w:tc>
          <w:tcPr>
            <w:tcW w:w="2990" w:type="dxa"/>
            <w:tcBorders/>
            <w:vAlign w:val="center"/>
          </w:tcPr>
          <w:p>
            <w:pPr>
              <w:pStyle w:val="TableContents"/>
              <w:bidi w:val="0"/>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Internet</w:t>
            </w:r>
          </w:p>
        </w:tc>
        <w:tc>
          <w:tcPr>
            <w:tcW w:w="326" w:type="dxa"/>
            <w:tcBorders/>
            <w:vAlign w:val="center"/>
          </w:tcPr>
          <w:p>
            <w:pPr>
              <w:pStyle w:val="TableContents"/>
              <w:bidi w:val="0"/>
              <w:spacing w:before="0" w:after="0"/>
              <w:ind w:left="0" w:right="0" w:hanging="0"/>
              <w:jc w:val="center"/>
              <w:rPr>
                <w:color w:val="3C5F52"/>
              </w:rPr>
            </w:pPr>
            <w:r>
              <w:rPr>
                <w:color w:val="3C5F52"/>
              </w:rPr>
              <w:t>​</w:t>
            </w:r>
          </w:p>
        </w:tc>
        <w:tc>
          <w:tcPr>
            <w:tcW w:w="2267" w:type="dxa"/>
            <w:tcBorders/>
            <w:vAlign w:val="center"/>
          </w:tcPr>
          <w:p>
            <w:pPr>
              <w:pStyle w:val="TableContents"/>
              <w:bidi w:val="0"/>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Phone</w:t>
            </w:r>
          </w:p>
        </w:tc>
        <w:tc>
          <w:tcPr>
            <w:tcW w:w="326" w:type="dxa"/>
            <w:tcBorders/>
            <w:vAlign w:val="center"/>
          </w:tcPr>
          <w:p>
            <w:pPr>
              <w:pStyle w:val="TableContents"/>
              <w:bidi w:val="0"/>
              <w:spacing w:before="0" w:after="0"/>
              <w:ind w:left="0" w:right="0" w:hanging="0"/>
              <w:jc w:val="center"/>
              <w:rPr>
                <w:color w:val="3C5F52"/>
              </w:rPr>
            </w:pPr>
            <w:r>
              <w:rPr>
                <w:color w:val="3C5F52"/>
              </w:rPr>
              <w:t>​</w:t>
            </w:r>
          </w:p>
        </w:tc>
        <w:tc>
          <w:tcPr>
            <w:tcW w:w="1544" w:type="dxa"/>
            <w:tcBorders/>
            <w:vAlign w:val="center"/>
          </w:tcPr>
          <w:p>
            <w:pPr>
              <w:pStyle w:val="TableContents"/>
              <w:bidi w:val="0"/>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Mail</w:t>
            </w:r>
          </w:p>
        </w:tc>
        <w:tc>
          <w:tcPr>
            <w:tcW w:w="326" w:type="dxa"/>
            <w:tcBorders/>
            <w:vAlign w:val="center"/>
          </w:tcPr>
          <w:p>
            <w:pPr>
              <w:pStyle w:val="TableContents"/>
              <w:bidi w:val="0"/>
              <w:spacing w:before="0" w:after="0"/>
              <w:ind w:left="0" w:right="0" w:hanging="0"/>
              <w:jc w:val="center"/>
              <w:rPr>
                <w:color w:val="3C5F52"/>
              </w:rPr>
            </w:pPr>
            <w:r>
              <w:rPr>
                <w:color w:val="3C5F52"/>
              </w:rPr>
              <w:t>​</w:t>
            </w:r>
          </w:p>
        </w:tc>
        <w:tc>
          <w:tcPr>
            <w:tcW w:w="2426" w:type="dxa"/>
            <w:tcBorders/>
            <w:vAlign w:val="center"/>
          </w:tcPr>
          <w:p>
            <w:pPr>
              <w:pStyle w:val="TableContents"/>
              <w:bidi w:val="0"/>
              <w:spacing w:before="0" w:after="0"/>
              <w:ind w:left="0" w:right="0" w:hanging="0"/>
              <w:jc w:val="center"/>
              <w:rPr>
                <w:rFonts w:ascii="Times New Roman;Times;serif" w:hAnsi="Times New Roman;Times;serif"/>
                <w:b/>
                <w:color w:val="3C5F52"/>
                <w:sz w:val="17"/>
              </w:rPr>
            </w:pPr>
            <w:r>
              <w:rPr>
                <w:rFonts w:ascii="Times New Roman;Times;serif" w:hAnsi="Times New Roman;Times;serif"/>
                <w:b/>
                <w:color w:val="3C5F52"/>
                <w:sz w:val="17"/>
              </w:rPr>
              <w:t>In Person</w:t>
            </w:r>
          </w:p>
        </w:tc>
      </w:tr>
      <w:tr>
        <w:trPr/>
        <w:tc>
          <w:tcPr>
            <w:tcW w:w="299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7"/>
              </w:rPr>
              <w:t xml:space="preserve">Visit </w:t>
            </w:r>
            <w:r>
              <w:rPr>
                <w:rFonts w:ascii="Times New Roman;Times;serif" w:hAnsi="Times New Roman;Times;serif"/>
                <w:i/>
                <w:sz w:val="17"/>
              </w:rPr>
              <w:t>www.investorvote.com/LOPE</w:t>
            </w:r>
            <w:r>
              <w:rPr>
                <w:rFonts w:ascii="Times New Roman;Times;serif" w:hAnsi="Times New Roman;Times;serif"/>
                <w:sz w:val="17"/>
              </w:rPr>
              <w:t>, 24 hours a day, seven days a week, through 11:00 p.m. (PT) on June 11, 2024. Please have available your notice card. Follow the simple instructions provided.</w:t>
            </w:r>
          </w:p>
        </w:tc>
        <w:tc>
          <w:tcPr>
            <w:tcW w:w="326" w:type="dxa"/>
            <w:tcBorders/>
            <w:vAlign w:val="center"/>
          </w:tcPr>
          <w:p>
            <w:pPr>
              <w:pStyle w:val="TableContents"/>
              <w:bidi w:val="0"/>
              <w:spacing w:before="0" w:after="0"/>
              <w:ind w:left="0" w:right="0" w:hanging="0"/>
              <w:jc w:val="both"/>
              <w:rPr/>
            </w:pPr>
            <w:r>
              <w:rPr/>
              <w:t>​</w:t>
            </w:r>
          </w:p>
        </w:tc>
        <w:tc>
          <w:tcPr>
            <w:tcW w:w="2267" w:type="dxa"/>
            <w:tcBorders/>
            <w:vAlign w:val="center"/>
          </w:tcPr>
          <w:p>
            <w:pPr>
              <w:pStyle w:val="TableContents"/>
              <w:bidi w:val="0"/>
              <w:spacing w:before="0" w:after="0"/>
              <w:ind w:left="0" w:right="0" w:hanging="0"/>
              <w:jc w:val="both"/>
              <w:rPr>
                <w:rFonts w:ascii="Times New Roman;Times;serif" w:hAnsi="Times New Roman;Times;serif"/>
                <w:sz w:val="17"/>
              </w:rPr>
            </w:pPr>
            <w:r>
              <w:rPr>
                <w:rFonts w:ascii="Times New Roman;Times;serif" w:hAnsi="Times New Roman;Times;serif"/>
                <w:sz w:val="17"/>
              </w:rPr>
              <w:t>Call 1-800-652-VOTE (8683), 24 hours a day, seven days a week, through 11:00 p.m. (PT) on June 11, 2024. Please have available your notice card. Follow the simple instructions provided.</w:t>
            </w:r>
          </w:p>
        </w:tc>
        <w:tc>
          <w:tcPr>
            <w:tcW w:w="326" w:type="dxa"/>
            <w:tcBorders/>
            <w:vAlign w:val="center"/>
          </w:tcPr>
          <w:p>
            <w:pPr>
              <w:pStyle w:val="TableContents"/>
              <w:bidi w:val="0"/>
              <w:spacing w:before="0" w:after="0"/>
              <w:ind w:left="0" w:right="0" w:hanging="0"/>
              <w:jc w:val="both"/>
              <w:rPr/>
            </w:pPr>
            <w:r>
              <w:rPr/>
              <w:t>​</w:t>
            </w:r>
          </w:p>
        </w:tc>
        <w:tc>
          <w:tcPr>
            <w:tcW w:w="1544" w:type="dxa"/>
            <w:tcBorders/>
            <w:vAlign w:val="center"/>
          </w:tcPr>
          <w:p>
            <w:pPr>
              <w:pStyle w:val="TableContents"/>
              <w:bidi w:val="0"/>
              <w:spacing w:before="0" w:after="0"/>
              <w:ind w:left="0" w:right="0" w:hanging="0"/>
              <w:jc w:val="both"/>
              <w:rPr>
                <w:rFonts w:ascii="Times New Roman;Times;serif" w:hAnsi="Times New Roman;Times;serif"/>
                <w:sz w:val="17"/>
              </w:rPr>
            </w:pPr>
            <w:r>
              <w:rPr>
                <w:rFonts w:ascii="Times New Roman;Times;serif" w:hAnsi="Times New Roman;Times;serif"/>
                <w:sz w:val="17"/>
              </w:rPr>
              <w:t>Mark, sign and date your proxy card. Return it in the enclosed postage-paid envelope</w:t>
            </w:r>
          </w:p>
        </w:tc>
        <w:tc>
          <w:tcPr>
            <w:tcW w:w="326" w:type="dxa"/>
            <w:tcBorders/>
            <w:vAlign w:val="center"/>
          </w:tcPr>
          <w:p>
            <w:pPr>
              <w:pStyle w:val="TableContents"/>
              <w:bidi w:val="0"/>
              <w:spacing w:before="0" w:after="0"/>
              <w:ind w:left="0" w:right="0" w:hanging="0"/>
              <w:jc w:val="both"/>
              <w:rPr/>
            </w:pPr>
            <w:r>
              <w:rPr/>
              <w:t>​</w:t>
            </w:r>
          </w:p>
        </w:tc>
        <w:tc>
          <w:tcPr>
            <w:tcW w:w="2426" w:type="dxa"/>
            <w:tcBorders/>
            <w:vAlign w:val="center"/>
          </w:tcPr>
          <w:p>
            <w:pPr>
              <w:pStyle w:val="TableContents"/>
              <w:bidi w:val="0"/>
              <w:spacing w:before="0" w:after="0"/>
              <w:ind w:left="0" w:right="0" w:hanging="0"/>
              <w:jc w:val="both"/>
              <w:rPr>
                <w:rFonts w:ascii="Times New Roman;Times;serif" w:hAnsi="Times New Roman;Times;serif"/>
                <w:sz w:val="17"/>
              </w:rPr>
            </w:pPr>
            <w:r>
              <w:rPr>
                <w:rFonts w:ascii="Times New Roman;Times;serif" w:hAnsi="Times New Roman;Times;serif"/>
                <w:sz w:val="17"/>
              </w:rPr>
              <w:t>If you plan to attend the meeting in person, you will need to bring a picture ID and proof of ownership of Grand Canyon Education, Inc. common stock as of the record date.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 w:space="1" w:color="000000"/>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MATTERS TO BE VOTED UPON AND BOARD RECOMMENDATIONS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Stockholders are being asked to vote on the following matters at the Annual Meeting: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50"/>
        <w:gridCol w:w="326"/>
        <w:gridCol w:w="4167"/>
        <w:gridCol w:w="326"/>
        <w:gridCol w:w="1490"/>
        <w:gridCol w:w="326"/>
        <w:gridCol w:w="1720"/>
      </w:tblGrid>
      <w:tr>
        <w:trPr/>
        <w:tc>
          <w:tcPr>
            <w:tcW w:w="185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283"/>
              <w:ind w:left="0" w:right="0" w:hanging="0"/>
              <w:jc w:val="left"/>
              <w:rPr>
                <w:sz w:val="4"/>
                <w:szCs w:val="4"/>
              </w:rPr>
            </w:pPr>
            <w:r>
              <w:rPr>
                <w:sz w:val="4"/>
                <w:szCs w:val="4"/>
              </w:rPr>
            </w:r>
          </w:p>
        </w:tc>
      </w:tr>
      <w:tr>
        <w:trPr/>
        <w:tc>
          <w:tcPr>
            <w:tcW w:w="1850" w:type="dxa"/>
            <w:tcBorders>
              <w:top w:val="single" w:sz="2" w:space="0" w:color="000000"/>
              <w:bottom w:val="single" w:sz="2" w:space="0" w:color="000000"/>
            </w:tcBorders>
            <w:tcMar>
              <w:top w:w="28" w:type="dxa"/>
              <w:bottom w:w="28" w:type="dxa"/>
            </w:tcMar>
            <w:vAlign w:val="center"/>
          </w:tcPr>
          <w:p>
            <w:pPr>
              <w:pStyle w:val="TableContents"/>
              <w:bidi w:val="0"/>
              <w:spacing w:before="0" w:after="20"/>
              <w:ind w:left="0" w:right="0" w:hanging="0"/>
              <w:jc w:val="left"/>
              <w:rPr>
                <w:rFonts w:ascii="Times New Roman;Times;serif" w:hAnsi="Times New Roman;Times;serif"/>
                <w:b/>
                <w:i/>
                <w:sz w:val="18"/>
              </w:rPr>
            </w:pPr>
            <w:r>
              <w:rPr>
                <w:rFonts w:ascii="Times New Roman;Times;serif" w:hAnsi="Times New Roman;Times;serif"/>
                <w:b/>
                <w:i/>
                <w:sz w:val="18"/>
              </w:rPr>
              <w:t>Proposal</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4167"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Description</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49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Board</w:t>
              <w:br/>
              <w:t>Recommendation</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7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b/>
                <w:i/>
                <w:sz w:val="18"/>
              </w:rPr>
            </w:pPr>
            <w:r>
              <w:rPr>
                <w:rFonts w:ascii="Times New Roman;Times;serif" w:hAnsi="Times New Roman;Times;serif"/>
                <w:b/>
                <w:i/>
                <w:sz w:val="18"/>
              </w:rPr>
              <w:t>Page Reference for</w:t>
              <w:br/>
              <w:t>Further Information:</w:t>
            </w:r>
          </w:p>
        </w:tc>
      </w:tr>
      <w:tr>
        <w:trPr/>
        <w:tc>
          <w:tcPr>
            <w:tcW w:w="1850"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1</w:t>
            </w:r>
            <w:r>
              <w:rPr>
                <w:rFonts w:ascii="Times New Roman;Times;serif" w:hAnsi="Times New Roman;Times;serif"/>
                <w:sz w:val="18"/>
              </w:rPr>
              <w:t>   </w:t>
            </w:r>
            <w:r>
              <w:rPr>
                <w:rFonts w:ascii="Times New Roman;Times;serif" w:hAnsi="Times New Roman;Times;serif"/>
                <w:i/>
                <w:sz w:val="18"/>
              </w:rPr>
              <w:t>To elect six directors to our Board of Directors</w:t>
            </w:r>
            <w:r>
              <w:rPr>
                <w:rFonts w:ascii="Times New Roman;Times;serif" w:hAnsi="Times New Roman;Times;serif"/>
                <w:sz w:val="18"/>
              </w:rPr>
              <w:t>.</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Board and the Nominating and Corporate Governance Committee believe that the six director nominees possess the necessary qualifications, attributes, skills and experiences to provide quality advice and counsel to the Company’s management and effectively oversee the business and long-term interests of our stockholders.</w:t>
            </w:r>
          </w:p>
        </w:tc>
        <w:tc>
          <w:tcPr>
            <w:tcW w:w="326"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pPr>
            <w:r>
              <w:rPr/>
              <w:t>“</w:t>
            </w:r>
            <w:r>
              <w:rPr>
                <w:rFonts w:ascii="Times New Roman;Times;serif" w:hAnsi="Times New Roman;Times;serif"/>
                <w:b/>
                <w:sz w:val="18"/>
              </w:rPr>
              <w:t>FOR”</w:t>
            </w:r>
            <w:r>
              <w:rPr>
                <w:rFonts w:ascii="Times New Roman;Times;serif" w:hAnsi="Times New Roman;Times;serif"/>
                <w:sz w:val="18"/>
              </w:rPr>
              <w:t xml:space="preserve"> each director nominee</w:t>
            </w:r>
          </w:p>
        </w:tc>
        <w:tc>
          <w:tcPr>
            <w:tcW w:w="326"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27</w:t>
            </w:r>
          </w:p>
        </w:tc>
      </w:tr>
      <w:tr>
        <w:trPr/>
        <w:tc>
          <w:tcPr>
            <w:tcW w:w="1850"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w:t>
            </w:r>
          </w:p>
        </w:tc>
      </w:tr>
      <w:tr>
        <w:trPr/>
        <w:tc>
          <w:tcPr>
            <w:tcW w:w="1850"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2 </w:t>
            </w:r>
            <w:r>
              <w:rPr>
                <w:rFonts w:ascii="Times New Roman;Times;serif" w:hAnsi="Times New Roman;Times;serif"/>
                <w:sz w:val="18"/>
              </w:rPr>
              <w:t>  </w:t>
            </w:r>
            <w:r>
              <w:rPr>
                <w:rFonts w:ascii="Times New Roman;Times;serif" w:hAnsi="Times New Roman;Times;serif"/>
                <w:i/>
                <w:sz w:val="18"/>
              </w:rPr>
              <w:t>To approve, on an advisory basis, the compensation of our named executive officers.</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The Company seeks the approval, on an advisory, basis, of the compensation of its named executive officers as described in the </w:t>
            </w:r>
            <w:r>
              <w:rPr>
                <w:rFonts w:ascii="Times New Roman;Times;serif" w:hAnsi="Times New Roman;Times;serif"/>
                <w:i/>
                <w:sz w:val="18"/>
              </w:rPr>
              <w:t>Compensation Discussion and Analysis</w:t>
            </w:r>
            <w:r>
              <w:rPr>
                <w:rFonts w:ascii="Times New Roman;Times;serif" w:hAnsi="Times New Roman;Times;serif"/>
                <w:sz w:val="18"/>
              </w:rPr>
              <w:t xml:space="preserve"> section and the related tables.</w:t>
            </w:r>
          </w:p>
        </w:tc>
        <w:tc>
          <w:tcPr>
            <w:tcW w:w="326"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pPr>
            <w:r>
              <w:rPr/>
              <w:t>“</w:t>
            </w:r>
            <w:r>
              <w:rPr>
                <w:rFonts w:ascii="Times New Roman;Times;serif" w:hAnsi="Times New Roman;Times;serif"/>
                <w:b/>
                <w:sz w:val="18"/>
              </w:rPr>
              <w:t>FOR”</w:t>
            </w:r>
          </w:p>
        </w:tc>
        <w:tc>
          <w:tcPr>
            <w:tcW w:w="326"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32</w:t>
            </w:r>
          </w:p>
        </w:tc>
      </w:tr>
      <w:tr>
        <w:trPr/>
        <w:tc>
          <w:tcPr>
            <w:tcW w:w="1850"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w:t>
            </w:r>
          </w:p>
        </w:tc>
      </w:tr>
      <w:tr>
        <w:trPr/>
        <w:tc>
          <w:tcPr>
            <w:tcW w:w="1850"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b/>
                <w:sz w:val="18"/>
              </w:rPr>
              <w:t>3</w:t>
            </w:r>
            <w:r>
              <w:rPr>
                <w:rFonts w:ascii="Times New Roman;Times;serif" w:hAnsi="Times New Roman;Times;serif"/>
                <w:sz w:val="18"/>
              </w:rPr>
              <w:t>   </w:t>
            </w:r>
            <w:r>
              <w:rPr>
                <w:rFonts w:ascii="Times New Roman;Times;serif" w:hAnsi="Times New Roman;Times;serif"/>
                <w:i/>
                <w:sz w:val="18"/>
              </w:rPr>
              <w:t>To ratify the appointment of KPMG LLP as our independent registered public accounting firm.</w:t>
            </w:r>
          </w:p>
        </w:tc>
        <w:tc>
          <w:tcPr>
            <w:tcW w:w="326" w:type="dxa"/>
            <w:tcBorders/>
            <w:vAlign w:val="center"/>
          </w:tcPr>
          <w:p>
            <w:pPr>
              <w:pStyle w:val="TableContents"/>
              <w:bidi w:val="0"/>
              <w:spacing w:before="0" w:after="0"/>
              <w:ind w:left="0" w:right="0" w:hanging="0"/>
              <w:jc w:val="left"/>
              <w:rPr/>
            </w:pPr>
            <w:r>
              <w:rPr/>
              <w:t>​</w:t>
            </w:r>
          </w:p>
        </w:tc>
        <w:tc>
          <w:tcPr>
            <w:tcW w:w="416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Audit Committee and the Board believe that the retention of KPMG LLP to serve as our independent registered public accounting firm for the fiscal year ending December 31, 2024 is in the best interests of the Company and its stockholders and we are asking our stockholders to ratify the Audit Committee’s selection of KPMG LLP to serve in that capacity.</w:t>
            </w:r>
          </w:p>
        </w:tc>
        <w:tc>
          <w:tcPr>
            <w:tcW w:w="326"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pPr>
            <w:r>
              <w:rPr/>
              <w:t>“</w:t>
            </w:r>
            <w:r>
              <w:rPr>
                <w:rFonts w:ascii="Times New Roman;Times;serif" w:hAnsi="Times New Roman;Times;serif"/>
                <w:b/>
                <w:sz w:val="18"/>
              </w:rPr>
              <w:t>FOR”</w:t>
            </w:r>
          </w:p>
        </w:tc>
        <w:tc>
          <w:tcPr>
            <w:tcW w:w="326" w:type="dxa"/>
            <w:tcBorders/>
            <w:vAlign w:val="center"/>
          </w:tcPr>
          <w:p>
            <w:pPr>
              <w:pStyle w:val="TableContents"/>
              <w:bidi w:val="0"/>
              <w:spacing w:before="0" w:after="0"/>
              <w:ind w:left="0" w:right="0" w:hanging="0"/>
              <w:jc w:val="left"/>
              <w:rPr/>
            </w:pPr>
            <w:r>
              <w:rPr/>
              <w:t>​</w:t>
            </w:r>
          </w:p>
        </w:tc>
        <w:tc>
          <w:tcPr>
            <w:tcW w:w="172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pBdr>
          <w:top w:val="single" w:sz="2" w:space="1" w:color="000000"/>
        </w:pBdr>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DIRECTOR NOMINEES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following provides summary information regarding our director nominees:</w:t>
      </w:r>
    </w:p>
    <w:tbl>
      <w:tblPr>
        <w:tblW w:w="10205" w:type="dxa"/>
        <w:jc w:val="left"/>
        <w:tblInd w:w="0" w:type="dxa"/>
        <w:tblLayout w:type="fixed"/>
        <w:tblCellMar>
          <w:top w:w="28" w:type="dxa"/>
          <w:left w:w="0" w:type="dxa"/>
          <w:bottom w:w="28" w:type="dxa"/>
          <w:right w:w="0" w:type="dxa"/>
        </w:tblCellMar>
      </w:tblPr>
      <w:tblGrid>
        <w:gridCol w:w="1078"/>
        <w:gridCol w:w="326"/>
        <w:gridCol w:w="391"/>
        <w:gridCol w:w="326"/>
        <w:gridCol w:w="721"/>
        <w:gridCol w:w="326"/>
        <w:gridCol w:w="2866"/>
        <w:gridCol w:w="326"/>
        <w:gridCol w:w="336"/>
        <w:gridCol w:w="370"/>
        <w:gridCol w:w="336"/>
        <w:gridCol w:w="370"/>
        <w:gridCol w:w="548"/>
        <w:gridCol w:w="326"/>
        <w:gridCol w:w="1366"/>
        <w:gridCol w:w="193"/>
      </w:tblGrid>
      <w:tr>
        <w:trPr/>
        <w:tc>
          <w:tcPr>
            <w:tcW w:w="1078"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391"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Age</w:t>
            </w:r>
          </w:p>
        </w:tc>
        <w:tc>
          <w:tcPr>
            <w:tcW w:w="32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721"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Director</w:t>
            </w:r>
            <w:r>
              <w:rPr>
                <w:rFonts w:ascii="Times New Roman;Times;serif" w:hAnsi="Times New Roman;Times;serif"/>
                <w:sz w:val="16"/>
              </w:rPr>
              <w:br/>
            </w:r>
            <w:r>
              <w:rPr>
                <w:rFonts w:ascii="Times New Roman;Times;serif" w:hAnsi="Times New Roman;Times;serif"/>
                <w:b/>
                <w:sz w:val="16"/>
              </w:rPr>
              <w:t>Since</w:t>
            </w:r>
          </w:p>
        </w:tc>
        <w:tc>
          <w:tcPr>
            <w:tcW w:w="32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2866" w:type="dxa"/>
            <w:tcBorders>
              <w:top w:val="single" w:sz="2" w:space="0" w:color="000000"/>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Primary Occupation</w:t>
            </w:r>
          </w:p>
        </w:tc>
        <w:tc>
          <w:tcPr>
            <w:tcW w:w="32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1960" w:type="dxa"/>
            <w:gridSpan w:val="5"/>
            <w:tcBorders>
              <w:top w:val="single" w:sz="2" w:space="0" w:color="000000"/>
              <w:bottom w:val="single" w:sz="2" w:space="0" w:color="000000"/>
            </w:tcBorders>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Committee Memberships</w:t>
            </w:r>
            <w:r>
              <w:rPr>
                <w:rFonts w:ascii="Times New Roman;Times;serif" w:hAnsi="Times New Roman;Times;serif"/>
                <w:b/>
                <w:sz w:val="12"/>
              </w:rPr>
              <w:t>(1)</w:t>
            </w:r>
          </w:p>
        </w:tc>
        <w:tc>
          <w:tcPr>
            <w:tcW w:w="326" w:type="dxa"/>
            <w:tcBorders>
              <w:top w:val="single" w:sz="2" w:space="0" w:color="000000"/>
              <w:bottom w:val="single" w:sz="2" w:space="0" w:color="000000"/>
            </w:tcBorders>
            <w:vAlign w:val="center"/>
          </w:tcPr>
          <w:p>
            <w:pPr>
              <w:pStyle w:val="TableContents"/>
              <w:bidi w:val="0"/>
              <w:spacing w:before="0" w:after="0"/>
              <w:ind w:left="0" w:right="0" w:hanging="0"/>
              <w:jc w:val="left"/>
              <w:rPr/>
            </w:pPr>
            <w:r>
              <w:rPr/>
              <w:t>​</w:t>
            </w:r>
          </w:p>
        </w:tc>
        <w:tc>
          <w:tcPr>
            <w:tcW w:w="1366" w:type="dxa"/>
            <w:tcBorders>
              <w:top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Other Public</w:t>
            </w:r>
            <w:r>
              <w:rPr>
                <w:rFonts w:ascii="Times New Roman;Times;serif" w:hAnsi="Times New Roman;Times;serif"/>
                <w:sz w:val="16"/>
              </w:rPr>
              <w:br/>
            </w:r>
            <w:r>
              <w:rPr>
                <w:rFonts w:ascii="Times New Roman;Times;serif" w:hAnsi="Times New Roman;Times;serif"/>
                <w:b/>
                <w:sz w:val="16"/>
              </w:rPr>
              <w:t>Company Boards</w:t>
            </w:r>
          </w:p>
        </w:tc>
        <w:tc>
          <w:tcPr>
            <w:tcW w:w="193"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w:t>
            </w:r>
          </w:p>
        </w:tc>
      </w:tr>
      <w:tr>
        <w:trPr/>
        <w:tc>
          <w:tcPr>
            <w:tcW w:w="1078"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w:t>
            </w:r>
          </w:p>
        </w:tc>
        <w:tc>
          <w:tcPr>
            <w:tcW w:w="326"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391"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w:t>
            </w:r>
          </w:p>
        </w:tc>
        <w:tc>
          <w:tcPr>
            <w:tcW w:w="326"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721"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w:t>
            </w:r>
          </w:p>
        </w:tc>
        <w:tc>
          <w:tcPr>
            <w:tcW w:w="326"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2866"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w:t>
            </w:r>
          </w:p>
        </w:tc>
        <w:tc>
          <w:tcPr>
            <w:tcW w:w="326"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336" w:type="dxa"/>
            <w:tcBorders>
              <w:top w:val="single" w:sz="2" w:space="0" w:color="000000"/>
              <w:bottom w:val="single" w:sz="2" w:space="0" w:color="000000"/>
            </w:tcBorders>
            <w:vAlign w:val="center"/>
          </w:tcPr>
          <w:p>
            <w:pPr>
              <w:pStyle w:val="TableContents"/>
              <w:bidi w:val="0"/>
              <w:spacing w:before="0" w:after="200"/>
              <w:ind w:left="0" w:right="0" w:hanging="0"/>
              <w:jc w:val="left"/>
              <w:rPr>
                <w:rFonts w:ascii="Times New Roman;Times;serif" w:hAnsi="Times New Roman;Times;serif"/>
                <w:i/>
                <w:sz w:val="18"/>
              </w:rPr>
            </w:pPr>
            <w:r>
              <w:rPr>
                <w:rFonts w:ascii="Times New Roman;Times;serif" w:hAnsi="Times New Roman;Times;serif"/>
                <w:i/>
                <w:sz w:val="18"/>
              </w:rPr>
              <w:t>A</w:t>
            </w:r>
          </w:p>
        </w:tc>
        <w:tc>
          <w:tcPr>
            <w:tcW w:w="370"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336" w:type="dxa"/>
            <w:tcBorders>
              <w:top w:val="single" w:sz="2" w:space="0" w:color="000000"/>
              <w:bottom w:val="single" w:sz="2" w:space="0" w:color="000000"/>
            </w:tcBorders>
            <w:vAlign w:val="center"/>
          </w:tcPr>
          <w:p>
            <w:pPr>
              <w:pStyle w:val="TableContents"/>
              <w:bidi w:val="0"/>
              <w:spacing w:before="0" w:after="200"/>
              <w:ind w:left="0" w:right="0" w:hanging="0"/>
              <w:jc w:val="left"/>
              <w:rPr>
                <w:rFonts w:ascii="Times New Roman;Times;serif" w:hAnsi="Times New Roman;Times;serif"/>
                <w:i/>
                <w:sz w:val="18"/>
              </w:rPr>
            </w:pPr>
            <w:r>
              <w:rPr>
                <w:rFonts w:ascii="Times New Roman;Times;serif" w:hAnsi="Times New Roman;Times;serif"/>
                <w:i/>
                <w:sz w:val="18"/>
              </w:rPr>
              <w:t>C</w:t>
            </w:r>
          </w:p>
        </w:tc>
        <w:tc>
          <w:tcPr>
            <w:tcW w:w="370"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548" w:type="dxa"/>
            <w:tcBorders>
              <w:top w:val="single" w:sz="2" w:space="0" w:color="000000"/>
              <w:bottom w:val="single" w:sz="2" w:space="0" w:color="000000"/>
            </w:tcBorders>
            <w:vAlign w:val="center"/>
          </w:tcPr>
          <w:p>
            <w:pPr>
              <w:pStyle w:val="TableContents"/>
              <w:bidi w:val="0"/>
              <w:spacing w:before="0" w:after="200"/>
              <w:ind w:left="0" w:right="0" w:hanging="0"/>
              <w:jc w:val="left"/>
              <w:rPr>
                <w:rFonts w:ascii="Times New Roman;Times;serif" w:hAnsi="Times New Roman;Times;serif"/>
                <w:i/>
                <w:sz w:val="18"/>
              </w:rPr>
            </w:pPr>
            <w:r>
              <w:rPr>
                <w:rFonts w:ascii="Times New Roman;Times;serif" w:hAnsi="Times New Roman;Times;serif"/>
                <w:i/>
                <w:sz w:val="18"/>
              </w:rPr>
              <w:t>NCG</w:t>
            </w:r>
          </w:p>
        </w:tc>
        <w:tc>
          <w:tcPr>
            <w:tcW w:w="326"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    </w:t>
            </w:r>
          </w:p>
        </w:tc>
        <w:tc>
          <w:tcPr>
            <w:tcW w:w="1366" w:type="dxa"/>
            <w:tcBorders>
              <w:top w:val="single" w:sz="2" w:space="0" w:color="000000"/>
              <w:bottom w:val="single" w:sz="2" w:space="0" w:color="000000"/>
            </w:tcBorders>
            <w:vAlign w:val="center"/>
          </w:tcPr>
          <w:p>
            <w:pPr>
              <w:pStyle w:val="TableContents"/>
              <w:bidi w:val="0"/>
              <w:spacing w:before="0" w:after="200"/>
              <w:ind w:left="0" w:right="0" w:hanging="0"/>
              <w:jc w:val="center"/>
              <w:rPr/>
            </w:pPr>
            <w:r>
              <w:rPr/>
              <w:t>​</w:t>
            </w:r>
          </w:p>
        </w:tc>
        <w:tc>
          <w:tcPr>
            <w:tcW w:w="193" w:type="dxa"/>
            <w:tcBorders>
              <w:top w:val="single" w:sz="2" w:space="0" w:color="000000"/>
              <w:bottom w:val="single" w:sz="2" w:space="0" w:color="000000"/>
            </w:tcBorders>
            <w:vAlign w:val="center"/>
          </w:tcPr>
          <w:p>
            <w:pPr>
              <w:pStyle w:val="TableContents"/>
              <w:bidi w:val="0"/>
              <w:spacing w:before="0" w:after="200"/>
              <w:ind w:left="0" w:right="0" w:hanging="0"/>
              <w:jc w:val="left"/>
              <w:rPr/>
            </w:pPr>
            <w:r>
              <w:rPr/>
              <w:t>​</w:t>
            </w:r>
          </w:p>
        </w:tc>
      </w:tr>
      <w:tr>
        <w:trPr/>
        <w:tc>
          <w:tcPr>
            <w:tcW w:w="1078" w:type="dxa"/>
            <w:tcBorders>
              <w:top w:val="single" w:sz="2" w:space="0" w:color="000000"/>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Brian E. Mueller*</w:t>
            </w:r>
          </w:p>
        </w:tc>
        <w:tc>
          <w:tcPr>
            <w:tcW w:w="326"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391" w:type="dxa"/>
            <w:tcBorders>
              <w:top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70 </w:t>
            </w:r>
          </w:p>
        </w:tc>
        <w:tc>
          <w:tcPr>
            <w:tcW w:w="326"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721" w:type="dxa"/>
            <w:tcBorders>
              <w:top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2009 </w:t>
            </w:r>
          </w:p>
        </w:tc>
        <w:tc>
          <w:tcPr>
            <w:tcW w:w="326"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2866" w:type="dxa"/>
            <w:tcBorders>
              <w:top w:val="single" w:sz="2" w:space="0" w:color="000000"/>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Chairman of the Board of Directors and Chief Executive Officer, Grand Canyon Education, Inc.</w:t>
            </w:r>
          </w:p>
        </w:tc>
        <w:tc>
          <w:tcPr>
            <w:tcW w:w="326"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336" w:type="dxa"/>
            <w:tcBorders>
              <w:top w:val="single" w:sz="2" w:space="0" w:color="000000"/>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70"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336" w:type="dxa"/>
            <w:tcBorders>
              <w:top w:val="single" w:sz="2" w:space="0" w:color="000000"/>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70"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548" w:type="dxa"/>
            <w:tcBorders>
              <w:top w:val="single" w:sz="2" w:space="0" w:color="000000"/>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op w:val="single" w:sz="2" w:space="0" w:color="000000"/>
            </w:tcBorders>
            <w:tcMar>
              <w:bottom w:w="0" w:type="dxa"/>
            </w:tcMar>
            <w:vAlign w:val="center"/>
          </w:tcPr>
          <w:p>
            <w:pPr>
              <w:pStyle w:val="TableContents"/>
              <w:bidi w:val="0"/>
              <w:spacing w:before="0" w:after="0"/>
              <w:ind w:left="0" w:right="0" w:hanging="0"/>
              <w:jc w:val="left"/>
              <w:rPr/>
            </w:pPr>
            <w:r>
              <w:rPr/>
              <w:t>​</w:t>
            </w:r>
          </w:p>
        </w:tc>
        <w:tc>
          <w:tcPr>
            <w:tcW w:w="1366" w:type="dxa"/>
            <w:tcBorders>
              <w:top w:val="single" w:sz="2" w:space="0" w:color="000000"/>
            </w:tcBorders>
            <w:tcMar>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w:t>
            </w:r>
          </w:p>
        </w:tc>
        <w:tc>
          <w:tcPr>
            <w:tcW w:w="193" w:type="dxa"/>
            <w:tcBorders>
              <w:top w:val="single" w:sz="2" w:space="0" w:color="000000"/>
            </w:tcBorders>
            <w:tcMar>
              <w:bottom w:w="0" w:type="dxa"/>
            </w:tcMar>
            <w:vAlign w:val="center"/>
          </w:tcPr>
          <w:p>
            <w:pPr>
              <w:pStyle w:val="TableContents"/>
              <w:bidi w:val="0"/>
              <w:spacing w:before="0" w:after="0"/>
              <w:ind w:left="0" w:right="0" w:hanging="0"/>
              <w:jc w:val="left"/>
              <w:rPr/>
            </w:pPr>
            <w:r>
              <w:rPr/>
              <w:t> </w:t>
            </w:r>
          </w:p>
        </w:tc>
      </w:tr>
      <w:tr>
        <w:trPr/>
        <w:tc>
          <w:tcPr>
            <w:tcW w:w="107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left"/>
              <w:rPr/>
            </w:pPr>
            <w:r>
              <w:rPr/>
              <w:t>​</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Sara Ward</w:t>
            </w:r>
            <w:r>
              <w:rPr>
                <w:rFonts w:ascii="Times New Roman;Times;serif" w:hAnsi="Times New Roman;Times;serif"/>
                <w:sz w:val="14"/>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60 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2013 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 Sara Dial &amp; Associates</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center"/>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1 </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pBdr/>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center"/>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center"/>
              <w:rPr/>
            </w:pPr>
            <w:r>
              <w:rPr/>
              <w:t>​</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Jack A. Henry</w:t>
            </w:r>
            <w:r>
              <w:rPr>
                <w:rFonts w:ascii="Times New Roman;Times;serif" w:hAnsi="Times New Roman;Times;serif"/>
                <w:sz w:val="14"/>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80 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2008 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Managing Director, Sierra Blanca Ventures, LLC</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r>
              <w:rPr>
                <w:rFonts w:ascii="Times New Roman;Times;serif" w:hAnsi="Times New Roman;Times;serif"/>
                <w:sz w:val="18"/>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left"/>
              <w:rPr/>
            </w:pPr>
            <w:r>
              <w:rPr/>
              <w:t>​</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Lisa Graham Keegan</w:t>
            </w:r>
            <w:r>
              <w:rPr>
                <w:rFonts w:ascii="Times New Roman;Times;serif" w:hAnsi="Times New Roman;Times;serif"/>
                <w:sz w:val="14"/>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64 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2019 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Partner at The Keegan Company</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center"/>
              <w:rPr/>
            </w:pPr>
            <w:r>
              <w:rPr/>
              <w:t>⌧</w:t>
            </w:r>
            <w:r>
              <w:rPr>
                <w:rFonts w:ascii="Times New Roman;Times;serif" w:hAnsi="Times New Roman;Times;serif"/>
                <w:sz w:val="18"/>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left"/>
              <w:rPr/>
            </w:pPr>
            <w:r>
              <w:rPr/>
              <w:t>​</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Chevy Humphrey</w:t>
            </w:r>
            <w:r>
              <w:rPr>
                <w:rFonts w:ascii="Times New Roman;Times;serif" w:hAnsi="Times New Roman;Times;serif"/>
                <w:sz w:val="14"/>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59 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2019 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 Museum of Science and Industry Chicago</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r>
              <w:rPr>
                <w:rFonts w:ascii="Times New Roman;Times;serif" w:hAnsi="Times New Roman;Times;serif"/>
                <w:sz w:val="18"/>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center"/>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left"/>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left"/>
              <w:rPr/>
            </w:pPr>
            <w:r>
              <w:rPr/>
              <w:t>​</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r>
        <w:trPr/>
        <w:tc>
          <w:tcPr>
            <w:tcW w:w="1078" w:type="dxa"/>
            <w:tcBorders/>
            <w:tcMar>
              <w:top w:w="0" w:type="dxa"/>
              <w:bottom w:w="0" w:type="dxa"/>
            </w:tcMar>
            <w:vAlign w:val="center"/>
          </w:tcPr>
          <w:p>
            <w:pPr>
              <w:pStyle w:val="TableContents"/>
              <w:pBdr/>
              <w:bidi w:val="0"/>
              <w:spacing w:lineRule="auto" w:line="240" w:before="0" w:after="0"/>
              <w:ind w:left="0" w:right="0" w:hanging="0"/>
              <w:jc w:val="left"/>
              <w:rPr>
                <w:rFonts w:ascii="Times New Roman;Times;serif" w:hAnsi="Times New Roman;Times;serif"/>
                <w:sz w:val="18"/>
              </w:rPr>
            </w:pPr>
            <w:r>
              <w:rPr>
                <w:rFonts w:ascii="Times New Roman;Times;serif" w:hAnsi="Times New Roman;Times;serif"/>
                <w:sz w:val="18"/>
              </w:rPr>
              <w:t>Kevin F. Warren</w:t>
            </w:r>
            <w:r>
              <w:rPr>
                <w:rFonts w:ascii="Times New Roman;Times;serif" w:hAnsi="Times New Roman;Times;serif"/>
                <w:sz w:val="14"/>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9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60</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721"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2024 </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2866" w:type="dxa"/>
            <w:tcBorders/>
            <w:tcMar>
              <w:top w:w="0"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President and Chief Executive Officer of the Chicago Bears Football Club</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center"/>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336" w:type="dxa"/>
            <w:tcBorders/>
            <w:tcMar>
              <w:top w:w="0" w:type="dxa"/>
              <w:bottom w:w="0" w:type="dxa"/>
            </w:tcMar>
            <w:vAlign w:val="center"/>
          </w:tcPr>
          <w:p>
            <w:pPr>
              <w:pStyle w:val="TableContents"/>
              <w:bidi w:val="0"/>
              <w:spacing w:before="0" w:after="0"/>
              <w:ind w:left="0" w:right="0" w:hanging="0"/>
              <w:jc w:val="left"/>
              <w:rPr/>
            </w:pPr>
            <w:r>
              <w:rPr/>
              <w:t>⌧</w:t>
            </w:r>
          </w:p>
        </w:tc>
        <w:tc>
          <w:tcPr>
            <w:tcW w:w="370" w:type="dxa"/>
            <w:tcBorders/>
            <w:tcMar>
              <w:top w:w="0" w:type="dxa"/>
              <w:bottom w:w="0" w:type="dxa"/>
            </w:tcMar>
            <w:vAlign w:val="center"/>
          </w:tcPr>
          <w:p>
            <w:pPr>
              <w:pStyle w:val="TableContents"/>
              <w:bidi w:val="0"/>
              <w:spacing w:before="0" w:after="0"/>
              <w:ind w:left="0" w:right="0" w:hanging="0"/>
              <w:jc w:val="left"/>
              <w:rPr/>
            </w:pPr>
            <w:r>
              <w:rPr/>
              <w:t>​</w:t>
            </w:r>
          </w:p>
        </w:tc>
        <w:tc>
          <w:tcPr>
            <w:tcW w:w="548" w:type="dxa"/>
            <w:tcBorders/>
            <w:tcMar>
              <w:top w:w="0" w:type="dxa"/>
              <w:bottom w:w="0" w:type="dxa"/>
            </w:tcMar>
            <w:vAlign w:val="center"/>
          </w:tcPr>
          <w:p>
            <w:pPr>
              <w:pStyle w:val="TableContents"/>
              <w:bidi w:val="0"/>
              <w:spacing w:before="0" w:after="0"/>
              <w:ind w:left="0" w:right="0" w:hanging="0"/>
              <w:jc w:val="center"/>
              <w:rPr/>
            </w:pPr>
            <w:r>
              <w:rPr/>
              <w:t>⌧</w:t>
            </w:r>
          </w:p>
        </w:tc>
        <w:tc>
          <w:tcPr>
            <w:tcW w:w="326" w:type="dxa"/>
            <w:tcBorders/>
            <w:tcMar>
              <w:top w:w="0" w:type="dxa"/>
              <w:bottom w:w="0" w:type="dxa"/>
            </w:tcMar>
            <w:vAlign w:val="center"/>
          </w:tcPr>
          <w:p>
            <w:pPr>
              <w:pStyle w:val="TableContents"/>
              <w:bidi w:val="0"/>
              <w:spacing w:before="0" w:after="0"/>
              <w:ind w:left="0" w:right="0" w:hanging="0"/>
              <w:jc w:val="left"/>
              <w:rPr/>
            </w:pPr>
            <w:r>
              <w:rPr/>
              <w:t>​</w:t>
            </w:r>
          </w:p>
        </w:tc>
        <w:tc>
          <w:tcPr>
            <w:tcW w:w="1366" w:type="dxa"/>
            <w:tcBorders/>
            <w:tcMar>
              <w:top w:w="0"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None </w:t>
            </w:r>
          </w:p>
        </w:tc>
        <w:tc>
          <w:tcPr>
            <w:tcW w:w="193" w:type="dxa"/>
            <w:tcBorders/>
            <w:tcMar>
              <w:top w:w="0" w:type="dxa"/>
              <w:bottom w:w="0" w:type="dxa"/>
            </w:tcMar>
            <w:vAlign w:val="center"/>
          </w:tcPr>
          <w:p>
            <w:pPr>
              <w:pStyle w:val="TableContents"/>
              <w:bidi w:val="0"/>
              <w:spacing w:before="0" w:after="0"/>
              <w:ind w:left="0" w:right="0" w:hanging="0"/>
              <w:jc w:val="left"/>
              <w:rPr/>
            </w:pPr>
            <w:r>
              <w:rPr/>
              <w:t>​</w:t>
            </w:r>
          </w:p>
        </w:tc>
      </w:tr>
    </w:tbl>
    <w:tbl>
      <w:tblPr>
        <w:tblW w:w="827" w:type="dxa"/>
        <w:jc w:val="left"/>
        <w:tblInd w:w="0" w:type="dxa"/>
        <w:tblLayout w:type="fixed"/>
        <w:tblCellMar>
          <w:top w:w="0" w:type="dxa"/>
          <w:left w:w="0" w:type="dxa"/>
          <w:bottom w:w="0" w:type="dxa"/>
          <w:right w:w="0" w:type="dxa"/>
        </w:tblCellMar>
      </w:tblPr>
      <w:tblGrid>
        <w:gridCol w:w="226"/>
        <w:gridCol w:w="60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Chair</w:t>
            </w:r>
          </w:p>
        </w:tc>
      </w:tr>
    </w:tbl>
    <w:tbl>
      <w:tblPr>
        <w:tblW w:w="2072" w:type="dxa"/>
        <w:jc w:val="left"/>
        <w:tblInd w:w="0" w:type="dxa"/>
        <w:tblLayout w:type="fixed"/>
        <w:tblCellMar>
          <w:top w:w="0" w:type="dxa"/>
          <w:left w:w="0" w:type="dxa"/>
          <w:bottom w:w="0" w:type="dxa"/>
          <w:right w:w="0" w:type="dxa"/>
        </w:tblCellMar>
      </w:tblPr>
      <w:tblGrid>
        <w:gridCol w:w="226"/>
        <w:gridCol w:w="184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8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Independent director</w:t>
            </w:r>
          </w:p>
        </w:tc>
      </w:tr>
    </w:tbl>
    <w:tbl>
      <w:tblPr>
        <w:tblW w:w="2552" w:type="dxa"/>
        <w:jc w:val="left"/>
        <w:tblInd w:w="0" w:type="dxa"/>
        <w:tblLayout w:type="fixed"/>
        <w:tblCellMar>
          <w:top w:w="0" w:type="dxa"/>
          <w:left w:w="0" w:type="dxa"/>
          <w:bottom w:w="0" w:type="dxa"/>
          <w:right w:w="0" w:type="dxa"/>
        </w:tblCellMar>
      </w:tblPr>
      <w:tblGrid>
        <w:gridCol w:w="256"/>
        <w:gridCol w:w="2296"/>
      </w:tblGrid>
      <w:tr>
        <w:trPr/>
        <w:tc>
          <w:tcPr>
            <w:tcW w:w="256" w:type="dxa"/>
            <w:tcBorders/>
            <w:vAlign w:val="center"/>
          </w:tcPr>
          <w:p>
            <w:pPr>
              <w:pStyle w:val="TableContents"/>
              <w:bidi w:val="0"/>
              <w:spacing w:before="0" w:after="120"/>
              <w:jc w:val="left"/>
              <w:rPr/>
            </w:pPr>
            <w:r>
              <w:rPr/>
              <w:t>≠</w:t>
            </w:r>
          </w:p>
        </w:tc>
        <w:tc>
          <w:tcPr>
            <w:tcW w:w="229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Lead independent director</w:t>
            </w:r>
          </w:p>
        </w:tc>
      </w:tr>
    </w:tbl>
    <w:tbl>
      <w:tblPr>
        <w:tblW w:w="9782" w:type="dxa"/>
        <w:jc w:val="left"/>
        <w:tblInd w:w="0" w:type="dxa"/>
        <w:tblLayout w:type="fixed"/>
        <w:tblCellMar>
          <w:top w:w="0" w:type="dxa"/>
          <w:left w:w="0" w:type="dxa"/>
          <w:bottom w:w="0" w:type="dxa"/>
          <w:right w:w="0" w:type="dxa"/>
        </w:tblCellMar>
      </w:tblPr>
      <w:tblGrid>
        <w:gridCol w:w="346"/>
        <w:gridCol w:w="9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436"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xml:space="preserve">= Audit Committee;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Compensation Committee; and </w:t>
            </w:r>
            <w:r>
              <w:rPr>
                <w:rFonts w:ascii="Times New Roman;Times;serif" w:hAnsi="Times New Roman;Times;serif"/>
                <w:b/>
                <w:i w:val="false"/>
                <w:caps w:val="false"/>
                <w:smallCaps w:val="false"/>
                <w:sz w:val="20"/>
              </w:rPr>
              <w:t>NCG</w:t>
            </w:r>
            <w:r>
              <w:rPr>
                <w:rFonts w:ascii="Times New Roman;Times;serif" w:hAnsi="Times New Roman;Times;serif"/>
                <w:b w:val="false"/>
                <w:i w:val="false"/>
                <w:caps w:val="false"/>
                <w:smallCaps w:val="false"/>
                <w:sz w:val="20"/>
              </w:rPr>
              <w:t>=Nominating and Corporate Governance Committee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 w:space="1" w:color="000000"/>
        </w:pBdr>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CORPORATE GOVERNANCE HIGHLIGHTS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believe that effective corporate governance is critical to our ability to create long term value for our stockholders. The following highlights certain key aspects of our corporate governance framework:</w:t>
      </w:r>
    </w:p>
    <w:tbl>
      <w:tblPr>
        <w:tblW w:w="10205" w:type="dxa"/>
        <w:jc w:val="left"/>
        <w:tblInd w:w="0" w:type="dxa"/>
        <w:tblLayout w:type="fixed"/>
        <w:tblCellMar>
          <w:top w:w="0" w:type="dxa"/>
          <w:left w:w="0" w:type="dxa"/>
          <w:bottom w:w="0" w:type="dxa"/>
          <w:right w:w="0" w:type="dxa"/>
        </w:tblCellMar>
      </w:tblPr>
      <w:tblGrid>
        <w:gridCol w:w="341"/>
        <w:gridCol w:w="316"/>
        <w:gridCol w:w="4664"/>
        <w:gridCol w:w="326"/>
        <w:gridCol w:w="316"/>
        <w:gridCol w:w="4242"/>
      </w:tblGrid>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46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4242" w:type="dxa"/>
            <w:tcBorders/>
            <w:vAlign w:val="center"/>
          </w:tcPr>
          <w:p>
            <w:pPr>
              <w:pStyle w:val="TableContents"/>
              <w:bidi w:val="0"/>
              <w:spacing w:before="0" w:after="0"/>
              <w:ind w:left="0" w:right="0" w:hanging="0"/>
              <w:jc w:val="left"/>
              <w:rPr/>
            </w:pPr>
            <w:r>
              <w:rPr/>
              <w:t>​</w:t>
            </w:r>
          </w:p>
        </w:tc>
      </w:tr>
      <w:tr>
        <w:trPr/>
        <w:tc>
          <w:tcPr>
            <w:tcW w:w="341" w:type="dxa"/>
            <w:tcBorders/>
            <w:vAlign w:val="center"/>
          </w:tcPr>
          <w:p>
            <w:pPr>
              <w:pStyle w:val="TableContents"/>
              <w:bidi w:val="0"/>
              <w:spacing w:before="0" w:after="0"/>
              <w:ind w:left="0" w:right="0" w:hanging="0"/>
              <w:jc w:val="left"/>
              <w:rPr/>
            </w:pPr>
            <w:r>
              <w:rPr/>
              <w:t>    </w:t>
            </w:r>
          </w:p>
        </w:tc>
        <w:tc>
          <w:tcPr>
            <w:tcW w:w="3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46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Have An Independent and Diverse Board</w:t>
            </w:r>
            <w:r>
              <w:rPr>
                <w:rFonts w:ascii="Times New Roman;Times;serif" w:hAnsi="Times New Roman;Times;serif"/>
                <w:sz w:val="18"/>
              </w:rPr>
              <w:t>. Five of our six directors are independent. Three of our six directors are women and two of our directors identify with an underrepresented diverse race or ethnicity.</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424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Our Independent Directors Meet Without Management</w:t>
            </w:r>
            <w:r>
              <w:rPr>
                <w:rFonts w:ascii="Times New Roman;Times;serif" w:hAnsi="Times New Roman;Times;serif"/>
                <w:sz w:val="18"/>
              </w:rPr>
              <w:t>. Our independent directors meet regularly in executive sessions without management present.</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6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242" w:type="dxa"/>
            <w:tcBorders/>
            <w:vAlign w:val="center"/>
          </w:tcPr>
          <w:p>
            <w:pPr>
              <w:pStyle w:val="TableContents"/>
              <w:bidi w:val="0"/>
              <w:spacing w:before="0" w:after="0"/>
              <w:ind w:left="0" w:right="0" w:hanging="0"/>
              <w:jc w:val="left"/>
              <w:rPr/>
            </w:pPr>
            <w:r>
              <w:rPr/>
              <w:t>​</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6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Have Majority Voting for Directors</w:t>
            </w:r>
            <w:r>
              <w:rPr>
                <w:rFonts w:ascii="Times New Roman;Times;serif" w:hAnsi="Times New Roman;Times;serif"/>
                <w:sz w:val="18"/>
              </w:rPr>
              <w:t>. We have adopted majority voting for directors pursuant to which nominees who fail to achieve an affirmative majority of votes cast must submit their resignation.</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Have a Stock Ownership Policy</w:t>
            </w:r>
            <w:r>
              <w:rPr>
                <w:rFonts w:ascii="Times New Roman;Times;serif" w:hAnsi="Times New Roman;Times;serif"/>
                <w:sz w:val="18"/>
              </w:rPr>
              <w:t>. We require both our named executive officers and our directors to maintain a meaningful ownership stake at levels specified in our stock ownership policy.</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6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242" w:type="dxa"/>
            <w:tcBorders/>
            <w:vAlign w:val="center"/>
          </w:tcPr>
          <w:p>
            <w:pPr>
              <w:pStyle w:val="TableContents"/>
              <w:bidi w:val="0"/>
              <w:spacing w:before="0" w:after="0"/>
              <w:ind w:left="0" w:right="0" w:hanging="0"/>
              <w:jc w:val="left"/>
              <w:rPr/>
            </w:pPr>
            <w:r>
              <w:rPr/>
              <w:t>​</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6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 xml:space="preserve">We Hold Annual Elections for Directors. </w:t>
            </w:r>
            <w:r>
              <w:rPr>
                <w:rFonts w:ascii="Times New Roman;Times;serif" w:hAnsi="Times New Roman;Times;serif"/>
                <w:sz w:val="18"/>
              </w:rPr>
              <w:t>We do not have a staggered board.</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Our Key Committees are Independent</w:t>
            </w:r>
            <w:r>
              <w:rPr>
                <w:rFonts w:ascii="Times New Roman;Times;serif" w:hAnsi="Times New Roman;Times;serif"/>
                <w:sz w:val="18"/>
              </w:rPr>
              <w:t>. We have fully independent Audit, Compensation and Nominating and Corporate Governance Committees.</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6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242" w:type="dxa"/>
            <w:tcBorders/>
            <w:vAlign w:val="center"/>
          </w:tcPr>
          <w:p>
            <w:pPr>
              <w:pStyle w:val="TableContents"/>
              <w:bidi w:val="0"/>
              <w:spacing w:before="0" w:after="0"/>
              <w:ind w:left="0" w:right="0" w:hanging="0"/>
              <w:jc w:val="left"/>
              <w:rPr/>
            </w:pPr>
            <w:r>
              <w:rPr/>
              <w:t>​</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6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Assess Board Performance</w:t>
            </w:r>
            <w:r>
              <w:rPr>
                <w:rFonts w:ascii="Times New Roman;Times;serif" w:hAnsi="Times New Roman;Times;serif"/>
                <w:sz w:val="18"/>
              </w:rPr>
              <w:t>. We conduct regular evaluations of our Board and Committees.</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24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 xml:space="preserve">We Do Not Have a “Poison Pill.” </w:t>
            </w:r>
            <w:r>
              <w:rPr>
                <w:rFonts w:ascii="Times New Roman;Times;serif" w:hAnsi="Times New Roman;Times;serif"/>
                <w:sz w:val="18"/>
              </w:rPr>
              <w:t>We do not maintain a stockholder rights plan.</w:t>
            </w:r>
          </w:p>
        </w:tc>
      </w:tr>
      <w:tr>
        <w:trPr/>
        <w:tc>
          <w:tcPr>
            <w:tcW w:w="341"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SOCIAL RESPONSIBILITY AND HUMAN CAPITAL DEVELOPMENT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seeks to meet the needs of the local community in which we operate as well as those outside our community, particularly the education challenges that our country faces, and then works to find solutions to these challenges. We believe these challenges include: university education is too expensive; students are taking on too much debt to pay for their education; bachelor degrees are taking too long to complete; programs are not targeted enough toward careers; as tuition increases, diversity decreases; universities have inadequate counseling and support services, especially for distanced learners; most university professors have no formal training in teaching, learning or course design; and universities are under significant financial pressures. These challenges have been enhanced due to a declining number of high school graduates attending college.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believe we provide the capital, technology and expertise to our university partners to alleviate the challenges in each of the areas listed above. We work with these university partners to develop educational models that allow them the ability to decrease tuition or increase scholarships to their students which will often lower the debt their students incur. We work with our university partners and thousands of high schools across the country on dual credit, online prerequisite courses and other programs that shorten the time to completion thereby lowering cost and debt levels. We focus with our university partners and their local communities to develop programs where there are skills shortages such as healthcare, teacher education, science, technology, engineering and math. We provide expanded academic counseling services and support to the students of our university partners which has proven to increase retention and completion. Our faculty services and curriculum development teams assist not only our university partners but other universities and K-12 schools in improving their online education pedagogy. Our business model has helped our university partners succeed through the various changes in the educational landscape that have put pressure on their financial condition and operations.</w:t>
      </w:r>
    </w:p>
    <w:p>
      <w:pPr>
        <w:pStyle w:val="TextBody"/>
        <w:bidi w:val="0"/>
        <w:spacing w:before="0" w:after="0"/>
        <w:ind w:left="0" w:right="0" w:firstLine="720"/>
        <w:jc w:val="left"/>
        <w:rPr/>
      </w:pPr>
      <w:r>
        <w:rPr/>
        <w:t>​</w:t>
      </w:r>
    </w:p>
    <w:p>
      <w:pPr>
        <w:pStyle w:val="TextBody"/>
        <w:bidi w:val="0"/>
        <w:spacing w:before="0" w:after="80"/>
        <w:ind w:left="0" w:right="0" w:firstLine="720"/>
        <w:jc w:val="left"/>
        <w:rPr>
          <w:rFonts w:ascii="Times New Roman;Times;serif" w:hAnsi="Times New Roman;Times;serif"/>
          <w:sz w:val="20"/>
        </w:rPr>
      </w:pPr>
      <w:r>
        <w:rPr>
          <w:rFonts w:ascii="Times New Roman;Times;serif" w:hAnsi="Times New Roman;Times;serif"/>
          <w:sz w:val="20"/>
        </w:rPr>
        <w:t>We also participate with our employees in a number of activities to benefit our communities including:</w:t>
      </w:r>
    </w:p>
    <w:tbl>
      <w:tblPr>
        <w:tblW w:w="10205" w:type="dxa"/>
        <w:jc w:val="left"/>
        <w:tblInd w:w="0" w:type="dxa"/>
        <w:tblLayout w:type="fixed"/>
        <w:tblCellMar>
          <w:top w:w="0" w:type="dxa"/>
          <w:left w:w="0" w:type="dxa"/>
          <w:bottom w:w="0" w:type="dxa"/>
          <w:right w:w="0" w:type="dxa"/>
        </w:tblCellMar>
      </w:tblPr>
      <w:tblGrid>
        <w:gridCol w:w="124"/>
        <w:gridCol w:w="6119"/>
        <w:gridCol w:w="109"/>
        <w:gridCol w:w="3853"/>
      </w:tblGrid>
      <w:tr>
        <w:trPr/>
        <w:tc>
          <w:tcPr>
            <w:tcW w:w="124" w:type="dxa"/>
            <w:tcBorders/>
            <w:vAlign w:val="center"/>
          </w:tcPr>
          <w:p>
            <w:pPr>
              <w:pStyle w:val="TableContents"/>
              <w:bidi w:val="0"/>
              <w:spacing w:before="0" w:after="0"/>
              <w:ind w:left="0" w:right="0" w:hanging="0"/>
              <w:jc w:val="left"/>
              <w:rPr/>
            </w:pPr>
            <w:r>
              <w:rPr/>
              <w:t>​</w:t>
            </w:r>
          </w:p>
        </w:tc>
        <w:tc>
          <w:tcPr>
            <w:tcW w:w="61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853" w:type="dxa"/>
            <w:tcBorders/>
            <w:vAlign w:val="center"/>
          </w:tcPr>
          <w:p>
            <w:pPr>
              <w:pStyle w:val="TableContents"/>
              <w:bidi w:val="0"/>
              <w:spacing w:before="0" w:after="0"/>
              <w:jc w:val="left"/>
              <w:rPr/>
            </w:pPr>
            <w:r>
              <w:rPr/>
              <w:t>●</w:t>
            </w:r>
          </w:p>
          <w:p>
            <w:pPr>
              <w:pStyle w:val="TableContents"/>
              <w:bidi w:val="0"/>
              <w:spacing w:before="0" w:after="0"/>
              <w:ind w:left="720" w:right="0" w:hanging="0"/>
              <w:jc w:val="left"/>
              <w:rPr/>
            </w:pPr>
            <w:r>
              <w:rPr/>
              <w:t>​</w:t>
            </w:r>
          </w:p>
          <w:p>
            <w:pPr>
              <w:pStyle w:val="TableContents"/>
              <w:bidi w:val="0"/>
              <w:spacing w:before="0" w:after="0"/>
              <w:ind w:left="0" w:right="0" w:hanging="0"/>
              <w:jc w:val="left"/>
              <w:rPr/>
            </w:pPr>
            <w:r>
              <w:rPr/>
              <w:t>​</w:t>
            </w:r>
          </w:p>
        </w:tc>
      </w:tr>
      <w:tr>
        <w:trPr/>
        <w:tc>
          <w:tcPr>
            <w:tcW w:w="124"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6119"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Improving Our Neighborhood and Increased Home Values</w:t>
            </w:r>
            <w:r>
              <w:rPr>
                <w:rFonts w:ascii="Times New Roman;Times;serif" w:hAnsi="Times New Roman;Times;serif"/>
                <w:b w:val="false"/>
                <w:i w:val="false"/>
                <w:caps w:val="false"/>
                <w:smallCaps w:val="false"/>
                <w:sz w:val="20"/>
              </w:rPr>
              <w:t>. Together with Habitat for Humanity and in concert with our largest university partner, Grand Canyon University (“GCU”) we are participating in the largest home renovation project in the country in the West Phoenix area surrounding our most significant university partner’s campus. As of December 31, 2023, 1,388 projects have been completed in which 35,250 hours have been logged by volunteers. These efforts, combined with GCE and GCU’s expanded presence in the community, have contributed to a significant increase since 2011 in home values in the surrounding area.</w:t>
            </w:r>
          </w:p>
        </w:tc>
        <w:tc>
          <w:tcPr>
            <w:tcW w:w="10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853" w:type="dxa"/>
            <w:tcBorders>
              <w:top w:val="single" w:sz="2" w:space="0" w:color="000000"/>
            </w:tcBorders>
            <w:tcMar>
              <w:top w:w="28" w:type="dxa"/>
            </w:tcMar>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Continuing Community Involvement</w:t>
            </w:r>
            <w:r>
              <w:rPr>
                <w:rFonts w:ascii="Times New Roman;Times;serif" w:hAnsi="Times New Roman;Times;serif"/>
                <w:b w:val="false"/>
                <w:i w:val="false"/>
                <w:caps w:val="false"/>
                <w:smallCaps w:val="false"/>
                <w:sz w:val="20"/>
              </w:rPr>
              <w:t>. GCE and our 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Youth Opportunity Foundation.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donate time and funds to the Youth Opportunity Foundation which provides advocacy, clinical treatment, education and workforce development for at-risk young people in underprivileged areas.</w:t>
            </w:r>
          </w:p>
        </w:tc>
      </w:tr>
      <w:tr>
        <w:trPr/>
        <w:tc>
          <w:tcPr>
            <w:tcW w:w="124" w:type="dxa"/>
            <w:tcBorders/>
            <w:vAlign w:val="center"/>
          </w:tcPr>
          <w:p>
            <w:pPr>
              <w:pStyle w:val="TableContents"/>
              <w:bidi w:val="0"/>
              <w:spacing w:before="0" w:after="0"/>
              <w:ind w:left="0" w:right="0" w:hanging="0"/>
              <w:jc w:val="center"/>
              <w:rPr/>
            </w:pPr>
            <w:r>
              <w:rPr/>
              <w:t>​</w:t>
            </w:r>
          </w:p>
        </w:tc>
        <w:tc>
          <w:tcPr>
            <w:tcW w:w="6119" w:type="dxa"/>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Furthering Job Creation</w:t>
            </w:r>
            <w:r>
              <w:rPr>
                <w:rFonts w:ascii="Times New Roman;Times;serif" w:hAnsi="Times New Roman;Times;serif"/>
                <w:b w:val="false"/>
                <w:i w:val="false"/>
                <w:caps w:val="false"/>
                <w:smallCaps w:val="false"/>
                <w:sz w:val="20"/>
              </w:rPr>
              <w:t xml:space="preserve">. We, along with GCU have launched a number of new business enterprises that have reduced costs, provided management opportunities for recent graduates and employment opportunities for students and neighborhood residents, while spurring economic growth in the area. </w:t>
            </w:r>
          </w:p>
        </w:tc>
        <w:tc>
          <w:tcPr>
            <w:tcW w:w="109" w:type="dxa"/>
            <w:tcBorders/>
            <w:vAlign w:val="center"/>
          </w:tcPr>
          <w:p>
            <w:pPr>
              <w:pStyle w:val="TableContents"/>
              <w:bidi w:val="0"/>
              <w:spacing w:before="0" w:after="0"/>
              <w:ind w:left="0" w:right="0" w:hanging="0"/>
              <w:jc w:val="center"/>
              <w:rPr/>
            </w:pPr>
            <w:r>
              <w:rPr/>
              <w:t>​</w:t>
            </w:r>
          </w:p>
        </w:tc>
        <w:tc>
          <w:tcPr>
            <w:tcW w:w="3853" w:type="dxa"/>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Encouraging Employee Giving</w:t>
            </w:r>
            <w:r>
              <w:rPr>
                <w:rFonts w:ascii="Times New Roman;Times;serif" w:hAnsi="Times New Roman;Times;serif"/>
                <w:b w:val="false"/>
                <w:i w:val="false"/>
                <w:caps w:val="false"/>
                <w:smallCaps w:val="false"/>
                <w:sz w:val="20"/>
              </w:rPr>
              <w:t>. We participate in Donate to Elevate, a program that encourages employees to contribute money in lieu of state income tax payments to benefit private schools in Arizona and the partnership with Habitat for Humanity and GCU CityServe, as well as local public schools and public charter schools.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28" w:type="dxa"/>
          <w:right w:w="0" w:type="dxa"/>
        </w:tblCellMar>
      </w:tblPr>
      <w:tblGrid>
        <w:gridCol w:w="124"/>
        <w:gridCol w:w="5685"/>
        <w:gridCol w:w="109"/>
        <w:gridCol w:w="4287"/>
      </w:tblGrid>
      <w:tr>
        <w:trPr/>
        <w:tc>
          <w:tcPr>
            <w:tcW w:w="124" w:type="dxa"/>
            <w:tcBorders>
              <w:bottom w:val="single" w:sz="2" w:space="0" w:color="000000"/>
            </w:tcBorders>
            <w:vAlign w:val="center"/>
          </w:tcPr>
          <w:p>
            <w:pPr>
              <w:pStyle w:val="TableContents"/>
              <w:bidi w:val="0"/>
              <w:spacing w:before="0" w:after="0"/>
              <w:ind w:left="0" w:right="0" w:hanging="0"/>
              <w:jc w:val="center"/>
              <w:rPr/>
            </w:pPr>
            <w:r>
              <w:rPr/>
              <w:t>​</w:t>
            </w:r>
          </w:p>
        </w:tc>
        <w:tc>
          <w:tcPr>
            <w:tcW w:w="5685" w:type="dxa"/>
            <w:tcBorders>
              <w:bottom w:val="single" w:sz="2" w:space="0" w:color="000000"/>
            </w:tcBorders>
            <w:vAlign w:val="center"/>
          </w:tcPr>
          <w:p>
            <w:pPr>
              <w:pStyle w:val="TableContents"/>
              <w:bidi w:val="0"/>
              <w:spacing w:before="0" w:after="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Sponsoring K-12 Educational Development.</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GCE supports GCU’s K-12 Educational Development Department through sponsorship of GCU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w:t>
            </w:r>
          </w:p>
        </w:tc>
        <w:tc>
          <w:tcPr>
            <w:tcW w:w="109" w:type="dxa"/>
            <w:tcBorders>
              <w:bottom w:val="single" w:sz="2" w:space="0" w:color="000000"/>
            </w:tcBorders>
            <w:vAlign w:val="center"/>
          </w:tcPr>
          <w:p>
            <w:pPr>
              <w:pStyle w:val="TableContents"/>
              <w:bidi w:val="0"/>
              <w:spacing w:before="0" w:after="0"/>
              <w:ind w:left="0" w:right="0" w:hanging="0"/>
              <w:jc w:val="center"/>
              <w:rPr/>
            </w:pPr>
            <w:r>
              <w:rPr/>
              <w:t>​</w:t>
            </w:r>
          </w:p>
        </w:tc>
        <w:tc>
          <w:tcPr>
            <w:tcW w:w="4287" w:type="dxa"/>
            <w:tcBorders>
              <w:bottom w:val="single" w:sz="2" w:space="0" w:color="000000"/>
            </w:tcBorders>
            <w:vAlign w:val="center"/>
          </w:tcPr>
          <w:p>
            <w:pPr>
              <w:pStyle w:val="TableContents"/>
              <w:bidi w:val="0"/>
              <w:spacing w:before="0" w:after="0"/>
              <w:jc w:val="left"/>
              <w:rPr/>
            </w:pPr>
            <w:r>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Funding of Student Tuition Organizations</w:t>
            </w:r>
            <w:r>
              <w:rPr>
                <w:rFonts w:ascii="Times New Roman;Times;serif" w:hAnsi="Times New Roman;Times;serif"/>
                <w:b w:val="false"/>
                <w:i w:val="false"/>
                <w:caps w:val="false"/>
                <w:smallCaps w:val="false"/>
                <w:sz w:val="20"/>
              </w:rPr>
              <w:t>. The Company contributes to private school tuition organizations and in 2023 its annual contribution was $3.5 million. Financial contributions are allocated toward tuition assistance and awarding low-income Arizona students with scholarships to attend Arizona private schools.</w:t>
            </w:r>
          </w:p>
          <w:p>
            <w:pPr>
              <w:pStyle w:val="TableContents"/>
              <w:bidi w:val="0"/>
              <w:spacing w:before="0" w:after="0"/>
              <w:ind w:left="0" w:right="0" w:hanging="0"/>
              <w:jc w:val="left"/>
              <w:rPr/>
            </w:pPr>
            <w:r>
              <w:rPr/>
              <w:t>​</w:t>
            </w:r>
          </w:p>
          <w:p>
            <w:pPr>
              <w:pStyle w:val="TableContents"/>
              <w:bidi w:val="0"/>
              <w:spacing w:before="0" w:after="0"/>
              <w:jc w:val="left"/>
              <w:rPr/>
            </w:pPr>
            <w:r>
              <w:rPr/>
              <w:t>●</w:t>
            </w:r>
          </w:p>
          <w:p>
            <w:pPr>
              <w:pStyle w:val="TableContents"/>
              <w:bidi w:val="0"/>
              <w:spacing w:before="0" w:after="0"/>
              <w:jc w:val="left"/>
              <w:rPr>
                <w:rFonts w:ascii="Times New Roman;Times;serif" w:hAnsi="Times New Roman;Times;serif"/>
                <w:sz w:val="20"/>
              </w:rPr>
            </w:pPr>
            <w:r>
              <w:rPr>
                <w:rFonts w:ascii="Times New Roman;Times;serif" w:hAnsi="Times New Roman;Times;serif"/>
                <w:b/>
                <w:i/>
                <w:sz w:val="20"/>
              </w:rPr>
              <w:t>Students Inspiring Students.</w:t>
            </w:r>
            <w:r>
              <w:rPr>
                <w:rFonts w:ascii="Times New Roman;Times;serif" w:hAnsi="Times New Roman;Times;serif"/>
                <w:caps w:val="false"/>
                <w:smallCaps w:val="false"/>
                <w:sz w:val="20"/>
              </w:rPr>
              <w:t xml:space="preserve"> </w:t>
            </w:r>
            <w:r>
              <w:rPr>
                <w:rFonts w:ascii="Times New Roman;Times;serif" w:hAnsi="Times New Roman;Times;serif"/>
                <w:b w:val="false"/>
                <w:i w:val="false"/>
                <w:caps w:val="false"/>
                <w:smallCaps w:val="false"/>
                <w:sz w:val="20"/>
              </w:rPr>
              <w:t>GCE continues to support GCU’s free tutoring/mentoring program that serves Phoenix-area K-12 schools. Students who seek academic assistance in the GCU Learning Lounge may become eligible to receive the Students Inspiring Students full-tuition scholarship. To serve our clients and community, GCE seeks donations to fund this neighborhood scholarship program.</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i/>
          <w:sz w:val="20"/>
        </w:rPr>
      </w:pPr>
      <w:r>
        <w:rPr>
          <w:rFonts w:ascii="Times New Roman;Times;serif" w:hAnsi="Times New Roman;Times;serif"/>
          <w:b/>
          <w:i/>
          <w:sz w:val="20"/>
        </w:rPr>
        <w:t>Our Diverse Workforce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believes that it must have the best talent, including employees who possess a diverse range of experiences, backgrounds and skills, in order to anticipate and meet the needs of our business and those of our university partners. Over time, we have hired, developed and retained a diverse management and workforce that reflects our surrounding community and that is a key component in GCE’s success and an important part of the Company’s culture.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provide employees with training, development, and educational resources that promote learning and lead to real career advancement opportunities. We believe that our success in attracting, retaining, and developing human capital is directly correlated to our ability to provide employees both an interesting and engaging work experience as well as opportunities for meaningful involvement in the surrounding community.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growing body of evidence suggests that diverse teams improve financial outcomes and support innovation, resiliency, and productivity. GCE’s commitment to fostering diversity among its workforce in its community is evident in the following:</w:t>
      </w:r>
    </w:p>
    <w:p>
      <w:pPr>
        <w:pStyle w:val="TextBody"/>
        <w:bidi w:val="0"/>
        <w:spacing w:before="0" w:after="0"/>
        <w:ind w:left="0" w:right="0" w:firstLine="720"/>
        <w:jc w:val="left"/>
        <w:rPr/>
      </w:pPr>
      <w:r>
        <w:rPr/>
        <w:t>​</w:t>
      </w:r>
    </w:p>
    <w:p>
      <w:pPr>
        <w:pStyle w:val="Normal"/>
        <w:bidi w:val="0"/>
        <w:spacing w:before="0" w:after="0"/>
        <w:jc w:val="left"/>
        <w:rPr>
          <w:sz w:val="4"/>
          <w:szCs w:val="4"/>
        </w:rPr>
      </w:pPr>
      <w:r>
        <w:rPr>
          <w:sz w:val="4"/>
          <w:szCs w:val="4"/>
        </w:rPr>
      </w:r>
      <w:bookmarkStart w:id="7" w:name="_cp_text_1_131"/>
      <w:bookmarkStart w:id="8" w:name="_cp_text_1_128"/>
      <w:bookmarkStart w:id="9" w:name="_cp_text_1_127"/>
      <w:bookmarkStart w:id="10" w:name="_cp_text_1_131"/>
      <w:bookmarkStart w:id="11" w:name="_cp_text_1_128"/>
      <w:bookmarkStart w:id="12" w:name="_cp_text_1_127"/>
      <w:bookmarkEnd w:id="10"/>
      <w:bookmarkEnd w:id="11"/>
      <w:bookmarkEnd w:id="12"/>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Our ability to attract, develop and retain diverse talent is reflected at both the Board and management levels.</w:t>
            </w:r>
            <w:r>
              <w:rPr/>
              <w:t> </w:t>
            </w:r>
            <w:r>
              <w:rPr>
                <w:rFonts w:ascii="Times New Roman;Times;serif" w:hAnsi="Times New Roman;Times;serif"/>
                <w:b w:val="false"/>
                <w:i w:val="false"/>
                <w:caps w:val="false"/>
                <w:smallCaps w:val="false"/>
                <w:sz w:val="20"/>
              </w:rPr>
              <w:t>Three of our six directors are women, and two of our directors identify with an underrepresented diverse race or ethnicity. In addition, as of December 31, 2023, 72.2% of the positions at the Company at the level of manager and above, totaling 618 persons, were held by women and other diverse persons, an increase of 4.9% over 2022, and 83.2% of our 5,800 total employees were women and other diverse persons, an increase of 4.1% over 2022.</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maintains hiring policies and practices that support diversity such as an Equal Employment Opportunity Policy, Nondiscrimination and Anti-Harassment Policy and Complaint Procedure, and a Disability Accommodation Policy. We post all open positions to a variety of diversity-related job boards to ensure we attract a wide pool of candidates. We also collect and analyze employee demographic data to identify current trends and areas of opportunity in regard to our diversity efforts.</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provides employees and management with regular diversity training. New hires all complete anti-discrimination and harassment training within three months of starting at GCE. Thereafter, all employees complete the training every other year, while management undertakes it annually. We have also provided Implicit Bias Training to all employees.</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provides learning and development support to our employees through numerous Employee Learning and Development (“ELD”) initiatives. Onboarding Programs provide new employees a foundation from which one can progress in his or her career at GCE. Leadership Development, Team Development, Advanced Skills, and Self-Development Programs help employees improve their skills, assist management in identifying potential talent for leadership roles, and support those employees already in leadership roles. Finally, our Compliance Curriculum ensures that employees stay current with regulatory and other compliance requirements. These programs and curricula are offered virtually on both a synchronous and self-paced basis.</w:t>
            </w:r>
          </w:p>
        </w:tc>
      </w:tr>
    </w:tbl>
    <w:p>
      <w:pPr>
        <w:pStyle w:val="TextBody"/>
        <w:bidi w:val="0"/>
        <w:spacing w:before="0" w:after="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promotes the concept of lifelong learning and supports this concept by offering its employees a generous Tuition Benefit program through its most significant university partner, GCU. After three months of continuous service, fulltime employees admitted to GCU receive a 100% tuition reduction on undergraduate and graduate programs. Additionally, the tuition benefit is available for an eligible employee’s spouse or up to two children with no more than two participants receiving the benefits at any one time. An eligible employee’s spouse or child admitted to GCU receives a 100% tuition reduction on undergraduate programs and a 50% tuition reduction on graduate programs.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GCE monitors employee engagement and satisfaction through an annual survey. GCE received responses from 1,835 employees on the 2022 survey. The survey asked a number of questions regarding employee engagement and satisfaction including whether employees are actively engaged with their work, whether they have a sense of pride in what they do and whether they enjoy the type of work assigned to them. The responses to each question were overwhelmingly positive. For example, to the prompt, “Overall I am satisfied with GCE as an employer,” fewer than 10% of the responders disagreed with that statement, while 92% of those responses agreed that GCE enables a culture of diversity. This survey also inquired about the importance of Environmental, Social and Governance topics that employees feel are important to GCE business performance and financial success. The top five selected in the survey by employees were Employee Health and Wellbeing (56%), Community Engagement (55%), Human Capital Management (51%), Workforce Diversity and Engagement (33%) and Professional Integrity (32%).</w:t>
            </w:r>
          </w:p>
        </w:tc>
      </w:tr>
    </w:tbl>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bookmarkStart w:id="13" w:name="_cp_text_1_22"/>
      <w:bookmarkEnd w:id="13"/>
      <w:r>
        <w:rPr>
          <w:rFonts w:ascii="Times New Roman;Times;serif" w:hAnsi="Times New Roman;Times;serif"/>
          <w:b/>
          <w:sz w:val="20"/>
        </w:rPr>
        <w:t>ENVIRONMENTAL AWARENESS</w:t>
      </w:r>
    </w:p>
    <w:p>
      <w:pPr>
        <w:pStyle w:val="TextBody"/>
        <w:bidi w:val="0"/>
        <w:spacing w:before="0" w:after="0"/>
        <w:ind w:left="0" w:right="0" w:firstLine="720"/>
        <w:jc w:val="left"/>
        <w:rPr>
          <w:rFonts w:ascii="Times New Roman;Times;serif" w:hAnsi="Times New Roman;Times;serif"/>
          <w:sz w:val="20"/>
        </w:rPr>
      </w:pPr>
      <w:bookmarkStart w:id="14" w:name="_cp_text_4_24"/>
      <w:bookmarkEnd w:id="14"/>
      <w:r>
        <w:rPr>
          <w:rFonts w:ascii="Times New Roman;Times;serif" w:hAnsi="Times New Roman;Times;serif"/>
          <w:sz w:val="20"/>
        </w:rPr>
        <w:t>Online education is inherently more environmentally friendly than traditional campus education due to a reduction in greenhouse gas production caused by avoiding traveling to and from a brick-and-mortar campus. It also increases student capacity while eliminating the need for construction of a physical campus. A majority of our university partners’ students are enrolled in hybrid or online educational models. In addition, a significant number of our university partners’ students utilize an ebook format versus paper textbooks, which is more environmentally friendly in that it saves paper and other material and there is no shipment required.</w:t>
      </w:r>
    </w:p>
    <w:p>
      <w:pPr>
        <w:pStyle w:val="TextBody"/>
        <w:bidi w:val="0"/>
        <w:spacing w:before="0" w:after="0"/>
        <w:ind w:left="0" w:right="0" w:firstLine="720"/>
        <w:jc w:val="left"/>
        <w:rPr/>
      </w:pPr>
      <w:r>
        <w:rPr/>
        <w:t>​</w:t>
      </w:r>
    </w:p>
    <w:p>
      <w:pPr>
        <w:pStyle w:val="TextBody"/>
        <w:bidi w:val="0"/>
        <w:spacing w:before="0" w:after="80"/>
        <w:ind w:left="0" w:right="0" w:firstLine="720"/>
        <w:jc w:val="left"/>
        <w:rPr>
          <w:rFonts w:ascii="Times New Roman;Times;serif" w:hAnsi="Times New Roman;Times;serif"/>
          <w:sz w:val="20"/>
        </w:rPr>
      </w:pPr>
      <w:bookmarkStart w:id="15" w:name="_cp_text_4_28"/>
      <w:bookmarkStart w:id="16" w:name="_cp_text_1_27"/>
      <w:bookmarkStart w:id="17" w:name="_cp_text_4_26"/>
      <w:bookmarkStart w:id="18" w:name="_cp_text_1_25"/>
      <w:bookmarkEnd w:id="15"/>
      <w:bookmarkEnd w:id="16"/>
      <w:bookmarkEnd w:id="17"/>
      <w:bookmarkEnd w:id="18"/>
      <w:r>
        <w:rPr>
          <w:rFonts w:ascii="Times New Roman;Times;serif" w:hAnsi="Times New Roman;Times;serif"/>
          <w:sz w:val="20"/>
        </w:rPr>
        <w:t>The Company owns, and operates its business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tbl>
      <w:tblPr>
        <w:tblW w:w="10205" w:type="dxa"/>
        <w:jc w:val="left"/>
        <w:tblInd w:w="0" w:type="dxa"/>
        <w:tblLayout w:type="fixed"/>
        <w:tblCellMar>
          <w:top w:w="0" w:type="dxa"/>
          <w:left w:w="0" w:type="dxa"/>
          <w:bottom w:w="0" w:type="dxa"/>
          <w:right w:w="0" w:type="dxa"/>
        </w:tblCellMar>
      </w:tblPr>
      <w:tblGrid>
        <w:gridCol w:w="331"/>
        <w:gridCol w:w="4298"/>
        <w:gridCol w:w="316"/>
        <w:gridCol w:w="5260"/>
      </w:tblGrid>
      <w:tr>
        <w:trPr/>
        <w:tc>
          <w:tcPr>
            <w:tcW w:w="331" w:type="dxa"/>
            <w:tcBorders/>
            <w:vAlign w:val="center"/>
          </w:tcPr>
          <w:p>
            <w:pPr>
              <w:pStyle w:val="TableContents"/>
              <w:bidi w:val="0"/>
              <w:spacing w:before="0" w:after="0"/>
              <w:ind w:left="0" w:right="0" w:hanging="0"/>
              <w:jc w:val="left"/>
              <w:rPr/>
            </w:pPr>
            <w:r>
              <w:rPr/>
              <w:t>​</w:t>
            </w:r>
          </w:p>
        </w:tc>
        <w:tc>
          <w:tcPr>
            <w:tcW w:w="4298"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5260" w:type="dxa"/>
            <w:tcBorders/>
            <w:vAlign w:val="center"/>
          </w:tcPr>
          <w:p>
            <w:pPr>
              <w:pStyle w:val="TableContents"/>
              <w:bidi w:val="0"/>
              <w:spacing w:before="0" w:after="0"/>
              <w:ind w:left="0" w:right="0" w:hanging="0"/>
              <w:jc w:val="left"/>
              <w:rPr/>
            </w:pPr>
            <w:r>
              <w:rPr/>
              <w:t>​</w:t>
            </w:r>
          </w:p>
        </w:tc>
      </w:tr>
      <w:tr>
        <w:trPr/>
        <w:tc>
          <w:tcPr>
            <w:tcW w:w="331" w:type="dxa"/>
            <w:tcBorders>
              <w:bottom w:val="single" w:sz="2" w:space="0" w:color="000000"/>
            </w:tcBorders>
            <w:tcMar>
              <w:bottom w:w="28" w:type="dxa"/>
            </w:tcMar>
            <w:vAlign w:val="center"/>
          </w:tcPr>
          <w:p>
            <w:pPr>
              <w:pStyle w:val="TableContents"/>
              <w:bidi w:val="0"/>
              <w:spacing w:before="0" w:after="120"/>
              <w:ind w:left="0" w:right="0" w:hanging="0"/>
              <w:jc w:val="right"/>
              <w:rPr/>
            </w:pPr>
            <w:r>
              <w:rPr/>
              <w:t>☐</w:t>
            </w:r>
          </w:p>
        </w:tc>
        <w:tc>
          <w:tcPr>
            <w:tcW w:w="4298" w:type="dxa"/>
            <w:tcBorders>
              <w:bottom w:val="single" w:sz="2" w:space="0" w:color="000000"/>
            </w:tcBorders>
            <w:tcMar>
              <w:bottom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i/>
                <w:sz w:val="20"/>
              </w:rPr>
              <w:t>North/South Building Orientation</w:t>
            </w:r>
            <w:r>
              <w:rPr>
                <w:rFonts w:ascii="Times New Roman;Times;serif" w:hAnsi="Times New Roman;Times;serif"/>
                <w:sz w:val="20"/>
              </w:rPr>
              <w:t>. The Company’s office building is orientated with north/south exposure in order to minimize direct sun and thereby reduce power usage. Exterior courtyards were arranged to ensure summer shade thus creating outdoor areas that can be used by our employees throughout the year.</w:t>
            </w:r>
          </w:p>
        </w:tc>
        <w:tc>
          <w:tcPr>
            <w:tcW w:w="316" w:type="dxa"/>
            <w:tcBorders>
              <w:bottom w:val="single" w:sz="2" w:space="0" w:color="000000"/>
            </w:tcBorders>
            <w:tcMar>
              <w:bottom w:w="28" w:type="dxa"/>
            </w:tcMar>
            <w:vAlign w:val="center"/>
          </w:tcPr>
          <w:p>
            <w:pPr>
              <w:pStyle w:val="TableContents"/>
              <w:bidi w:val="0"/>
              <w:spacing w:before="0" w:after="120"/>
              <w:ind w:left="0" w:right="0" w:hanging="0"/>
              <w:jc w:val="right"/>
              <w:rPr/>
            </w:pPr>
            <w:r>
              <w:rPr/>
              <w:t>☐</w:t>
            </w:r>
          </w:p>
        </w:tc>
        <w:tc>
          <w:tcPr>
            <w:tcW w:w="5260" w:type="dxa"/>
            <w:tcBorders>
              <w:bottom w:val="single" w:sz="2" w:space="0" w:color="000000"/>
            </w:tcBorders>
            <w:tcMar>
              <w:bottom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i/>
                <w:sz w:val="20"/>
              </w:rPr>
              <w:t>Reducing Water Consumption</w:t>
            </w:r>
            <w:r>
              <w:rPr>
                <w:rFonts w:ascii="Times New Roman;Times;serif" w:hAnsi="Times New Roman;Times;serif"/>
                <w:sz w:val="20"/>
              </w:rPr>
              <w:t>. Water usage is another environmental factor for office space that is magnified by the Arizona sun. The Company’s office building utilizes numerous water conservation methods including push-tap faucets, waterless urinals, and a rooftop rain water collection system for irrigating the landscaping below, which significantly reduces our water consumption.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31"/>
        <w:gridCol w:w="4985"/>
        <w:gridCol w:w="316"/>
        <w:gridCol w:w="4573"/>
      </w:tblGrid>
      <w:tr>
        <w:trPr/>
        <w:tc>
          <w:tcPr>
            <w:tcW w:w="331" w:type="dxa"/>
            <w:tcBorders/>
            <w:vAlign w:val="center"/>
          </w:tcPr>
          <w:p>
            <w:pPr>
              <w:pStyle w:val="TableContents"/>
              <w:bidi w:val="0"/>
              <w:spacing w:before="0" w:after="0"/>
              <w:ind w:left="0" w:right="0" w:hanging="0"/>
              <w:jc w:val="left"/>
              <w:rPr/>
            </w:pPr>
            <w:r>
              <w:rPr/>
              <w:t>​</w:t>
            </w:r>
          </w:p>
        </w:tc>
        <w:tc>
          <w:tcPr>
            <w:tcW w:w="4985"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4573" w:type="dxa"/>
            <w:tcBorders/>
            <w:vAlign w:val="center"/>
          </w:tcPr>
          <w:p>
            <w:pPr>
              <w:pStyle w:val="TableContents"/>
              <w:bidi w:val="0"/>
              <w:spacing w:before="0" w:after="0"/>
              <w:ind w:left="0" w:right="0" w:hanging="0"/>
              <w:jc w:val="left"/>
              <w:rPr/>
            </w:pPr>
            <w:r>
              <w:rPr/>
              <w:t>​</w:t>
            </w:r>
          </w:p>
        </w:tc>
      </w:tr>
      <w:tr>
        <w:trPr/>
        <w:tc>
          <w:tcPr>
            <w:tcW w:w="3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9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Window Glazing</w:t>
            </w:r>
            <w:r>
              <w:rPr>
                <w:rFonts w:ascii="Times New Roman;Times;serif" w:hAnsi="Times New Roman;Times;serif"/>
                <w:sz w:val="20"/>
              </w:rPr>
              <w:t>. Our building utilizes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573" w:type="dxa"/>
            <w:tcBorders>
              <w:bottom w:val="single" w:sz="2" w:space="0" w:color="000000"/>
            </w:tcBorders>
            <w:tcMar>
              <w:bottom w:w="28" w:type="dxa"/>
            </w:tcMar>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b/>
                <w:i/>
                <w:sz w:val="20"/>
              </w:rPr>
              <w:t>Other Design Features</w:t>
            </w:r>
            <w:r>
              <w:rPr>
                <w:rFonts w:ascii="Times New Roman;Times;serif" w:hAnsi="Times New Roman;Times;serif"/>
                <w:sz w:val="20"/>
              </w:rPr>
              <w:t xml:space="preserve">. Additional environment-friendly design features include low VOC paints, use of recycled building materials, interior and exterior LED light bulbs, motion sensor lighting and implementation of an energy-efficient VRF mechanical system.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its efficient facilities, the Company has undertaken other measures to minimize its environmental impact, including, among others:</w:t>
      </w:r>
    </w:p>
    <w:p>
      <w:pPr>
        <w:pStyle w:val="TextBody"/>
        <w:bidi w:val="0"/>
        <w:spacing w:before="0" w:after="0"/>
        <w:ind w:left="0" w:right="0" w:firstLine="720"/>
        <w:jc w:val="left"/>
        <w:rPr/>
      </w:pPr>
      <w:r>
        <w:rPr/>
        <w:t>​</w:t>
      </w:r>
    </w:p>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Allowing a significant portion of our diverse workforce to continue to work remotely;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 Trip Reduction Program, which provides incentives to employees who participate in carpooling or take public transportation to work;</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providing a telecommute option for a significant number of positions; and </w:t>
            </w:r>
          </w:p>
        </w:tc>
      </w:tr>
    </w:tbl>
    <w:tbl>
      <w:tblPr>
        <w:tblW w:w="9921" w:type="dxa"/>
        <w:jc w:val="left"/>
        <w:tblInd w:w="0" w:type="dxa"/>
        <w:tblLayout w:type="fixed"/>
        <w:tblCellMar>
          <w:top w:w="28" w:type="dxa"/>
          <w:left w:w="28" w:type="dxa"/>
          <w:bottom w:w="28" w:type="dxa"/>
          <w:right w:w="28" w:type="dxa"/>
        </w:tblCellMar>
      </w:tblPr>
      <w:tblGrid>
        <w:gridCol w:w="124"/>
        <w:gridCol w:w="256"/>
        <w:gridCol w:w="9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in a recycling program aimed at minimizing the volume of waste products generated by the Company.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has resulted in savings in the areas of waste, janitorial costs, and travel costs related to business travel and commuting. </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Climate Disclosures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operate in a high-risk industry for climate risks. We believe that we have low climate risk with respect to our physical environment (e.g. fires, drought, hailstorms, increasing weather pattern changes). A significant portion of our workforce is continuing to work remotely. We have insurance policies in place to cover any damage for our property, plant and equipment. Our Audit Committee is tasked with oversight of climate-related risks for the Company.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evaluating emissions reduction requirements with key suppliers for costs such as information security systems, communication and marketing costs, travel costs, and continued expansion of our off-campus classroom and laboratory sites. We currently do not have any regulatory emissions reporting obligations.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have significant risk from a transition to a low-carbon economy, which could result in changing customer behavior. Our customers are university partners located in the United States.</w:t>
      </w:r>
    </w:p>
    <w:p>
      <w:pPr>
        <w:pStyle w:val="TextBody"/>
        <w:bidi w:val="0"/>
        <w:spacing w:before="0" w:after="0"/>
        <w:ind w:left="0" w:right="0" w:firstLine="720"/>
        <w:jc w:val="left"/>
        <w:rPr/>
      </w:pPr>
      <w:r>
        <w:rPr/>
        <w:t>​</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Cybersecurity</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Our Audit Committee is tasked with oversight of the cybersecurity controls in place at the Company.</w:t>
      </w:r>
    </w:p>
    <w:p>
      <w:pPr>
        <w:pStyle w:val="TextBody"/>
        <w:bidi w:val="0"/>
        <w:spacing w:before="0" w:after="0"/>
        <w:ind w:left="72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These assessments are normally performed on an annual basis. Reports are sent to the Audit Committee monthly, and Security, Risk and Compliance updates are provided quarterly.</w:t>
      </w:r>
    </w:p>
    <w:p>
      <w:pPr>
        <w:pStyle w:val="TextBody"/>
        <w:bidi w:val="0"/>
        <w:spacing w:before="0" w:after="0"/>
        <w:ind w:left="72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The Company has implemented policies and procedures for all employees including:</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security/cybersecurity policies, which are internally available for all employees;</w:t>
            </w:r>
          </w:p>
        </w:tc>
      </w:tr>
    </w:tbl>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security/cybersecurity awareness training;</w:t>
            </w:r>
          </w:p>
        </w:tc>
      </w:tr>
    </w:tbl>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clear escalation process which employees can follow in the event an employee notices something suspicious;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information security/cybersecurity is part of the employee performance evaluations and/or disciplinary actions.</w:t>
            </w:r>
          </w:p>
        </w:tc>
      </w:tr>
    </w:tbl>
    <w:p>
      <w:pPr>
        <w:pStyle w:val="TextBody"/>
        <w:bidi w:val="0"/>
        <w:spacing w:before="0" w:after="0"/>
        <w:ind w:left="72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maintains a cyber insurance policy. The Company has not had a security breach and has not incurred any material expenses for a security breach in the past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Corporate Policy Matters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maintain a whistleblower hotline available to both internal and external parties. The whistleblower policy is disclosed on the GCE intranet for employees and disclosed on the GCE investor relations website for external parties. Hotline activity is managed by a third party and all calls are reviewed and monitored by the Chief Risk Officer and General Counsel and discussed at the quarterly Audit Committee meetings.</w:t>
      </w:r>
    </w:p>
    <w:p>
      <w:pPr>
        <w:pStyle w:val="TextBody"/>
        <w:bidi w:val="0"/>
        <w:spacing w:before="0" w:after="0"/>
        <w:ind w:left="0" w:right="0" w:hanging="0"/>
        <w:jc w:val="left"/>
        <w:rPr/>
      </w:pPr>
      <w:r>
        <w:rPr/>
        <w:t>​</w:t>
      </w:r>
    </w:p>
    <w:p>
      <w:pPr>
        <w:pStyle w:val="TextBody"/>
        <w:pBdr>
          <w:top w:val="single" w:sz="2" w:space="1" w:color="000000"/>
        </w:pBdr>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Questions and Answers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Please see the </w:t>
      </w:r>
      <w:r>
        <w:rPr>
          <w:rFonts w:ascii="Times New Roman;Times;serif" w:hAnsi="Times New Roman;Times;serif"/>
          <w:i/>
          <w:sz w:val="20"/>
        </w:rPr>
        <w:t xml:space="preserve">General Information </w:t>
      </w:r>
      <w:r>
        <w:rPr>
          <w:rFonts w:ascii="Times New Roman;Times;serif" w:hAnsi="Times New Roman;Times;serif"/>
          <w:sz w:val="20"/>
        </w:rPr>
        <w:t>section for important information about the proxy materials, voting, the annual meeting, Company documents, communications and the deadlines to submit stockholder proposals and director nominees for the 2024 Annual Meeting of Stockholders. Additional questions may be directed to our General Counsel, Grand Canyon Education, Inc., 2600 W. Camelback Road, Phoenix, Arizona 85017.</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Learn More About Our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You can learn more about the Company, view our governance materials and much more by visiting our website, </w:t>
      </w:r>
      <w:r>
        <w:rPr>
          <w:rFonts w:ascii="Times New Roman;Times;serif" w:hAnsi="Times New Roman;Times;serif"/>
          <w:i/>
          <w:sz w:val="20"/>
        </w:rPr>
        <w:t>www.gce.com</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 w:name="_4d624349_0263_441b_8988_eb44be742da3"/>
      <w:bookmarkEnd w:id="19"/>
      <w:r>
        <w:rPr>
          <w:rFonts w:ascii="Times New Roman;Times;serif" w:hAnsi="Times New Roman;Times;serif"/>
          <w:b/>
          <w:sz w:val="20"/>
        </w:rPr>
        <w:t>Grand Canyon Education,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West Camelback Road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Phoenix, Arizona 85017</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PROXY STATEMENT</w:t>
      </w:r>
    </w:p>
    <w:p>
      <w:pPr>
        <w:pStyle w:val="TextBody"/>
        <w:bidi w:val="0"/>
        <w:spacing w:before="0" w:after="120"/>
        <w:ind w:left="0" w:right="0" w:hanging="0"/>
        <w:jc w:val="center"/>
        <w:rPr>
          <w:rFonts w:ascii="Times New Roman;Times;serif" w:hAnsi="Times New Roman;Times;serif"/>
          <w:b/>
          <w:sz w:val="20"/>
        </w:rPr>
      </w:pPr>
      <w:bookmarkStart w:id="20" w:name="GENERALINFORMATION_318309"/>
      <w:bookmarkEnd w:id="20"/>
      <w:r>
        <w:rPr>
          <w:rFonts w:ascii="Times New Roman;Times;serif" w:hAnsi="Times New Roman;Times;serif"/>
          <w:b/>
          <w:sz w:val="20"/>
        </w:rPr>
        <w:t>GENERAL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enclosed proxy is being solicited by our Board of Directors for use in connection with the Annual Meeting to be held on Wednesday, June 12, 2024, at the offices of Grand Canyon Education, Inc. located at 2600 W. Camelback Road, Phoenix, Arizona 85017, commencing at 10:30 a.m., Arizona time, and at any adjournment or postponement thereof.</w:t>
      </w:r>
    </w:p>
    <w:p>
      <w:pPr>
        <w:pStyle w:val="TextBody"/>
        <w:bidi w:val="0"/>
        <w:spacing w:before="0" w:after="120"/>
        <w:ind w:left="0" w:right="0" w:hanging="0"/>
        <w:jc w:val="left"/>
        <w:rPr>
          <w:rFonts w:ascii="Times New Roman;Times;serif" w:hAnsi="Times New Roman;Times;serif"/>
          <w:b/>
          <w:sz w:val="20"/>
        </w:rPr>
      </w:pPr>
      <w:bookmarkStart w:id="21" w:name="NoticeofInternetAvailability_475776"/>
      <w:bookmarkEnd w:id="21"/>
      <w:r>
        <w:rPr>
          <w:rFonts w:ascii="Times New Roman;Times;serif" w:hAnsi="Times New Roman;Times;serif"/>
          <w:b/>
          <w:sz w:val="20"/>
        </w:rPr>
        <w:t>Notice of Internet Availability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April 30, 2024,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Times New Roman;Times;serif" w:hAnsi="Times New Roman;Times;serif"/>
          <w:i/>
          <w:sz w:val="20"/>
        </w:rPr>
        <w:t>www.edocumentview.com/LOPE</w:t>
      </w:r>
      <w:r>
        <w:rPr>
          <w:rFonts w:ascii="Times New Roman;Times;serif" w:hAnsi="Times New Roman;Times;serif"/>
          <w:sz w:val="20"/>
        </w:rPr>
        <w:t xml:space="preserve"> or the Company’s Investor Relations website at </w:t>
      </w:r>
      <w:r>
        <w:rPr>
          <w:rFonts w:ascii="Times New Roman;Times;serif" w:hAnsi="Times New Roman;Times;serif"/>
          <w:i/>
          <w:sz w:val="20"/>
        </w:rPr>
        <w:t>www.gce.com</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b/>
          <w:sz w:val="20"/>
        </w:rPr>
      </w:pPr>
      <w:bookmarkStart w:id="22" w:name="RecordDateandQuorum_527272"/>
      <w:bookmarkEnd w:id="22"/>
      <w:r>
        <w:rPr>
          <w:rFonts w:ascii="Times New Roman;Times;serif" w:hAnsi="Times New Roman;Times;serif"/>
          <w:b/>
          <w:sz w:val="20"/>
        </w:rPr>
        <w:t>Record Date and Quorum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Only stockholders of record at the close of business on April 18, 2024, will be entitled to notice of and to vote at the Annual Meeting and any adjournment or postponement thereof. At the close of business on the record date, we had approximately 29,784,803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pStyle w:val="TextBody"/>
        <w:bidi w:val="0"/>
        <w:spacing w:before="0" w:after="120"/>
        <w:ind w:left="0" w:right="0" w:hanging="0"/>
        <w:jc w:val="left"/>
        <w:rPr>
          <w:rFonts w:ascii="Times New Roman;Times;serif" w:hAnsi="Times New Roman;Times;serif"/>
          <w:b/>
          <w:sz w:val="20"/>
        </w:rPr>
      </w:pPr>
      <w:bookmarkStart w:id="23" w:name="SubmissionofProxiesRevocation_394726"/>
      <w:bookmarkEnd w:id="23"/>
      <w:r>
        <w:rPr>
          <w:rFonts w:ascii="Times New Roman;Times;serif" w:hAnsi="Times New Roman;Times;serif"/>
          <w:b/>
          <w:sz w:val="20"/>
        </w:rPr>
        <w:t>Submission of Proxies; Revocation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pStyle w:val="TextBody"/>
        <w:bidi w:val="0"/>
        <w:spacing w:before="0" w:after="120"/>
        <w:ind w:left="0" w:right="0" w:hanging="0"/>
        <w:jc w:val="left"/>
        <w:rPr>
          <w:rFonts w:ascii="Times New Roman;Times;serif" w:hAnsi="Times New Roman;Times;serif"/>
          <w:b/>
          <w:sz w:val="20"/>
        </w:rPr>
      </w:pPr>
      <w:bookmarkStart w:id="24" w:name="DeadlinesforStockholderProposals_758155"/>
      <w:bookmarkEnd w:id="24"/>
      <w:r>
        <w:rPr>
          <w:rFonts w:ascii="Times New Roman;Times;serif" w:hAnsi="Times New Roman;Times;serif"/>
          <w:b/>
          <w:sz w:val="20"/>
        </w:rPr>
        <w:t>Deadlines for Stockholder Proposals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Stockholder proposals may be included in our proxy materials for an annual meeting so long as they are provided to us on a timely basis and satisfy certain other conditions established by the SEC, including specifically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120"/>
        <w:ind w:left="0" w:right="0" w:hanging="0"/>
        <w:jc w:val="left"/>
        <w:rPr>
          <w:rFonts w:ascii="Times New Roman;Times;serif" w:hAnsi="Times New Roman;Times;serif"/>
          <w:sz w:val="20"/>
        </w:rPr>
      </w:pPr>
      <w:r>
        <w:rPr>
          <w:rFonts w:ascii="Times New Roman;Times;serif" w:hAnsi="Times New Roman;Times;serif"/>
          <w:sz w:val="20"/>
        </w:rPr>
        <w:t>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2025 Annual Meeting of Stockholders, the proposal must be received at our principal executive offices, addressed to our Secretary, not later than the close of business on Tuesday, December 31, 2024.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Times New Roman;Times;serif" w:hAnsi="Times New Roman;Times;serif"/>
          <w:sz w:val="15"/>
        </w:rPr>
        <w:t xml:space="preserve">th </w:t>
      </w:r>
      <w:r>
        <w:rPr>
          <w:rFonts w:ascii="Times New Roman;Times;serif" w:hAnsi="Times New Roman;Times;serif"/>
          <w:sz w:val="20"/>
        </w:rPr>
        <w:t>day, nor later than the close of business on the 90</w:t>
      </w:r>
      <w:r>
        <w:rPr>
          <w:rFonts w:ascii="Times New Roman;Times;serif" w:hAnsi="Times New Roman;Times;serif"/>
          <w:sz w:val="15"/>
        </w:rPr>
        <w:t xml:space="preserve">th </w:t>
      </w:r>
      <w:r>
        <w:rPr>
          <w:rFonts w:ascii="Times New Roman;Times;serif" w:hAnsi="Times New Roman;Times;serif"/>
          <w:sz w:val="20"/>
        </w:rPr>
        <w:t>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Times New Roman;Times;serif" w:hAnsi="Times New Roman;Times;serif"/>
          <w:sz w:val="15"/>
        </w:rPr>
        <w:t xml:space="preserve">th </w:t>
      </w:r>
      <w:r>
        <w:rPr>
          <w:rFonts w:ascii="Times New Roman;Times;serif" w:hAnsi="Times New Roman;Times;serif"/>
          <w:sz w:val="20"/>
        </w:rPr>
        <w:t>day prior to the annual meeting or the 10</w:t>
      </w:r>
      <w:r>
        <w:rPr>
          <w:rFonts w:ascii="Times New Roman;Times;serif" w:hAnsi="Times New Roman;Times;serif"/>
          <w:sz w:val="15"/>
        </w:rPr>
        <w:t>th</w:t>
      </w:r>
      <w:r>
        <w:rPr>
          <w:rFonts w:ascii="Times New Roman;Times;serif" w:hAnsi="Times New Roman;Times;serif"/>
          <w:sz w:val="20"/>
        </w:rPr>
        <w:t xml:space="preserve"> day following the date on which public announcement of the date of such meeting is first made. For our 2025 Annual Meeting of Stockholders, proper notice of business that is not intended for inclusion in our proxy statement must be received not earlier than the close of business on Thursday, February 13, 2025, nor later than the close of business on Thursday, March 14, 2025.</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Times New Roman;Times;serif" w:hAnsi="Times New Roman;Times;serif"/>
          <w:b/>
          <w:sz w:val="20"/>
        </w:rPr>
        <w:t xml:space="preserve">; </w:t>
      </w:r>
      <w:r>
        <w:rPr>
          <w:rFonts w:ascii="Times New Roman;Times;serif" w:hAnsi="Times New Roman;Times;serif"/>
          <w:sz w:val="20"/>
        </w:rPr>
        <w:t>(B)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pStyle w:val="TextBody"/>
        <w:bidi w:val="0"/>
        <w:spacing w:before="0" w:after="120"/>
        <w:ind w:left="0" w:right="0" w:hanging="0"/>
        <w:jc w:val="left"/>
        <w:rPr>
          <w:rFonts w:ascii="Times New Roman;Times;serif" w:hAnsi="Times New Roman;Times;serif"/>
          <w:b/>
          <w:sz w:val="20"/>
        </w:rPr>
      </w:pPr>
      <w:bookmarkStart w:id="25" w:name="Quorum_108022"/>
      <w:bookmarkEnd w:id="25"/>
      <w:r>
        <w:rPr>
          <w:rFonts w:ascii="Times New Roman;Times;serif" w:hAnsi="Times New Roman;Times;serif"/>
          <w:b/>
          <w:sz w:val="20"/>
        </w:rPr>
        <w:t>Quorum</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pStyle w:val="TextBody"/>
        <w:bidi w:val="0"/>
        <w:spacing w:before="0" w:after="120"/>
        <w:ind w:left="0" w:right="0" w:hanging="0"/>
        <w:jc w:val="left"/>
        <w:rPr>
          <w:rFonts w:ascii="Times New Roman;Times;serif" w:hAnsi="Times New Roman;Times;serif"/>
          <w:b/>
          <w:sz w:val="20"/>
        </w:rPr>
      </w:pPr>
      <w:bookmarkStart w:id="26" w:name="VoteRequired_679041"/>
      <w:bookmarkEnd w:id="26"/>
      <w:r>
        <w:rPr>
          <w:rFonts w:ascii="Times New Roman;Times;serif" w:hAnsi="Times New Roman;Times;serif"/>
          <w:b/>
          <w:sz w:val="20"/>
        </w:rPr>
        <w:t>Vote Required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votes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Times New Roman;Times;serif" w:hAnsi="Times New Roman;Times;serif"/>
          <w:b/>
          <w:sz w:val="20"/>
        </w:rPr>
        <w:t>We encourage you to provide instructions to your bank, broker or other holder of record regarding the voting of your shares.</w:t>
      </w:r>
      <w:r>
        <w:rPr>
          <w:rFonts w:ascii="Times New Roman;Times;serif" w:hAnsi="Times New Roman;Times;serif"/>
          <w:sz w:val="20"/>
        </w:rPr>
        <w:t xml:space="preserve"> Our stockholders have no dissenter’s or appraisal rights in connection with any of the proposals described herein.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vote required to approve each of the proposals presented in this Proxy Statement is set forth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Election of Directors (Proposal No. 1)</w:t>
            </w:r>
            <w:r>
              <w:rPr>
                <w:rFonts w:ascii="Times New Roman;Times;serif" w:hAnsi="Times New Roman;Times;serif"/>
                <w:b w:val="false"/>
                <w:i w:val="false"/>
                <w:caps w:val="false"/>
                <w:smallCaps w:val="false"/>
                <w:sz w:val="20"/>
              </w:rPr>
              <w:t>. The affirmative vote of a majority of the votes cast with respect to a nominee is 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Approval, on an advisory basis, of the compensation of our named executive officers (Proposal No. 2).</w:t>
            </w:r>
            <w:r>
              <w:rPr>
                <w:caps w:val="false"/>
                <w:smallCaps w:val="false"/>
              </w:rPr>
              <w:t xml:space="preserve"> </w:t>
            </w:r>
            <w:r>
              <w:rPr>
                <w:rFonts w:ascii="Times New Roman;Times;serif" w:hAnsi="Times New Roman;Times;serif"/>
                <w:b w:val="false"/>
                <w:i w:val="false"/>
                <w:caps w:val="false"/>
                <w:smallCaps w:val="false"/>
                <w:sz w:val="20"/>
              </w:rPr>
              <w:t>Approval, on an 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Ratification of the appointment of the Independent Registered Public Accounting Firm (Proposal No. 3).</w:t>
            </w:r>
            <w:r>
              <w:rPr>
                <w:caps w:val="false"/>
                <w:smallCaps w:val="false"/>
              </w:rPr>
              <w:t> </w:t>
            </w:r>
            <w:r>
              <w:rPr>
                <w:rFonts w:ascii="Times New Roman;Times;serif" w:hAnsi="Times New Roman;Times;serif"/>
                <w:b w:val="false"/>
                <w:i w:val="false"/>
                <w:caps w:val="false"/>
                <w:smallCaps w:val="false"/>
                <w:sz w:val="20"/>
              </w:rPr>
              <w:t>Approval of the proposal to ratify the Audit Committee’s appointment of KPMG LLP as our independent registered public accounting firm for the fiscal year ending December 31, 2024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tc>
      </w:tr>
    </w:tbl>
    <w:p>
      <w:pPr>
        <w:pStyle w:val="TextBody"/>
        <w:bidi w:val="0"/>
        <w:spacing w:before="0" w:after="120"/>
        <w:ind w:left="0" w:right="0" w:hanging="0"/>
        <w:jc w:val="left"/>
        <w:rPr>
          <w:rFonts w:ascii="Times New Roman;Times;serif" w:hAnsi="Times New Roman;Times;serif"/>
          <w:b/>
          <w:sz w:val="20"/>
        </w:rPr>
      </w:pPr>
      <w:bookmarkStart w:id="27" w:name="AdjournmentorPostponementofMeeting_42992"/>
      <w:bookmarkEnd w:id="27"/>
      <w:r>
        <w:rPr>
          <w:rFonts w:ascii="Times New Roman;Times;serif" w:hAnsi="Times New Roman;Times;serif"/>
          <w:b/>
          <w:sz w:val="20"/>
        </w:rPr>
        <w:t>Adjournment or Postponement of Meeting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pStyle w:val="TextBody"/>
        <w:bidi w:val="0"/>
        <w:spacing w:before="0" w:after="120"/>
        <w:ind w:left="0" w:right="0" w:hanging="0"/>
        <w:jc w:val="left"/>
        <w:rPr>
          <w:rFonts w:ascii="Times New Roman;Times;serif" w:hAnsi="Times New Roman;Times;serif"/>
          <w:b/>
          <w:sz w:val="20"/>
        </w:rPr>
      </w:pPr>
      <w:bookmarkStart w:id="28" w:name="ExpensesofSolicitingProxies_791359"/>
      <w:bookmarkEnd w:id="28"/>
      <w:r>
        <w:rPr>
          <w:rFonts w:ascii="Times New Roman;Times;serif" w:hAnsi="Times New Roman;Times;serif"/>
          <w:b/>
          <w:sz w:val="20"/>
        </w:rPr>
        <w:t>Expenses of Soliciting Proxies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9" w:name="CORPORATEGOVERNANCEANDBOARDMATTERS_15037"/>
      <w:bookmarkStart w:id="30" w:name="_df4142aa_7897_4a85_9a02_57df67ecdaf5"/>
      <w:bookmarkEnd w:id="29"/>
      <w:bookmarkEnd w:id="30"/>
      <w:r>
        <w:rPr>
          <w:rFonts w:ascii="Times New Roman;Times;serif" w:hAnsi="Times New Roman;Times;serif"/>
          <w:b/>
          <w:sz w:val="20"/>
        </w:rPr>
        <w:t>CORPORATE GOVERNANCE AND BOARD MATTERS</w:t>
      </w:r>
    </w:p>
    <w:p>
      <w:pPr>
        <w:pStyle w:val="TextBody"/>
        <w:bidi w:val="0"/>
        <w:spacing w:before="0" w:after="120"/>
        <w:ind w:left="0" w:right="0" w:hanging="0"/>
        <w:jc w:val="left"/>
        <w:rPr>
          <w:rFonts w:ascii="Times New Roman;Times;serif" w:hAnsi="Times New Roman;Times;serif"/>
          <w:b/>
          <w:sz w:val="20"/>
        </w:rPr>
      </w:pPr>
      <w:bookmarkStart w:id="31" w:name="CorporateGovernancePhilosophy_919937"/>
      <w:bookmarkEnd w:id="31"/>
      <w:r>
        <w:rPr>
          <w:rFonts w:ascii="Times New Roman;Times;serif" w:hAnsi="Times New Roman;Times;serif"/>
          <w:b/>
          <w:sz w:val="20"/>
        </w:rPr>
        <w:t>Corporate Governance Philosophy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pStyle w:val="TextBody"/>
        <w:bidi w:val="0"/>
        <w:spacing w:before="0" w:after="120"/>
        <w:ind w:left="0" w:right="0" w:hanging="0"/>
        <w:jc w:val="left"/>
        <w:rPr>
          <w:rFonts w:ascii="Times New Roman;Times;serif" w:hAnsi="Times New Roman;Times;serif"/>
          <w:b/>
          <w:sz w:val="20"/>
        </w:rPr>
      </w:pPr>
      <w:bookmarkStart w:id="32" w:name="ChangestotheBoardofDirectorsDuring"/>
      <w:bookmarkStart w:id="33" w:name="Changes_to_the_Board"/>
      <w:bookmarkEnd w:id="32"/>
      <w:bookmarkEnd w:id="33"/>
      <w:r>
        <w:rPr>
          <w:rFonts w:ascii="Times New Roman;Times;serif" w:hAnsi="Times New Roman;Times;serif"/>
          <w:b/>
          <w:sz w:val="20"/>
        </w:rPr>
        <w:t>Changes to the Board of Directors During 2023 and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Corporate Governance Principles and Practices of Grand Canyon Education, Inc. (the “Company”) require that a director tender his or her resignation for consideration by the Nominating and Corporate Governance Committee of the Board of Directors upon ceasing to be actively employed in his or her principal business or profession. In accordance with this policy, Mr. David M. Adame, a director since 2021, tendered his resignation for consideration in light of his resignation as President and Chief Executive Officer of Chicanos por la Causa. Effective December 15, 2023, the Board of Directors, acting on the recommendation of the Nominating and Corporate Governance Committee, accepted Mr. Adame’s resignation. Mr. Adame’s decision to resign was not due to any disagreement with the Company on any matter relating to the Company’s operations, policies or practices.</w:t>
      </w:r>
    </w:p>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sz w:val="20"/>
        </w:rPr>
        <w:t>On April 24, 2024, upon the recommendation of the Nominating and Corporate Governance Committee, Mr. Kevin F. Warren, who previously served on the Board of Directors from September 2012 until August 2019, was appointed to the Board of Directors and to serve as a member of the Audit Committee, the Compensation Committee, and the Nominating and Corporate Governance Committee.</w:t>
      </w:r>
    </w:p>
    <w:p>
      <w:pPr>
        <w:pStyle w:val="TextBody"/>
        <w:bidi w:val="0"/>
        <w:spacing w:before="0" w:after="120"/>
        <w:ind w:left="0" w:right="0" w:hanging="0"/>
        <w:jc w:val="left"/>
        <w:rPr>
          <w:rFonts w:ascii="Times New Roman;Times;serif" w:hAnsi="Times New Roman;Times;serif"/>
          <w:b/>
          <w:sz w:val="20"/>
        </w:rPr>
      </w:pPr>
      <w:bookmarkStart w:id="34" w:name="BoardofDirectorsMeetingsandAttendance_64"/>
      <w:bookmarkEnd w:id="34"/>
      <w:r>
        <w:rPr>
          <w:rFonts w:ascii="Times New Roman;Times;serif" w:hAnsi="Times New Roman;Times;serif"/>
          <w:b/>
          <w:sz w:val="20"/>
        </w:rPr>
        <w:t>Board of Directors Meetings and Attendance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our 2023 fiscal year, our Board of Directors held five meetings. All of our directors attended 100% of such meetings, except for Mr. David M. Adame who attended 100% of such meetings until he tendered his resignation in October 2023. We do not have a formal policy regarding attendance of our directors at annual meetings of our stockholders, but we do encourage each of our directors to attend. All of our directors in 2023 attended our 2023 annual meeting in person or telephonically.</w:t>
      </w:r>
    </w:p>
    <w:p>
      <w:pPr>
        <w:pStyle w:val="TextBody"/>
        <w:bidi w:val="0"/>
        <w:spacing w:before="0" w:after="120"/>
        <w:ind w:left="0" w:right="0" w:hanging="0"/>
        <w:jc w:val="left"/>
        <w:rPr>
          <w:rFonts w:ascii="Times New Roman;Times;serif" w:hAnsi="Times New Roman;Times;serif"/>
          <w:b/>
          <w:sz w:val="20"/>
        </w:rPr>
      </w:pPr>
      <w:bookmarkStart w:id="35" w:name="DirectorIndependence_194731"/>
      <w:bookmarkEnd w:id="35"/>
      <w:r>
        <w:rPr>
          <w:rFonts w:ascii="Times New Roman;Times;serif" w:hAnsi="Times New Roman;Times;serif"/>
          <w:b/>
          <w:sz w:val="20"/>
        </w:rPr>
        <w:t>Director Independence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Board of Directors periodically, and no less frequently than annually,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rules of the Nasdaq Stock Market. Under the Nasdaq Stock Market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36" w:name="BoardLeadershipStructure_134430"/>
      <w:bookmarkEnd w:id="36"/>
      <w:r>
        <w:rPr>
          <w:rFonts w:ascii="Times New Roman;Times;serif" w:hAnsi="Times New Roman;Times;serif"/>
          <w:b/>
          <w:sz w:val="20"/>
        </w:rPr>
        <w:t>Board Leadership Structure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pStyle w:val="TextBody"/>
        <w:bidi w:val="0"/>
        <w:spacing w:before="0" w:after="120"/>
        <w:ind w:left="0" w:right="0" w:firstLine="720"/>
        <w:jc w:val="left"/>
        <w:rPr>
          <w:rFonts w:ascii="Times New Roman;Times;serif" w:hAnsi="Times New Roman;Times;serif"/>
          <w:sz w:val="20"/>
        </w:rPr>
      </w:pPr>
      <w:bookmarkStart w:id="37" w:name="_cp_text_1_5"/>
      <w:bookmarkEnd w:id="37"/>
      <w:r>
        <w:rPr>
          <w:rFonts w:ascii="Times New Roman;Times;serif" w:hAnsi="Times New Roman;Times;serif"/>
          <w:sz w:val="20"/>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applicable Nasdaq guidelines. The lead independent director, a position currently held by Ms. Sara Ward, has the following duties:</w:t>
      </w:r>
    </w:p>
    <w:p>
      <w:pPr>
        <w:pStyle w:val="Normal"/>
        <w:bidi w:val="0"/>
        <w:spacing w:before="0" w:after="0"/>
        <w:jc w:val="left"/>
        <w:rPr>
          <w:sz w:val="4"/>
          <w:szCs w:val="4"/>
        </w:rPr>
      </w:pPr>
      <w:r>
        <w:rPr>
          <w:sz w:val="4"/>
          <w:szCs w:val="4"/>
        </w:rPr>
      </w:r>
      <w:bookmarkStart w:id="38" w:name="_cp_text_1_7"/>
      <w:bookmarkStart w:id="39" w:name="_cp_blt_1_6"/>
      <w:bookmarkStart w:id="40" w:name="_cp_text_1_7"/>
      <w:bookmarkStart w:id="41" w:name="_cp_blt_1_6"/>
      <w:bookmarkEnd w:id="40"/>
      <w:bookmarkEnd w:id="41"/>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Setting the agenda and serving as chairman for the executive sessions of the independent directors. </w:t>
            </w:r>
          </w:p>
        </w:tc>
      </w:tr>
    </w:tbl>
    <w:p>
      <w:pPr>
        <w:pStyle w:val="Normal"/>
        <w:bidi w:val="0"/>
        <w:spacing w:before="0" w:after="0"/>
        <w:jc w:val="left"/>
        <w:rPr>
          <w:sz w:val="4"/>
          <w:szCs w:val="4"/>
        </w:rPr>
      </w:pPr>
      <w:r>
        <w:rPr>
          <w:sz w:val="4"/>
          <w:szCs w:val="4"/>
        </w:rPr>
      </w:r>
      <w:bookmarkStart w:id="42" w:name="_cp_text_1_9"/>
      <w:bookmarkStart w:id="43" w:name="_cp_blt_1_8"/>
      <w:bookmarkStart w:id="44" w:name="_cp_text_1_9"/>
      <w:bookmarkStart w:id="45" w:name="_cp_blt_1_8"/>
      <w:bookmarkEnd w:id="44"/>
      <w:bookmarkEnd w:id="45"/>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Serving as liaison between the Chairman and the independent directors, including, communicating to the Chairman, as appropriate, the results of executive sessions of the independent directors.</w:t>
            </w:r>
          </w:p>
        </w:tc>
      </w:tr>
    </w:tbl>
    <w:p>
      <w:pPr>
        <w:pStyle w:val="Normal"/>
        <w:bidi w:val="0"/>
        <w:spacing w:before="0" w:after="0"/>
        <w:jc w:val="left"/>
        <w:rPr>
          <w:sz w:val="4"/>
          <w:szCs w:val="4"/>
        </w:rPr>
      </w:pPr>
      <w:r>
        <w:rPr>
          <w:sz w:val="4"/>
          <w:szCs w:val="4"/>
        </w:rPr>
      </w:r>
      <w:bookmarkStart w:id="46" w:name="_cp_text_1_11"/>
      <w:bookmarkStart w:id="47" w:name="_cp_blt_1_10"/>
      <w:bookmarkStart w:id="48" w:name="_cp_text_1_11"/>
      <w:bookmarkStart w:id="49" w:name="_cp_blt_1_10"/>
      <w:bookmarkEnd w:id="48"/>
      <w:bookmarkEnd w:id="4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independent directors have adequate opportunities to meet without management present, including authority to call meetings of the independent directors.</w:t>
            </w:r>
          </w:p>
        </w:tc>
      </w:tr>
    </w:tbl>
    <w:p>
      <w:pPr>
        <w:pStyle w:val="Normal"/>
        <w:bidi w:val="0"/>
        <w:spacing w:before="0" w:after="0"/>
        <w:jc w:val="left"/>
        <w:rPr>
          <w:sz w:val="4"/>
          <w:szCs w:val="4"/>
        </w:rPr>
      </w:pPr>
      <w:r>
        <w:rPr>
          <w:sz w:val="4"/>
          <w:szCs w:val="4"/>
        </w:rPr>
      </w:r>
      <w:bookmarkStart w:id="50" w:name="_cp_text_1_13"/>
      <w:bookmarkStart w:id="51" w:name="_cp_blt_1_12"/>
      <w:bookmarkStart w:id="52" w:name="_cp_text_1_13"/>
      <w:bookmarkStart w:id="53" w:name="_cp_blt_1_12"/>
      <w:bookmarkEnd w:id="52"/>
      <w:bookmarkEnd w:id="5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Serving as designated contact for communication to independent directors as required by the Securities and Exchange Commission and the Nasdaq Stock Market’s listing standards, including being available for consultation and direct communication with major stockholders.</w:t>
            </w:r>
          </w:p>
        </w:tc>
      </w:tr>
    </w:tbl>
    <w:p>
      <w:pPr>
        <w:pStyle w:val="Normal"/>
        <w:bidi w:val="0"/>
        <w:spacing w:before="0" w:after="0"/>
        <w:jc w:val="left"/>
        <w:rPr>
          <w:sz w:val="4"/>
          <w:szCs w:val="4"/>
        </w:rPr>
      </w:pPr>
      <w:r>
        <w:rPr>
          <w:sz w:val="4"/>
          <w:szCs w:val="4"/>
        </w:rPr>
      </w:r>
      <w:bookmarkStart w:id="54" w:name="_cp_text_1_15"/>
      <w:bookmarkStart w:id="55" w:name="_cp_blt_1_14"/>
      <w:bookmarkStart w:id="56" w:name="_cp_text_1_15"/>
      <w:bookmarkStart w:id="57" w:name="_cp_blt_1_14"/>
      <w:bookmarkEnd w:id="56"/>
      <w:bookmarkEnd w:id="57"/>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agenda and information sent in connection with Board meetings and ensuring that the other independent directors also have an opportunity to provide input on the agenda.</w:t>
            </w:r>
          </w:p>
        </w:tc>
      </w:tr>
    </w:tbl>
    <w:p>
      <w:pPr>
        <w:pStyle w:val="Normal"/>
        <w:bidi w:val="0"/>
        <w:spacing w:before="0" w:after="0"/>
        <w:jc w:val="left"/>
        <w:rPr>
          <w:sz w:val="4"/>
          <w:szCs w:val="4"/>
        </w:rPr>
      </w:pPr>
      <w:r>
        <w:rPr>
          <w:sz w:val="4"/>
          <w:szCs w:val="4"/>
        </w:rPr>
      </w:r>
      <w:bookmarkStart w:id="58" w:name="_cp_text_1_17"/>
      <w:bookmarkStart w:id="59" w:name="_cp_blt_1_16"/>
      <w:bookmarkStart w:id="60" w:name="_cp_text_1_17"/>
      <w:bookmarkStart w:id="61" w:name="_cp_blt_1_16"/>
      <w:bookmarkEnd w:id="60"/>
      <w:bookmarkEnd w:id="61"/>
    </w:p>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meeting schedules to assure that there is sufficient time for discussion of all agenda items.</w:t>
            </w:r>
          </w:p>
        </w:tc>
      </w:tr>
    </w:tbl>
    <w:p>
      <w:pPr>
        <w:pStyle w:val="Normal"/>
        <w:bidi w:val="0"/>
        <w:spacing w:before="0" w:after="0"/>
        <w:jc w:val="left"/>
        <w:rPr>
          <w:sz w:val="4"/>
          <w:szCs w:val="4"/>
        </w:rPr>
      </w:pPr>
      <w:r>
        <w:rPr>
          <w:sz w:val="4"/>
          <w:szCs w:val="4"/>
        </w:rPr>
      </w:r>
      <w:bookmarkStart w:id="62" w:name="_cp_text_1_19"/>
      <w:bookmarkStart w:id="63" w:name="_cp_blt_1_18"/>
      <w:bookmarkStart w:id="64" w:name="_cp_text_1_19"/>
      <w:bookmarkStart w:id="65" w:name="_cp_blt_1_18"/>
      <w:bookmarkEnd w:id="64"/>
      <w:bookmarkEnd w:id="65"/>
    </w:p>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Chairing Board meetings if the Chairman is unable to attend.</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pStyle w:val="TextBody"/>
        <w:bidi w:val="0"/>
        <w:spacing w:before="0" w:after="120"/>
        <w:ind w:left="0" w:right="0" w:hanging="0"/>
        <w:jc w:val="left"/>
        <w:rPr>
          <w:rFonts w:ascii="Times New Roman;Times;serif" w:hAnsi="Times New Roman;Times;serif"/>
          <w:b/>
          <w:sz w:val="20"/>
        </w:rPr>
      </w:pPr>
      <w:bookmarkStart w:id="66" w:name="CommitteesofOurBoardofDirectors_11162"/>
      <w:bookmarkEnd w:id="66"/>
      <w:r>
        <w:rPr>
          <w:rFonts w:ascii="Times New Roman;Times;serif" w:hAnsi="Times New Roman;Times;serif"/>
          <w:b/>
          <w:sz w:val="20"/>
        </w:rPr>
        <w:t>Committees of Our Board of Directors During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2023, each director attended 100% of the meetings of the Board committees on which he or she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Times New Roman;Times;serif" w:hAnsi="Times New Roman;Times;serif"/>
          <w:i/>
          <w:sz w:val="20"/>
        </w:rPr>
        <w:t>www.gce.com.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xml:space="preserve"> </w:t>
      </w:r>
      <w:r>
        <w:rPr>
          <w:rFonts w:ascii="Times New Roman;Times;serif" w:hAnsi="Times New Roman;Times;serif"/>
          <w:i/>
          <w:sz w:val="20"/>
        </w:rPr>
        <w:t>(Number of meetings held during 2023: Five</w:t>
      </w:r>
      <w:r>
        <w:rPr>
          <w:rFonts w:ascii="Times New Roman;Times;serif" w:hAnsi="Times New Roman;Times;serif"/>
          <w:sz w:val="20"/>
        </w:rPr>
        <w:t>). During 2023, our Audit Committee consisted of Mr. Henry (chair), Ms. Ward, Ms. Keegan, Ms. Humphrey and Mr. Adame, each of whom our Board of Directors determined to be “independent,” as defined under and required by the rules of the Nasdaq Stock Market and the federal securities laws. In addition, our Board has determined that both Mr. Henry and Ms. Humphrey qualify as an “audit committee financial expert,” as defined under applicable federal securities laws.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In addition, the Audit Committee is responsible for discussing the effectiveness of the internal controls over financial reporting, review of significant accounting policies, and discussion of significant judgements or accounting estimates during the audit with the firm and relevant financial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is also tasked with oversight of the cybersecurity controls in place at the Company. The Company employs a dedicated Chief Information Security Officer, with an experienced and competent security team, and works closely with the Chief Risk Officer to provide risk reporting and ensure security and compliance. The Company regularly engages third party experts to perform cybersecurity assessments, which are normally performed on an annual basis. Cybersecurity reports are sent to the Audit Committee on a monthly basis, and Security, Risk and Compliance updates are provided quarterly. The Company has implemented policies and procedures for all employees including; information security/cybersecurity policies (which are internally available for all employees); information security/cybersecurity awareness training; a clear escalation process which employees can follow in the event an employee notices something suspicious; and ensuring that information security/cybersecurity is a part of the employee performance evaluation and/or disciplinary process. The Company maintains a cyber insurance policy and has not had a security breach and has not incurred any material expenses for a security breach in the past three years.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also provides oversight of the climate related risks at the Company. We do not operate in a high-risk industry for climate risks. We believe that we have low climate risk with respect to our physical environment (e.g. fires, drought, hailstorms, increasing weather pattern changes). A significant portion of our workforce is continuing to work remotely. We have insurance policies in place to cover any damage for our property, plant and equipment. We currently do not have any regulatory emissions reporting obligations. We do not have significant risk from a transition to a low-carbon economy, which could result in changing customer behavior.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Compensation Committee (Number of meetings held during 2023: Four).</w:t>
      </w:r>
      <w:r>
        <w:rPr>
          <w:rFonts w:ascii="Times New Roman;Times;serif" w:hAnsi="Times New Roman;Times;serif"/>
          <w:sz w:val="20"/>
        </w:rPr>
        <w:t> During 2023, our Compensation Committee consisted of Ms. Humphrey (chair), Mr. Henry, Ms. Ward, Ms. Keegan and Mr. Adame, each of whom the Board of Directors determined to be “independent,” as defined under and required by the rules of the Nasdaq Stock Market. The Compensation Committee is responsible for, among other things, supervising and reviewing our affairs as they relate to the compensation and benefits of our executive officers and directors, as well as overseeing succession planning for executive officers. In carrying out these responsibilities, the Compensation Committee reviews all components of executive compensation for consistency with our compensation philosophy and with the interests of our stockholders</w:t>
      </w:r>
      <w:r>
        <w:rPr>
          <w:rFonts w:ascii="Times New Roman;Times;serif" w:hAnsi="Times New Roman;Times;serif"/>
          <w:i/>
          <w:sz w:val="20"/>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The Compensation Committee periodically engages an independent compensation consultant and advisor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recommendations regarding executive compensation consistent with the Company’s business needs, pay philosophy, market trends and latest legal and regulatory considerations;</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market data for base salary, short-term incentive and long-term incentive decisions; and</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Compensation Committee as to best practices.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Nominating and Corporate Governance Committee (Number of meetings held during 2023: Seven).</w:t>
      </w:r>
      <w:r>
        <w:rPr>
          <w:rFonts w:ascii="Times New Roman;Times;serif" w:hAnsi="Times New Roman;Times;serif"/>
          <w:sz w:val="20"/>
        </w:rPr>
        <w:t> During 2023, our Nominating and Corporate Governance Committee consisted of Ms. Keegan (chair), Ms. Ward, Ms. Humphrey, Mr. Henry, and Mr. Adame, each of whom our Board of Directors determined to be “independent,” as defined under and required by the rules of the Nasdaq Stock Market.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providing oversight in the annual evaluation of the Board of Directors and each committee; and overseeing the Company’s environmental and social sustainability initiatives.</w:t>
      </w:r>
    </w:p>
    <w:p>
      <w:pPr>
        <w:pStyle w:val="TextBody"/>
        <w:bidi w:val="0"/>
        <w:spacing w:before="0" w:after="120"/>
        <w:ind w:left="0" w:right="0" w:hanging="0"/>
        <w:jc w:val="left"/>
        <w:rPr>
          <w:rFonts w:ascii="Times New Roman;Times;serif" w:hAnsi="Times New Roman;Times;serif"/>
          <w:b/>
          <w:sz w:val="20"/>
        </w:rPr>
      </w:pPr>
      <w:bookmarkStart w:id="67" w:name="InformationAbouttheBoardofDirectors"/>
      <w:bookmarkEnd w:id="67"/>
      <w:r>
        <w:rPr>
          <w:rFonts w:ascii="Times New Roman;Times;serif" w:hAnsi="Times New Roman;Times;serif"/>
          <w:b/>
          <w:sz w:val="20"/>
        </w:rPr>
        <w:t>Information About the Board of Directors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matrix provides information regarding the members of our Board of Directors, including certain types of knowledge, skills, experiences and attributes possessed by one or more of our directors which our Board of Directors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of Directors.</w:t>
      </w:r>
    </w:p>
    <w:tbl>
      <w:tblPr>
        <w:tblW w:w="9927" w:type="dxa"/>
        <w:jc w:val="left"/>
        <w:tblInd w:w="0" w:type="dxa"/>
        <w:tblLayout w:type="fixed"/>
        <w:tblCellMar>
          <w:top w:w="0" w:type="dxa"/>
          <w:left w:w="0" w:type="dxa"/>
          <w:bottom w:w="0" w:type="dxa"/>
          <w:right w:w="0" w:type="dxa"/>
        </w:tblCellMar>
      </w:tblPr>
      <w:tblGrid>
        <w:gridCol w:w="2716"/>
        <w:gridCol w:w="751"/>
        <w:gridCol w:w="109"/>
        <w:gridCol w:w="556"/>
        <w:gridCol w:w="109"/>
        <w:gridCol w:w="691"/>
        <w:gridCol w:w="109"/>
        <w:gridCol w:w="1741"/>
        <w:gridCol w:w="109"/>
        <w:gridCol w:w="1486"/>
        <w:gridCol w:w="109"/>
        <w:gridCol w:w="1441"/>
      </w:tblGrid>
      <w:tr>
        <w:trPr/>
        <w:tc>
          <w:tcPr>
            <w:tcW w:w="2716" w:type="dxa"/>
            <w:tcBorders/>
            <w:vAlign w:val="center"/>
          </w:tcPr>
          <w:p>
            <w:pPr>
              <w:pStyle w:val="TableContents"/>
              <w:bidi w:val="0"/>
              <w:spacing w:before="0" w:after="0"/>
              <w:ind w:left="0" w:right="0" w:hanging="0"/>
              <w:jc w:val="left"/>
              <w:rPr/>
            </w:pPr>
            <w:r>
              <w:rPr/>
              <w:t>​</w:t>
            </w:r>
          </w:p>
        </w:tc>
        <w:tc>
          <w:tcPr>
            <w:tcW w:w="7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left"/>
              <w:rPr/>
            </w:pPr>
            <w:r>
              <w:rPr/>
              <w:t>​</w:t>
            </w:r>
          </w:p>
        </w:tc>
      </w:tr>
      <w:tr>
        <w:trPr/>
        <w:tc>
          <w:tcPr>
            <w:tcW w:w="2716" w:type="dxa"/>
            <w:tcBorders/>
            <w:vAlign w:val="center"/>
          </w:tcPr>
          <w:p>
            <w:pPr>
              <w:pStyle w:val="TableContents"/>
              <w:bidi w:val="0"/>
              <w:spacing w:before="0" w:after="240"/>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Brian E.</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Mueller</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Sara </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Ward</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Jack A.</w:t>
              <w:br/>
              <w:t>Henry</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Lisa Graham Keegan</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Chevy Humphrey</w:t>
            </w:r>
          </w:p>
        </w:tc>
        <w:tc>
          <w:tcPr>
            <w:tcW w:w="109"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Kevin F. Warren</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Knowledge, Skills and Experience</w:t>
            </w:r>
          </w:p>
        </w:tc>
        <w:tc>
          <w:tcPr>
            <w:tcW w:w="751" w:type="dxa"/>
            <w:tcBorders>
              <w:top w:val="single" w:sz="2" w:space="0" w:color="000000"/>
            </w:tcBorders>
            <w:shd w:fill="CCEEFF" w:val="clear"/>
            <w:tcMar>
              <w:top w:w="28" w:type="dxa"/>
            </w:tcM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top w:val="single" w:sz="2" w:space="0" w:color="000000"/>
            </w:tcBorders>
            <w:shd w:fill="CCEEFF" w:val="clear"/>
            <w:tcMar>
              <w:top w:w="28" w:type="dxa"/>
            </w:tcM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top w:val="single" w:sz="2" w:space="0" w:color="000000"/>
            </w:tcBorders>
            <w:shd w:fill="CCEEFF" w:val="clear"/>
            <w:tcMar>
              <w:top w:w="28" w:type="dxa"/>
            </w:tcM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top w:val="single" w:sz="2" w:space="0" w:color="000000"/>
            </w:tcBorders>
            <w:shd w:fill="CCEEFF" w:val="clear"/>
            <w:tcMar>
              <w:top w:w="28" w:type="dxa"/>
            </w:tcM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top w:val="single" w:sz="2" w:space="0" w:color="000000"/>
            </w:tcBorders>
            <w:shd w:fill="CCEEFF" w:val="clear"/>
            <w:tcMar>
              <w:top w:w="28" w:type="dxa"/>
            </w:tcM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top w:val="single" w:sz="2" w:space="0" w:color="000000"/>
            </w:tcBorders>
            <w:shd w:fill="CCEEFF" w:val="clear"/>
            <w:tcMar>
              <w:top w:w="28" w:type="dxa"/>
            </w:tcMar>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Public Company Board Experience</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Financial</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Risk Management</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Accounting</w:t>
            </w:r>
          </w:p>
        </w:tc>
        <w:tc>
          <w:tcPr>
            <w:tcW w:w="75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Corporate Governance/Ethics</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Legal/Regulatory</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HR/Compensation</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Executive Experience</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Operations</w:t>
            </w:r>
          </w:p>
        </w:tc>
        <w:tc>
          <w:tcPr>
            <w:tcW w:w="7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Strategic Planning/Oversight</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Technology</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Mergers and Acquisitions</w:t>
            </w:r>
          </w:p>
        </w:tc>
        <w:tc>
          <w:tcPr>
            <w:tcW w:w="75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Cybersecurity</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Academia/Education</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Demographics – Race/Ethnicity</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African American</w:t>
            </w:r>
          </w:p>
        </w:tc>
        <w:tc>
          <w:tcPr>
            <w:tcW w:w="75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Asian/Pacific Islander</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White/Caucasian</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Hispanic/Latino</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Native American</w:t>
            </w:r>
          </w:p>
        </w:tc>
        <w:tc>
          <w:tcPr>
            <w:tcW w:w="75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Gender</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Male</w:t>
            </w:r>
          </w:p>
        </w:tc>
        <w:tc>
          <w:tcPr>
            <w:tcW w:w="7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240"/>
              <w:ind w:left="0" w:right="0" w:hanging="0"/>
              <w:jc w:val="center"/>
              <w:rPr/>
            </w:pPr>
            <w:r>
              <w:rPr/>
              <w:t>​</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Female</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Board Tenure</w:t>
            </w:r>
          </w:p>
        </w:tc>
        <w:tc>
          <w:tcPr>
            <w:tcW w:w="75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55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69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741"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86" w:type="dxa"/>
            <w:tcBorders/>
            <w:vAlign w:val="center"/>
          </w:tcPr>
          <w:p>
            <w:pPr>
              <w:pStyle w:val="TableContents"/>
              <w:bidi w:val="0"/>
              <w:spacing w:before="0" w:after="240"/>
              <w:ind w:left="0" w:right="0" w:hanging="0"/>
              <w:jc w:val="center"/>
              <w:rPr/>
            </w:pPr>
            <w:r>
              <w:rPr/>
              <w:t>​</w:t>
            </w:r>
          </w:p>
        </w:tc>
        <w:tc>
          <w:tcPr>
            <w:tcW w:w="109" w:type="dxa"/>
            <w:tcBorders/>
            <w:vAlign w:val="center"/>
          </w:tcPr>
          <w:p>
            <w:pPr>
              <w:pStyle w:val="TableContents"/>
              <w:bidi w:val="0"/>
              <w:spacing w:before="0" w:after="240"/>
              <w:ind w:left="0" w:right="0" w:hanging="0"/>
              <w:jc w:val="center"/>
              <w:rPr/>
            </w:pPr>
            <w:r>
              <w:rPr/>
              <w:t>​</w:t>
            </w:r>
          </w:p>
        </w:tc>
        <w:tc>
          <w:tcPr>
            <w:tcW w:w="1441" w:type="dxa"/>
            <w:tcBorders/>
            <w:vAlign w:val="center"/>
          </w:tcPr>
          <w:p>
            <w:pPr>
              <w:pStyle w:val="TableContents"/>
              <w:bidi w:val="0"/>
              <w:spacing w:before="0" w:after="240"/>
              <w:ind w:left="0" w:right="0" w:hanging="0"/>
              <w:jc w:val="center"/>
              <w:rPr/>
            </w:pPr>
            <w:r>
              <w:rPr/>
              <w:t>​</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Years</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before="0" w:after="240"/>
              <w:ind w:left="0" w:right="0" w:hanging="0"/>
              <w:jc w:val="center"/>
              <w:rPr/>
            </w:pPr>
            <w:r>
              <w:rPr/>
              <w:t>​</w:t>
            </w:r>
          </w:p>
        </w:tc>
        <w:tc>
          <w:tcPr>
            <w:tcW w:w="55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w:t>
            </w:r>
          </w:p>
        </w:tc>
        <w:tc>
          <w:tcPr>
            <w:tcW w:w="109" w:type="dxa"/>
            <w:tcBorders/>
            <w:shd w:fill="CCEEFF" w:val="clear"/>
            <w:vAlign w:val="center"/>
          </w:tcPr>
          <w:p>
            <w:pPr>
              <w:pStyle w:val="TableContents"/>
              <w:bidi w:val="0"/>
              <w:spacing w:before="0" w:after="24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16</w:t>
            </w:r>
          </w:p>
        </w:tc>
        <w:tc>
          <w:tcPr>
            <w:tcW w:w="109" w:type="dxa"/>
            <w:tcBorders/>
            <w:shd w:fill="CCEEFF" w:val="clear"/>
            <w:vAlign w:val="center"/>
          </w:tcPr>
          <w:p>
            <w:pPr>
              <w:pStyle w:val="TableContents"/>
              <w:bidi w:val="0"/>
              <w:spacing w:before="0" w:after="240"/>
              <w:ind w:left="0" w:right="0" w:hanging="0"/>
              <w:jc w:val="center"/>
              <w:rPr/>
            </w:pPr>
            <w:r>
              <w:rPr/>
              <w:t>​</w:t>
            </w:r>
          </w:p>
        </w:tc>
        <w:tc>
          <w:tcPr>
            <w:tcW w:w="17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24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240"/>
              <w:ind w:left="0" w:right="0" w:hanging="0"/>
              <w:jc w:val="center"/>
              <w:rPr/>
            </w:pPr>
            <w:r>
              <w:rPr/>
              <w:t>​</w:t>
            </w:r>
          </w:p>
        </w:tc>
        <w:tc>
          <w:tcPr>
            <w:tcW w:w="144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68" w:name="CodeofConduct_324280"/>
      <w:bookmarkEnd w:id="68"/>
      <w:r>
        <w:rPr>
          <w:rFonts w:ascii="Times New Roman;Times;serif" w:hAnsi="Times New Roman;Times;serif"/>
          <w:b/>
          <w:sz w:val="20"/>
        </w:rPr>
        <w:t>Code of Conduct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other employees including our principal accounting officer, performing similar functions. A copy of our code of conduct is available on the Corporate Governance section of the Investor Relations page on our website at </w:t>
      </w:r>
      <w:r>
        <w:rPr>
          <w:rFonts w:ascii="Times New Roman;Times;serif" w:hAnsi="Times New Roman;Times;serif"/>
          <w:i/>
          <w:sz w:val="20"/>
        </w:rPr>
        <w:t>www.gce.com.</w:t>
      </w:r>
      <w:r>
        <w:rPr>
          <w:rFonts w:ascii="Times New Roman;Times;serif" w:hAnsi="Times New Roman;Times;serif"/>
          <w:sz w:val="20"/>
        </w:rPr>
        <w:t xml:space="preserve"> We intend to post on our website any amendment to,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waiver from, a provision of our code of conduct that applies to any director or officer, including our Chief Executive Officer, Chief Financial Officer, and other persons including our principal accounting officer performing similar functions, promptly following the date of such amendment or waiver.</w:t>
      </w:r>
    </w:p>
    <w:p>
      <w:pPr>
        <w:pStyle w:val="TextBody"/>
        <w:bidi w:val="0"/>
        <w:spacing w:before="0" w:after="120"/>
        <w:ind w:left="0" w:right="0" w:hanging="0"/>
        <w:jc w:val="left"/>
        <w:rPr>
          <w:rFonts w:ascii="Times New Roman;Times;serif" w:hAnsi="Times New Roman;Times;serif"/>
          <w:b/>
          <w:sz w:val="20"/>
        </w:rPr>
      </w:pPr>
      <w:bookmarkStart w:id="69" w:name="RiskOversight_316826"/>
      <w:bookmarkEnd w:id="69"/>
      <w:r>
        <w:rPr>
          <w:rFonts w:ascii="Times New Roman;Times;serif" w:hAnsi="Times New Roman;Times;serif"/>
          <w:b/>
          <w:sz w:val="20"/>
        </w:rPr>
        <w:t>Risk Oversight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climate,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pStyle w:val="TextBody"/>
        <w:bidi w:val="0"/>
        <w:spacing w:before="0" w:after="120"/>
        <w:ind w:left="0" w:right="0" w:hanging="0"/>
        <w:jc w:val="left"/>
        <w:rPr>
          <w:rFonts w:ascii="Times New Roman;Times;serif" w:hAnsi="Times New Roman;Times;serif"/>
          <w:b/>
          <w:sz w:val="20"/>
        </w:rPr>
      </w:pPr>
      <w:bookmarkStart w:id="70" w:name="DirectorNominationProcess_851198"/>
      <w:bookmarkEnd w:id="70"/>
      <w:r>
        <w:rPr>
          <w:rFonts w:ascii="Times New Roman;Times;serif" w:hAnsi="Times New Roman;Times;serif"/>
          <w:b/>
          <w:sz w:val="20"/>
        </w:rPr>
        <w:t>Director Nomination Process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When selecting nominees for appointment or election to our Board of Directors, our Nominating and Corporate Governance Committee makes such selections pursuant to the following process: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director candidates by our Nominating and Corporate Governance Committee based upon suggestions from current directors and senior management, recommendations by stockholders and/or use of a director search firm;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of the candidates’ qualifications by our Nominating and Corporate Governance Committee to determine which candidates best meet our Board of Directors’ required and desired criteria;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Interviews of interested candidates who best meet these criteria by the chair of the Nominating and Corporate Governance Committee, the chair of our Board of Directors, and/or certain other directors and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tc>
      </w:tr>
    </w:tbl>
    <w:tbl>
      <w:tblPr>
        <w:tblW w:w="4236" w:type="dxa"/>
        <w:jc w:val="left"/>
        <w:tblInd w:w="0" w:type="dxa"/>
        <w:tblLayout w:type="fixed"/>
        <w:tblCellMar>
          <w:top w:w="28" w:type="dxa"/>
          <w:left w:w="28" w:type="dxa"/>
          <w:bottom w:w="28" w:type="dxa"/>
          <w:right w:w="28" w:type="dxa"/>
        </w:tblCellMar>
      </w:tblPr>
      <w:tblGrid>
        <w:gridCol w:w="124"/>
        <w:gridCol w:w="256"/>
        <w:gridCol w:w="3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Formal nomination by our Board of Directors.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director’s/proposed nominee’s educational, business, non-profit or professional acumen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assists in achieving a mix of members on our Board of Directors that represents a diversity of background, perspective and experience;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meets the independence requirements of the listing standards of the Nasdaq Stock Market;</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has the business experience relevant to an understanding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would be considered a “financial expert” or “financially literate” as defined in applicable listing standards or applicable law;</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by virtue of particular technical expertise, experience or specialized skill relevant to our current or future business, will add specific value as a Board member;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director/proposed nominee possesses a willingness to challenge and stimulate management and the ability to work as part of a team in an environment of trust.</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pStyle w:val="TextBody"/>
        <w:bidi w:val="0"/>
        <w:spacing w:lineRule="auto" w:line="240" w:before="0" w:after="120"/>
        <w:ind w:left="0" w:right="0" w:firstLine="720"/>
        <w:jc w:val="left"/>
        <w:rPr>
          <w:rFonts w:ascii="Times New Roman;Times;serif" w:hAnsi="Times New Roman;Times;serif"/>
          <w:sz w:val="20"/>
        </w:rPr>
      </w:pPr>
      <w:r>
        <w:rPr>
          <w:rFonts w:ascii="Times New Roman;Times;serif" w:hAnsi="Times New Roman;Times;serif"/>
          <w:sz w:val="20"/>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2600 W. Camelback Road, Phoenix, Arizona 85017. Submissions must be received at the Company’s principal executive offices not earlier than the close of business on the 120</w:t>
      </w:r>
      <w:r>
        <w:rPr>
          <w:rFonts w:ascii="Times New Roman;Times;serif" w:hAnsi="Times New Roman;Times;serif"/>
          <w:sz w:val="15"/>
        </w:rPr>
        <w:t>th</w:t>
      </w:r>
      <w:r>
        <w:rPr>
          <w:rFonts w:ascii="Times New Roman;Times;serif" w:hAnsi="Times New Roman;Times;serif"/>
          <w:sz w:val="20"/>
        </w:rPr>
        <w:t xml:space="preserve"> day, nor later than the close of business on the 90</w:t>
      </w:r>
      <w:r>
        <w:rPr>
          <w:rFonts w:ascii="Times New Roman;Times;serif" w:hAnsi="Times New Roman;Times;serif"/>
          <w:sz w:val="15"/>
        </w:rPr>
        <w:t>th</w:t>
      </w:r>
      <w:r>
        <w:rPr>
          <w:rFonts w:ascii="Times New Roman;Times;serif" w:hAnsi="Times New Roman;Times;serif"/>
          <w:sz w:val="20"/>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2025 Annual Meeting of Stockholders, stockholder nominations must be received not earlier than the close of business on Thursday, February 13, 2025, and not later than the close of business on Thursday, March 14, 2025.</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did not receive any director nominations from stockholders for the Annual Meeting.</w:t>
      </w:r>
    </w:p>
    <w:p>
      <w:pPr>
        <w:pStyle w:val="TextBody"/>
        <w:bidi w:val="0"/>
        <w:spacing w:before="0" w:after="120"/>
        <w:ind w:left="0" w:right="0" w:hanging="0"/>
        <w:jc w:val="left"/>
        <w:rPr>
          <w:rFonts w:ascii="Times New Roman;Times;serif" w:hAnsi="Times New Roman;Times;serif"/>
          <w:b/>
          <w:sz w:val="20"/>
        </w:rPr>
      </w:pPr>
      <w:bookmarkStart w:id="71" w:name="AnnualElectionsandMajorityVoting_526265"/>
      <w:bookmarkEnd w:id="71"/>
      <w:r>
        <w:rPr>
          <w:rFonts w:ascii="Times New Roman;Times;serif" w:hAnsi="Times New Roman;Times;serif"/>
          <w:b/>
          <w:sz w:val="20"/>
        </w:rPr>
        <w:t>Annual Elections of Directors</w:t>
      </w:r>
    </w:p>
    <w:p>
      <w:pPr>
        <w:pStyle w:val="TextBody"/>
        <w:bidi w:val="0"/>
        <w:spacing w:before="0" w:after="120"/>
        <w:ind w:left="0" w:right="0" w:firstLine="720"/>
        <w:jc w:val="left"/>
        <w:rPr>
          <w:rFonts w:ascii="Times New Roman;Times;serif" w:hAnsi="Times New Roman;Times;serif"/>
          <w:sz w:val="20"/>
        </w:rPr>
      </w:pPr>
      <w:bookmarkStart w:id="72" w:name="_cp_text_1_56"/>
      <w:bookmarkStart w:id="73" w:name="_cp_text_1_55"/>
      <w:bookmarkEnd w:id="72"/>
      <w:bookmarkEnd w:id="73"/>
      <w:r>
        <w:rPr>
          <w:rFonts w:ascii="Times New Roman;Times;serif" w:hAnsi="Times New Roman;Times;serif"/>
          <w:sz w:val="20"/>
        </w:rPr>
        <w:t>Our directors are elected each year at the annual meeting of stockholders to hold office until the next annual meeting of stockholders and until their successors are duly elected and qualified.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pStyle w:val="TextBody"/>
        <w:bidi w:val="0"/>
        <w:spacing w:before="0" w:after="120"/>
        <w:ind w:left="0" w:right="0" w:hanging="0"/>
        <w:jc w:val="left"/>
        <w:rPr>
          <w:rFonts w:ascii="Times New Roman;Times;serif" w:hAnsi="Times New Roman;Times;serif"/>
          <w:b/>
          <w:sz w:val="20"/>
        </w:rPr>
      </w:pPr>
      <w:bookmarkStart w:id="74" w:name="PolicyonMajorityVoting_412273"/>
      <w:bookmarkStart w:id="75" w:name="_cp_text_1_57"/>
      <w:bookmarkEnd w:id="74"/>
      <w:bookmarkEnd w:id="75"/>
      <w:r>
        <w:rPr>
          <w:rFonts w:ascii="Times New Roman;Times;serif" w:hAnsi="Times New Roman;Times;serif"/>
          <w:b/>
          <w:sz w:val="20"/>
        </w:rPr>
        <w:t>Policy on Majority Voting</w:t>
      </w:r>
    </w:p>
    <w:p>
      <w:pPr>
        <w:pStyle w:val="TextBody"/>
        <w:bidi w:val="0"/>
        <w:spacing w:before="0" w:after="120"/>
        <w:ind w:left="0" w:right="0" w:firstLine="720"/>
        <w:jc w:val="left"/>
        <w:rPr>
          <w:rFonts w:ascii="Times New Roman;Times;serif" w:hAnsi="Times New Roman;Times;serif"/>
          <w:sz w:val="20"/>
        </w:rPr>
      </w:pPr>
      <w:bookmarkStart w:id="76" w:name="_cp_text_1_67"/>
      <w:bookmarkStart w:id="77" w:name="_cp_text_1_65"/>
      <w:bookmarkStart w:id="78" w:name="_cp_text_1_63"/>
      <w:bookmarkStart w:id="79" w:name="_cp_text_1_61"/>
      <w:bookmarkStart w:id="80" w:name="_cp_text_1_59"/>
      <w:bookmarkEnd w:id="76"/>
      <w:bookmarkEnd w:id="77"/>
      <w:bookmarkEnd w:id="78"/>
      <w:bookmarkEnd w:id="79"/>
      <w:bookmarkEnd w:id="80"/>
      <w:r>
        <w:rPr>
          <w:rFonts w:ascii="Times New Roman;Times;serif" w:hAnsi="Times New Roman;Times;serif"/>
          <w:sz w:val="20"/>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pStyle w:val="TextBody"/>
        <w:bidi w:val="0"/>
        <w:spacing w:before="0" w:after="120"/>
        <w:ind w:left="0" w:right="0" w:firstLine="720"/>
        <w:jc w:val="left"/>
        <w:rPr>
          <w:rFonts w:ascii="Times New Roman;Times;serif" w:hAnsi="Times New Roman;Times;serif"/>
          <w:sz w:val="20"/>
        </w:rPr>
      </w:pPr>
      <w:bookmarkStart w:id="81" w:name="_cp_text_1_68"/>
      <w:bookmarkEnd w:id="81"/>
      <w:r>
        <w:rPr>
          <w:rFonts w:ascii="Times New Roman;Times;serif" w:hAnsi="Times New Roman;Times;serif"/>
          <w:sz w:val="20"/>
        </w:rPr>
        <w:t xml:space="preserve">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 </w:t>
      </w:r>
    </w:p>
    <w:p>
      <w:pPr>
        <w:pStyle w:val="TextBody"/>
        <w:bidi w:val="0"/>
        <w:spacing w:before="0" w:after="120"/>
        <w:ind w:left="0" w:right="0" w:hanging="0"/>
        <w:jc w:val="left"/>
        <w:rPr>
          <w:rFonts w:ascii="Times New Roman;Times;serif" w:hAnsi="Times New Roman;Times;serif"/>
          <w:b/>
          <w:sz w:val="20"/>
        </w:rPr>
      </w:pPr>
      <w:bookmarkStart w:id="82" w:name="CompensationCommitteeInterlocksandInside"/>
      <w:bookmarkEnd w:id="82"/>
      <w:r>
        <w:rPr>
          <w:rFonts w:ascii="Times New Roman;Times;serif" w:hAnsi="Times New Roman;Times;serif"/>
          <w:b/>
          <w:sz w:val="20"/>
        </w:rPr>
        <w:t>Compensation Committee Interlocks and Insider Participation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2023, Mr. Henry, Ms. Ward, Ms. Keegan, Ms. Humphrey and Mr. Adame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pStyle w:val="TextBody"/>
        <w:bidi w:val="0"/>
        <w:spacing w:before="0" w:after="120"/>
        <w:ind w:left="0" w:right="0" w:hanging="0"/>
        <w:jc w:val="left"/>
        <w:rPr>
          <w:rFonts w:ascii="Times New Roman;Times;serif" w:hAnsi="Times New Roman;Times;serif"/>
          <w:b/>
          <w:sz w:val="20"/>
        </w:rPr>
      </w:pPr>
      <w:bookmarkStart w:id="83" w:name="StockholderCommunicationswiththeBoardofD"/>
      <w:bookmarkEnd w:id="83"/>
      <w:r>
        <w:rPr>
          <w:rFonts w:ascii="Times New Roman;Times;serif" w:hAnsi="Times New Roman;Times;serif"/>
          <w:b/>
          <w:sz w:val="20"/>
        </w:rPr>
        <w:t>Stockholder Communications with the Board of Directors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pStyle w:val="TextBody"/>
        <w:bidi w:val="0"/>
        <w:spacing w:before="0" w:after="120"/>
        <w:ind w:left="0" w:right="0" w:hanging="0"/>
        <w:jc w:val="left"/>
        <w:rPr>
          <w:rFonts w:ascii="Times New Roman;Times;serif" w:hAnsi="Times New Roman;Times;serif"/>
          <w:b/>
          <w:sz w:val="20"/>
        </w:rPr>
      </w:pPr>
      <w:bookmarkStart w:id="84" w:name="StockOwnershipPolicy_662559"/>
      <w:bookmarkEnd w:id="84"/>
      <w:r>
        <w:rPr>
          <w:rFonts w:ascii="Times New Roman;Times;serif" w:hAnsi="Times New Roman;Times;serif"/>
          <w:b/>
          <w:sz w:val="20"/>
        </w:rPr>
        <w:t>Stock Ownership Policy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Times New Roman;Times;serif" w:hAnsi="Times New Roman;Times;serif"/>
          <w:i/>
          <w:sz w:val="20"/>
        </w:rPr>
        <w:t>www.gce.com</w:t>
      </w:r>
      <w:r>
        <w:rPr>
          <w:rFonts w:ascii="Times New Roman;Times;serif" w:hAnsi="Times New Roman;Times;serif"/>
          <w:sz w:val="20"/>
        </w:rPr>
        <w:t>, establishes the following ownership levels for each category of person covered by the policy:</w:t>
      </w:r>
    </w:p>
    <w:tbl>
      <w:tblPr>
        <w:tblW w:w="10205" w:type="dxa"/>
        <w:jc w:val="left"/>
        <w:tblInd w:w="0" w:type="dxa"/>
        <w:tblLayout w:type="fixed"/>
        <w:tblCellMar>
          <w:top w:w="0" w:type="dxa"/>
          <w:left w:w="0" w:type="dxa"/>
          <w:bottom w:w="28" w:type="dxa"/>
          <w:right w:w="0" w:type="dxa"/>
        </w:tblCellMar>
      </w:tblPr>
      <w:tblGrid>
        <w:gridCol w:w="221"/>
        <w:gridCol w:w="2262"/>
        <w:gridCol w:w="266"/>
        <w:gridCol w:w="7144"/>
        <w:gridCol w:w="312"/>
      </w:tblGrid>
      <w:tr>
        <w:trPr/>
        <w:tc>
          <w:tcPr>
            <w:tcW w:w="221" w:type="dxa"/>
            <w:tcBorders>
              <w:bottom w:val="single" w:sz="2" w:space="0" w:color="000000"/>
            </w:tcBorders>
            <w:vAlign w:val="center"/>
          </w:tcPr>
          <w:p>
            <w:pPr>
              <w:pStyle w:val="TableContents"/>
              <w:bidi w:val="0"/>
              <w:spacing w:before="0" w:after="0"/>
              <w:ind w:left="0" w:right="0" w:hanging="0"/>
              <w:jc w:val="left"/>
              <w:rPr/>
            </w:pPr>
            <w:r>
              <w:rPr/>
              <w:t>​</w:t>
            </w:r>
          </w:p>
        </w:tc>
        <w:tc>
          <w:tcPr>
            <w:tcW w:w="2262" w:type="dxa"/>
            <w:tcBorders>
              <w:bottom w:val="single" w:sz="2" w:space="0" w:color="000000"/>
            </w:tcBorders>
            <w:vAlign w:val="center"/>
          </w:tcPr>
          <w:p>
            <w:pPr>
              <w:pStyle w:val="TableContents"/>
              <w:bidi w:val="0"/>
              <w:spacing w:before="0" w:after="0"/>
              <w:ind w:left="0" w:right="0" w:hanging="0"/>
              <w:jc w:val="left"/>
              <w:rPr/>
            </w:pPr>
            <w:r>
              <w:rPr/>
              <w:t>​</w:t>
            </w:r>
          </w:p>
        </w:tc>
        <w:tc>
          <w:tcPr>
            <w:tcW w:w="266" w:type="dxa"/>
            <w:tcBorders>
              <w:bottom w:val="single" w:sz="2" w:space="0" w:color="000000"/>
            </w:tcBorders>
            <w:vAlign w:val="center"/>
          </w:tcPr>
          <w:p>
            <w:pPr>
              <w:pStyle w:val="TableContents"/>
              <w:bidi w:val="0"/>
              <w:spacing w:before="0" w:after="0"/>
              <w:ind w:left="0" w:right="0" w:hanging="0"/>
              <w:jc w:val="left"/>
              <w:rPr/>
            </w:pPr>
            <w:r>
              <w:rPr/>
              <w:t>​</w:t>
            </w:r>
          </w:p>
        </w:tc>
        <w:tc>
          <w:tcPr>
            <w:tcW w:w="7144" w:type="dxa"/>
            <w:tcBorders>
              <w:bottom w:val="single" w:sz="2" w:space="0" w:color="000000"/>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21" w:type="dxa"/>
            <w:tcBorders>
              <w:top w:val="single" w:sz="2" w:space="0" w:color="000000"/>
              <w:left w:val="single" w:sz="2" w:space="0" w:color="000000"/>
            </w:tcBorders>
            <w:tcMar>
              <w:top w:w="28" w:type="dxa"/>
              <w:left w:w="28" w:type="dxa"/>
              <w:bottom w:w="0" w:type="dxa"/>
            </w:tcMar>
            <w:vAlign w:val="center"/>
          </w:tcPr>
          <w:p>
            <w:pPr>
              <w:pStyle w:val="TableContents"/>
              <w:bidi w:val="0"/>
              <w:spacing w:before="0" w:after="0"/>
              <w:ind w:left="0" w:right="0" w:hanging="0"/>
              <w:jc w:val="center"/>
              <w:rPr/>
            </w:pPr>
            <w:r>
              <w:rPr/>
              <w:t>  </w:t>
            </w:r>
          </w:p>
        </w:tc>
        <w:tc>
          <w:tcPr>
            <w:tcW w:w="2262"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Covered Person</w:t>
            </w:r>
          </w:p>
        </w:tc>
        <w:tc>
          <w:tcPr>
            <w:tcW w:w="26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pPr>
            <w:r>
              <w:rPr/>
              <w:t>   </w:t>
            </w:r>
          </w:p>
        </w:tc>
        <w:tc>
          <w:tcPr>
            <w:tcW w:w="7144"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Required Salary Multiple</w:t>
            </w:r>
          </w:p>
        </w:tc>
        <w:tc>
          <w:tcPr>
            <w:tcW w:w="312" w:type="dxa"/>
            <w:tcBorders>
              <w:top w:val="single" w:sz="2" w:space="0" w:color="000000"/>
              <w:right w:val="single" w:sz="2" w:space="0" w:color="000000"/>
            </w:tcBorders>
            <w:tcMar>
              <w:top w:w="28" w:type="dxa"/>
              <w:bottom w:w="0" w:type="dxa"/>
              <w:right w:w="28" w:type="dxa"/>
            </w:tcMar>
            <w:vAlign w:val="center"/>
          </w:tcPr>
          <w:p>
            <w:pPr>
              <w:pStyle w:val="TableContents"/>
              <w:bidi w:val="0"/>
              <w:spacing w:before="0" w:after="0"/>
              <w:ind w:left="0" w:right="0" w:hanging="0"/>
              <w:jc w:val="center"/>
              <w:rPr/>
            </w:pPr>
            <w:r>
              <w:rPr/>
              <w:t>   </w:t>
            </w:r>
          </w:p>
        </w:tc>
      </w:tr>
      <w:tr>
        <w:trPr/>
        <w:tc>
          <w:tcPr>
            <w:tcW w:w="221" w:type="dxa"/>
            <w:tcBorders>
              <w:left w:val="single" w:sz="2" w:space="0" w:color="000000"/>
            </w:tcBorders>
            <w:tcMar>
              <w:left w:w="28" w:type="dxa"/>
              <w:bottom w:w="0" w:type="dxa"/>
            </w:tcMar>
            <w:vAlign w:val="center"/>
          </w:tcPr>
          <w:p>
            <w:pPr>
              <w:pStyle w:val="TableContents"/>
              <w:bidi w:val="0"/>
              <w:spacing w:before="0" w:after="0"/>
              <w:ind w:left="0" w:right="0" w:hanging="0"/>
              <w:jc w:val="center"/>
              <w:rPr/>
            </w:pPr>
            <w:r>
              <w:rPr/>
              <w:t>​</w:t>
            </w:r>
          </w:p>
        </w:tc>
        <w:tc>
          <w:tcPr>
            <w:tcW w:w="2262"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7144" w:type="dxa"/>
            <w:tcBorders>
              <w:top w:val="single" w:sz="2" w:space="0" w:color="000000"/>
            </w:tcBorders>
            <w:tcMar>
              <w:top w:w="28" w:type="dxa"/>
              <w:bottom w:w="0" w:type="dxa"/>
            </w:tcMar>
            <w:vAlign w:val="center"/>
          </w:tcPr>
          <w:p>
            <w:pPr>
              <w:pStyle w:val="TableContents"/>
              <w:bidi w:val="0"/>
              <w:spacing w:before="0" w:after="0"/>
              <w:ind w:left="0" w:right="0" w:hanging="0"/>
              <w:jc w:val="center"/>
              <w:rPr/>
            </w:pPr>
            <w:r>
              <w:rPr/>
              <w:t>​</w:t>
            </w:r>
          </w:p>
        </w:tc>
        <w:tc>
          <w:tcPr>
            <w:tcW w:w="312" w:type="dxa"/>
            <w:tcBorders>
              <w:right w:val="single" w:sz="2" w:space="0" w:color="000000"/>
            </w:tcBorders>
            <w:tcMar>
              <w:bottom w:w="0" w:type="dxa"/>
              <w:right w:w="28" w:type="dxa"/>
            </w:tcMar>
            <w:vAlign w:val="center"/>
          </w:tcPr>
          <w:p>
            <w:pPr>
              <w:pStyle w:val="TableContents"/>
              <w:bidi w:val="0"/>
              <w:spacing w:before="0" w:after="0"/>
              <w:ind w:left="0" w:right="0" w:hanging="0"/>
              <w:jc w:val="center"/>
              <w:rPr/>
            </w:pPr>
            <w:r>
              <w:rPr/>
              <w:t>​</w:t>
            </w:r>
          </w:p>
        </w:tc>
      </w:tr>
      <w:tr>
        <w:trPr/>
        <w:tc>
          <w:tcPr>
            <w:tcW w:w="221" w:type="dxa"/>
            <w:tcBorders>
              <w:left w:val="single" w:sz="2" w:space="0" w:color="000000"/>
            </w:tcBorders>
            <w:tcMar>
              <w:left w:w="28" w:type="dxa"/>
              <w:bottom w:w="0" w:type="dxa"/>
            </w:tcMar>
            <w:vAlign w:val="center"/>
          </w:tcPr>
          <w:p>
            <w:pPr>
              <w:pStyle w:val="TableContents"/>
              <w:bidi w:val="0"/>
              <w:spacing w:before="0" w:after="0"/>
              <w:ind w:left="0" w:right="0" w:hanging="0"/>
              <w:jc w:val="center"/>
              <w:rPr/>
            </w:pPr>
            <w:r>
              <w:rPr/>
              <w:t>​</w:t>
            </w:r>
          </w:p>
        </w:tc>
        <w:tc>
          <w:tcPr>
            <w:tcW w:w="22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Chairman and Chief Executive Officer</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714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5x base salary</w:t>
            </w:r>
          </w:p>
        </w:tc>
        <w:tc>
          <w:tcPr>
            <w:tcW w:w="312" w:type="dxa"/>
            <w:tcBorders>
              <w:right w:val="single" w:sz="2" w:space="0" w:color="000000"/>
            </w:tcBorders>
            <w:tcMar>
              <w:bottom w:w="0" w:type="dxa"/>
              <w:right w:w="28" w:type="dxa"/>
            </w:tcMar>
            <w:vAlign w:val="center"/>
          </w:tcPr>
          <w:p>
            <w:pPr>
              <w:pStyle w:val="TableContents"/>
              <w:bidi w:val="0"/>
              <w:spacing w:before="0" w:after="0"/>
              <w:ind w:left="0" w:right="0" w:hanging="0"/>
              <w:jc w:val="center"/>
              <w:rPr/>
            </w:pPr>
            <w:r>
              <w:rPr/>
              <w:t>​</w:t>
            </w:r>
          </w:p>
        </w:tc>
      </w:tr>
      <w:tr>
        <w:trPr/>
        <w:tc>
          <w:tcPr>
            <w:tcW w:w="221" w:type="dxa"/>
            <w:tcBorders>
              <w:left w:val="single" w:sz="2" w:space="0" w:color="000000"/>
            </w:tcBorders>
            <w:tcMar>
              <w:left w:w="28" w:type="dxa"/>
              <w:bottom w:w="0" w:type="dxa"/>
            </w:tcMar>
            <w:vAlign w:val="center"/>
          </w:tcPr>
          <w:p>
            <w:pPr>
              <w:pStyle w:val="TableContents"/>
              <w:bidi w:val="0"/>
              <w:spacing w:before="0" w:after="0"/>
              <w:ind w:left="0" w:right="0" w:hanging="0"/>
              <w:jc w:val="center"/>
              <w:rPr/>
            </w:pPr>
            <w:r>
              <w:rPr/>
              <w:t>​</w:t>
            </w:r>
          </w:p>
        </w:tc>
        <w:tc>
          <w:tcPr>
            <w:tcW w:w="226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7144" w:type="dxa"/>
            <w:tcBorders/>
            <w:tcMar>
              <w:bottom w:w="0" w:type="dxa"/>
            </w:tcMar>
            <w:vAlign w:val="center"/>
          </w:tcPr>
          <w:p>
            <w:pPr>
              <w:pStyle w:val="TableContents"/>
              <w:bidi w:val="0"/>
              <w:spacing w:before="0" w:after="0"/>
              <w:ind w:left="0" w:right="0" w:hanging="0"/>
              <w:jc w:val="center"/>
              <w:rPr/>
            </w:pPr>
            <w:r>
              <w:rPr/>
              <w:t>​</w:t>
            </w:r>
          </w:p>
        </w:tc>
        <w:tc>
          <w:tcPr>
            <w:tcW w:w="312" w:type="dxa"/>
            <w:tcBorders>
              <w:right w:val="single" w:sz="2" w:space="0" w:color="000000"/>
            </w:tcBorders>
            <w:tcMar>
              <w:bottom w:w="0" w:type="dxa"/>
              <w:right w:w="28" w:type="dxa"/>
            </w:tcMar>
            <w:vAlign w:val="center"/>
          </w:tcPr>
          <w:p>
            <w:pPr>
              <w:pStyle w:val="TableContents"/>
              <w:bidi w:val="0"/>
              <w:spacing w:before="0" w:after="0"/>
              <w:ind w:left="0" w:right="0" w:hanging="0"/>
              <w:jc w:val="center"/>
              <w:rPr/>
            </w:pPr>
            <w:r>
              <w:rPr/>
              <w:t>​</w:t>
            </w:r>
          </w:p>
        </w:tc>
      </w:tr>
      <w:tr>
        <w:trPr/>
        <w:tc>
          <w:tcPr>
            <w:tcW w:w="221" w:type="dxa"/>
            <w:tcBorders>
              <w:left w:val="single" w:sz="2" w:space="0" w:color="000000"/>
            </w:tcBorders>
            <w:tcMar>
              <w:left w:w="28" w:type="dxa"/>
              <w:bottom w:w="0" w:type="dxa"/>
            </w:tcMar>
            <w:vAlign w:val="center"/>
          </w:tcPr>
          <w:p>
            <w:pPr>
              <w:pStyle w:val="TableContents"/>
              <w:bidi w:val="0"/>
              <w:spacing w:before="0" w:after="0"/>
              <w:ind w:left="0" w:right="0" w:hanging="0"/>
              <w:jc w:val="center"/>
              <w:rPr/>
            </w:pPr>
            <w:r>
              <w:rPr/>
              <w:t>​</w:t>
            </w:r>
          </w:p>
        </w:tc>
        <w:tc>
          <w:tcPr>
            <w:tcW w:w="226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All other Named Executive Officers</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7144"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3x base salary</w:t>
            </w:r>
          </w:p>
        </w:tc>
        <w:tc>
          <w:tcPr>
            <w:tcW w:w="312" w:type="dxa"/>
            <w:tcBorders>
              <w:right w:val="single" w:sz="2" w:space="0" w:color="000000"/>
            </w:tcBorders>
            <w:tcMar>
              <w:bottom w:w="0" w:type="dxa"/>
              <w:right w:w="28" w:type="dxa"/>
            </w:tcMar>
            <w:vAlign w:val="center"/>
          </w:tcPr>
          <w:p>
            <w:pPr>
              <w:pStyle w:val="TableContents"/>
              <w:bidi w:val="0"/>
              <w:spacing w:before="0" w:after="0"/>
              <w:ind w:left="0" w:right="0" w:hanging="0"/>
              <w:jc w:val="center"/>
              <w:rPr/>
            </w:pPr>
            <w:r>
              <w:rPr/>
              <w:t>​</w:t>
            </w:r>
          </w:p>
        </w:tc>
      </w:tr>
      <w:tr>
        <w:trPr/>
        <w:tc>
          <w:tcPr>
            <w:tcW w:w="221" w:type="dxa"/>
            <w:tcBorders>
              <w:left w:val="single" w:sz="2" w:space="0" w:color="000000"/>
            </w:tcBorders>
            <w:tcMar>
              <w:left w:w="28" w:type="dxa"/>
              <w:bottom w:w="0" w:type="dxa"/>
            </w:tcMar>
            <w:vAlign w:val="center"/>
          </w:tcPr>
          <w:p>
            <w:pPr>
              <w:pStyle w:val="TableContents"/>
              <w:bidi w:val="0"/>
              <w:spacing w:before="0" w:after="0"/>
              <w:ind w:left="0" w:right="0" w:hanging="0"/>
              <w:jc w:val="center"/>
              <w:rPr/>
            </w:pPr>
            <w:r>
              <w:rPr/>
              <w:t>​</w:t>
            </w:r>
          </w:p>
        </w:tc>
        <w:tc>
          <w:tcPr>
            <w:tcW w:w="2262" w:type="dxa"/>
            <w:tcBorders/>
            <w:tcMar>
              <w:bottom w:w="0" w:type="dxa"/>
            </w:tcMar>
            <w:vAlign w:val="center"/>
          </w:tcPr>
          <w:p>
            <w:pPr>
              <w:pStyle w:val="TableContents"/>
              <w:bidi w:val="0"/>
              <w:spacing w:before="0" w:after="0"/>
              <w:ind w:left="0" w:right="0" w:hanging="0"/>
              <w:jc w:val="center"/>
              <w:rPr/>
            </w:pPr>
            <w:r>
              <w:rPr/>
              <w:t>​</w:t>
            </w:r>
          </w:p>
        </w:tc>
        <w:tc>
          <w:tcPr>
            <w:tcW w:w="266" w:type="dxa"/>
            <w:tcBorders/>
            <w:tcMar>
              <w:bottom w:w="0" w:type="dxa"/>
            </w:tcMar>
            <w:vAlign w:val="center"/>
          </w:tcPr>
          <w:p>
            <w:pPr>
              <w:pStyle w:val="TableContents"/>
              <w:bidi w:val="0"/>
              <w:spacing w:before="0" w:after="0"/>
              <w:ind w:left="0" w:right="0" w:hanging="0"/>
              <w:jc w:val="center"/>
              <w:rPr/>
            </w:pPr>
            <w:r>
              <w:rPr/>
              <w:t>​</w:t>
            </w:r>
          </w:p>
        </w:tc>
        <w:tc>
          <w:tcPr>
            <w:tcW w:w="7144" w:type="dxa"/>
            <w:tcBorders/>
            <w:tcMar>
              <w:bottom w:w="0" w:type="dxa"/>
            </w:tcMar>
            <w:vAlign w:val="center"/>
          </w:tcPr>
          <w:p>
            <w:pPr>
              <w:pStyle w:val="TableContents"/>
              <w:bidi w:val="0"/>
              <w:spacing w:before="0" w:after="0"/>
              <w:ind w:left="0" w:right="0" w:hanging="0"/>
              <w:jc w:val="center"/>
              <w:rPr/>
            </w:pPr>
            <w:r>
              <w:rPr/>
              <w:t>​</w:t>
            </w:r>
          </w:p>
        </w:tc>
        <w:tc>
          <w:tcPr>
            <w:tcW w:w="312" w:type="dxa"/>
            <w:tcBorders>
              <w:right w:val="single" w:sz="2" w:space="0" w:color="000000"/>
            </w:tcBorders>
            <w:tcMar>
              <w:bottom w:w="0" w:type="dxa"/>
              <w:right w:w="28" w:type="dxa"/>
            </w:tcMar>
            <w:vAlign w:val="center"/>
          </w:tcPr>
          <w:p>
            <w:pPr>
              <w:pStyle w:val="TableContents"/>
              <w:bidi w:val="0"/>
              <w:spacing w:before="0" w:after="0"/>
              <w:ind w:left="0" w:right="0" w:hanging="0"/>
              <w:jc w:val="center"/>
              <w:rPr/>
            </w:pPr>
            <w:r>
              <w:rPr/>
              <w:t>​</w:t>
            </w:r>
          </w:p>
        </w:tc>
      </w:tr>
      <w:tr>
        <w:trPr/>
        <w:tc>
          <w:tcPr>
            <w:tcW w:w="221" w:type="dxa"/>
            <w:tcBorders>
              <w:left w:val="single" w:sz="2" w:space="0" w:color="000000"/>
              <w:bottom w:val="single" w:sz="2" w:space="0" w:color="000000"/>
            </w:tcBorders>
            <w:tcMar>
              <w:left w:w="28" w:type="dxa"/>
            </w:tcMar>
            <w:vAlign w:val="center"/>
          </w:tcPr>
          <w:p>
            <w:pPr>
              <w:pStyle w:val="TableContents"/>
              <w:bidi w:val="0"/>
              <w:spacing w:before="0" w:after="0"/>
              <w:ind w:left="0" w:right="0" w:hanging="0"/>
              <w:jc w:val="center"/>
              <w:rPr/>
            </w:pPr>
            <w:r>
              <w:rPr/>
              <w:t>​</w:t>
            </w:r>
          </w:p>
        </w:tc>
        <w:tc>
          <w:tcPr>
            <w:tcW w:w="2262"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Outside Directors</w:t>
            </w:r>
          </w:p>
        </w:tc>
        <w:tc>
          <w:tcPr>
            <w:tcW w:w="266" w:type="dxa"/>
            <w:tcBorders>
              <w:bottom w:val="single" w:sz="2" w:space="0" w:color="000000"/>
            </w:tcBorders>
            <w:vAlign w:val="center"/>
          </w:tcPr>
          <w:p>
            <w:pPr>
              <w:pStyle w:val="TableContents"/>
              <w:bidi w:val="0"/>
              <w:spacing w:before="0" w:after="0"/>
              <w:ind w:left="0" w:right="0" w:hanging="0"/>
              <w:jc w:val="center"/>
              <w:rPr/>
            </w:pPr>
            <w:r>
              <w:rPr/>
              <w:t>​</w:t>
            </w:r>
          </w:p>
        </w:tc>
        <w:tc>
          <w:tcPr>
            <w:tcW w:w="714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3x annual cash retainer (exclusive of any cash retainer payable for service as lead director, chairperson of the Board or any committee thereof)</w:t>
            </w:r>
          </w:p>
        </w:tc>
        <w:tc>
          <w:tcPr>
            <w:tcW w:w="312" w:type="dxa"/>
            <w:tcBorders>
              <w:bottom w:val="single" w:sz="2" w:space="0" w:color="000000"/>
              <w:right w:val="single" w:sz="2" w:space="0" w:color="000000"/>
            </w:tcBorders>
            <w:tcMar>
              <w:right w:w="28" w:type="dxa"/>
            </w:tcM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the policy, the following may be used in determining share ownership for purposes of the ownership requirement: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owned directly (including shares acquired through open market purchases or acquired and held upon, or subject to, vesting of restricted stock, restricted stock units or performance-based awards, and shares received and held upon exercise of stock option awards);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owned jointly with or separately by the director’s spouse;</w:t>
            </w:r>
          </w:p>
        </w:tc>
      </w:tr>
    </w:tbl>
    <w:tbl>
      <w:tblPr>
        <w:tblW w:w="9576" w:type="dxa"/>
        <w:jc w:val="left"/>
        <w:tblInd w:w="0" w:type="dxa"/>
        <w:tblLayout w:type="fixed"/>
        <w:tblCellMar>
          <w:top w:w="28" w:type="dxa"/>
          <w:left w:w="28" w:type="dxa"/>
          <w:bottom w:w="28" w:type="dxa"/>
          <w:right w:w="28" w:type="dxa"/>
        </w:tblCellMar>
      </w:tblPr>
      <w:tblGrid>
        <w:gridCol w:w="124"/>
        <w:gridCol w:w="256"/>
        <w:gridCol w:w="9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held in trust for the benefit of the Covered Person, or one or more family members of the Covered Person;</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held in qualified or nonqualified savings, profit-sharing, or deferred compensation accounts;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underlying vested but unexercised stock options (based on the excess of the market price of the stock over the exercise price and after deducting any tax withholding obligations); and</w:t>
            </w:r>
          </w:p>
        </w:tc>
      </w:tr>
    </w:tbl>
    <w:tbl>
      <w:tblPr>
        <w:tblW w:w="4671" w:type="dxa"/>
        <w:jc w:val="left"/>
        <w:tblInd w:w="0" w:type="dxa"/>
        <w:tblLayout w:type="fixed"/>
        <w:tblCellMar>
          <w:top w:w="28" w:type="dxa"/>
          <w:left w:w="28" w:type="dxa"/>
          <w:bottom w:w="28" w:type="dxa"/>
          <w:right w:w="28" w:type="dxa"/>
        </w:tblCellMar>
      </w:tblPr>
      <w:tblGrid>
        <w:gridCol w:w="124"/>
        <w:gridCol w:w="256"/>
        <w:gridCol w:w="42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underlying vested but unexercised warrants.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Each person covered by the policy is expected to achieve the target ownership threshold within five years of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2023, all persons covered by the policy were in compliance with the stock ownership requirements.</w:t>
      </w:r>
    </w:p>
    <w:p>
      <w:pPr>
        <w:pStyle w:val="TextBody"/>
        <w:bidi w:val="0"/>
        <w:spacing w:before="0" w:after="120"/>
        <w:ind w:left="0" w:right="0" w:hanging="0"/>
        <w:jc w:val="left"/>
        <w:rPr>
          <w:rFonts w:ascii="Times New Roman;Times;serif" w:hAnsi="Times New Roman;Times;serif"/>
          <w:b/>
          <w:sz w:val="20"/>
        </w:rPr>
      </w:pPr>
      <w:bookmarkStart w:id="85" w:name="AntiHedgingAntiPledgingPolicy_353047"/>
      <w:bookmarkEnd w:id="85"/>
      <w:r>
        <w:rPr>
          <w:rFonts w:ascii="Times New Roman;Times;serif" w:hAnsi="Times New Roman;Times;serif"/>
          <w:b/>
          <w:sz w:val="20"/>
        </w:rPr>
        <w:t xml:space="preserve">Anti-Hedging and Anti-Pledging Policy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an insider trading policy that includes restrictions and limitations on the ability of the Company’s directors, officers and employees to engage in transactions involving the hedging and pledging of Company stock. Under the policy, hedging or monetization transactions, such as zero-cost collars and forward sale contracts, which allow any person subject to such policy to lock in much of the value of his or her stock holdings, often in exchange for all or part of the potential for upside appreciation in the stock, and thus to continue to own Company stock without the full risks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pStyle w:val="TextBody"/>
        <w:bidi w:val="0"/>
        <w:spacing w:before="0" w:after="120"/>
        <w:ind w:left="0" w:right="0" w:hanging="0"/>
        <w:jc w:val="left"/>
        <w:rPr>
          <w:rFonts w:ascii="Times New Roman;Times;serif" w:hAnsi="Times New Roman;Times;serif"/>
          <w:b/>
          <w:sz w:val="20"/>
        </w:rPr>
      </w:pPr>
      <w:bookmarkStart w:id="86" w:name="CompensationofDirectors_544198"/>
      <w:bookmarkEnd w:id="86"/>
      <w:r>
        <w:rPr>
          <w:rFonts w:ascii="Times New Roman;Times;serif" w:hAnsi="Times New Roman;Times;serif"/>
          <w:b/>
          <w:sz w:val="20"/>
        </w:rPr>
        <w:t>Compensation of Directors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have a compensation program in place for our non-employee directors that utilizes annual retainers and restricted stock grants. New non-employee directors, upon appointment or election to the Board of Directors, receive an award of restricted stock under our equity incentive plan valued at $20,000 on the date of grant, which vests on the one-year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87" w:name="a2018DirectorCompensation_609781"/>
      <w:bookmarkEnd w:id="87"/>
      <w:r>
        <w:rPr>
          <w:rFonts w:ascii="Times New Roman;Times;serif" w:hAnsi="Times New Roman;Times;serif"/>
          <w:b/>
          <w:sz w:val="20"/>
        </w:rPr>
        <w:t>2023 Director Compensation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the compensation paid to the persons who served as non-employee directors in 2023:</w:t>
      </w:r>
    </w:p>
    <w:tbl>
      <w:tblPr>
        <w:tblW w:w="6947" w:type="dxa"/>
        <w:jc w:val="left"/>
        <w:tblInd w:w="0" w:type="dxa"/>
        <w:tblLayout w:type="fixed"/>
        <w:tblCellMar>
          <w:top w:w="0" w:type="dxa"/>
          <w:left w:w="0" w:type="dxa"/>
          <w:bottom w:w="0" w:type="dxa"/>
          <w:right w:w="0" w:type="dxa"/>
        </w:tblCellMar>
      </w:tblPr>
      <w:tblGrid>
        <w:gridCol w:w="1801"/>
        <w:gridCol w:w="326"/>
        <w:gridCol w:w="321"/>
        <w:gridCol w:w="1104"/>
        <w:gridCol w:w="326"/>
        <w:gridCol w:w="342"/>
        <w:gridCol w:w="1173"/>
        <w:gridCol w:w="326"/>
        <w:gridCol w:w="211"/>
        <w:gridCol w:w="826"/>
        <w:gridCol w:w="191"/>
      </w:tblGrid>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2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Fees Earned or</w:t>
              <w:br/>
              <w:t>Paid in Cash ($)</w:t>
            </w:r>
            <w:r>
              <w:rPr>
                <w:rFonts w:ascii="Times New Roman;Times;serif" w:hAnsi="Times New Roman;Times;serif"/>
                <w:b/>
                <w:sz w:val="12"/>
              </w:rPr>
              <w:t>(1)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1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Stock Awards ($)</w:t>
            </w:r>
            <w:r>
              <w:rPr>
                <w:rFonts w:ascii="Times New Roman;Times;serif" w:hAnsi="Times New Roman;Times;serif"/>
                <w:b/>
                <w:sz w:val="12"/>
              </w:rPr>
              <w:t>(2)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801"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 Ward</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98,333 </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173,333 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 A. Henry</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80,000 </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155,000 </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Graham Keegan</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Chevy Humphrey</w:t>
            </w:r>
          </w:p>
        </w:tc>
        <w:tc>
          <w:tcPr>
            <w:tcW w:w="32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1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150,000 </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 Adame</w:t>
            </w:r>
          </w:p>
        </w:tc>
        <w:tc>
          <w:tcPr>
            <w:tcW w:w="326"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65,000 </w:t>
            </w:r>
          </w:p>
        </w:tc>
        <w:tc>
          <w:tcPr>
            <w:tcW w:w="326"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1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140,000 </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breakdown of the cash compensation paid to our non-employee directors in 2023 in respect of their annual retainers for service on the Board of Directors, for service on Board committees, and for services as a Board committee chair or as lead independent director:</w:t>
            </w:r>
          </w:p>
        </w:tc>
      </w:tr>
    </w:tbl>
    <w:tbl>
      <w:tblPr>
        <w:tblW w:w="7832" w:type="dxa"/>
        <w:jc w:val="left"/>
        <w:tblInd w:w="0" w:type="dxa"/>
        <w:tblLayout w:type="fixed"/>
        <w:tblCellMar>
          <w:top w:w="0" w:type="dxa"/>
          <w:left w:w="0" w:type="dxa"/>
          <w:bottom w:w="0" w:type="dxa"/>
          <w:right w:w="0" w:type="dxa"/>
        </w:tblCellMar>
      </w:tblPr>
      <w:tblGrid>
        <w:gridCol w:w="1801"/>
        <w:gridCol w:w="326"/>
        <w:gridCol w:w="295"/>
        <w:gridCol w:w="1011"/>
        <w:gridCol w:w="326"/>
        <w:gridCol w:w="309"/>
        <w:gridCol w:w="1057"/>
        <w:gridCol w:w="326"/>
        <w:gridCol w:w="211"/>
        <w:gridCol w:w="721"/>
        <w:gridCol w:w="326"/>
        <w:gridCol w:w="211"/>
        <w:gridCol w:w="721"/>
        <w:gridCol w:w="191"/>
      </w:tblGrid>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 of</w:t>
              <w:br/>
              <w:t>Directors</w:t>
              <w:br/>
              <w:t>Annual Retainer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w:t>
              <w:br/>
              <w:t>Committee</w:t>
              <w:br/>
              <w:t>Annual Retainers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w:t>
              <w:br/>
              <w:t>Chair</w:t>
              <w:br/>
              <w:t>Annual</w:t>
              <w:br/>
              <w:t>Retainer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801" w:type="dxa"/>
            <w:tcBorders>
              <w:top w:val="single" w:sz="2" w:space="0" w:color="000000"/>
            </w:tcBorders>
            <w:shd w:fill="CCEEFF" w:val="clear"/>
            <w:tcMar>
              <w:top w:w="28" w:type="dxa"/>
            </w:tcM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Sara Ward</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33,333 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98,333 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 A. Henry</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80,000 </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Graham Keegan</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8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Chevy Humphrey</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10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vAlign w:val="center"/>
          </w:tcPr>
          <w:p>
            <w:pPr>
              <w:pStyle w:val="TableContents"/>
              <w:bidi w:val="0"/>
              <w:spacing w:before="0" w:after="0"/>
              <w:ind w:left="0" w:right="0" w:hanging="0"/>
              <w:jc w:val="left"/>
              <w:rPr/>
            </w:pPr>
            <w:r>
              <w:rPr/>
              <w:t>​</w:t>
            </w:r>
          </w:p>
        </w:tc>
        <w:tc>
          <w:tcPr>
            <w:tcW w:w="309"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75,000 </w:t>
            </w:r>
          </w:p>
        </w:tc>
        <w:tc>
          <w:tcPr>
            <w:tcW w:w="191" w:type="dxa"/>
            <w:tcBorders/>
            <w:vAlign w:val="center"/>
          </w:tcPr>
          <w:p>
            <w:pPr>
              <w:pStyle w:val="TableContents"/>
              <w:bidi w:val="0"/>
              <w:spacing w:before="0" w:after="0"/>
              <w:ind w:left="0" w:right="0" w:hanging="0"/>
              <w:jc w:val="left"/>
              <w:rPr/>
            </w:pPr>
            <w:r>
              <w:rPr/>
              <w:t>​</w:t>
            </w:r>
          </w:p>
        </w:tc>
      </w:tr>
      <w:tr>
        <w:trPr/>
        <w:tc>
          <w:tcPr>
            <w:tcW w:w="18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 Adame</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w:t>
            </w:r>
          </w:p>
        </w:tc>
        <w:tc>
          <w:tcPr>
            <w:tcW w:w="10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50,000 </w:t>
            </w:r>
          </w:p>
        </w:tc>
        <w:tc>
          <w:tcPr>
            <w:tcW w:w="326"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65,000 </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for Ms. Ward includes the additional annual retainer of $33,333 that she received in her capacity as lead independent director.</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(2)</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the shares of restricted stock granted during the fiscal year as computed in accordance with ASC 718. For each director, the number of shares granted was determined by dividing the grant date value of the award, $75,000, by $101.62, the closing price of the company’s common stock on June 20, 2023, the date of grant, rounded up to the nearest whole share. Each director held 739 unvested shares at December 31, 2023. All unvested shares will vest on the earlier of the one-year anniversary of the date of grant or immediately prior to the Annual Meeting. Mr. David M. Adame’s grant was modified on January 2, 2024 to accelerate the vesting of 370 shares and to forfeit the remaining 369 shares, reflecting his time of service on the Board until the Board accepted his resignation in December 2023.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8" w:name="PROPOSALNO1_762246"/>
      <w:bookmarkStart w:id="89" w:name="_8bb8ac02_3f1c_43d0_a8d9_8f0f2997bf59"/>
      <w:bookmarkEnd w:id="88"/>
      <w:bookmarkEnd w:id="89"/>
      <w:r>
        <w:rPr>
          <w:rFonts w:ascii="Times New Roman;Times;serif" w:hAnsi="Times New Roman;Times;serif"/>
          <w:b/>
          <w:sz w:val="20"/>
        </w:rPr>
        <w:t>PROPOSAL NO.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ELECTION OF DIRECTORS</w:t>
      </w:r>
    </w:p>
    <w:tbl>
      <w:tblPr>
        <w:tblW w:w="10205" w:type="dxa"/>
        <w:jc w:val="left"/>
        <w:tblInd w:w="0" w:type="dxa"/>
        <w:tblLayout w:type="fixed"/>
        <w:tblCellMar>
          <w:top w:w="28" w:type="dxa"/>
          <w:left w:w="28" w:type="dxa"/>
          <w:bottom w:w="0" w:type="dxa"/>
          <w:right w:w="0" w:type="dxa"/>
        </w:tblCellMar>
      </w:tblPr>
      <w:tblGrid>
        <w:gridCol w:w="1724"/>
        <w:gridCol w:w="326"/>
        <w:gridCol w:w="8155"/>
      </w:tblGrid>
      <w:tr>
        <w:trPr/>
        <w:tc>
          <w:tcPr>
            <w:tcW w:w="1724"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r>
              <w:rPr>
                <w:rFonts w:ascii="Times New Roman;Times;serif" w:hAnsi="Times New Roman;Times;serif"/>
                <w:b/>
                <w:i/>
                <w:sz w:val="20"/>
              </w:rPr>
              <w:t>What am I voting on?</w:t>
            </w:r>
          </w:p>
        </w:tc>
        <w:tc>
          <w:tcPr>
            <w:tcW w:w="326" w:type="dxa"/>
            <w:tcBorders>
              <w:top w:val="single" w:sz="2" w:space="0" w:color="000000"/>
            </w:tcBorders>
            <w:tcMar>
              <w:left w:w="0" w:type="dxa"/>
            </w:tcMar>
            <w:vAlign w:val="center"/>
          </w:tcPr>
          <w:p>
            <w:pPr>
              <w:pStyle w:val="TableContents"/>
              <w:bidi w:val="0"/>
              <w:spacing w:before="0" w:after="0"/>
              <w:ind w:left="0" w:right="0" w:hanging="0"/>
              <w:jc w:val="left"/>
              <w:rPr/>
            </w:pPr>
            <w:r>
              <w:rPr/>
              <w:t>    </w:t>
            </w:r>
          </w:p>
        </w:tc>
        <w:tc>
          <w:tcPr>
            <w:tcW w:w="8155" w:type="dxa"/>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are being asked to elect six directors to serve for a one-year term.</w:t>
            </w:r>
          </w:p>
        </w:tc>
      </w:tr>
      <w:tr>
        <w:trPr/>
        <w:tc>
          <w:tcPr>
            <w:tcW w:w="1724" w:type="dxa"/>
            <w:tcBorders>
              <w:left w:val="single" w:sz="2" w:space="0" w:color="000000"/>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155"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724" w:type="dxa"/>
            <w:tcBorders>
              <w:left w:val="single" w:sz="2" w:space="0" w:color="000000"/>
            </w:tcBorders>
            <w:tcMar>
              <w:top w:w="0" w:type="dxa"/>
            </w:tcMar>
            <w:vAlign w:val="center"/>
          </w:tcPr>
          <w:p>
            <w:pPr>
              <w:pStyle w:val="TableContents"/>
              <w:bidi w:val="0"/>
              <w:spacing w:before="0" w:after="0"/>
              <w:ind w:left="0" w:right="0" w:hanging="0"/>
              <w:jc w:val="left"/>
              <w:rPr/>
            </w:pPr>
            <w:r>
              <w:rPr/>
              <w:t>☐     </w:t>
            </w:r>
            <w:r>
              <w:rPr>
                <w:rFonts w:ascii="Times New Roman;Times;serif" w:hAnsi="Times New Roman;Times;serif"/>
                <w:b/>
                <w:i/>
                <w:sz w:val="20"/>
              </w:rPr>
              <w:t>Voting recommendation:</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155"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unanimous recommends that you vote “</w:t>
            </w:r>
            <w:r>
              <w:rPr>
                <w:rFonts w:ascii="Times New Roman;Times;serif" w:hAnsi="Times New Roman;Times;serif"/>
                <w:b/>
                <w:sz w:val="20"/>
              </w:rPr>
              <w:t>FOR</w:t>
            </w:r>
            <w:r>
              <w:rPr>
                <w:rFonts w:ascii="Times New Roman;Times;serif" w:hAnsi="Times New Roman;Times;serif"/>
                <w:sz w:val="20"/>
              </w:rPr>
              <w:t>” the election of each director nominee. The Board and the Nominating and Corporate Governance Committee believe that the six director nominees each possess the necessary qualifications, attributes, skills and experiences to provide quality advice and counsel to the Company’s management and effectively oversee the business and the long-term interests of our stockholders.</w:t>
            </w:r>
          </w:p>
        </w:tc>
      </w:tr>
      <w:tr>
        <w:trPr/>
        <w:tc>
          <w:tcPr>
            <w:tcW w:w="1724" w:type="dxa"/>
            <w:tcBorders>
              <w:left w:val="single" w:sz="2" w:space="0" w:color="000000"/>
            </w:tcBorders>
            <w:tcMar>
              <w:top w:w="0" w:type="dxa"/>
            </w:tcMar>
            <w:vAlign w:val="center"/>
          </w:tcPr>
          <w:p>
            <w:pPr>
              <w:pStyle w:val="TableContents"/>
              <w:bidi w:val="0"/>
              <w:spacing w:before="0" w:after="0"/>
              <w:ind w:left="0" w:right="0" w:hanging="0"/>
              <w:jc w:val="center"/>
              <w:rPr/>
            </w:pPr>
            <w:r>
              <w:rPr/>
              <w:t>​</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155"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724"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r>
              <w:rPr>
                <w:rFonts w:ascii="Times New Roman;Times;serif" w:hAnsi="Times New Roman;Times;serif"/>
                <w:b/>
                <w:i/>
                <w:sz w:val="20"/>
              </w:rPr>
              <w:t>Vote required:</w:t>
            </w:r>
          </w:p>
        </w:tc>
        <w:tc>
          <w:tcPr>
            <w:tcW w:w="326" w:type="dxa"/>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pPr>
            <w:r>
              <w:rPr/>
              <w:t>​</w:t>
            </w:r>
          </w:p>
        </w:tc>
        <w:tc>
          <w:tcPr>
            <w:tcW w:w="815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affirmative vote of a majority of the votes cast at the Annual Meeting is required for the election of each director. Stockholders of the Company are not permitted to cumulate their votes for the election of directors. Abstentions and broker non-votes will have no effect on the results of the election of directors. Unless contrary instructions are given, shares represented by proxies solicited by the Board of Directors will be voted for the election of each of the director nominees identified below.</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b/>
          <w:sz w:val="20"/>
        </w:rPr>
      </w:pPr>
      <w:bookmarkStart w:id="90" w:name="CompositionofourBoardofDirectors_504912"/>
      <w:bookmarkEnd w:id="90"/>
      <w:r>
        <w:rPr>
          <w:rFonts w:ascii="Times New Roman;Times;serif" w:hAnsi="Times New Roman;Times;serif"/>
          <w:b/>
          <w:sz w:val="20"/>
        </w:rPr>
        <w:t>Composition of our Board of Directors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bylaws provide that our business will be managed by or under the direction of the Board of Directors. The number of directors constituting our Board of Directors is determined from time to time by our Board of Directors. Currently, our Board of Directors consists of six members. Each of our six nominees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six persons named below for election as directors. Proxies solicited by our Board of Directors will, unless otherwise directed, be voted to elect the six nominees named below to constitute the entire Board of Directors.</w:t>
      </w:r>
    </w:p>
    <w:p>
      <w:pPr>
        <w:pStyle w:val="TextBody"/>
        <w:bidi w:val="0"/>
        <w:spacing w:before="0" w:after="120"/>
        <w:ind w:left="0" w:right="0" w:hanging="0"/>
        <w:jc w:val="left"/>
        <w:rPr>
          <w:rFonts w:ascii="Times New Roman;Times;serif" w:hAnsi="Times New Roman;Times;serif"/>
          <w:b/>
          <w:sz w:val="20"/>
        </w:rPr>
      </w:pPr>
      <w:bookmarkStart w:id="91" w:name="DirectorsandDirectorNominees_647261"/>
      <w:bookmarkEnd w:id="91"/>
      <w:r>
        <w:rPr>
          <w:rFonts w:ascii="Times New Roman;Times;serif" w:hAnsi="Times New Roman;Times;serif"/>
          <w:b/>
          <w:sz w:val="20"/>
        </w:rPr>
        <w:t>Directors and Director Nominees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All of the nominees named below served as directors during 2023, except for Mr. Kevin F. Warren who was appointed on April 24, 2024, and each is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information regarding each director nominee:</w:t>
      </w:r>
    </w:p>
    <w:tbl>
      <w:tblPr>
        <w:tblW w:w="10205" w:type="dxa"/>
        <w:jc w:val="left"/>
        <w:tblInd w:w="0" w:type="dxa"/>
        <w:tblLayout w:type="fixed"/>
        <w:tblCellMar>
          <w:top w:w="0" w:type="dxa"/>
          <w:left w:w="0" w:type="dxa"/>
          <w:bottom w:w="0" w:type="dxa"/>
          <w:right w:w="0" w:type="dxa"/>
        </w:tblCellMar>
      </w:tblPr>
      <w:tblGrid>
        <w:gridCol w:w="1549"/>
        <w:gridCol w:w="326"/>
        <w:gridCol w:w="391"/>
        <w:gridCol w:w="326"/>
        <w:gridCol w:w="2574"/>
        <w:gridCol w:w="326"/>
        <w:gridCol w:w="4713"/>
      </w:tblGrid>
      <w:tr>
        <w:trPr/>
        <w:tc>
          <w:tcPr>
            <w:tcW w:w="1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13" w:type="dxa"/>
            <w:tcBorders/>
            <w:vAlign w:val="center"/>
          </w:tcPr>
          <w:p>
            <w:pPr>
              <w:pStyle w:val="TableContents"/>
              <w:bidi w:val="0"/>
              <w:spacing w:before="0" w:after="0"/>
              <w:ind w:left="0" w:right="0" w:hanging="0"/>
              <w:jc w:val="left"/>
              <w:rPr/>
            </w:pPr>
            <w:r>
              <w:rPr/>
              <w:t>​</w:t>
            </w:r>
          </w:p>
        </w:tc>
      </w:tr>
      <w:tr>
        <w:trPr/>
        <w:tc>
          <w:tcPr>
            <w:tcW w:w="15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13" w:type="dxa"/>
            <w:tcBorders/>
            <w:vAlign w:val="center"/>
          </w:tcPr>
          <w:p>
            <w:pPr>
              <w:pStyle w:val="TableContents"/>
              <w:bidi w:val="0"/>
              <w:spacing w:before="0" w:after="0"/>
              <w:ind w:left="0" w:right="0" w:hanging="0"/>
              <w:jc w:val="left"/>
              <w:rPr/>
            </w:pPr>
            <w:r>
              <w:rPr/>
              <w:t>​</w:t>
            </w:r>
          </w:p>
        </w:tc>
      </w:tr>
      <w:tr>
        <w:trPr/>
        <w:tc>
          <w:tcPr>
            <w:tcW w:w="154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5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7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Committee Membership</w:t>
            </w:r>
          </w:p>
        </w:tc>
      </w:tr>
      <w:tr>
        <w:trPr/>
        <w:tc>
          <w:tcPr>
            <w:tcW w:w="1549"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574"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326" w:type="dxa"/>
            <w:tcBorders/>
            <w:shd w:fill="CCEEFF" w:val="clear"/>
            <w:vAlign w:val="center"/>
          </w:tcPr>
          <w:p>
            <w:pPr>
              <w:pStyle w:val="TableContents"/>
              <w:bidi w:val="0"/>
              <w:spacing w:before="0" w:after="0"/>
              <w:ind w:left="0" w:right="0" w:hanging="0"/>
              <w:jc w:val="left"/>
              <w:rPr/>
            </w:pPr>
            <w:r>
              <w:rPr/>
              <w:t>​</w:t>
            </w:r>
          </w:p>
        </w:tc>
        <w:tc>
          <w:tcPr>
            <w:tcW w:w="471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 Ward</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5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(Lead Independent Director)</w:t>
            </w:r>
          </w:p>
        </w:tc>
        <w:tc>
          <w:tcPr>
            <w:tcW w:w="326" w:type="dxa"/>
            <w:tcBorders/>
            <w:vAlign w:val="center"/>
          </w:tcPr>
          <w:p>
            <w:pPr>
              <w:pStyle w:val="TableContents"/>
              <w:bidi w:val="0"/>
              <w:spacing w:before="0" w:after="0"/>
              <w:ind w:left="0" w:right="0" w:hanging="0"/>
              <w:jc w:val="left"/>
              <w:rPr/>
            </w:pPr>
            <w:r>
              <w:rPr/>
              <w:t>​</w:t>
            </w:r>
          </w:p>
        </w:tc>
        <w:tc>
          <w:tcPr>
            <w:tcW w:w="4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Corporate Governance; Compensation; and Audit</w:t>
            </w:r>
          </w:p>
        </w:tc>
      </w:tr>
      <w:tr>
        <w:trPr/>
        <w:tc>
          <w:tcPr>
            <w:tcW w:w="1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 A. Henry</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2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CCEEFF" w:val="clear"/>
            <w:vAlign w:val="center"/>
          </w:tcPr>
          <w:p>
            <w:pPr>
              <w:pStyle w:val="TableContents"/>
              <w:bidi w:val="0"/>
              <w:spacing w:before="0" w:after="0"/>
              <w:ind w:left="0" w:right="0" w:hanging="0"/>
              <w:jc w:val="left"/>
              <w:rPr/>
            </w:pPr>
            <w:r>
              <w:rPr/>
              <w:t>​</w:t>
            </w:r>
          </w:p>
        </w:tc>
        <w:tc>
          <w:tcPr>
            <w:tcW w:w="4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(chair); Nominating and Corporate Governance; and Compensation</w:t>
            </w:r>
          </w:p>
        </w:tc>
      </w:tr>
      <w:tr>
        <w:trPr/>
        <w:tc>
          <w:tcPr>
            <w:tcW w:w="1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Graham Keegan</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w:t>
            </w:r>
          </w:p>
        </w:tc>
        <w:tc>
          <w:tcPr>
            <w:tcW w:w="25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4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Corporate Governance (chair); Compensation; and Audit</w:t>
            </w:r>
          </w:p>
        </w:tc>
      </w:tr>
      <w:tr>
        <w:trPr/>
        <w:tc>
          <w:tcPr>
            <w:tcW w:w="1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Chevy Humphrey</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25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CCEEFF" w:val="clear"/>
            <w:vAlign w:val="center"/>
          </w:tcPr>
          <w:p>
            <w:pPr>
              <w:pStyle w:val="TableContents"/>
              <w:bidi w:val="0"/>
              <w:spacing w:before="0" w:after="0"/>
              <w:ind w:left="0" w:right="0" w:hanging="0"/>
              <w:jc w:val="left"/>
              <w:rPr/>
            </w:pPr>
            <w:r>
              <w:rPr/>
              <w:t>​</w:t>
            </w:r>
          </w:p>
        </w:tc>
        <w:tc>
          <w:tcPr>
            <w:tcW w:w="47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(chair); Nominating and Corporate Governance; and Audit</w:t>
            </w:r>
          </w:p>
        </w:tc>
      </w:tr>
      <w:tr>
        <w:trPr/>
        <w:tc>
          <w:tcPr>
            <w:tcW w:w="15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F. Warren</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5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vAlign w:val="center"/>
          </w:tcPr>
          <w:p>
            <w:pPr>
              <w:pStyle w:val="TableContents"/>
              <w:bidi w:val="0"/>
              <w:spacing w:before="0" w:after="0"/>
              <w:ind w:left="0" w:right="0" w:hanging="0"/>
              <w:jc w:val="left"/>
              <w:rPr/>
            </w:pPr>
            <w:r>
              <w:rPr/>
              <w:t>​</w:t>
            </w:r>
          </w:p>
        </w:tc>
        <w:tc>
          <w:tcPr>
            <w:tcW w:w="47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Nominating and Corporate Governance; Compensation; and Audit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261"/>
        <w:gridCol w:w="326"/>
        <w:gridCol w:w="7618"/>
      </w:tblGrid>
      <w:tr>
        <w:trPr/>
        <w:tc>
          <w:tcPr>
            <w:tcW w:w="226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18" w:type="dxa"/>
            <w:tcBorders/>
            <w:vAlign w:val="center"/>
          </w:tcPr>
          <w:p>
            <w:pPr>
              <w:pStyle w:val="TableContents"/>
              <w:bidi w:val="0"/>
              <w:spacing w:before="0" w:after="283"/>
              <w:ind w:left="0" w:right="0" w:hanging="0"/>
              <w:jc w:val="left"/>
              <w:rPr>
                <w:sz w:val="4"/>
                <w:szCs w:val="4"/>
              </w:rPr>
            </w:pPr>
            <w:r>
              <w:rPr>
                <w:sz w:val="4"/>
                <w:szCs w:val="4"/>
              </w:rPr>
            </w:r>
          </w:p>
        </w:tc>
      </w:tr>
      <w:tr>
        <w:trPr/>
        <w:tc>
          <w:tcPr>
            <w:tcW w:w="2261" w:type="dxa"/>
            <w:tcBorders/>
            <w:vAlign w:val="center"/>
          </w:tcPr>
          <w:p>
            <w:pPr>
              <w:pStyle w:val="TableContents"/>
              <w:bidi w:val="0"/>
              <w:spacing w:before="0" w:after="0"/>
              <w:ind w:left="0" w:right="0" w:hanging="0"/>
              <w:jc w:val="left"/>
              <w:rPr/>
            </w:pPr>
            <w:r>
              <w:rPr/>
              <w:drawing>
                <wp:inline distT="0" distB="0" distL="0" distR="0">
                  <wp:extent cx="1371600" cy="18288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371600" cy="1828800"/>
                          </a:xfrm>
                          <a:prstGeom prst="rect">
                            <a:avLst/>
                          </a:prstGeom>
                        </pic:spPr>
                      </pic:pic>
                    </a:graphicData>
                  </a:graphic>
                </wp:inline>
              </w:drawing>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Brian E. Mueller</w:t>
            </w:r>
            <w:r>
              <w:rPr>
                <w:rFonts w:ascii="Times New Roman;Times;serif" w:hAnsi="Times New Roman;Times;serif"/>
                <w:sz w:val="20"/>
              </w:rPr>
              <w:t xml:space="preserve"> has been serving as our Chief Executive Officer since July 1, 2008, as a director since March 2009, and as the Chairman of our Board since January 2017. Since July 1, 2018, Mr. Mueller has also served as the President of Grand Canyon University, an independent non-profit Arizona corporation that is our most significant university partner. From 2012 to 2018, Mr. Mueller served as the President of Grand Canyon University when it was owned and operated by the Company. See Policies and Procedures for Related Party Transactions.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day-to-day leadership and intimate knowledge of our business and operations, provide the Board of Directors with both industry-wide and Company-specific experience and expertise.</w:t>
            </w:r>
          </w:p>
        </w:tc>
      </w:tr>
      <w:tr>
        <w:trPr/>
        <w:tc>
          <w:tcPr>
            <w:tcW w:w="22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7618" w:type="dxa"/>
            <w:tcBorders/>
            <w:vAlign w:val="center"/>
          </w:tcPr>
          <w:p>
            <w:pPr>
              <w:pStyle w:val="TableContents"/>
              <w:bidi w:val="0"/>
              <w:spacing w:before="0" w:after="283"/>
              <w:ind w:left="0" w:right="0" w:hanging="0"/>
              <w:jc w:val="left"/>
              <w:rPr>
                <w:sz w:val="4"/>
                <w:szCs w:val="4"/>
              </w:rPr>
            </w:pPr>
            <w:r>
              <w:rPr>
                <w:sz w:val="4"/>
                <w:szCs w:val="4"/>
              </w:rPr>
            </w:r>
          </w:p>
        </w:tc>
      </w:tr>
      <w:tr>
        <w:trPr/>
        <w:tc>
          <w:tcPr>
            <w:tcW w:w="2261" w:type="dxa"/>
            <w:tcBorders/>
            <w:vAlign w:val="center"/>
          </w:tcPr>
          <w:p>
            <w:pPr>
              <w:pStyle w:val="TableContents"/>
              <w:bidi w:val="0"/>
              <w:spacing w:before="0" w:after="0"/>
              <w:ind w:left="0" w:right="0" w:hanging="0"/>
              <w:jc w:val="left"/>
              <w:rPr/>
            </w:pPr>
            <w:r>
              <w:rPr/>
              <w:drawing>
                <wp:inline distT="0" distB="0" distL="0" distR="0">
                  <wp:extent cx="1371600" cy="18288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371600" cy="1828800"/>
                          </a:xfrm>
                          <a:prstGeom prst="rect">
                            <a:avLst/>
                          </a:prstGeom>
                        </pic:spPr>
                      </pic:pic>
                    </a:graphicData>
                  </a:graphic>
                </wp:inline>
              </w:drawing>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Sara Ward</w:t>
            </w:r>
            <w:r>
              <w:rPr>
                <w:rFonts w:ascii="Times New Roman;Times;serif" w:hAnsi="Times New Roman;Times;serif"/>
                <w:sz w:val="20"/>
              </w:rPr>
              <w:t xml:space="preserve"> has been serving as a member of our Board of Directors since March 2013, and as the lead independent director since January 2017. Ms. Ward has served as President and Chief Executive Officer of Sara Dial &amp; Associates, an executive coaching and economic development consulting firm specializing in site selection and government relations since 1996. From 1993 to 1996, Ms. Ward served as the director of the Arizona Department of Commerce, having previously served as the finance director from 1991 to 1993. Prior to her work in the public sector, Ms. Ward worked in the investment banking industry. From 2014 to 2023 Ms. Ward served as a director for WillScot Mobile Mini Holdings Corp., a publicly traded provider of portable storage and mobile office solutions. Ms. Ward was previously a member of the board of trustees at Seattle Pacific University. Ms. Ward is a graduate of Stanford University with a Bachelor of Arts degree in international relations. Ms. Ward is NACD (National Association of Corporate Directors) Directorship Certified. The NACD Directorship Certification program equips directors with the foundation of knowledge sought by boards to effectively contribute in the boardroom. NACD Directorship Certified directors pass a foundational exam developed by experienced directors and, via continuing recertification requirements, commit to continuing education on governance and emerging issues impacting the businesses they service in order to elevate the profession of directorship. We believe Ms. Ward’s extensive experience with government, higher education and economic development provides a tremendous resource to our Board of Directors and management team, particularly in the areas of government relations, finance and corporate governance.</w:t>
            </w:r>
          </w:p>
        </w:tc>
      </w:tr>
      <w:tr>
        <w:trPr/>
        <w:tc>
          <w:tcPr>
            <w:tcW w:w="2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18"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01"/>
        <w:gridCol w:w="109"/>
        <w:gridCol w:w="7795"/>
      </w:tblGrid>
      <w:tr>
        <w:trPr/>
        <w:tc>
          <w:tcPr>
            <w:tcW w:w="230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7795" w:type="dxa"/>
            <w:tcBorders/>
            <w:vAlign w:val="center"/>
          </w:tcPr>
          <w:p>
            <w:pPr>
              <w:pStyle w:val="TableContents"/>
              <w:bidi w:val="0"/>
              <w:spacing w:before="0" w:after="283"/>
              <w:ind w:left="0" w:right="0" w:hanging="0"/>
              <w:jc w:val="left"/>
              <w:rPr>
                <w:sz w:val="4"/>
                <w:szCs w:val="4"/>
              </w:rPr>
            </w:pPr>
            <w:r>
              <w:rPr>
                <w:sz w:val="4"/>
                <w:szCs w:val="4"/>
              </w:rPr>
            </w:r>
          </w:p>
        </w:tc>
      </w:tr>
      <w:tr>
        <w:trPr/>
        <w:tc>
          <w:tcPr>
            <w:tcW w:w="2301" w:type="dxa"/>
            <w:tcBorders/>
            <w:vAlign w:val="center"/>
          </w:tcPr>
          <w:p>
            <w:pPr>
              <w:pStyle w:val="TableContents"/>
              <w:bidi w:val="0"/>
              <w:spacing w:before="0" w:after="0"/>
              <w:ind w:left="0" w:right="0" w:hanging="0"/>
              <w:jc w:val="left"/>
              <w:rPr/>
            </w:pPr>
            <w:r>
              <w:rPr/>
              <w:drawing>
                <wp:inline distT="0" distB="0" distL="0" distR="0">
                  <wp:extent cx="1371600" cy="18288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371600" cy="1828800"/>
                          </a:xfrm>
                          <a:prstGeom prst="rect">
                            <a:avLst/>
                          </a:prstGeom>
                        </pic:spPr>
                      </pic:pic>
                    </a:graphicData>
                  </a:graphic>
                </wp:inline>
              </w:drawing>
            </w:r>
          </w:p>
        </w:tc>
        <w:tc>
          <w:tcPr>
            <w:tcW w:w="109" w:type="dxa"/>
            <w:tcBorders/>
            <w:vAlign w:val="center"/>
          </w:tcPr>
          <w:p>
            <w:pPr>
              <w:pStyle w:val="TableContents"/>
              <w:bidi w:val="0"/>
              <w:spacing w:before="0" w:after="0"/>
              <w:ind w:left="0" w:right="0" w:hanging="0"/>
              <w:jc w:val="left"/>
              <w:rPr/>
            </w:pPr>
            <w:r>
              <w:rPr/>
              <w:t>​</w:t>
            </w:r>
          </w:p>
        </w:tc>
        <w:tc>
          <w:tcPr>
            <w:tcW w:w="7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Jack A. Henry</w:t>
            </w:r>
            <w:r>
              <w:rPr>
                <w:rFonts w:ascii="Times New Roman;Times;serif" w:hAnsi="Times New Roman;Times;serif"/>
                <w:sz w:val="20"/>
              </w:rPr>
              <w:t xml:space="preserve"> has been serving as a member of our Board of Directors since November 2008. Since 2000, Mr. Henry has served as the Managing Director of Sierra Blanca Ventures, LLC, a private investment and consulting firm. From 1966 to 2000, Mr. Henry worked as a certified public accountant for Arthur Andersen, a national accounting firm, retiring in 2000 as the Managing Partner of the Phoenix, Arizona office. Mr. Henry has previously served on the boards of directors of nine other publicly traded companies and seven private companies. Mr. Henry also currently serves on the board of directors and as chair of the audit committee of a private company. He is past President and founder of the Arizona Chapter of the National Association of Corporate Directors having served in that capacity for 16 years. Mr. Henry previously served on numerous community and nonprofit organizations including chairman of the Arizona Chamber of Commerce, Greater Phoenix Leadership, Greater Phoenix Economic Council, and Junior Achievement of Central Arizona. Mr. Henry also was a member of the Super Bowl ’96 Executive Committee, Arizona Business Hall of Fame, Arizona Economic Forum and the Violence Prevention Initiative. Mr. Henry has spoken and consulted on audit committee and corporate governance matters.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tc>
      </w:tr>
      <w:tr>
        <w:trPr/>
        <w:tc>
          <w:tcPr>
            <w:tcW w:w="23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95" w:type="dxa"/>
            <w:tcBorders/>
            <w:vAlign w:val="center"/>
          </w:tcPr>
          <w:p>
            <w:pPr>
              <w:pStyle w:val="TableContents"/>
              <w:bidi w:val="0"/>
              <w:spacing w:before="0" w:after="0"/>
              <w:ind w:left="0" w:right="0" w:hanging="0"/>
              <w:jc w:val="left"/>
              <w:rPr/>
            </w:pPr>
            <w:r>
              <w:rPr/>
              <w:t>​</w:t>
            </w:r>
          </w:p>
        </w:tc>
      </w:tr>
      <w:tr>
        <w:trPr/>
        <w:tc>
          <w:tcPr>
            <w:tcW w:w="2301" w:type="dxa"/>
            <w:tcBorders/>
            <w:vAlign w:val="center"/>
          </w:tcPr>
          <w:p>
            <w:pPr>
              <w:pStyle w:val="TableContents"/>
              <w:bidi w:val="0"/>
              <w:spacing w:before="0" w:after="0"/>
              <w:ind w:left="0" w:right="0" w:hanging="0"/>
              <w:jc w:val="left"/>
              <w:rPr/>
            </w:pPr>
            <w:r>
              <w:rPr/>
              <w:drawing>
                <wp:inline distT="0" distB="0" distL="0" distR="0">
                  <wp:extent cx="1397000" cy="20955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397000" cy="2095500"/>
                          </a:xfrm>
                          <a:prstGeom prst="rect">
                            <a:avLst/>
                          </a:prstGeom>
                        </pic:spPr>
                      </pic:pic>
                    </a:graphicData>
                  </a:graphic>
                </wp:inline>
              </w:drawing>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95" w:type="dxa"/>
            <w:tcBorders/>
            <w:vAlign w:val="center"/>
          </w:tcPr>
          <w:p>
            <w:pPr>
              <w:pStyle w:val="TableContents"/>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Lisa Graham Keegan</w:t>
            </w:r>
            <w:r>
              <w:rPr>
                <w:rFonts w:ascii="Times New Roman;Times;serif" w:hAnsi="Times New Roman;Times;serif"/>
                <w:sz w:val="20"/>
              </w:rPr>
              <w:t xml:space="preserve"> has been serving as a member of our Board of Directors since August 2019. Since 2001, Ms. Keegan has served as the Principal Partner at The Keegan Company, an education policy consulting firm, where she leads numerous projects, writes, and speaks on critical issues in American education. From 1991 to 2001, Ms. Keegan served as an Arizona elected official, first in the Arizona House of Representatives from 1991 to 1995, where she chaired the House Education Committee and oversaw the K-12, community college and university education budgets on the Appropriations Committee, and later as the Arizona Superintendent of Public Instruction from 1995 to 2001, where she oversaw Arizona’s public school system and directed the state’s Department of Education. In 2000 and 2008, respectively, Ms. Keegan served as education advisor to the John McCain campaigns for President. Ms. Keegan serves on the boards of the Grand Canyon Council Boy Scouts of America: 50 CAN, The 50-State Campaign for Achievement Now education advocacy organization; the National School Choice Awareness Foundation, an education organization focused on increasing parental awareness of school options; The Foundation For Advancing Alcohol Responsibility (Responsibility.org) National Advisory Board; and The Common Sense Institute of Arizona, a non-partisan research organization dedicated to the protection and promotion of Arizona’s economy. Ms. Keegan received a Bachelor of Arts degree from Stanford University and a Masters’ Degree from Arizona State University. We believe Ms. Keegan’s extensive experience with education and public office experience provides a tremendous resource to our Board of Directors and management team, particularly in the areas of operations and finance.</w:t>
            </w:r>
          </w:p>
          <w:p>
            <w:pPr>
              <w:pStyle w:val="TableContents"/>
              <w:bidi w:val="0"/>
              <w:spacing w:before="0" w:after="0"/>
              <w:ind w:left="0" w:right="0" w:hanging="0"/>
              <w:jc w:val="left"/>
              <w:rPr/>
            </w:pPr>
            <w:r>
              <w:rPr/>
              <w:t>​</w:t>
            </w:r>
          </w:p>
        </w:tc>
      </w:tr>
      <w:tr>
        <w:trPr/>
        <w:tc>
          <w:tcPr>
            <w:tcW w:w="230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77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339"/>
        <w:gridCol w:w="109"/>
        <w:gridCol w:w="7757"/>
      </w:tblGrid>
      <w:tr>
        <w:trPr/>
        <w:tc>
          <w:tcPr>
            <w:tcW w:w="2339"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57" w:type="dxa"/>
            <w:tcBorders/>
            <w:vAlign w:val="center"/>
          </w:tcPr>
          <w:p>
            <w:pPr>
              <w:pStyle w:val="TableContents"/>
              <w:bidi w:val="0"/>
              <w:spacing w:before="0" w:after="283"/>
              <w:ind w:left="0" w:right="0" w:hanging="0"/>
              <w:jc w:val="left"/>
              <w:rPr>
                <w:sz w:val="4"/>
                <w:szCs w:val="4"/>
              </w:rPr>
            </w:pPr>
            <w:r>
              <w:rPr>
                <w:sz w:val="4"/>
                <w:szCs w:val="4"/>
              </w:rPr>
            </w:r>
          </w:p>
        </w:tc>
      </w:tr>
      <w:tr>
        <w:trPr/>
        <w:tc>
          <w:tcPr>
            <w:tcW w:w="2339" w:type="dxa"/>
            <w:tcBorders/>
            <w:vAlign w:val="center"/>
          </w:tcPr>
          <w:p>
            <w:pPr>
              <w:pStyle w:val="TableContents"/>
              <w:bidi w:val="0"/>
              <w:spacing w:before="0" w:after="0"/>
              <w:ind w:left="0" w:right="0" w:hanging="0"/>
              <w:jc w:val="left"/>
              <w:rPr/>
            </w:pPr>
            <w:r>
              <w:rPr/>
              <w:drawing>
                <wp:inline distT="0" distB="0" distL="0" distR="0">
                  <wp:extent cx="1421130" cy="213169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421130" cy="2131695"/>
                          </a:xfrm>
                          <a:prstGeom prst="rect">
                            <a:avLst/>
                          </a:prstGeom>
                        </pic:spPr>
                      </pic:pic>
                    </a:graphicData>
                  </a:graphic>
                </wp:inline>
              </w:drawing>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Chevy Humphrey, DBA</w:t>
            </w:r>
            <w:r>
              <w:rPr>
                <w:rFonts w:ascii="Times New Roman;Times;serif" w:hAnsi="Times New Roman;Times;serif"/>
                <w:sz w:val="20"/>
              </w:rPr>
              <w:t xml:space="preserve"> has been serving as a member of our Board of Directors since August 2019. Dr. Humphrey has served as the President and CEO of the Museum of Science and Industry, Chicago (MSI) since January 2021. In this role, she oversees all aspects of executing the strategic vision of MSI, including guest experience, transformational exhibits, education programming, community engagement, and financial sustainability and growth. Dr. Humphrey is an international leader in the field of informal science education. Before joining MSI, she served for 15 years as CEO of Arizona Science Center. She serves as the Past Chair of the Board of the American Alliance of Museums, the world’s largest museum association, serving 35,000 members. She is Past Chair of the Board of the Association of Science and Technology Centers, which serves more than 500 science centers in more than 50 countries and has also served as the Chair of the Selection and Annual Review Committee for the National Science Foundation’s then-largest informal science initiative, Nanoscale Informal Science Education Network (NISE-Net). Dr. Humphrey has a long history serving on a wide variety of boards. Currently, she is a member of the Board of Governors for Argonne National Laboratory, a science and engineering research national laboratory operated by U-Chicago Argonne LLC for the United States Department of Energy. She also serves on the Economic Club of Chicago, Choose Chicago, the Theodore Roosevelt Presidential Library, the Sandra Day O’Connor Institute, Helios Education Foundation, and Education Forward Arizona. Dr. Humphrey was named to Crain’s Chicago Business’s 2023 Notable Women in STEM list and its 2023 Who’s Who list; she participated in Leadership Greater Chicago’s Daniel Burnham Fellowship, and she has received numerous awards from Chicago community organizations, including Girls Inc. Chicago’s 2023 Strong Smart Bold award and the Illinois Black Chamber, Cook County Black Chamber and Garfield Park Chamber of Commerce’s 2022 Business Leader of the Year award. Dr. Humphrey is originally from Houston, Texas. She earned a Doctorate in Business Administration from Grand Canyon University and an honorary Doctor of Science and Technology degree from the University of Advancing Technology. She holds a Master of Business Administration—with specializations in innovation entrepreneurship and marketing—from Northeastern University and a Bachelor of Science in Business with a concentration in Marketing from the University of Phoenix. Dr. Humphrey also received Executive Education certifications from The Wharton School at the University of Pennsylvania, Stanford University Graduate School of Business, and Yale School of Management.  We believe Dr. Humphrey’s extensive experience and STEM related experience provides a tremendous resource to our Board of Directors and management team, particularly in the areas of operations, finance, and corporate governance.</w:t>
            </w:r>
          </w:p>
        </w:tc>
      </w:tr>
      <w:tr>
        <w:trPr/>
        <w:tc>
          <w:tcPr>
            <w:tcW w:w="23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57" w:type="dxa"/>
            <w:tcBorders/>
            <w:vAlign w:val="center"/>
          </w:tcPr>
          <w:p>
            <w:pPr>
              <w:pStyle w:val="TableContents"/>
              <w:bidi w:val="0"/>
              <w:spacing w:before="0" w:after="0"/>
              <w:ind w:left="0" w:right="0" w:firstLine="72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261"/>
        <w:gridCol w:w="109"/>
        <w:gridCol w:w="7835"/>
      </w:tblGrid>
      <w:tr>
        <w:trPr/>
        <w:tc>
          <w:tcPr>
            <w:tcW w:w="226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drawing>
                <wp:inline distT="0" distB="0" distL="0" distR="0">
                  <wp:extent cx="1371600" cy="176593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371600" cy="1765935"/>
                          </a:xfrm>
                          <a:prstGeom prst="rect">
                            <a:avLst/>
                          </a:prstGeom>
                        </pic:spPr>
                      </pic:pic>
                    </a:graphicData>
                  </a:graphic>
                </wp:inline>
              </w:drawing>
            </w:r>
          </w:p>
        </w:tc>
        <w:tc>
          <w:tcPr>
            <w:tcW w:w="109" w:type="dxa"/>
            <w:tcBorders/>
            <w:vAlign w:val="center"/>
          </w:tcPr>
          <w:p>
            <w:pPr>
              <w:pStyle w:val="TableContents"/>
              <w:bidi w:val="0"/>
              <w:spacing w:before="0" w:after="0"/>
              <w:ind w:left="0" w:right="0" w:hanging="0"/>
              <w:jc w:val="left"/>
              <w:rPr/>
            </w:pPr>
            <w:r>
              <w:rPr/>
              <w:t>​</w:t>
            </w:r>
          </w:p>
        </w:tc>
        <w:tc>
          <w:tcPr>
            <w:tcW w:w="7835" w:type="dxa"/>
            <w:tcBorders/>
            <w:vAlign w:val="center"/>
          </w:tcPr>
          <w:p>
            <w:pPr>
              <w:pStyle w:val="TableContents"/>
              <w:bidi w:val="0"/>
              <w:spacing w:before="0" w:after="0"/>
              <w:ind w:left="0" w:right="0" w:firstLine="721"/>
              <w:jc w:val="left"/>
              <w:rPr>
                <w:rFonts w:ascii="Times New Roman;Times;serif" w:hAnsi="Times New Roman;Times;serif"/>
                <w:sz w:val="20"/>
              </w:rPr>
            </w:pPr>
            <w:r>
              <w:rPr>
                <w:rFonts w:ascii="Times New Roman;Times;serif" w:hAnsi="Times New Roman;Times;serif"/>
                <w:i/>
                <w:sz w:val="20"/>
              </w:rPr>
              <w:t>Kevin F. Warren</w:t>
            </w:r>
            <w:r>
              <w:rPr>
                <w:rFonts w:ascii="Times New Roman;Times;serif" w:hAnsi="Times New Roman;Times;serif"/>
                <w:sz w:val="20"/>
              </w:rPr>
              <w:t xml:space="preserve"> has been serving as a member of our Board of Directors since his appointment on April 24, 2024. He served previously as a member of our Board of Directors from September 2012 through August 27, 2019. Mr. Warren has served as President and Chief Executive Officer of the Chicago Bears Football Club, a National Football League (“NFL”) franchise, since April 2023, with responsibility for football and business operations. Mr. Warren is the first black President and CEO of the Chicago Bears and only the fifth President in the history of the Chicago Bears. Mr. Warren served as the Commissioner-Elect of the Big Ten Conference from September 2019 to January 2020. On January 2, 2020, Mr. Warren officially began his tenure as Commissioner of the Big Ten Conference and served in that role until April 2023. From 2005 to 2019, Mr. Warren served as a senior officer of the Minnesota Vikings, an NFL franchise. Prior to joining the Vikings, from 2003 to 2005, Mr. Warren worked for the international law firm of Greenberg Traurig LLP, which included representing the Wilf ownership group during its acquisition of the Vikings. From 2001 to 2003, Mr. Warren served as Senior Vice President of Business Operations &amp; General Counsel of the Detroit Lions, an NFL franchise. Prior to that time, Mr. Warren worked with the St. Louis Rams, an NFL franchise, as Vice President of Football Administration in 2001 and as Vice President of Player Development &amp; Football Legal Counsel from 1997 to 2000. Mr. Warren earned his bachelor’s degree in business administration from Grand Canyon University, his master’s degree in business administration from Arizona State University, and his Juris Doctor degree from the University of Notre Dame School of Law. We believe Mr. Warren’s extensive experience with legal, financial and marketing matters provides a tremendous resource to our Board of Directors and management team, particularly in the areas of operations, finance and corporate governance.</w:t>
            </w:r>
          </w:p>
        </w:tc>
      </w:tr>
    </w:tbl>
    <w:p>
      <w:pPr>
        <w:pStyle w:val="TextBody"/>
        <w:bidi w:val="0"/>
        <w:spacing w:before="0" w:after="0"/>
        <w:ind w:left="0" w:right="0" w:hanging="0"/>
        <w:jc w:val="left"/>
        <w:rPr/>
      </w:pPr>
      <w:r>
        <w:rPr/>
        <w:t>​</w:t>
      </w:r>
    </w:p>
    <w:p>
      <w:pPr>
        <w:pStyle w:val="TextBody"/>
        <w:bidi w:val="0"/>
        <w:spacing w:before="60" w:after="0"/>
        <w:ind w:left="0" w:right="0" w:firstLine="720"/>
        <w:jc w:val="left"/>
        <w:rPr>
          <w:rFonts w:ascii="Times New Roman;Times;serif" w:hAnsi="Times New Roman;Times;serif"/>
          <w:sz w:val="20"/>
        </w:rPr>
      </w:pPr>
      <w:r>
        <w:rPr>
          <w:rFonts w:ascii="Times New Roman;Times;serif" w:hAnsi="Times New Roman;Times;serif"/>
          <w:b/>
          <w:sz w:val="20"/>
        </w:rPr>
        <w:t>Our Board of Directors unanimously recommends that the stockholders vote FOR</w:t>
      </w:r>
      <w:r>
        <w:rPr>
          <w:rFonts w:ascii="Times New Roman;Times;serif" w:hAnsi="Times New Roman;Times;serif"/>
          <w:sz w:val="20"/>
        </w:rPr>
        <w:t xml:space="preserve"> </w:t>
      </w:r>
      <w:r>
        <w:rPr>
          <w:rFonts w:ascii="Times New Roman;Times;serif" w:hAnsi="Times New Roman;Times;serif"/>
          <w:b/>
          <w:sz w:val="20"/>
        </w:rPr>
        <w:t>the election of each of the six nominees listed above to constitute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2" w:name="PROPOSALNO2_534055"/>
      <w:bookmarkStart w:id="93" w:name="_d5f40ca0_4f34_4418_b447_ffb346521269"/>
      <w:bookmarkEnd w:id="92"/>
      <w:bookmarkEnd w:id="93"/>
      <w:r>
        <w:rPr>
          <w:rFonts w:ascii="Times New Roman;Times;serif" w:hAnsi="Times New Roman;Times;serif"/>
          <w:b/>
          <w:sz w:val="20"/>
        </w:rPr>
        <w:t>PROPOSAL NO.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ADVISORY VOTE TO APPROVE NAMED EXECUTIVE OFFICER COMPENSATION</w:t>
      </w:r>
    </w:p>
    <w:tbl>
      <w:tblPr>
        <w:tblW w:w="10205" w:type="dxa"/>
        <w:jc w:val="left"/>
        <w:tblInd w:w="0" w:type="dxa"/>
        <w:tblLayout w:type="fixed"/>
        <w:tblCellMar>
          <w:top w:w="28" w:type="dxa"/>
          <w:left w:w="28" w:type="dxa"/>
          <w:bottom w:w="0" w:type="dxa"/>
          <w:right w:w="0" w:type="dxa"/>
        </w:tblCellMar>
      </w:tblPr>
      <w:tblGrid>
        <w:gridCol w:w="1778"/>
        <w:gridCol w:w="326"/>
        <w:gridCol w:w="8101"/>
      </w:tblGrid>
      <w:tr>
        <w:trPr/>
        <w:tc>
          <w:tcPr>
            <w:tcW w:w="1778"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r>
              <w:rPr>
                <w:rFonts w:ascii="Times New Roman;Times;serif" w:hAnsi="Times New Roman;Times;serif"/>
                <w:b/>
                <w:i/>
                <w:sz w:val="20"/>
              </w:rPr>
              <w:t>What am I voting on?</w:t>
            </w:r>
          </w:p>
        </w:tc>
        <w:tc>
          <w:tcPr>
            <w:tcW w:w="326" w:type="dxa"/>
            <w:tcBorders>
              <w:top w:val="single" w:sz="2" w:space="0" w:color="000000"/>
            </w:tcBorders>
            <w:tcMar>
              <w:left w:w="0" w:type="dxa"/>
            </w:tcMar>
            <w:vAlign w:val="center"/>
          </w:tcPr>
          <w:p>
            <w:pPr>
              <w:pStyle w:val="TableContents"/>
              <w:bidi w:val="0"/>
              <w:spacing w:before="0" w:after="0"/>
              <w:ind w:left="0" w:right="0" w:hanging="0"/>
              <w:jc w:val="left"/>
              <w:rPr/>
            </w:pPr>
            <w:r>
              <w:rPr/>
              <w:t>    </w:t>
            </w:r>
          </w:p>
        </w:tc>
        <w:tc>
          <w:tcPr>
            <w:tcW w:w="8101" w:type="dxa"/>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Stockholders are being asked to approve, on an advisory basis, the compensation of the named executive officers as described in the </w:t>
            </w:r>
            <w:r>
              <w:rPr>
                <w:rFonts w:ascii="Times New Roman;Times;serif" w:hAnsi="Times New Roman;Times;serif"/>
                <w:i/>
                <w:sz w:val="20"/>
              </w:rPr>
              <w:t>Compensation Discussion and Analysis</w:t>
            </w:r>
            <w:r>
              <w:rPr>
                <w:rFonts w:ascii="Times New Roman;Times;serif" w:hAnsi="Times New Roman;Times;serif"/>
                <w:sz w:val="20"/>
              </w:rPr>
              <w:t xml:space="preserve"> section and the related tables.</w:t>
            </w:r>
          </w:p>
        </w:tc>
      </w:tr>
      <w:tr>
        <w:trPr/>
        <w:tc>
          <w:tcPr>
            <w:tcW w:w="1778"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101"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778" w:type="dxa"/>
            <w:tcBorders>
              <w:left w:val="single" w:sz="2" w:space="0" w:color="000000"/>
            </w:tcBorders>
            <w:tcMar>
              <w:top w:w="0" w:type="dxa"/>
            </w:tcMar>
            <w:vAlign w:val="center"/>
          </w:tcPr>
          <w:p>
            <w:pPr>
              <w:pStyle w:val="TableContents"/>
              <w:bidi w:val="0"/>
              <w:spacing w:before="0" w:after="0"/>
              <w:ind w:left="0" w:right="0" w:hanging="0"/>
              <w:jc w:val="left"/>
              <w:rPr/>
            </w:pPr>
            <w:r>
              <w:rPr/>
              <w:t>☐     </w:t>
            </w:r>
            <w:r>
              <w:rPr>
                <w:rFonts w:ascii="Times New Roman;Times;serif" w:hAnsi="Times New Roman;Times;serif"/>
                <w:b/>
                <w:i/>
                <w:sz w:val="20"/>
              </w:rPr>
              <w:t>Voting recommendation:</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101"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unanimously recommends that you vote “FOR” the advisory vote to approve the compensation of our named executive officers. The Compensation Committee takes very seriously its role in the governance of the Company’s compensation programs and will take into account the outcome of the advisory vote when considering future executive compensation decisions.</w:t>
            </w:r>
          </w:p>
        </w:tc>
      </w:tr>
      <w:tr>
        <w:trPr/>
        <w:tc>
          <w:tcPr>
            <w:tcW w:w="1778"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101"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778"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r>
              <w:rPr>
                <w:rFonts w:ascii="Times New Roman;Times;serif" w:hAnsi="Times New Roman;Times;serif"/>
                <w:b/>
                <w:i/>
                <w:sz w:val="20"/>
              </w:rPr>
              <w:t>Vote required:</w:t>
            </w:r>
          </w:p>
        </w:tc>
        <w:tc>
          <w:tcPr>
            <w:tcW w:w="326" w:type="dxa"/>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pPr>
            <w:r>
              <w:rPr/>
              <w:t>​</w:t>
            </w:r>
          </w:p>
        </w:tc>
        <w:tc>
          <w:tcPr>
            <w:tcW w:w="8101"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2017 Annual Meeting, our stockholders voted in favor of holding Say-On-Pay votes annually. In light of this result and other factors considered by the Board, the Board has determined that the Company will hold Say-On-Pay votes on an annual basis.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Times New Roman;Times;serif" w:hAnsi="Times New Roman;Times;serif"/>
          <w:i/>
          <w:sz w:val="20"/>
        </w:rPr>
        <w:t>Compensation Discussion and Analysis</w:t>
      </w:r>
      <w:r>
        <w:rPr>
          <w:rFonts w:ascii="Times New Roman;Times;serif" w:hAnsi="Times New Roman;Times;serif"/>
          <w:sz w:val="20"/>
        </w:rPr>
        <w:t xml:space="preserve"> section of this proxy statement for a detailed discussion about our executive compensation programs, including information about the fiscal year 2023 compensation of our named executive officers.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Times New Roman;Times;serif" w:hAnsi="Times New Roman;Times;serif"/>
          <w:i/>
          <w:sz w:val="20"/>
        </w:rPr>
        <w:t>Compensation Discussion and Analysis</w:t>
      </w:r>
      <w:r>
        <w:rPr>
          <w:rFonts w:ascii="Times New Roman;Times;serif" w:hAnsi="Times New Roman;Times;serif"/>
          <w:sz w:val="20"/>
        </w:rPr>
        <w:t xml:space="preserve"> section of this proxy statement provides a more detailed discussion of our executive compensation program. We believe that the compensation program we follow helps us achieve our principal compensation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Stockholders will be asked at the Annual Meeting to approve the following resolution pursuant to this Proposal No. 2:</w:t>
      </w:r>
    </w:p>
    <w:p>
      <w:pPr>
        <w:pStyle w:val="TextBody"/>
        <w:bidi w:val="0"/>
        <w:spacing w:before="0" w:after="120"/>
        <w:ind w:left="0" w:right="0" w:firstLine="720"/>
        <w:jc w:val="left"/>
        <w:rPr/>
      </w:pPr>
      <w:r>
        <w:rPr/>
        <w:t>“</w:t>
      </w:r>
      <w:r>
        <w:rPr>
          <w:rFonts w:ascii="Times New Roman;Times;serif" w:hAnsi="Times New Roman;Times;serif"/>
          <w:sz w:val="20"/>
        </w:rPr>
        <w:t>RESOLVED, that the stockholders of Grand Canyon Education, Inc. approve, on an advisory basis, the compensation of the Company’s named executive officers, disclosed pursuant to Item 402 of Regulation S-K in the Company’s definitive proxy statement for the 2024 Annual Meeting of Stockholders.”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b/>
          <w:sz w:val="20"/>
        </w:rPr>
        <w:t>Our Board of Directors unanimously recommends that you vote FOR</w:t>
      </w:r>
      <w:r>
        <w:rPr>
          <w:rFonts w:ascii="Times New Roman;Times;serif" w:hAnsi="Times New Roman;Times;serif"/>
          <w:sz w:val="20"/>
        </w:rPr>
        <w:t xml:space="preserve"> </w:t>
      </w:r>
      <w:r>
        <w:rPr>
          <w:rFonts w:ascii="Times New Roman;Times;serif" w:hAnsi="Times New Roman;Times;serif"/>
          <w:b/>
          <w:sz w:val="20"/>
        </w:rPr>
        <w:t>the resolution approving the compensation of our named executive officers as disclosed in this proxy statement.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94" w:name="EXECUTIVEOFFICERS_363481"/>
      <w:bookmarkStart w:id="95" w:name="_8dd92eeb_5a8a_4621_a686_b226d8b8bf44"/>
      <w:bookmarkEnd w:id="94"/>
      <w:bookmarkEnd w:id="95"/>
      <w:r>
        <w:rPr>
          <w:rFonts w:ascii="Times New Roman;Times;serif" w:hAnsi="Times New Roman;Times;serif"/>
          <w:b/>
          <w:sz w:val="20"/>
        </w:rPr>
        <w:t>EXECUTIVE OFFICERS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sets forth information regarding our non-director executive officers as of the date of this proxy statement. For information regarding Brian E. Mueller, our Chairman and our Chief Executive Officer, see “Proposal No. 1 —   Election of Directors — Directors and Director Nominees.”</w:t>
      </w:r>
    </w:p>
    <w:tbl>
      <w:tblPr>
        <w:tblW w:w="6190" w:type="dxa"/>
        <w:jc w:val="left"/>
        <w:tblInd w:w="0" w:type="dxa"/>
        <w:tblLayout w:type="fixed"/>
        <w:tblCellMar>
          <w:top w:w="0" w:type="dxa"/>
          <w:left w:w="0" w:type="dxa"/>
          <w:bottom w:w="0" w:type="dxa"/>
          <w:right w:w="0" w:type="dxa"/>
        </w:tblCellMar>
      </w:tblPr>
      <w:tblGrid>
        <w:gridCol w:w="1666"/>
        <w:gridCol w:w="326"/>
        <w:gridCol w:w="391"/>
        <w:gridCol w:w="326"/>
        <w:gridCol w:w="348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057910" cy="175260"/>
                      <wp:effectExtent l="0" t="0" r="0" b="0"/>
                      <wp:wrapNone/>
                      <wp:docPr id="17" name="Frame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18"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48285" cy="175260"/>
                      <wp:effectExtent l="0" t="0" r="0" b="0"/>
                      <wp:wrapNone/>
                      <wp:docPr id="19" name="Frame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0"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10435" cy="175260"/>
                      <wp:effectExtent l="0" t="0" r="0" b="0"/>
                      <wp:wrapNone/>
                      <wp:docPr id="21" name="Frame9"/>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r>
      <w:tr>
        <w:trPr/>
        <w:tc>
          <w:tcPr>
            <w:tcW w:w="166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63 </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Operating Officer</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53 </w: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Technology Officer</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64 </w:t>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Orbis Education, Chief Executive Officer</w:t>
            </w:r>
          </w:p>
        </w:tc>
      </w:tr>
      <w:tr>
        <w:trPr/>
        <w:tc>
          <w:tcPr>
            <w:tcW w:w="166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Kathy J. Claypatch</w:t>
            </w:r>
          </w:p>
        </w:tc>
        <w:tc>
          <w:tcPr>
            <w:tcW w:w="32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62 </w:t>
            </w:r>
          </w:p>
        </w:tc>
        <w:tc>
          <w:tcPr>
            <w:tcW w:w="326" w:type="dxa"/>
            <w:tcBorders/>
            <w:shd w:fill="CCEEFF" w:val="clear"/>
            <w:vAlign w:val="center"/>
          </w:tcPr>
          <w:p>
            <w:pPr>
              <w:pStyle w:val="TableContents"/>
              <w:bidi w:val="0"/>
              <w:spacing w:before="0" w:after="0"/>
              <w:ind w:left="0" w:right="0" w:hanging="0"/>
              <w:jc w:val="left"/>
              <w:rPr/>
            </w:pPr>
            <w:r>
              <w:rPr/>
              <w:t>​</w:t>
            </w:r>
          </w:p>
        </w:tc>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Information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0"/>
        <w:gridCol w:w="23"/>
        <w:gridCol w:w="161"/>
        <w:gridCol w:w="165"/>
        <w:gridCol w:w="7596"/>
      </w:tblGrid>
      <w:tr>
        <w:trPr/>
        <w:tc>
          <w:tcPr>
            <w:tcW w:w="2283" w:type="dxa"/>
            <w:gridSpan w:val="2"/>
            <w:tcBorders/>
            <w:vAlign w:val="center"/>
          </w:tcPr>
          <w:p>
            <w:pPr>
              <w:pStyle w:val="TableContents"/>
              <w:bidi w:val="0"/>
              <w:spacing w:before="0" w:after="0"/>
              <w:ind w:left="0" w:right="0" w:hanging="0"/>
              <w:jc w:val="left"/>
              <w:rPr/>
            </w:pPr>
            <w:r>
              <w:rPr/>
              <w:t>​</w:t>
            </w:r>
          </w:p>
        </w:tc>
        <w:tc>
          <w:tcPr>
            <w:tcW w:w="326" w:type="dxa"/>
            <w:gridSpan w:val="2"/>
            <w:tcBorders/>
            <w:vAlign w:val="center"/>
          </w:tcPr>
          <w:p>
            <w:pPr>
              <w:pStyle w:val="TableContents"/>
              <w:bidi w:val="0"/>
              <w:spacing w:before="0" w:after="0"/>
              <w:ind w:left="0" w:right="0" w:hanging="0"/>
              <w:jc w:val="left"/>
              <w:rPr/>
            </w:pPr>
            <w:r>
              <w:rPr/>
              <w:t>​</w:t>
            </w:r>
          </w:p>
        </w:tc>
        <w:tc>
          <w:tcPr>
            <w:tcW w:w="7596" w:type="dxa"/>
            <w:tcBorders/>
            <w:vAlign w:val="center"/>
          </w:tcPr>
          <w:p>
            <w:pPr>
              <w:pStyle w:val="TableContents"/>
              <w:bidi w:val="0"/>
              <w:spacing w:before="0" w:after="0"/>
              <w:ind w:left="0" w:right="0" w:hanging="0"/>
              <w:jc w:val="left"/>
              <w:rPr/>
            </w:pPr>
            <w:r>
              <w:rPr/>
              <w:t>​</w:t>
            </w:r>
          </w:p>
        </w:tc>
      </w:tr>
      <w:tr>
        <w:trPr/>
        <w:tc>
          <w:tcPr>
            <w:tcW w:w="2283" w:type="dxa"/>
            <w:gridSpan w:val="2"/>
            <w:tcBorders/>
            <w:vAlign w:val="center"/>
          </w:tcPr>
          <w:p>
            <w:pPr>
              <w:pStyle w:val="TableContents"/>
              <w:bidi w:val="0"/>
              <w:spacing w:before="0" w:after="0"/>
              <w:ind w:left="0" w:right="0" w:hanging="0"/>
              <w:jc w:val="left"/>
              <w:rPr/>
            </w:pPr>
            <w:r>
              <w:rPr/>
              <w:t>​</w:t>
            </w:r>
          </w:p>
        </w:tc>
        <w:tc>
          <w:tcPr>
            <w:tcW w:w="326" w:type="dxa"/>
            <w:gridSpan w:val="2"/>
            <w:tcBorders/>
            <w:vAlign w:val="center"/>
          </w:tcPr>
          <w:p>
            <w:pPr>
              <w:pStyle w:val="TableContents"/>
              <w:bidi w:val="0"/>
              <w:spacing w:before="0" w:after="0"/>
              <w:ind w:left="0" w:right="0" w:hanging="0"/>
              <w:jc w:val="left"/>
              <w:rPr/>
            </w:pPr>
            <w:r>
              <w:rPr/>
              <w:t>​</w:t>
            </w:r>
          </w:p>
        </w:tc>
        <w:tc>
          <w:tcPr>
            <w:tcW w:w="7596" w:type="dxa"/>
            <w:tcBorders/>
            <w:vAlign w:val="center"/>
          </w:tcPr>
          <w:p>
            <w:pPr>
              <w:pStyle w:val="TableContents"/>
              <w:bidi w:val="0"/>
              <w:spacing w:before="0" w:after="0"/>
              <w:ind w:left="0" w:right="0" w:hanging="0"/>
              <w:jc w:val="left"/>
              <w:rPr/>
            </w:pPr>
            <w:r>
              <w:rPr/>
              <w:t>​</w:t>
            </w:r>
          </w:p>
        </w:tc>
      </w:tr>
      <w:tr>
        <w:trPr/>
        <w:tc>
          <w:tcPr>
            <w:tcW w:w="2283" w:type="dxa"/>
            <w:gridSpan w:val="2"/>
            <w:tcBorders/>
            <w:vAlign w:val="center"/>
          </w:tcPr>
          <w:p>
            <w:pPr>
              <w:pStyle w:val="TableContents"/>
              <w:bidi w:val="0"/>
              <w:spacing w:before="0" w:after="0"/>
              <w:ind w:left="0" w:right="0" w:hanging="0"/>
              <w:jc w:val="left"/>
              <w:rPr/>
            </w:pPr>
            <w:r>
              <w:rPr/>
              <w:drawing>
                <wp:inline distT="0" distB="0" distL="0" distR="0">
                  <wp:extent cx="1371600" cy="182880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371600" cy="1828800"/>
                          </a:xfrm>
                          <a:prstGeom prst="rect">
                            <a:avLst/>
                          </a:prstGeom>
                        </pic:spPr>
                      </pic:pic>
                    </a:graphicData>
                  </a:graphic>
                </wp:inline>
              </w:drawing>
            </w:r>
          </w:p>
          <w:p>
            <w:pPr>
              <w:pStyle w:val="TableContents"/>
              <w:bidi w:val="0"/>
              <w:spacing w:before="0" w:after="0"/>
              <w:ind w:left="0" w:right="0" w:hanging="0"/>
              <w:jc w:val="center"/>
              <w:rPr/>
            </w:pPr>
            <w:r>
              <w:rPr/>
              <w:t>​</w:t>
            </w:r>
          </w:p>
        </w:tc>
        <w:tc>
          <w:tcPr>
            <w:tcW w:w="326" w:type="dxa"/>
            <w:gridSpan w:val="2"/>
            <w:tcBorders/>
            <w:vAlign w:val="center"/>
          </w:tcPr>
          <w:p>
            <w:pPr>
              <w:pStyle w:val="TableContents"/>
              <w:bidi w:val="0"/>
              <w:spacing w:before="0" w:after="0"/>
              <w:ind w:left="0" w:right="0" w:hanging="0"/>
              <w:jc w:val="left"/>
              <w:rPr/>
            </w:pPr>
            <w:r>
              <w:rPr/>
              <w:t>    </w:t>
            </w:r>
          </w:p>
        </w:tc>
        <w:tc>
          <w:tcPr>
            <w:tcW w:w="7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Dr. W. Stan Meyer</w:t>
            </w:r>
            <w:r>
              <w:rPr>
                <w:rFonts w:ascii="Times New Roman;Times;serif" w:hAnsi="Times New Roman;Times;serif"/>
                <w:sz w:val="20"/>
              </w:rPr>
              <w:t xml:space="preserve"> has been serving as our Chief Operating Officer since July 26, 2012, having previously served in the position of Executive Vice President from June 2008 to July 2012.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tc>
      </w:tr>
      <w:tr>
        <w:trPr/>
        <w:tc>
          <w:tcPr>
            <w:tcW w:w="2283" w:type="dxa"/>
            <w:gridSpan w:val="2"/>
            <w:tcBorders/>
            <w:vAlign w:val="center"/>
          </w:tcPr>
          <w:p>
            <w:pPr>
              <w:pStyle w:val="TableContents"/>
              <w:bidi w:val="0"/>
              <w:spacing w:before="0" w:after="0"/>
              <w:ind w:left="0" w:right="0" w:hanging="0"/>
              <w:jc w:val="center"/>
              <w:rPr/>
            </w:pPr>
            <w:r>
              <w:rPr/>
              <w:t>​</w:t>
            </w:r>
          </w:p>
        </w:tc>
        <w:tc>
          <w:tcPr>
            <w:tcW w:w="326" w:type="dxa"/>
            <w:gridSpan w:val="2"/>
            <w:tcBorders/>
            <w:vAlign w:val="center"/>
          </w:tcPr>
          <w:p>
            <w:pPr>
              <w:pStyle w:val="TableContents"/>
              <w:bidi w:val="0"/>
              <w:spacing w:before="0" w:after="0"/>
              <w:ind w:left="0" w:right="0" w:hanging="0"/>
              <w:jc w:val="left"/>
              <w:rPr/>
            </w:pPr>
            <w:r>
              <w:rPr/>
              <w:t>​</w:t>
            </w:r>
          </w:p>
        </w:tc>
        <w:tc>
          <w:tcPr>
            <w:tcW w:w="7596" w:type="dxa"/>
            <w:tcBorders/>
            <w:vAlign w:val="center"/>
          </w:tcPr>
          <w:p>
            <w:pPr>
              <w:pStyle w:val="TableContents"/>
              <w:bidi w:val="0"/>
              <w:spacing w:before="0" w:after="0"/>
              <w:ind w:left="0" w:right="0" w:hanging="0"/>
              <w:jc w:val="left"/>
              <w:rPr/>
            </w:pPr>
            <w:r>
              <w:rPr/>
              <w:t>​</w:t>
            </w:r>
          </w:p>
        </w:tc>
      </w:tr>
      <w:tr>
        <w:trPr/>
        <w:tc>
          <w:tcPr>
            <w:tcW w:w="2283" w:type="dxa"/>
            <w:gridSpan w:val="2"/>
            <w:tcBorders/>
            <w:vAlign w:val="center"/>
          </w:tcPr>
          <w:p>
            <w:pPr>
              <w:pStyle w:val="TableContents"/>
              <w:bidi w:val="0"/>
              <w:spacing w:before="0" w:after="0"/>
              <w:ind w:left="0" w:right="0" w:hanging="0"/>
              <w:jc w:val="left"/>
              <w:rPr/>
            </w:pPr>
            <w:r>
              <w:rPr/>
              <w:drawing>
                <wp:inline distT="0" distB="0" distL="0" distR="0">
                  <wp:extent cx="1371600" cy="182880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371600" cy="1828800"/>
                          </a:xfrm>
                          <a:prstGeom prst="rect">
                            <a:avLst/>
                          </a:prstGeom>
                        </pic:spPr>
                      </pic:pic>
                    </a:graphicData>
                  </a:graphic>
                </wp:inline>
              </w:drawing>
            </w:r>
          </w:p>
          <w:p>
            <w:pPr>
              <w:pStyle w:val="TableContents"/>
              <w:bidi w:val="0"/>
              <w:spacing w:before="0" w:after="0"/>
              <w:ind w:left="0" w:right="0" w:hanging="0"/>
              <w:jc w:val="center"/>
              <w:rPr/>
            </w:pPr>
            <w:r>
              <w:rPr/>
              <w:t>​</w:t>
            </w:r>
          </w:p>
        </w:tc>
        <w:tc>
          <w:tcPr>
            <w:tcW w:w="326" w:type="dxa"/>
            <w:gridSpan w:val="2"/>
            <w:tcBorders/>
            <w:vAlign w:val="center"/>
          </w:tcPr>
          <w:p>
            <w:pPr>
              <w:pStyle w:val="TableContents"/>
              <w:bidi w:val="0"/>
              <w:spacing w:before="0" w:after="0"/>
              <w:ind w:left="0" w:right="0" w:hanging="0"/>
              <w:jc w:val="left"/>
              <w:rPr/>
            </w:pPr>
            <w:r>
              <w:rPr/>
              <w:t>​</w:t>
            </w:r>
          </w:p>
        </w:tc>
        <w:tc>
          <w:tcPr>
            <w:tcW w:w="7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Daniel E. Bachus</w:t>
            </w:r>
            <w:r>
              <w:rPr>
                <w:rFonts w:ascii="Times New Roman;Times;serif" w:hAnsi="Times New Roman;Times;serif"/>
                <w:sz w:val="20"/>
              </w:rPr>
              <w:t xml:space="preserve"> has been serving as our Chief Financial Officer since July 2008.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w:t>
            </w:r>
          </w:p>
        </w:tc>
      </w:tr>
      <w:tr>
        <w:trPr/>
        <w:tc>
          <w:tcPr>
            <w:tcW w:w="2260" w:type="dxa"/>
            <w:tcBorders/>
            <w:vAlign w:val="center"/>
          </w:tcPr>
          <w:p>
            <w:pPr>
              <w:pStyle w:val="TableContents"/>
              <w:bidi w:val="0"/>
              <w:spacing w:before="0" w:after="0"/>
              <w:ind w:left="0" w:right="0" w:hanging="0"/>
              <w:jc w:val="left"/>
              <w:rPr/>
            </w:pPr>
            <w:r>
              <w:rPr/>
              <w:t>​</w:t>
            </w:r>
          </w:p>
        </w:tc>
        <w:tc>
          <w:tcPr>
            <w:tcW w:w="184" w:type="dxa"/>
            <w:gridSpan w:val="2"/>
            <w:tcBorders/>
            <w:vAlign w:val="center"/>
          </w:tcPr>
          <w:p>
            <w:pPr>
              <w:pStyle w:val="TableContents"/>
              <w:bidi w:val="0"/>
              <w:spacing w:before="0" w:after="0"/>
              <w:ind w:left="0" w:right="0" w:hanging="0"/>
              <w:jc w:val="left"/>
              <w:rPr/>
            </w:pPr>
            <w:r>
              <w:rPr/>
              <w:t>​</w:t>
            </w:r>
          </w:p>
        </w:tc>
        <w:tc>
          <w:tcPr>
            <w:tcW w:w="7761" w:type="dxa"/>
            <w:gridSpan w:val="2"/>
            <w:tcBorders/>
            <w:vAlign w:val="center"/>
          </w:tcPr>
          <w:p>
            <w:pPr>
              <w:pStyle w:val="TableContents"/>
              <w:bidi w:val="0"/>
              <w:spacing w:before="0" w:after="0"/>
              <w:ind w:left="0" w:right="0" w:hanging="0"/>
              <w:jc w:val="left"/>
              <w:rPr/>
            </w:pPr>
            <w:r>
              <w:rPr/>
              <w:t>​</w:t>
            </w:r>
          </w:p>
        </w:tc>
      </w:tr>
      <w:tr>
        <w:trPr/>
        <w:tc>
          <w:tcPr>
            <w:tcW w:w="2260" w:type="dxa"/>
            <w:tcBorders/>
            <w:vAlign w:val="center"/>
          </w:tcPr>
          <w:p>
            <w:pPr>
              <w:pStyle w:val="TableContents"/>
              <w:bidi w:val="0"/>
              <w:spacing w:before="0" w:after="0"/>
              <w:ind w:left="0" w:right="0" w:hanging="0"/>
              <w:jc w:val="left"/>
              <w:rPr/>
            </w:pPr>
            <w:r>
              <w:rPr/>
              <w:drawing>
                <wp:inline distT="0" distB="0" distL="0" distR="0">
                  <wp:extent cx="1370965" cy="182816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370965" cy="1828165"/>
                          </a:xfrm>
                          <a:prstGeom prst="rect">
                            <a:avLst/>
                          </a:prstGeom>
                        </pic:spPr>
                      </pic:pic>
                    </a:graphicData>
                  </a:graphic>
                </wp:inline>
              </w:drawing>
            </w:r>
          </w:p>
          <w:p>
            <w:pPr>
              <w:pStyle w:val="TableContents"/>
              <w:bidi w:val="0"/>
              <w:spacing w:before="0" w:after="0"/>
              <w:ind w:left="0" w:right="0" w:hanging="0"/>
              <w:jc w:val="left"/>
              <w:rPr/>
            </w:pPr>
            <w:r>
              <w:rPr/>
              <w:t>​</w:t>
            </w:r>
          </w:p>
        </w:tc>
        <w:tc>
          <w:tcPr>
            <w:tcW w:w="184" w:type="dxa"/>
            <w:gridSpan w:val="2"/>
            <w:tcBorders/>
            <w:vAlign w:val="center"/>
          </w:tcPr>
          <w:p>
            <w:pPr>
              <w:pStyle w:val="TableContents"/>
              <w:bidi w:val="0"/>
              <w:spacing w:before="0" w:after="0"/>
              <w:ind w:left="0" w:right="0" w:hanging="0"/>
              <w:jc w:val="left"/>
              <w:rPr/>
            </w:pPr>
            <w:r>
              <w:rPr/>
              <w:t>​</w:t>
            </w:r>
          </w:p>
        </w:tc>
        <w:tc>
          <w:tcPr>
            <w:tcW w:w="776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Dilek Marsh</w:t>
            </w:r>
            <w:r>
              <w:rPr>
                <w:rFonts w:ascii="Times New Roman;Times;serif" w:hAnsi="Times New Roman;Times;serif"/>
                <w:sz w:val="20"/>
              </w:rPr>
              <w:t xml:space="preserve"> has been serving as our Chief Technology Officer since July 2021, having previously served as Chief Data Officer since July 2018, as Executive Vice President since July 2012 and as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pStyle w:val="TableContents"/>
              <w:bidi w:val="0"/>
              <w:spacing w:before="0" w:after="0"/>
              <w:ind w:left="0" w:right="0" w:hanging="0"/>
              <w:jc w:val="left"/>
              <w:rPr>
                <w:color w:val="333333"/>
              </w:rPr>
            </w:pPr>
            <w:r>
              <w:rPr>
                <w:color w:val="333333"/>
              </w:rPr>
              <w:t>​</w:t>
            </w:r>
          </w:p>
          <w:p>
            <w:pPr>
              <w:pStyle w:val="TableContents"/>
              <w:bidi w:val="0"/>
              <w:spacing w:before="0" w:after="0"/>
              <w:ind w:left="0" w:right="0" w:firstLine="720"/>
              <w:jc w:val="left"/>
              <w:rPr/>
            </w:pPr>
            <w:r>
              <w:rPr/>
              <w:t>​</w:t>
            </w:r>
          </w:p>
          <w:p>
            <w:pPr>
              <w:pStyle w:val="TableContents"/>
              <w:bidi w:val="0"/>
              <w:spacing w:before="0" w:after="0"/>
              <w:ind w:left="0" w:right="0" w:firstLine="60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71"/>
        <w:gridCol w:w="109"/>
        <w:gridCol w:w="7725"/>
      </w:tblGrid>
      <w:tr>
        <w:trPr/>
        <w:tc>
          <w:tcPr>
            <w:tcW w:w="237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25" w:type="dxa"/>
            <w:tcBorders/>
            <w:vAlign w:val="center"/>
          </w:tcPr>
          <w:p>
            <w:pPr>
              <w:pStyle w:val="TableContents"/>
              <w:bidi w:val="0"/>
              <w:spacing w:before="0" w:after="0"/>
              <w:ind w:left="0" w:right="0" w:firstLine="720"/>
              <w:jc w:val="left"/>
              <w:rPr/>
            </w:pPr>
            <w:r>
              <w:rPr/>
              <w:t>​</w:t>
            </w:r>
          </w:p>
          <w:p>
            <w:pPr>
              <w:pStyle w:val="TableContents"/>
              <w:bidi w:val="0"/>
              <w:spacing w:before="0" w:after="0"/>
              <w:ind w:left="0" w:right="0" w:firstLine="600"/>
              <w:jc w:val="left"/>
              <w:rPr/>
            </w:pPr>
            <w:r>
              <w:rPr/>
              <w:t>​</w:t>
            </w:r>
          </w:p>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drawing>
                <wp:inline distT="0" distB="0" distL="0" distR="0">
                  <wp:extent cx="1441450" cy="20701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1441450" cy="2070100"/>
                          </a:xfrm>
                          <a:prstGeom prst="rect">
                            <a:avLst/>
                          </a:prstGeom>
                        </pic:spPr>
                      </pic:pic>
                    </a:graphicData>
                  </a:graphic>
                </wp:inline>
              </w:drawing>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Daniel J. Briggs</w:t>
            </w:r>
            <w:r>
              <w:rPr>
                <w:rFonts w:ascii="Times New Roman;Times;serif" w:hAnsi="Times New Roman;Times;serif"/>
                <w:sz w:val="20"/>
              </w:rPr>
              <w:t xml:space="preserve"> has been serving as the Chief Executive Officer of Orbis Education Services, our wholly owned subsidiary, since our acquisition of Orbis Education in January 2019. Mr.</w:t>
            </w:r>
            <w:r>
              <w:rPr>
                <w:rFonts w:ascii="Times New Roman;Times;serif" w:hAnsi="Times New Roman;Times;serif"/>
                <w:color w:val="333333"/>
                <w:sz w:val="20"/>
              </w:rPr>
              <w:t xml:space="preserve"> Briggs founded Orbis Education in 2003 and served in various positions, including chief executive officer and chief growth officer until January 2019. Prior to founding Orbis Education, Mr. Briggs served as Vice President of National Accounts for CCS Medical, a national home delivery company addressing chronic medical conditions, and Senior Vice President for ORYX Consulting, and General Manager for a Roche Diagnostics Corporation business unit specializing on treating common ailments through a virtual portal. Mr. Briggs holds a Bachelor of Secondary Education degree from the University of Missouri. On March 26, 2024, Mr. Briggs tendered his resignation, with effect as of June 30, 2024.</w:t>
            </w:r>
          </w:p>
          <w:p>
            <w:pPr>
              <w:pStyle w:val="TableContents"/>
              <w:bidi w:val="0"/>
              <w:spacing w:before="0" w:after="0"/>
              <w:ind w:left="0" w:right="0" w:firstLine="720"/>
              <w:jc w:val="left"/>
              <w:rPr/>
            </w:pPr>
            <w:r>
              <w:rPr/>
              <w:t>​</w:t>
            </w:r>
          </w:p>
          <w:p>
            <w:pPr>
              <w:pStyle w:val="TableContents"/>
              <w:bidi w:val="0"/>
              <w:spacing w:before="0" w:after="0"/>
              <w:ind w:left="0" w:right="0" w:hanging="0"/>
              <w:jc w:val="left"/>
              <w:rPr/>
            </w:pPr>
            <w:r>
              <w:rPr/>
              <w:t>​</w:t>
            </w:r>
          </w:p>
        </w:tc>
      </w:tr>
      <w:tr>
        <w:trPr/>
        <w:tc>
          <w:tcPr>
            <w:tcW w:w="23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72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1"/>
        <w:gridCol w:w="109"/>
        <w:gridCol w:w="7835"/>
      </w:tblGrid>
      <w:tr>
        <w:trPr/>
        <w:tc>
          <w:tcPr>
            <w:tcW w:w="22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35" w:type="dxa"/>
            <w:tcBorders/>
            <w:vAlign w:val="center"/>
          </w:tcPr>
          <w:p>
            <w:pPr>
              <w:pStyle w:val="TableContents"/>
              <w:bidi w:val="0"/>
              <w:spacing w:before="0" w:after="0"/>
              <w:ind w:left="0" w:right="0" w:hanging="0"/>
              <w:jc w:val="left"/>
              <w:rPr/>
            </w:pPr>
            <w:r>
              <w:rPr/>
              <w:t>​</w:t>
            </w:r>
          </w:p>
        </w:tc>
      </w:tr>
      <w:tr>
        <w:trPr/>
        <w:tc>
          <w:tcPr>
            <w:tcW w:w="22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35" w:type="dxa"/>
            <w:tcBorders/>
            <w:vAlign w:val="center"/>
          </w:tcPr>
          <w:p>
            <w:pPr>
              <w:pStyle w:val="TableContents"/>
              <w:bidi w:val="0"/>
              <w:spacing w:before="0" w:after="0"/>
              <w:ind w:left="0" w:right="0" w:hanging="0"/>
              <w:jc w:val="left"/>
              <w:rPr/>
            </w:pPr>
            <w:r>
              <w:rPr/>
              <w:t>​</w:t>
            </w:r>
          </w:p>
        </w:tc>
      </w:tr>
      <w:tr>
        <w:trPr/>
        <w:tc>
          <w:tcPr>
            <w:tcW w:w="2261" w:type="dxa"/>
            <w:tcBorders/>
            <w:vAlign w:val="center"/>
          </w:tcPr>
          <w:p>
            <w:pPr>
              <w:pStyle w:val="TableContents"/>
              <w:bidi w:val="0"/>
              <w:spacing w:before="0" w:after="0"/>
              <w:ind w:left="0" w:right="0" w:hanging="0"/>
              <w:jc w:val="left"/>
              <w:rPr/>
            </w:pPr>
            <w:r>
              <w:rPr/>
              <w:drawing>
                <wp:inline distT="0" distB="0" distL="0" distR="0">
                  <wp:extent cx="1371600" cy="187642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1371600" cy="1876425"/>
                          </a:xfrm>
                          <a:prstGeom prst="rect">
                            <a:avLst/>
                          </a:prstGeom>
                        </pic:spPr>
                      </pic:pic>
                    </a:graphicData>
                  </a:graphic>
                </wp:inline>
              </w:drawing>
            </w:r>
          </w:p>
        </w:tc>
        <w:tc>
          <w:tcPr>
            <w:tcW w:w="109" w:type="dxa"/>
            <w:tcBorders/>
            <w:vAlign w:val="center"/>
          </w:tcPr>
          <w:p>
            <w:pPr>
              <w:pStyle w:val="TableContents"/>
              <w:bidi w:val="0"/>
              <w:spacing w:before="0" w:after="0"/>
              <w:ind w:left="0" w:right="0" w:hanging="0"/>
              <w:jc w:val="left"/>
              <w:rPr/>
            </w:pPr>
            <w:r>
              <w:rPr/>
              <w:t>​</w:t>
            </w:r>
          </w:p>
        </w:tc>
        <w:tc>
          <w:tcPr>
            <w:tcW w:w="78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i/>
                <w:sz w:val="20"/>
                <w:shd w:fill="FFFFFF" w:val="clear"/>
              </w:rPr>
              <w:t>Kathy J. Claypatch</w:t>
            </w:r>
            <w:r>
              <w:rPr>
                <w:rFonts w:ascii="Times New Roman;Times;serif" w:hAnsi="Times New Roman;Times;serif"/>
                <w:sz w:val="20"/>
                <w:shd w:fill="FFFFFF" w:val="clear"/>
              </w:rPr>
              <w:t xml:space="preserve"> has been serving as our Chief Information Officer since July 2021, having previously served in the position of Chief Technology Officer beginning in October 2012. From 2006 to 2012, Ms. Claypatch spent time in the financial industry and served as the Chief Information Officer for Apriva and the Vice President of information technology for TSYS Acquiring Solutions. She worked in higher education from 2002 to 2006 at Apollo Education Group, Inc., where she was responsible for growing the information technology infrastructure to support the online education environment and its rapid growth. Ms. Claypatch has over 30 years of leadership and entrepreneurial experience spanning from startups to Fortune 500 companies.</w:t>
            </w:r>
          </w:p>
          <w:p>
            <w:pPr>
              <w:pStyle w:val="TableContents"/>
              <w:bidi w:val="0"/>
              <w:spacing w:before="0" w:after="0"/>
              <w:ind w:left="0" w:right="0" w:hanging="0"/>
              <w:jc w:val="left"/>
              <w:rPr/>
            </w:pPr>
            <w:r>
              <w:rPr/>
              <w:t>​</w:t>
            </w:r>
          </w:p>
          <w:p>
            <w:pPr>
              <w:pStyle w:val="TableContents"/>
              <w:bidi w:val="0"/>
              <w:spacing w:before="0" w:after="0"/>
              <w:ind w:left="0" w:right="0" w:hanging="0"/>
              <w:jc w:val="left"/>
              <w:rPr>
                <w:color w:val="333333"/>
              </w:rPr>
            </w:pPr>
            <w:r>
              <w:rPr>
                <w:color w:val="333333"/>
              </w:rPr>
              <w:t>​</w:t>
            </w:r>
          </w:p>
          <w:p>
            <w:pPr>
              <w:pStyle w:val="TableContents"/>
              <w:bidi w:val="0"/>
              <w:spacing w:before="0" w:after="0"/>
              <w:ind w:left="0" w:right="0" w:firstLine="720"/>
              <w:jc w:val="left"/>
              <w:rPr/>
            </w:pPr>
            <w:r>
              <w:rPr/>
              <w:t>​</w:t>
            </w:r>
          </w:p>
          <w:p>
            <w:pPr>
              <w:pStyle w:val="TableContents"/>
              <w:bidi w:val="0"/>
              <w:spacing w:before="0" w:after="0"/>
              <w:ind w:left="0" w:right="0" w:hanging="0"/>
              <w:jc w:val="left"/>
              <w:rPr/>
            </w:pPr>
            <w:r>
              <w:rPr/>
              <w:t>​</w:t>
            </w:r>
          </w:p>
        </w:tc>
      </w:tr>
      <w:tr>
        <w:trPr/>
        <w:tc>
          <w:tcPr>
            <w:tcW w:w="22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35"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96" w:name="EXECUTIVECOMPENSATION_7528"/>
      <w:bookmarkStart w:id="97" w:name="_6b788f36_66c7_4197_a441_b7c94ef594b1"/>
      <w:bookmarkEnd w:id="96"/>
      <w:bookmarkEnd w:id="97"/>
      <w:r>
        <w:rPr>
          <w:rFonts w:ascii="Times New Roman;Times;serif" w:hAnsi="Times New Roman;Times;serif"/>
          <w:b/>
          <w:sz w:val="20"/>
        </w:rPr>
        <w:t>EXECUTIVE COMPENSATION</w:t>
      </w:r>
    </w:p>
    <w:p>
      <w:pPr>
        <w:pStyle w:val="TextBody"/>
        <w:bidi w:val="0"/>
        <w:spacing w:before="0" w:after="120"/>
        <w:ind w:left="0" w:right="0" w:hanging="0"/>
        <w:jc w:val="left"/>
        <w:rPr>
          <w:rFonts w:ascii="Times New Roman;Times;serif" w:hAnsi="Times New Roman;Times;serif"/>
          <w:b/>
          <w:sz w:val="20"/>
        </w:rPr>
      </w:pPr>
      <w:bookmarkStart w:id="98" w:name="CompensationDiscussionandAnalysis_353723"/>
      <w:bookmarkEnd w:id="98"/>
      <w:r>
        <w:rPr>
          <w:rFonts w:ascii="Times New Roman;Times;serif" w:hAnsi="Times New Roman;Times;serif"/>
          <w:b/>
          <w:sz w:val="20"/>
        </w:rPr>
        <w:t>Compensation Discussion and Analysis</w:t>
      </w:r>
    </w:p>
    <w:p>
      <w:pPr>
        <w:pStyle w:val="TextBody"/>
        <w:bidi w:val="0"/>
        <w:spacing w:before="0" w:after="120"/>
        <w:ind w:left="0" w:right="0" w:firstLine="720"/>
        <w:jc w:val="left"/>
        <w:rPr>
          <w:rFonts w:ascii="Times New Roman;Times;serif" w:hAnsi="Times New Roman;Times;serif"/>
          <w:i/>
          <w:sz w:val="20"/>
        </w:rPr>
      </w:pPr>
      <w:r>
        <w:rPr>
          <w:rFonts w:ascii="Times New Roman;Times;serif" w:hAnsi="Times New Roman;Times;serif"/>
          <w:i/>
          <w:sz w:val="20"/>
        </w:rPr>
        <w:t>The following discussion and analysis should be read in conjunction with “Compensation of Named Executive Officers” and the related tables that follow.</w:t>
      </w:r>
    </w:p>
    <w:p>
      <w:pPr>
        <w:pStyle w:val="TextBody"/>
        <w:bidi w:val="0"/>
        <w:spacing w:before="0" w:after="120"/>
        <w:ind w:left="0" w:right="0" w:firstLine="720"/>
        <w:jc w:val="left"/>
        <w:rPr>
          <w:rFonts w:ascii="Times New Roman;Times;serif" w:hAnsi="Times New Roman;Times;serif"/>
          <w:sz w:val="20"/>
        </w:rPr>
      </w:pPr>
      <w:bookmarkStart w:id="99" w:name="_cp_text_1_96"/>
      <w:bookmarkEnd w:id="99"/>
      <w:r>
        <w:rPr>
          <w:rFonts w:ascii="Times New Roman;Times;serif" w:hAnsi="Times New Roman;Times;serif"/>
          <w:sz w:val="20"/>
        </w:rPr>
        <w:t>In this section, we describe the material components of our executive compensation program for our named executive officers (the “named executive officers”), whose compensation is set forth in the 2023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2023.</w:t>
      </w:r>
    </w:p>
    <w:p>
      <w:pPr>
        <w:pStyle w:val="TextBody"/>
        <w:bidi w:val="0"/>
        <w:spacing w:before="0" w:after="120"/>
        <w:ind w:left="0" w:right="0" w:firstLine="720"/>
        <w:jc w:val="left"/>
        <w:rPr>
          <w:rFonts w:ascii="Times New Roman;Times;serif" w:hAnsi="Times New Roman;Times;serif"/>
          <w:sz w:val="20"/>
        </w:rPr>
      </w:pPr>
      <w:bookmarkStart w:id="100" w:name="_cp_text_1_97"/>
      <w:bookmarkEnd w:id="100"/>
      <w:r>
        <w:rPr>
          <w:rFonts w:ascii="Times New Roman;Times;serif" w:hAnsi="Times New Roman;Times;serif"/>
          <w:sz w:val="20"/>
        </w:rPr>
        <w:t>For 2023, our named executive officers were:</w:t>
      </w:r>
    </w:p>
    <w:p>
      <w:pPr>
        <w:pStyle w:val="Normal"/>
        <w:bidi w:val="0"/>
        <w:spacing w:before="0" w:after="0"/>
        <w:jc w:val="left"/>
        <w:rPr>
          <w:sz w:val="4"/>
          <w:szCs w:val="4"/>
        </w:rPr>
      </w:pPr>
      <w:r>
        <w:rPr>
          <w:sz w:val="4"/>
          <w:szCs w:val="4"/>
        </w:rPr>
      </w:r>
      <w:bookmarkStart w:id="101" w:name="_cp_text_1_99"/>
      <w:bookmarkStart w:id="102" w:name="_cp_blt_1_98"/>
      <w:bookmarkStart w:id="103" w:name="_cp_text_1_99"/>
      <w:bookmarkStart w:id="104" w:name="_cp_blt_1_98"/>
      <w:bookmarkEnd w:id="103"/>
      <w:bookmarkEnd w:id="104"/>
    </w:p>
    <w:tbl>
      <w:tblPr>
        <w:tblW w:w="4341" w:type="dxa"/>
        <w:jc w:val="left"/>
        <w:tblInd w:w="0" w:type="dxa"/>
        <w:tblLayout w:type="fixed"/>
        <w:tblCellMar>
          <w:top w:w="28" w:type="dxa"/>
          <w:left w:w="28" w:type="dxa"/>
          <w:bottom w:w="28" w:type="dxa"/>
          <w:right w:w="28" w:type="dxa"/>
        </w:tblCellMar>
      </w:tblPr>
      <w:tblGrid>
        <w:gridCol w:w="124"/>
        <w:gridCol w:w="286"/>
        <w:gridCol w:w="393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Brian E. Mueller, our Chief Executive Officer; </w:t>
            </w:r>
          </w:p>
        </w:tc>
      </w:tr>
    </w:tbl>
    <w:p>
      <w:pPr>
        <w:pStyle w:val="Normal"/>
        <w:bidi w:val="0"/>
        <w:spacing w:before="0" w:after="0"/>
        <w:jc w:val="left"/>
        <w:rPr>
          <w:sz w:val="4"/>
          <w:szCs w:val="4"/>
        </w:rPr>
      </w:pPr>
      <w:r>
        <w:rPr>
          <w:sz w:val="4"/>
          <w:szCs w:val="4"/>
        </w:rPr>
      </w:r>
      <w:bookmarkStart w:id="105" w:name="_cp_text_1_101"/>
      <w:bookmarkStart w:id="106" w:name="_cp_blt_1_100"/>
      <w:bookmarkStart w:id="107" w:name="_cp_text_1_101"/>
      <w:bookmarkStart w:id="108" w:name="_cp_blt_1_100"/>
      <w:bookmarkEnd w:id="107"/>
      <w:bookmarkEnd w:id="108"/>
    </w:p>
    <w:tbl>
      <w:tblPr>
        <w:tblW w:w="4461" w:type="dxa"/>
        <w:jc w:val="left"/>
        <w:tblInd w:w="0" w:type="dxa"/>
        <w:tblLayout w:type="fixed"/>
        <w:tblCellMar>
          <w:top w:w="28" w:type="dxa"/>
          <w:left w:w="28" w:type="dxa"/>
          <w:bottom w:w="28" w:type="dxa"/>
          <w:right w:w="28" w:type="dxa"/>
        </w:tblCellMar>
      </w:tblPr>
      <w:tblGrid>
        <w:gridCol w:w="124"/>
        <w:gridCol w:w="28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 W. Stan Meyer, our Chief Operating Officer; </w:t>
            </w:r>
          </w:p>
        </w:tc>
      </w:tr>
    </w:tbl>
    <w:p>
      <w:pPr>
        <w:pStyle w:val="Normal"/>
        <w:bidi w:val="0"/>
        <w:spacing w:before="0" w:after="0"/>
        <w:jc w:val="left"/>
        <w:rPr>
          <w:sz w:val="4"/>
          <w:szCs w:val="4"/>
        </w:rPr>
      </w:pPr>
      <w:r>
        <w:rPr>
          <w:sz w:val="4"/>
          <w:szCs w:val="4"/>
        </w:rPr>
      </w:r>
      <w:bookmarkStart w:id="109" w:name="_cp_text_1_103"/>
      <w:bookmarkStart w:id="110" w:name="_cp_blt_1_102"/>
      <w:bookmarkStart w:id="111" w:name="_cp_text_1_103"/>
      <w:bookmarkStart w:id="112" w:name="_cp_blt_1_102"/>
      <w:bookmarkEnd w:id="111"/>
      <w:bookmarkEnd w:id="112"/>
    </w:p>
    <w:tbl>
      <w:tblPr>
        <w:tblW w:w="4326" w:type="dxa"/>
        <w:jc w:val="left"/>
        <w:tblInd w:w="0" w:type="dxa"/>
        <w:tblLayout w:type="fixed"/>
        <w:tblCellMar>
          <w:top w:w="28" w:type="dxa"/>
          <w:left w:w="28" w:type="dxa"/>
          <w:bottom w:w="28" w:type="dxa"/>
          <w:right w:w="28" w:type="dxa"/>
        </w:tblCellMar>
      </w:tblPr>
      <w:tblGrid>
        <w:gridCol w:w="124"/>
        <w:gridCol w:w="28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Daniel E. Bachus, our Chief Financial Officer; </w:t>
            </w:r>
          </w:p>
        </w:tc>
      </w:tr>
    </w:tbl>
    <w:p>
      <w:pPr>
        <w:pStyle w:val="Normal"/>
        <w:bidi w:val="0"/>
        <w:spacing w:before="0" w:after="0"/>
        <w:jc w:val="left"/>
        <w:rPr>
          <w:sz w:val="4"/>
          <w:szCs w:val="4"/>
        </w:rPr>
      </w:pPr>
      <w:r>
        <w:rPr>
          <w:sz w:val="4"/>
          <w:szCs w:val="4"/>
        </w:rPr>
      </w:r>
      <w:bookmarkStart w:id="113" w:name="_cp_text_1_105"/>
      <w:bookmarkStart w:id="114" w:name="_cp_blt_1_104"/>
      <w:bookmarkStart w:id="115" w:name="_cp_text_1_105"/>
      <w:bookmarkStart w:id="116" w:name="_cp_blt_1_104"/>
      <w:bookmarkEnd w:id="115"/>
      <w:bookmarkEnd w:id="116"/>
    </w:p>
    <w:tbl>
      <w:tblPr>
        <w:tblW w:w="4461" w:type="dxa"/>
        <w:jc w:val="left"/>
        <w:tblInd w:w="0" w:type="dxa"/>
        <w:tblLayout w:type="fixed"/>
        <w:tblCellMar>
          <w:top w:w="28" w:type="dxa"/>
          <w:left w:w="28" w:type="dxa"/>
          <w:bottom w:w="28" w:type="dxa"/>
          <w:right w:w="28" w:type="dxa"/>
        </w:tblCellMar>
      </w:tblPr>
      <w:tblGrid>
        <w:gridCol w:w="124"/>
        <w:gridCol w:w="28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Dilek Marsh, our Chief Technology Officer; and</w:t>
            </w:r>
          </w:p>
        </w:tc>
      </w:tr>
    </w:tbl>
    <w:p>
      <w:pPr>
        <w:pStyle w:val="Normal"/>
        <w:bidi w:val="0"/>
        <w:spacing w:before="0" w:after="0"/>
        <w:jc w:val="left"/>
        <w:rPr>
          <w:sz w:val="4"/>
          <w:szCs w:val="4"/>
        </w:rPr>
      </w:pPr>
      <w:r>
        <w:rPr>
          <w:sz w:val="4"/>
          <w:szCs w:val="4"/>
        </w:rPr>
      </w:r>
      <w:bookmarkStart w:id="117" w:name="_cp_text_1_109"/>
      <w:bookmarkStart w:id="118" w:name="_cp_text_1_107"/>
      <w:bookmarkStart w:id="119" w:name="_cp_text_1_109"/>
      <w:bookmarkStart w:id="120" w:name="_cp_text_1_107"/>
      <w:bookmarkEnd w:id="119"/>
      <w:bookmarkEnd w:id="120"/>
    </w:p>
    <w:tbl>
      <w:tblPr>
        <w:tblW w:w="5991" w:type="dxa"/>
        <w:jc w:val="left"/>
        <w:tblInd w:w="0" w:type="dxa"/>
        <w:tblLayout w:type="fixed"/>
        <w:tblCellMar>
          <w:top w:w="28" w:type="dxa"/>
          <w:left w:w="28" w:type="dxa"/>
          <w:bottom w:w="28" w:type="dxa"/>
          <w:right w:w="28" w:type="dxa"/>
        </w:tblCellMar>
      </w:tblPr>
      <w:tblGrid>
        <w:gridCol w:w="124"/>
        <w:gridCol w:w="28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J. Briggs, Chief Executive Officer, Orbis Education Services</w:t>
            </w:r>
          </w:p>
        </w:tc>
      </w:tr>
    </w:tbl>
    <w:p>
      <w:pPr>
        <w:pStyle w:val="TextBody"/>
        <w:bidi w:val="0"/>
        <w:spacing w:before="0" w:after="240"/>
        <w:ind w:left="1490" w:right="0" w:hanging="0"/>
        <w:jc w:val="left"/>
        <w:rPr/>
      </w:pPr>
      <w:r>
        <w:rPr/>
        <w:t>​</w:t>
      </w:r>
    </w:p>
    <w:p>
      <w:pPr>
        <w:pStyle w:val="TextBody"/>
        <w:bidi w:val="0"/>
        <w:spacing w:before="0" w:after="120"/>
        <w:ind w:left="0" w:right="0" w:hanging="0"/>
        <w:jc w:val="left"/>
        <w:rPr>
          <w:rFonts w:ascii="Times New Roman;Times;serif" w:hAnsi="Times New Roman;Times;serif"/>
          <w:b/>
          <w:i/>
          <w:sz w:val="20"/>
        </w:rPr>
      </w:pPr>
      <w:bookmarkStart w:id="121" w:name="_cp_text_1_112"/>
      <w:bookmarkEnd w:id="121"/>
      <w:r>
        <w:rPr>
          <w:rFonts w:ascii="Times New Roman;Times;serif" w:hAnsi="Times New Roman;Times;serif"/>
          <w:b/>
          <w:i/>
          <w:sz w:val="20"/>
        </w:rPr>
        <w:t xml:space="preserve">2023 Business Highlights </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Our Business.</w:t>
      </w:r>
      <w:r>
        <w:rPr>
          <w:rFonts w:ascii="Times New Roman;Times;serif" w:hAnsi="Times New Roman;Times;serif"/>
          <w:sz w:val="20"/>
        </w:rPr>
        <w:t xml:space="preserve"> We are an education services company dedicated to serving colleges and universities. We have developed significant technological solutions, infrastructure and operational processes to provide services to these institutions on a large scale. Our largest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six off-site campus classroom and laboratory sites. As of December 31, 2023, we provided education services and support to approximately 121,000 students with more than 117,000 students enrolled in GCU’s programs, emphases and certificates.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GCE, together with Orbis Education Services LLC,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to enter the workforce ready to meet the demands of the healthcare industry. In addition, we have provided certain services to a university partner to assist them in expanding their online graduate programs. As of December 31, 2023, GCE provided education services to 25 university partners across the United States.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decisions made by the Compensation Committee and the Board on the compensation of our named executive officers reflect their role in the organic growth of the Company during 2023, which included increases in off-campus classroom and laboratory sites (totaling 40 as of December 31, 2023), an increase in service revenue of 5.4%, and the return to online new student growth in 2023 over the prior year, all while navigating through the continuing impacts that a declining number of high school graduates attending college and a tight job market has had on our ability to grow and operate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22" w:name="_cp_text_1_139"/>
      <w:bookmarkEnd w:id="122"/>
      <w:r>
        <w:rPr>
          <w:rFonts w:ascii="Times New Roman;Times;serif" w:hAnsi="Times New Roman;Times;serif"/>
          <w:b/>
          <w:sz w:val="20"/>
        </w:rPr>
        <w:t>Our Compensation Practices Highlights</w:t>
      </w:r>
    </w:p>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summarizes key aspects of our compensation policies and programs:</w:t>
      </w:r>
    </w:p>
    <w:p>
      <w:pPr>
        <w:pStyle w:val="Normal"/>
        <w:bidi w:val="0"/>
        <w:spacing w:before="0" w:after="0"/>
        <w:jc w:val="left"/>
        <w:rPr>
          <w:sz w:val="4"/>
          <w:szCs w:val="4"/>
        </w:rPr>
      </w:pPr>
      <w:r>
        <w:rPr>
          <w:sz w:val="4"/>
          <w:szCs w:val="4"/>
        </w:rPr>
      </w:r>
      <w:bookmarkStart w:id="123" w:name="_cp_table_9_138"/>
      <w:bookmarkStart w:id="124" w:name="_cp_table_9_138"/>
      <w:bookmarkEnd w:id="124"/>
    </w:p>
    <w:tbl>
      <w:tblPr>
        <w:tblW w:w="10205" w:type="dxa"/>
        <w:jc w:val="left"/>
        <w:tblInd w:w="0" w:type="dxa"/>
        <w:tblLayout w:type="fixed"/>
        <w:tblCellMar>
          <w:top w:w="0" w:type="dxa"/>
          <w:left w:w="0" w:type="dxa"/>
          <w:bottom w:w="0" w:type="dxa"/>
          <w:right w:w="0" w:type="dxa"/>
        </w:tblCellMar>
      </w:tblPr>
      <w:tblGrid>
        <w:gridCol w:w="331"/>
        <w:gridCol w:w="4820"/>
        <w:gridCol w:w="326"/>
        <w:gridCol w:w="316"/>
        <w:gridCol w:w="4412"/>
      </w:tblGrid>
      <w:tr>
        <w:trPr/>
        <w:tc>
          <w:tcPr>
            <w:tcW w:w="331" w:type="dxa"/>
            <w:tcBorders/>
            <w:vAlign w:val="center"/>
          </w:tcPr>
          <w:p>
            <w:pPr>
              <w:pStyle w:val="TableContents"/>
              <w:bidi w:val="0"/>
              <w:spacing w:before="0" w:after="0"/>
              <w:ind w:left="0" w:right="0" w:hanging="0"/>
              <w:jc w:val="left"/>
              <w:rPr/>
            </w:pPr>
            <w:r>
              <w:rPr/>
              <w:t>​</w:t>
            </w:r>
          </w:p>
        </w:tc>
        <w:tc>
          <w:tcPr>
            <w:tcW w:w="482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82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What We Do:</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31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4412"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What We Don’t Do:</w:t>
            </w:r>
          </w:p>
        </w:tc>
      </w:tr>
      <w:tr>
        <w:trPr/>
        <w:tc>
          <w:tcPr>
            <w:tcW w:w="33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412"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Pay for Performance:</w:t>
            </w:r>
            <w:r>
              <w:rPr>
                <w:rFonts w:ascii="Times New Roman;Times;serif" w:hAnsi="Times New Roman;Times;serif"/>
                <w:sz w:val="18"/>
              </w:rPr>
              <w:t xml:space="preserve"> A significant portion of our cash compensation is based on achievement of key financial metrics that are disclosed to our stockholders.</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Do Not Have Tax Gross-Ups:</w:t>
            </w:r>
            <w:r>
              <w:rPr>
                <w:rFonts w:ascii="Times New Roman;Times;serif" w:hAnsi="Times New Roman;Times;serif"/>
                <w:sz w:val="18"/>
              </w:rPr>
              <w:t xml:space="preserve"> We do not provide tax gross-ups on any severance or change-in-control type payments.</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Seek Alignment with Our Stockholders</w:t>
            </w:r>
            <w:r>
              <w:rPr>
                <w:rFonts w:ascii="Times New Roman;Times;serif" w:hAnsi="Times New Roman;Times;serif"/>
                <w:sz w:val="18"/>
              </w:rPr>
              <w:t>. We require both our named executive officers and our directors to maintain a meaningful ownership stake at levels specified in our stock ownership policy.</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Do Not Permit Hedging, Short Sales, or Pledging</w:t>
            </w:r>
            <w:r>
              <w:rPr>
                <w:rFonts w:ascii="Times New Roman;Times;serif" w:hAnsi="Times New Roman;Times;serif"/>
                <w:sz w:val="18"/>
              </w:rPr>
              <w:t>. Under our insider trading policy, our officers and directors are prohibited from hedging, effecting short sales of, and (except in extremely limited circumstances) pledging our stock.</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 xml:space="preserve">We Balance Our Incentive Compensation: </w:t>
            </w:r>
            <w:r>
              <w:rPr>
                <w:rFonts w:ascii="Times New Roman;Times;serif" w:hAnsi="Times New Roman;Times;serif"/>
                <w:sz w:val="18"/>
              </w:rPr>
              <w:t>Our incentive compensation programs provide a balance of short-term cash incentives that are based on achievement of annual financial metrics and time-based equity incentives that vest over five years and provide value as a long-term retention tool.</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Do Not Automatically Increase Salaries or Bonuses</w:t>
            </w:r>
            <w:r>
              <w:rPr>
                <w:rFonts w:ascii="Times New Roman;Times;serif" w:hAnsi="Times New Roman;Times;serif"/>
                <w:sz w:val="18"/>
              </w:rPr>
              <w:t xml:space="preserve">: Our Chief Executive Officer, Chief Operating Officer and Chief Financial Officer have not accepted base salary increases in over eight years, and their bonuses are strictly performance based. </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pPr>
            <w:r>
              <w:rPr/>
              <w:t>​</w:t>
            </w:r>
          </w:p>
        </w:tc>
        <w:tc>
          <w:tcPr>
            <w:tcW w:w="642" w:type="dxa"/>
            <w:gridSpan w:val="2"/>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Can Claw Back Compensation</w:t>
            </w:r>
            <w:r>
              <w:rPr>
                <w:rFonts w:ascii="Times New Roman;Times;serif" w:hAnsi="Times New Roman;Times;serif"/>
                <w:sz w:val="18"/>
              </w:rPr>
              <w:t>: We have the ability to recoup incentive compensation if the Company’s financial results are restated or materially misstated due in whole or in part to misconduct by one or more of our named executive officers.</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Do Not Provide Excessive Perquisites</w:t>
            </w:r>
            <w:r>
              <w:rPr>
                <w:rFonts w:ascii="Times New Roman;Times;serif" w:hAnsi="Times New Roman;Times;serif"/>
                <w:sz w:val="18"/>
              </w:rPr>
              <w:t>: Our named executive officers receive limited perquisites and benefits.</w:t>
            </w:r>
          </w:p>
        </w:tc>
      </w:tr>
      <w:tr>
        <w:trPr/>
        <w:tc>
          <w:tcPr>
            <w:tcW w:w="331" w:type="dxa"/>
            <w:tcBorders/>
            <w:vAlign w:val="center"/>
          </w:tcPr>
          <w:p>
            <w:pPr>
              <w:pStyle w:val="TableContents"/>
              <w:bidi w:val="0"/>
              <w:spacing w:before="0" w:after="0"/>
              <w:ind w:left="0" w:right="0" w:hanging="0"/>
              <w:jc w:val="center"/>
              <w:rPr/>
            </w:pPr>
            <w:r>
              <w:rPr/>
              <w:t>​</w:t>
            </w:r>
          </w:p>
        </w:tc>
        <w:tc>
          <w:tcPr>
            <w:tcW w:w="4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center"/>
              <w:rPr/>
            </w:pPr>
            <w:r>
              <w:rPr/>
              <w:t>​</w:t>
            </w:r>
          </w:p>
        </w:tc>
        <w:tc>
          <w:tcPr>
            <w:tcW w:w="4412" w:type="dxa"/>
            <w:tcBorders/>
            <w:vAlign w:val="center"/>
          </w:tcPr>
          <w:p>
            <w:pPr>
              <w:pStyle w:val="TableContents"/>
              <w:bidi w:val="0"/>
              <w:spacing w:before="0" w:after="0"/>
              <w:ind w:left="0" w:right="0" w:hanging="0"/>
              <w:jc w:val="left"/>
              <w:rPr/>
            </w:pPr>
            <w:r>
              <w:rPr/>
              <w:t>​</w:t>
            </w:r>
          </w:p>
        </w:tc>
      </w:tr>
      <w:tr>
        <w:trPr/>
        <w:tc>
          <w:tcPr>
            <w:tcW w:w="3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8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i/>
                <w:sz w:val="18"/>
              </w:rPr>
              <w:t>We Retain an Independent Compensation Consultant:</w:t>
            </w:r>
            <w:r>
              <w:rPr>
                <w:rFonts w:ascii="Times New Roman;Times;serif" w:hAnsi="Times New Roman;Times;serif"/>
                <w:sz w:val="18"/>
              </w:rPr>
              <w:t xml:space="preserve"> Our Compensation Committee engages an independent consultant from time to time to provide guidance on peer group composition and compensation levels.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4412" w:type="dxa"/>
            <w:tcBorders>
              <w:bottom w:val="single" w:sz="2" w:space="0" w:color="000000"/>
            </w:tcBorders>
            <w:tcMar>
              <w:bottom w:w="28" w:type="dxa"/>
            </w:tcMar>
            <w:vAlign w:val="center"/>
          </w:tcPr>
          <w:p>
            <w:pPr>
              <w:pStyle w:val="TableContents"/>
              <w:bidi w:val="0"/>
              <w:spacing w:before="0" w:after="0"/>
              <w:ind w:left="72" w:right="0" w:hanging="0"/>
              <w:jc w:val="left"/>
              <w:rPr>
                <w:rFonts w:ascii="Times New Roman;Times;serif" w:hAnsi="Times New Roman;Times;serif"/>
                <w:sz w:val="18"/>
              </w:rPr>
            </w:pPr>
            <w:r>
              <w:rPr>
                <w:rFonts w:ascii="Times New Roman;Times;serif" w:hAnsi="Times New Roman;Times;serif"/>
                <w:b/>
                <w:i/>
                <w:sz w:val="18"/>
              </w:rPr>
              <w:t>We Do Not Provide for Change of Control Acceleration</w:t>
            </w:r>
            <w:r>
              <w:rPr>
                <w:rFonts w:ascii="Times New Roman;Times;serif" w:hAnsi="Times New Roman;Times;serif"/>
                <w:sz w:val="18"/>
              </w:rPr>
              <w:t>. We do not provide “single-trigger” accelerated vesting of equity-based awards upon a change in control.</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b/>
          <w:i/>
          <w:sz w:val="20"/>
        </w:rPr>
      </w:pPr>
      <w:r>
        <w:rPr>
          <w:rFonts w:ascii="Times New Roman;Times;serif" w:hAnsi="Times New Roman;Times;serif"/>
          <w:b/>
          <w:i/>
          <w:sz w:val="20"/>
        </w:rPr>
        <w:t>Response to Advisory Vote on Executive Compensation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96.4% of shares voted in 2023. As we evaluate our compensation practices in light of such votes, we give great consideration to the strong support our stockholders continue to express for our overall compensation philosophy and practices. As a result, our Compensation Committee retained our general approach to executive compensation in 2023 and into 2024, as discussed below.</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Compensation Philosophy and Objectives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alignment between company-wide performance and payouts under our annual cash incentive plan (“Annual Cash Incentive Plan”);</w:t>
            </w:r>
          </w:p>
        </w:tc>
      </w:tr>
    </w:tbl>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any guaranteed cash bonuses;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tool to retain key personnel, all stock-based awards are subject to five-year vesting periods, with 20% of each grant vesting annually on each of the first five anniversaries of the date of grant;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Severance arrangements with our named executive officers that are limited to one year of compensation and benefits and limited acceleration of vesting;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Double-trigger change-in-control arrangements with our named executive officers.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light of the foregoing factors and practices, we believe our executive compensation in fiscal year 2023 appropriately reflected the economic and regulatory environments, the performance of the Company and the relationship with market compensation necessary to retain and motivate our executives, and that the continuation of these practices in 2024 is appropriate given the continued regulatory, economic and competitive challenges that we expect to face.</w:t>
      </w:r>
    </w:p>
    <w:p>
      <w:pPr>
        <w:pStyle w:val="TextBody"/>
        <w:bidi w:val="0"/>
        <w:spacing w:before="0" w:after="120"/>
        <w:ind w:left="0" w:right="0" w:hanging="0"/>
        <w:jc w:val="left"/>
        <w:rPr>
          <w:rFonts w:ascii="Times New Roman;Times;serif" w:hAnsi="Times New Roman;Times;serif"/>
          <w:b/>
          <w:i/>
          <w:sz w:val="20"/>
        </w:rPr>
      </w:pPr>
      <w:bookmarkStart w:id="125" w:name="_cp_text_1_66"/>
      <w:bookmarkEnd w:id="125"/>
      <w:r>
        <w:rPr>
          <w:rFonts w:ascii="Times New Roman;Times;serif" w:hAnsi="Times New Roman;Times;serif"/>
          <w:b/>
          <w:i/>
          <w:sz w:val="20"/>
        </w:rPr>
        <w:t>A Note About the Compensation of Our Management Team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Over the years, the Compensation Committee has periodically engaged an independent compensation consultant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Recent analyses of peer group data show that our named executive officers are compensated well below their peers. The reasons for this are twofold:</w:t>
      </w:r>
    </w:p>
    <w:p>
      <w:pPr>
        <w:pStyle w:val="Normal"/>
        <w:bidi w:val="0"/>
        <w:spacing w:before="0" w:after="0"/>
        <w:jc w:val="left"/>
        <w:rPr>
          <w:sz w:val="4"/>
          <w:szCs w:val="4"/>
        </w:rPr>
      </w:pPr>
      <w:r>
        <w:rPr>
          <w:sz w:val="4"/>
          <w:szCs w:val="4"/>
        </w:rPr>
      </w:r>
      <w:bookmarkStart w:id="126" w:name="_cp_text_1_69"/>
      <w:bookmarkStart w:id="127" w:name="_cp_text_1_69"/>
      <w:bookmarkEnd w:id="127"/>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each of our executive officers has been with the Company for a decade (except for Mr. Briggs, who joined our Company upon our acquisition of Orbis Education) or more and, overall, our top management ranks have been extremely stable over time. This means that the compensation structure has not been forced to re-set due to the hiring of new management level personnel; and</w:t>
            </w:r>
          </w:p>
        </w:tc>
      </w:tr>
    </w:tbl>
    <w:p>
      <w:pPr>
        <w:pStyle w:val="Normal"/>
        <w:bidi w:val="0"/>
        <w:spacing w:before="0" w:after="0"/>
        <w:jc w:val="left"/>
        <w:rPr>
          <w:sz w:val="4"/>
          <w:szCs w:val="4"/>
        </w:rPr>
      </w:pPr>
      <w:r>
        <w:rPr>
          <w:sz w:val="4"/>
          <w:szCs w:val="4"/>
        </w:rPr>
      </w:r>
      <w:bookmarkStart w:id="128" w:name="_cp_text_1_71"/>
      <w:bookmarkStart w:id="129" w:name="_cp_blt_1_70"/>
      <w:bookmarkStart w:id="130" w:name="_cp_text_1_71"/>
      <w:bookmarkStart w:id="131" w:name="_cp_blt_1_70"/>
      <w:bookmarkEnd w:id="130"/>
      <w:bookmarkEnd w:id="13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area of compensation, our senior executives firmly believe that compensation should be based on performance: thus, base salaries should be relatively stable, cash bonuses should reflect annual performance, and equity incentives should be granted in appropriate amounts and provide upside value only if that value is shared by all of our stockholders.</w:t>
            </w:r>
          </w:p>
        </w:tc>
      </w:tr>
    </w:tbl>
    <w:p>
      <w:pPr>
        <w:pStyle w:val="TextBody"/>
        <w:bidi w:val="0"/>
        <w:spacing w:before="0" w:after="120"/>
        <w:ind w:left="0" w:right="0" w:firstLine="720"/>
        <w:jc w:val="left"/>
        <w:rPr>
          <w:rFonts w:ascii="Times New Roman;Times;serif" w:hAnsi="Times New Roman;Times;serif"/>
          <w:sz w:val="20"/>
        </w:rPr>
      </w:pPr>
      <w:bookmarkStart w:id="132" w:name="_cp_text_1_72"/>
      <w:bookmarkEnd w:id="132"/>
      <w:r>
        <w:rPr>
          <w:rFonts w:ascii="Times New Roman;Times;serif" w:hAnsi="Times New Roman;Times;serif"/>
          <w:sz w:val="20"/>
        </w:rPr>
        <w:t>This belief has been backed up by actions, as our Chief Executive Officer, Chief Operating Officer and Chief Financial Officer have not accepted base salary increases in over eight years, even though their cash compensation substantially lags behind peers. In addition, the grant date value of their annual long-term equity incentive grants substantially lags behind peers. The Compensation Committee applauds the leadership and performance of our executive management team and the example they set for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Overview of 2023 Executive Compensation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purpose of this Compensation Discussion and Analysis is to provide information about each material element of compensation that we pay or award to, or that is earned by, our named executive officers.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This Compensation Discussion and Analysis addresses and explains the compensation practices we followed in 2023, the numerical and related information contained in the summary compensation and related tables presented below, and actions we have taken regarding executive compensation since the end of our 2023 fiscal year. Specifically, this Compensation Discussion and Analysis addresses:</w:t>
      </w:r>
    </w:p>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objectives of our compensation program (found in the section entitled “Objectives of Compensation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 our compensation program is designed to reward (also described in the section entitled “Objectives of Compensation Programs”);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element of compensation (set forth in the section entitled “Compensation Program Design and Elements of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Why each element was chosen (described with each element of compensation, including base pay, short-term incentives and long-term incentives);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amounts and formulas for pay are calculated and determined (also described with each element of compensation, including base pay, short-term incentives and long-term incentives);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each compensation element and our decisions regarding that element fit into our overall compensation objectives and affect decisions regarding other elements (described with each element of compensation).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Compensation Determinations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executive officers, makes such determinations in consultation with our Chief Executive Officer. For additional information regarding the Compensation Committee, please see “Corporate Governance and Board Matters — Committees of Our Board of Directors — Compensation Committee.”</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Objectives of Compensation Programs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Compensation philosophy.</w:t>
      </w:r>
      <w:r>
        <w:rPr>
          <w:rFonts w:ascii="Times New Roman;Times;serif" w:hAnsi="Times New Roman;Times;serif"/>
          <w:sz w:val="20"/>
        </w:rPr>
        <w:t xml:space="preserve"> Under our compensation philosophy, a named executive officer’s total compensation will vary based on the Company’s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Compensation objectives.</w:t>
      </w:r>
      <w:r>
        <w:rPr>
          <w:rFonts w:ascii="Times New Roman;Times;serif" w:hAnsi="Times New Roman;Times;serif"/>
          <w:sz w:val="20"/>
        </w:rPr>
        <w:t xml:space="preserve"> We believe that the compensation program we follow helps us achieve the following objectives: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Compensation should be related to performance.</w:t>
            </w:r>
            <w:r>
              <w:rPr>
                <w:caps w:val="false"/>
                <w:smallCaps w:val="false"/>
              </w:rPr>
              <w:t xml:space="preserve"> </w:t>
            </w:r>
            <w:r>
              <w:rPr>
                <w:rFonts w:ascii="Times New Roman;Times;serif" w:hAnsi="Times New Roman;Times;serif"/>
                <w:b w:val="false"/>
                <w:i w:val="false"/>
                <w:caps w:val="false"/>
                <w:smallCaps w:val="false"/>
                <w:sz w:val="20"/>
              </w:rPr>
              <w:t>We believe that the performance-based portion of an individual’s total compensation should increase as the individual’s business responsibilities increase. Thus, a material portion of executive compensation is linked to our financial performance, which also serves to align the named executive officers’ interests with those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Compensation should be competitive and cost effective. </w:t>
            </w:r>
            <w:r>
              <w:rPr>
                <w:rFonts w:ascii="Times New Roman;Times;serif" w:hAnsi="Times New Roman;Times;serif"/>
                <w:b w:val="false"/>
                <w:i w:val="false"/>
                <w:caps w:val="false"/>
                <w:smallCaps w:val="false"/>
                <w:sz w:val="20"/>
              </w:rPr>
              <w:t>We believe that our compensation program should foster an 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Company compensation policies.</w:t>
      </w:r>
      <w:r>
        <w:rPr>
          <w:rFonts w:ascii="Times New Roman;Times;serif" w:hAnsi="Times New Roman;Times;serif"/>
          <w:sz w:val="20"/>
        </w:rPr>
        <w:t xml:space="preserve"> During 2023, our named executive officers’ total in-service compensation consisted of base salaries, cash bonuses, share-based compensation, and other benefits generally available to all employees. With regard to these components, we adhere to the following compensation policies: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Cash should be a significant component of compensation.</w:t>
            </w:r>
            <w:r>
              <w:rPr>
                <w:caps w:val="false"/>
                <w:smallCaps w:val="false"/>
              </w:rPr>
              <w:t xml:space="preserve"> </w:t>
            </w:r>
            <w:r>
              <w:rPr>
                <w:rFonts w:ascii="Times New Roman;Times;serif" w:hAnsi="Times New Roman;Times;serif"/>
                <w:b w:val="false"/>
                <w:i w:val="false"/>
                <w:caps w:val="false"/>
                <w:smallCaps w:val="false"/>
                <w:sz w:val="20"/>
              </w:rPr>
              <w:t>The Company’s compensation policy focuses on providing the opportunity for its named executive officers to earn total cash compensation at levels that enable the Company to achieve the motivation and retention goals described above.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salaries should generally be the largest component of cash compensation</w:t>
            </w:r>
            <w:r>
              <w:rPr>
                <w:rFonts w:ascii="Times New Roman;Times;serif" w:hAnsi="Times New Roman;Times;serif"/>
                <w:b w:val="false"/>
                <w:i w:val="false"/>
                <w:caps w:val="false"/>
                <w:smallCaps w:val="false"/>
                <w:sz w:val="20"/>
              </w:rPr>
              <w:t>. Our compensation programs generally 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Cash incentives should be linked to performance.</w:t>
            </w:r>
            <w:r>
              <w:rPr>
                <w:caps w:val="false"/>
                <w:smallCaps w:val="false"/>
              </w:rPr>
              <w:t xml:space="preserve"> </w:t>
            </w:r>
            <w:r>
              <w:rPr>
                <w:rFonts w:ascii="Times New Roman;Times;serif" w:hAnsi="Times New Roman;Times;serif"/>
                <w:b w:val="false"/>
                <w:i w:val="false"/>
                <w:caps w:val="false"/>
                <w:smallCaps w:val="false"/>
                <w:sz w:val="20"/>
              </w:rPr>
              <w:t>Under our Annual Cash Incentive Plan, bonuses paid to our named executive officers are based on overall company financial performance, but are subject to reduction based on the Compensation Committee’s assessment of the particular named executive officer’s personal performance and contribution to our overall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Equity awards should be utilized as a means to retain key management and to align their interests with those of our stockholders. </w:t>
            </w:r>
            <w:r>
              <w:rPr>
                <w:rFonts w:ascii="Times New Roman;Times;serif" w:hAnsi="Times New Roman;Times;serif"/>
                <w:b w:val="false"/>
                <w:i w:val="false"/>
                <w:caps w:val="false"/>
                <w:smallCaps w:val="false"/>
                <w:sz w:val="20"/>
              </w:rPr>
              <w:t>We utilize time-based equity awards that vest ratably over five years. We believe a long vesting period encourages retention and focuses our management team on the long-term interests of our Company and stockholders.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our policies have helped us achieve our compensation objectives of attracting, motivating, retaining, and rewarding our key officers.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Compensation Programs Design and Elements of Compensation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choose to pay each element of compensation to further the objectives of our compensation program, which, as noted, include the need to attract, motivate, retain, and reward key leaders critical to our success by providing competitive total compensation.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Elements of In-Service Compensation.</w:t>
      </w:r>
      <w:r>
        <w:rPr>
          <w:rFonts w:ascii="Times New Roman;Times;serif" w:hAnsi="Times New Roman;Times;serif"/>
          <w:sz w:val="20"/>
        </w:rPr>
        <w:t xml:space="preserve"> For our 2023 fiscal year, our executive compensation mix included base salaries, performance-based cash bonuses, share-based compensation with vesting periods, and other benefits generally available to all employees. We seek to compensate our named executive officers at levels that eliminate the need for material perquisites and enable each individual officer to provide for his or her own needs, and in 2023, we did not provide any perquisites to our named executive officers. We generally determine the nature and amount of each element of compensation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Base salary.</w:t>
            </w:r>
            <w:r>
              <w:rPr>
                <w:caps w:val="false"/>
                <w:smallCaps w:val="false"/>
              </w:rPr>
              <w:t xml:space="preserve"> </w:t>
            </w:r>
            <w:r>
              <w:rPr>
                <w:rFonts w:ascii="Times New Roman;Times;serif" w:hAnsi="Times New Roman;Times;serif"/>
                <w:b w:val="false"/>
                <w:i w:val="false"/>
                <w:caps w:val="false"/>
                <w:smallCaps w:val="false"/>
                <w:sz w:val="20"/>
              </w:rPr>
              <w:t>We typically agree upon a base salary with a named executive officer at the time of initial employment.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Bonuses.</w:t>
            </w:r>
            <w:r>
              <w:rPr>
                <w:caps w:val="false"/>
                <w:smallCaps w:val="false"/>
              </w:rPr>
              <w:t xml:space="preserve"> </w:t>
            </w:r>
            <w:r>
              <w:rPr>
                <w:rFonts w:ascii="Times New Roman;Times;serif" w:hAnsi="Times New Roman;Times;serif"/>
                <w:b w:val="false"/>
                <w:i w:val="false"/>
                <w:caps w:val="false"/>
                <w:smallCaps w:val="false"/>
                <w:sz w:val="20"/>
              </w:rPr>
              <w:t>We provide cash bonuses, which typically are at-risk, to recognize and reward our named executive officers based on our success in a given year. For 2023, we awarded performance-related bonuses under our Annual Cash Incentive Plan. The operation of this plan as it relates to our named executive officers is described in more detail below.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Share-based compensation</w:t>
            </w:r>
            <w:r>
              <w:rPr>
                <w:rFonts w:ascii="Times New Roman;Times;serif" w:hAnsi="Times New Roman;Times;serif"/>
                <w:b w:val="false"/>
                <w:i w:val="false"/>
                <w:caps w:val="false"/>
                <w:smallCaps w:val="false"/>
                <w:sz w:val="20"/>
              </w:rPr>
              <w:t xml:space="preserve">. We make equity incentive grants pursuant to our 2017 Equity Incentive Plan (the “2017 Plan”), under which a maximum of 3,000,000 shares may be granted. In 2023, our named executive officers received grants of restricted stock under the 2017 plan, as part of an overall, annual equity incentive grant made to Company employees.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Other.</w:t>
            </w:r>
            <w:r>
              <w:rPr>
                <w:caps w:val="false"/>
                <w:smallCaps w:val="false"/>
              </w:rPr>
              <w:t xml:space="preserve"> </w:t>
            </w:r>
            <w:r>
              <w:rPr>
                <w:rFonts w:ascii="Times New Roman;Times;serif" w:hAnsi="Times New Roman;Times;serif"/>
                <w:b w:val="false"/>
                <w:i w:val="false"/>
                <w:caps w:val="false"/>
                <w:smallCaps w:val="false"/>
                <w:sz w:val="20"/>
              </w:rPr>
              <w:t>We offer other employee benefits to named executive officers for the purpose of meeting current and future 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tuition benefits for a spouse or up to two children with no more than two participants receiving the benefits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 Other than the 401(k) plan, we do not provide any qualified or non-qualified retirement or deferred compensation benefits to our employees, including our named executive officers.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Elements of Post-Termination Compensation and Benefits.</w:t>
      </w:r>
      <w:r>
        <w:rPr>
          <w:rFonts w:ascii="Times New Roman;Times;serif" w:hAnsi="Times New Roman;Times;serif"/>
          <w:sz w:val="20"/>
        </w:rPr>
        <w:t xml:space="preserve"> The employment agreements of our named executive officers provide for post-termination salary and benefit continuation in the event of a termination by us without Cause (as defined below) or by the executive for Good Reason (as defined below) or in the event of any such termination within twelve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2023 pursuant to the written employment agreements consisted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Salary continuation.</w:t>
            </w:r>
            <w:r>
              <w:rPr>
                <w:caps w:val="false"/>
                <w:smallCaps w:val="false"/>
              </w:rPr>
              <w:t xml:space="preserve"> </w:t>
            </w:r>
            <w:r>
              <w:rPr>
                <w:rFonts w:ascii="Times New Roman;Times;serif" w:hAnsi="Times New Roman;Times;serif"/>
                <w:b w:val="false"/>
                <w:i w:val="false"/>
                <w:caps w:val="false"/>
                <w:smallCaps w:val="false"/>
                <w:sz w:val="20"/>
              </w:rPr>
              <w:t>Each named executive officer would continue to receive 100% of their base salary payable over a period of twelve (12) months following any qualifying termination of employment.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Payment of target bonus</w:t>
            </w:r>
            <w:r>
              <w:rPr>
                <w:rFonts w:ascii="Times New Roman;Times;serif" w:hAnsi="Times New Roman;Times;serif"/>
                <w:b w:val="false"/>
                <w:i w:val="false"/>
                <w:caps w:val="false"/>
                <w:smallCaps w:val="false"/>
                <w:sz w:val="20"/>
              </w:rPr>
              <w:t>. Each named executive officer would receive an additional amount equal to 100% of the named executive officer’s annual target bonus for the year in which such termination occurs, with such amount also payable over twelve (12) months following any qualifying termination of employment.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Benefits continuation.</w:t>
            </w:r>
            <w:r>
              <w:rPr>
                <w:caps w:val="false"/>
                <w:smallCaps w:val="false"/>
              </w:rPr>
              <w:t xml:space="preserve"> </w:t>
            </w:r>
            <w:r>
              <w:rPr>
                <w:rFonts w:ascii="Times New Roman;Times;serif" w:hAnsi="Times New Roman;Times;serif"/>
                <w:b w:val="false"/>
                <w:i w:val="false"/>
                <w:caps w:val="false"/>
                <w:smallCaps w:val="false"/>
                <w:sz w:val="20"/>
              </w:rPr>
              <w:t>Each named executive officer would continue to receive Company-paid premiums for continued group health benefits under COBRA during the severance period.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Partially accelerated vesting of equity incentives</w:t>
            </w:r>
            <w:r>
              <w:rPr>
                <w:rFonts w:ascii="Times New Roman;Times;serif" w:hAnsi="Times New Roman;Times;serif"/>
                <w:b w:val="false"/>
                <w:i w:val="false"/>
                <w:caps w:val="false"/>
                <w:smallCaps w:val="false"/>
                <w:sz w:val="20"/>
              </w:rPr>
              <w:t>. Each named executive officer would receive partial acceleration of the vesting of any outstanding restricted stock awards to the next annual vesting date immediately following the date of termination.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Fully accelerated vesting of equity incentives</w:t>
            </w:r>
            <w:r>
              <w:rPr>
                <w:rFonts w:ascii="Times New Roman;Times;serif" w:hAnsi="Times New Roman;Times;serif"/>
                <w:b w:val="false"/>
                <w:i w:val="false"/>
                <w:caps w:val="false"/>
                <w:smallCaps w:val="false"/>
                <w:sz w:val="20"/>
              </w:rPr>
              <w:t>. In the event of a termination by us without Cause or by the executive for Good Reason within twelve (12) months following a Change in Control, each named executive officer would receive full acceleration of the vesting of their outstanding restricted stock awards.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See “Executive Employment Agreements” and “Potential Payments Upon Termination or Change in Control” for additional detail.</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Impact of Performance on Compensation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For 2023, each of our named executive officers participated in the Annual Cash Incentive Plan, other than Mr. Briggs (as further described below). Under the Annual Cash Incentive Plan as in effect for 2023,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2023, we defined Adjusted EBITDA for purposes of the Annual Cash Incentive Plan in a manner consistent with the definition we use when reporting our financial results. See </w:t>
      </w:r>
      <w:r>
        <w:rPr>
          <w:rFonts w:ascii="Times New Roman;Times;serif" w:hAnsi="Times New Roman;Times;serif"/>
          <w:i/>
          <w:sz w:val="20"/>
        </w:rPr>
        <w:t xml:space="preserve">Item 7, Management’s Discussion and Analysis of Financial Condition and Results of Operations – Adjusted EBITDA (Non- GAAP Financial Measure), </w:t>
      </w:r>
      <w:r>
        <w:rPr>
          <w:rFonts w:ascii="Times New Roman;Times;serif" w:hAnsi="Times New Roman;Times;serif"/>
          <w:sz w:val="20"/>
        </w:rPr>
        <w:t>beginning on page 63 of our Annual Report on Form 10-K for the fiscal year ended December 31, 2023 for information regarding our use and calculation of Adjusted EBITDA. As such, we believe it is fair and reasonable to our executives to assess their individual performance on the same basis as our performance is assessed by our Board of Directors and investors.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Company performance</w:t>
      </w:r>
      <w:r>
        <w:rPr>
          <w:rFonts w:ascii="Times New Roman;Times;serif" w:hAnsi="Times New Roman;Times;serif"/>
          <w:sz w:val="20"/>
        </w:rPr>
        <w:t>. For our named executive officers on the Annual Cash Incentive Plan, the financial metrics account for 100% of the target bonus, with the resulting amount subject to reduction based on the Compensation Committee’s assessment of the particular named executive officer’s personal performance and contribution to our overall results. For other plan participants on the Senior Management Plan (as defined below), the financial metrics account for 60% of the target bonus and specific individual performance goals account for 40% of the target bonus.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Individual performance</w:t>
      </w:r>
      <w:r>
        <w:rPr>
          <w:rFonts w:ascii="Times New Roman;Times;serif" w:hAnsi="Times New Roman;Times;serif"/>
          <w:sz w:val="20"/>
        </w:rPr>
        <w:t>. In reviewing individual performance, we look at an executive’s achievement of non-financial objectives that, with respect to a given participant, may include achieving objectives related to, among other things, program development and expansion, regulatory compliance, student retention and academic outcomes.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Calculation of bonuses</w:t>
      </w:r>
      <w:r>
        <w:rPr>
          <w:rFonts w:ascii="Times New Roman;Times;serif" w:hAnsi="Times New Roman;Times;serif"/>
          <w:sz w:val="20"/>
        </w:rPr>
        <w:t xml:space="preserve">. For each named executive officer on the Annual Cash Incentive Plan, the Compensation Committee establishes a target bonus, which is stated as a percentage of the named executive officer’s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base salary. For 2023, the bonus opportunity as a percentage of base salary for each of the named executive officers on the Annual Cash Incentive Plan were as follows:</w:t>
      </w:r>
    </w:p>
    <w:tbl>
      <w:tblPr>
        <w:tblW w:w="5238" w:type="dxa"/>
        <w:jc w:val="left"/>
        <w:tblInd w:w="0" w:type="dxa"/>
        <w:tblLayout w:type="fixed"/>
        <w:tblCellMar>
          <w:top w:w="0" w:type="dxa"/>
          <w:left w:w="0" w:type="dxa"/>
          <w:bottom w:w="0" w:type="dxa"/>
          <w:right w:w="0" w:type="dxa"/>
        </w:tblCellMar>
      </w:tblPr>
      <w:tblGrid>
        <w:gridCol w:w="1606"/>
        <w:gridCol w:w="326"/>
        <w:gridCol w:w="826"/>
        <w:gridCol w:w="361"/>
        <w:gridCol w:w="601"/>
        <w:gridCol w:w="361"/>
        <w:gridCol w:w="841"/>
        <w:gridCol w:w="316"/>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019810" cy="175260"/>
                      <wp:effectExtent l="0" t="0" r="0" b="0"/>
                      <wp:wrapNone/>
                      <wp:docPr id="27" name="Frame1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28"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24510" cy="175260"/>
                      <wp:effectExtent l="0" t="0" r="0" b="0"/>
                      <wp:wrapNone/>
                      <wp:docPr id="29" name="Frame1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29235" cy="175260"/>
                      <wp:effectExtent l="0" t="0" r="0" b="0"/>
                      <wp:wrapNone/>
                      <wp:docPr id="30"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81635" cy="175260"/>
                      <wp:effectExtent l="0" t="0" r="0" b="0"/>
                      <wp:wrapNone/>
                      <wp:docPr id="31" name="Frame1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9235" cy="175260"/>
                      <wp:effectExtent l="0" t="0" r="0" b="0"/>
                      <wp:wrapNone/>
                      <wp:docPr id="32" name="Frame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4035" cy="175260"/>
                      <wp:effectExtent l="0" t="0" r="0" b="0"/>
                      <wp:wrapNone/>
                      <wp:docPr id="33" name="Frame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0660" cy="175260"/>
                      <wp:effectExtent l="0" t="0" r="0" b="0"/>
                      <wp:wrapNone/>
                      <wp:docPr id="34" name="Frame1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Bonus Opportunity as a</w:t>
              <w:br/>
              <w:t>Percentage of</w:t>
              <w:br/>
              <w:t>Base Salary</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606" w:type="dxa"/>
            <w:tcBorders>
              <w:bottom w:val="single" w:sz="2" w:space="0" w:color="000000"/>
            </w:tcBorders>
            <w:tcMar>
              <w:bottom w:w="28" w:type="dxa"/>
            </w:tcMar>
            <w:vAlign w:val="center"/>
          </w:tcPr>
          <w:p>
            <w:pPr>
              <w:pStyle w:val="TableContents"/>
              <w:pBdr/>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Name</w:t>
            </w:r>
            <w:r>
              <w:rPr>
                <w:rFonts w:ascii="Times New Roman;Times;serif" w:hAnsi="Times New Roman;Times;serif"/>
                <w:b/>
                <w:sz w:val="12"/>
              </w:rPr>
              <w:t>(1)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6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6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4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0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120" w:after="120"/>
        <w:ind w:left="0" w:right="0" w:firstLine="720"/>
        <w:jc w:val="left"/>
        <w:rPr>
          <w:rFonts w:ascii="Times New Roman;Times;serif" w:hAnsi="Times New Roman;Times;serif"/>
          <w:sz w:val="20"/>
        </w:rPr>
      </w:pPr>
      <w:bookmarkStart w:id="133" w:name="_cp_text_1_296"/>
      <w:bookmarkStart w:id="134" w:name="_cp_text_1_293"/>
      <w:bookmarkEnd w:id="133"/>
      <w:bookmarkEnd w:id="134"/>
      <w:r>
        <w:rPr>
          <w:rFonts w:ascii="Times New Roman;Times;serif" w:hAnsi="Times New Roman;Times;serif"/>
          <w:sz w:val="20"/>
        </w:rPr>
        <w:t>For these executive officers,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the threshold targets established for both the revenue and Adjusted EBITDA goals. Assuming both of these thresholds are achieved, payouts are made based on the Company’s achievement of the revenue goal and Adjusted EBITDA goal, with achievement of both goals at the threshold level resulting in a bonus of 50% of the target bonus and achievement of both goals at the maximum level resulting in a bonus of 150% of the target bonus. Performance between threshold and maximum levels results in prorated payments using straight-line interpolation.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Shown below is a summary of the matrix described above:</w:t>
      </w:r>
    </w:p>
    <w:tbl>
      <w:tblPr>
        <w:tblW w:w="10205" w:type="dxa"/>
        <w:jc w:val="left"/>
        <w:tblInd w:w="0" w:type="dxa"/>
        <w:tblLayout w:type="fixed"/>
        <w:tblCellMar>
          <w:top w:w="0" w:type="dxa"/>
          <w:left w:w="0" w:type="dxa"/>
          <w:bottom w:w="0" w:type="dxa"/>
          <w:right w:w="0" w:type="dxa"/>
        </w:tblCellMar>
      </w:tblPr>
      <w:tblGrid>
        <w:gridCol w:w="2225"/>
        <w:gridCol w:w="326"/>
        <w:gridCol w:w="2351"/>
        <w:gridCol w:w="326"/>
        <w:gridCol w:w="2247"/>
        <w:gridCol w:w="326"/>
        <w:gridCol w:w="2404"/>
      </w:tblGrid>
      <w:tr>
        <w:trPr/>
        <w:tc>
          <w:tcPr>
            <w:tcW w:w="222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4" w:type="dxa"/>
            <w:tcBorders/>
            <w:vAlign w:val="center"/>
          </w:tcPr>
          <w:p>
            <w:pPr>
              <w:pStyle w:val="TableContents"/>
              <w:bidi w:val="0"/>
              <w:spacing w:before="0" w:after="0"/>
              <w:ind w:left="0" w:right="0" w:hanging="0"/>
              <w:jc w:val="left"/>
              <w:rPr/>
            </w:pPr>
            <w:r>
              <w:rPr/>
              <w:t>​</w:t>
            </w:r>
          </w:p>
        </w:tc>
      </w:tr>
      <w:tr>
        <w:trPr/>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Goal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Achievement of Financial Metric at Threshold Level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2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Achievement of Financial Metric at Target Level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Achievement of Financial Metric at Maximum Level</w:t>
            </w:r>
          </w:p>
        </w:tc>
      </w:tr>
      <w:tr>
        <w:trPr/>
        <w:tc>
          <w:tcPr>
            <w:tcW w:w="2225"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goal (50.0% of financial metric)</w:t>
            </w:r>
          </w:p>
        </w:tc>
        <w:tc>
          <w:tcPr>
            <w:tcW w:w="326" w:type="dxa"/>
            <w:tcBorders/>
            <w:shd w:fill="CCEEFF" w:val="clear"/>
            <w:vAlign w:val="center"/>
          </w:tcPr>
          <w:p>
            <w:pPr>
              <w:pStyle w:val="TableContents"/>
              <w:bidi w:val="0"/>
              <w:spacing w:before="0" w:after="0"/>
              <w:ind w:left="0" w:right="0" w:hanging="0"/>
              <w:jc w:val="left"/>
              <w:rPr/>
            </w:pPr>
            <w:r>
              <w:rPr/>
              <w:t>​</w:t>
            </w:r>
          </w:p>
        </w:tc>
        <w:tc>
          <w:tcPr>
            <w:tcW w:w="2351"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of target bonus attributable to goal</w:t>
            </w:r>
          </w:p>
        </w:tc>
        <w:tc>
          <w:tcPr>
            <w:tcW w:w="326" w:type="dxa"/>
            <w:tcBorders/>
            <w:shd w:fill="CCEEFF" w:val="clear"/>
            <w:vAlign w:val="center"/>
          </w:tcPr>
          <w:p>
            <w:pPr>
              <w:pStyle w:val="TableContents"/>
              <w:bidi w:val="0"/>
              <w:spacing w:before="0" w:after="0"/>
              <w:ind w:left="0" w:right="0" w:hanging="0"/>
              <w:jc w:val="left"/>
              <w:rPr/>
            </w:pPr>
            <w:r>
              <w:rPr/>
              <w:t>​</w:t>
            </w:r>
          </w:p>
        </w:tc>
        <w:tc>
          <w:tcPr>
            <w:tcW w:w="2247"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of target bonus attributable to goal</w:t>
            </w:r>
          </w:p>
        </w:tc>
        <w:tc>
          <w:tcPr>
            <w:tcW w:w="326" w:type="dxa"/>
            <w:tcBorders/>
            <w:shd w:fill="CCEEFF" w:val="clear"/>
            <w:vAlign w:val="center"/>
          </w:tcPr>
          <w:p>
            <w:pPr>
              <w:pStyle w:val="TableContents"/>
              <w:bidi w:val="0"/>
              <w:spacing w:before="0" w:after="0"/>
              <w:ind w:left="0" w:right="0" w:hanging="0"/>
              <w:jc w:val="left"/>
              <w:rPr/>
            </w:pPr>
            <w:r>
              <w:rPr/>
              <w:t>​</w:t>
            </w:r>
          </w:p>
        </w:tc>
        <w:tc>
          <w:tcPr>
            <w:tcW w:w="2404"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of target bonus attributable to goal</w:t>
            </w:r>
          </w:p>
        </w:tc>
      </w:tr>
      <w:tr>
        <w:trPr/>
        <w:tc>
          <w:tcPr>
            <w:tcW w:w="222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(50.0% of financial metric)</w:t>
            </w:r>
          </w:p>
        </w:tc>
        <w:tc>
          <w:tcPr>
            <w:tcW w:w="326" w:type="dxa"/>
            <w:tcBorders/>
            <w:vAlign w:val="center"/>
          </w:tcPr>
          <w:p>
            <w:pPr>
              <w:pStyle w:val="TableContents"/>
              <w:bidi w:val="0"/>
              <w:spacing w:before="0" w:after="0"/>
              <w:ind w:left="0" w:right="0" w:hanging="0"/>
              <w:jc w:val="left"/>
              <w:rPr/>
            </w:pPr>
            <w:r>
              <w:rPr/>
              <w:t>​</w:t>
            </w:r>
          </w:p>
        </w:tc>
        <w:tc>
          <w:tcPr>
            <w:tcW w:w="2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 of target bonus attributable to goal</w:t>
            </w:r>
          </w:p>
        </w:tc>
        <w:tc>
          <w:tcPr>
            <w:tcW w:w="326" w:type="dxa"/>
            <w:tcBorders/>
            <w:vAlign w:val="center"/>
          </w:tcPr>
          <w:p>
            <w:pPr>
              <w:pStyle w:val="TableContents"/>
              <w:bidi w:val="0"/>
              <w:spacing w:before="0" w:after="0"/>
              <w:ind w:left="0" w:right="0" w:hanging="0"/>
              <w:jc w:val="left"/>
              <w:rPr/>
            </w:pPr>
            <w:r>
              <w:rPr/>
              <w:t>​</w:t>
            </w:r>
          </w:p>
        </w:tc>
        <w:tc>
          <w:tcPr>
            <w:tcW w:w="224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 of target bonus attributable to goal</w:t>
            </w:r>
          </w:p>
        </w:tc>
        <w:tc>
          <w:tcPr>
            <w:tcW w:w="326" w:type="dxa"/>
            <w:tcBorders/>
            <w:vAlign w:val="center"/>
          </w:tcPr>
          <w:p>
            <w:pPr>
              <w:pStyle w:val="TableContents"/>
              <w:bidi w:val="0"/>
              <w:spacing w:before="0" w:after="0"/>
              <w:ind w:left="0" w:right="0" w:hanging="0"/>
              <w:jc w:val="left"/>
              <w:rPr/>
            </w:pPr>
            <w:r>
              <w:rPr/>
              <w:t>​</w:t>
            </w:r>
          </w:p>
        </w:tc>
        <w:tc>
          <w:tcPr>
            <w:tcW w:w="240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 of target bonus attributable to goal</w:t>
            </w:r>
          </w:p>
        </w:tc>
      </w:tr>
      <w:tr>
        <w:trPr/>
        <w:tc>
          <w:tcPr>
            <w:tcW w:w="222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Bonus payout as a % of target bonus</w:t>
            </w:r>
          </w:p>
        </w:tc>
        <w:tc>
          <w:tcPr>
            <w:tcW w:w="326" w:type="dxa"/>
            <w:tcBorders/>
            <w:shd w:fill="CCEEFF" w:val="clear"/>
            <w:vAlign w:val="center"/>
          </w:tcPr>
          <w:p>
            <w:pPr>
              <w:pStyle w:val="TableContents"/>
              <w:bidi w:val="0"/>
              <w:spacing w:before="0" w:after="0"/>
              <w:ind w:left="0" w:right="0" w:hanging="0"/>
              <w:jc w:val="left"/>
              <w:rPr/>
            </w:pPr>
            <w:r>
              <w:rPr/>
              <w:t>​</w:t>
            </w:r>
          </w:p>
        </w:tc>
        <w:tc>
          <w:tcPr>
            <w:tcW w:w="2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24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4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2023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of the bonus is payable at that level) and the Adjusted EBITDA target is achieved at the target level (so that 100% of the Adjusted EBITDA component of the bonus is payable at that level) the participant would be entitled to a potential bonus of $112,500, calculated as $37,500 (50% of the revenue component) plus $75,000 (100% of the Adjusted EBITDA component).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plan for eligible senior management (the “Senior Management Plan”), in which Mr. Briggs participated in 2021, 2022 and 2023, differs from the Annual Cash Incentive Plan in that it includes achievement of individual performance targets as a primary element of the bonus calculation, such that achievement of revenue and Adjusted EBITDA targets each account for 30% of target bonus opportunity and the achievement of individual performance targets accounts for 40% of target bonus opportunity. In addition, for eligible senior management participating in this plan,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0"/>
        </w:rPr>
        <w:t>Changes to performance goals and target awards</w:t>
      </w:r>
      <w:r>
        <w:rPr>
          <w:rFonts w:ascii="Times New Roman;Times;serif" w:hAnsi="Times New Roman;Times;serif"/>
          <w:sz w:val="20"/>
        </w:rPr>
        <w:t xml:space="preserve">. In accordance with the terms of the Annual Cash Incentive Plan, at any time prior to the final determination of bonuses earned, the Compensation Committee may adjust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(including the financial impacts of a unique circumstance),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2023 financial goals.</w:t>
      </w:r>
      <w:r>
        <w:rPr>
          <w:rFonts w:ascii="Times New Roman;Times;serif" w:hAnsi="Times New Roman;Times;serif"/>
          <w:sz w:val="20"/>
        </w:rPr>
        <w:t xml:space="preserve"> The following table shows the Company-wide financial goals established for the named executive officers for 2023. These financial goals were selected based upon a combination of the Company’s internal budget and analyst estimates, which the Compensation Committee believes establishes an appropriate level at which to set goals in order to maximize the incentive for superior performance.</w:t>
      </w:r>
    </w:p>
    <w:tbl>
      <w:tblPr>
        <w:tblW w:w="6850" w:type="dxa"/>
        <w:jc w:val="left"/>
        <w:tblInd w:w="0" w:type="dxa"/>
        <w:tblLayout w:type="fixed"/>
        <w:tblCellMar>
          <w:top w:w="0" w:type="dxa"/>
          <w:left w:w="0" w:type="dxa"/>
          <w:bottom w:w="0" w:type="dxa"/>
          <w:right w:w="0" w:type="dxa"/>
        </w:tblCellMar>
      </w:tblPr>
      <w:tblGrid>
        <w:gridCol w:w="1636"/>
        <w:gridCol w:w="326"/>
        <w:gridCol w:w="211"/>
        <w:gridCol w:w="1186"/>
        <w:gridCol w:w="326"/>
        <w:gridCol w:w="211"/>
        <w:gridCol w:w="1186"/>
        <w:gridCol w:w="326"/>
        <w:gridCol w:w="211"/>
        <w:gridCol w:w="1231"/>
      </w:tblGrid>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r>
          </w:p>
        </w:tc>
      </w:tr>
      <w:tr>
        <w:trPr/>
        <w:tc>
          <w:tcPr>
            <w:tcW w:w="1636" w:type="dxa"/>
            <w:tcBorders/>
            <w:shd w:fill="CCEEFF" w:val="cle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940,500,000 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948,500,000 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956,500,000 </w:t>
            </w:r>
          </w:p>
        </w:tc>
      </w:tr>
      <w:tr>
        <w:trPr/>
        <w:tc>
          <w:tcPr>
            <w:tcW w:w="1636" w:type="dxa"/>
            <w:tcBorders/>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279,482,000 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287,482,000 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295,482,000 </w:t>
            </w:r>
          </w:p>
        </w:tc>
      </w:tr>
    </w:tbl>
    <w:p>
      <w:pPr>
        <w:pStyle w:val="TextBody"/>
        <w:bidi w:val="0"/>
        <w:spacing w:before="120" w:after="120"/>
        <w:ind w:left="0" w:right="0" w:firstLine="720"/>
        <w:jc w:val="left"/>
        <w:rPr>
          <w:rFonts w:ascii="Times New Roman;Times;serif" w:hAnsi="Times New Roman;Times;serif"/>
          <w:sz w:val="20"/>
        </w:rPr>
      </w:pPr>
      <w:r>
        <w:rPr>
          <w:rFonts w:ascii="Times New Roman;Times;serif" w:hAnsi="Times New Roman;Times;serif"/>
          <w:i/>
          <w:sz w:val="20"/>
        </w:rPr>
        <w:t>Actual performance vs. compensation paid for 2023</w:t>
      </w:r>
      <w:r>
        <w:rPr>
          <w:rFonts w:ascii="Times New Roman;Times;serif" w:hAnsi="Times New Roman;Times;serif"/>
          <w:sz w:val="20"/>
        </w:rPr>
        <w:t>. For 2023, the Company achieved revenue of $960.9 million and Adjusted EBITDA of $302.3 million, both of which exceeded the maximum level of achievement, resulting in performance payout percentages for our named executive officers (other than Mr. Briggs) equal to 150.0% for the revenue component of the incentive bonus and 150.0% for the Adjusted EBITDA component of the incentive target bonus. Accordingly, the named executive officers achieved incentive bonuses as follows:</w:t>
      </w:r>
    </w:p>
    <w:tbl>
      <w:tblPr>
        <w:tblW w:w="8647" w:type="dxa"/>
        <w:jc w:val="left"/>
        <w:tblInd w:w="0" w:type="dxa"/>
        <w:tblLayout w:type="fixed"/>
        <w:tblCellMar>
          <w:top w:w="0" w:type="dxa"/>
          <w:left w:w="0" w:type="dxa"/>
          <w:bottom w:w="0" w:type="dxa"/>
          <w:right w:w="0" w:type="dxa"/>
        </w:tblCellMar>
      </w:tblPr>
      <w:tblGrid>
        <w:gridCol w:w="1606"/>
        <w:gridCol w:w="326"/>
        <w:gridCol w:w="1051"/>
        <w:gridCol w:w="361"/>
        <w:gridCol w:w="1051"/>
        <w:gridCol w:w="361"/>
        <w:gridCol w:w="1141"/>
        <w:gridCol w:w="361"/>
        <w:gridCol w:w="946"/>
        <w:gridCol w:w="361"/>
        <w:gridCol w:w="211"/>
        <w:gridCol w:w="87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019810" cy="175260"/>
                      <wp:effectExtent l="0" t="0" r="0" b="0"/>
                      <wp:wrapNone/>
                      <wp:docPr id="35" name="Frame18"/>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6"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7385" cy="175260"/>
                      <wp:effectExtent l="0" t="0" r="0" b="0"/>
                      <wp:wrapNone/>
                      <wp:docPr id="37" name="Frame2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29235" cy="175260"/>
                      <wp:effectExtent l="0" t="0" r="0" b="0"/>
                      <wp:wrapNone/>
                      <wp:docPr id="38" name="Frame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7385" cy="175260"/>
                      <wp:effectExtent l="0" t="0" r="0" b="0"/>
                      <wp:wrapNone/>
                      <wp:docPr id="39" name="Frame2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29235" cy="175260"/>
                      <wp:effectExtent l="0" t="0" r="0" b="0"/>
                      <wp:wrapNone/>
                      <wp:docPr id="40" name="Frame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24535" cy="175260"/>
                      <wp:effectExtent l="0" t="0" r="0" b="0"/>
                      <wp:wrapNone/>
                      <wp:docPr id="41" name="Frame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29235" cy="175260"/>
                      <wp:effectExtent l="0" t="0" r="0" b="0"/>
                      <wp:wrapNone/>
                      <wp:docPr id="42" name="Frame2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00710" cy="175260"/>
                      <wp:effectExtent l="0" t="0" r="0" b="0"/>
                      <wp:wrapNone/>
                      <wp:docPr id="43" name="Frame2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9235" cy="175260"/>
                      <wp:effectExtent l="0" t="0" r="0" b="0"/>
                      <wp:wrapNone/>
                      <wp:docPr id="44" name="Frame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5"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53085" cy="175260"/>
                      <wp:effectExtent l="0" t="0" r="0" b="0"/>
                      <wp:wrapNone/>
                      <wp:docPr id="46" name="Frame29"/>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Revenue</w:t>
              <w:br/>
              <w:t>Performance</w:t>
              <w:br/>
            </w:r>
            <w:r>
              <w:rPr>
                <w:rFonts w:ascii="Times New Roman;Times;serif" w:hAnsi="Times New Roman;Times;serif"/>
                <w:sz w:val="16"/>
              </w:rPr>
              <w:t> </w:t>
            </w:r>
            <w:r>
              <w:rPr>
                <w:rFonts w:ascii="Times New Roman;Times;serif" w:hAnsi="Times New Roman;Times;serif"/>
                <w:b/>
                <w:sz w:val="16"/>
              </w:rPr>
              <w:t>Payout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Adjusted</w:t>
              <w:br/>
              <w:t>EBITDA</w:t>
              <w:br/>
              <w:t>Performance</w:t>
              <w:br/>
              <w:t>Payout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Bonus as</w:t>
              <w:br/>
              <w:t>Percentage of</w:t>
              <w:br/>
              <w:t>Target Bonus</w:t>
              <w:br/>
              <w:t>(%)</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 Bonus</w:t>
              <w:br/>
              <w:t>as</w:t>
              <w:br/>
              <w:t>Percentage</w:t>
              <w:br/>
              <w:t>of Base</w:t>
              <w:br/>
              <w:t>Salary($)</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br/>
              <w:t>Bonus ($)</w:t>
            </w:r>
          </w:p>
        </w:tc>
      </w:tr>
      <w:tr>
        <w:trPr/>
        <w:tc>
          <w:tcPr>
            <w:tcW w:w="160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481,500 </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438,750 </w:t>
            </w:r>
          </w:p>
        </w:tc>
      </w:tr>
      <w:tr>
        <w:trPr/>
        <w:tc>
          <w:tcPr>
            <w:tcW w:w="1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112.5 </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438,750 </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52.6 </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165,000 </w:t>
            </w:r>
          </w:p>
        </w:tc>
      </w:tr>
    </w:tbl>
    <w:p>
      <w:pPr>
        <w:pStyle w:val="TextBody"/>
        <w:bidi w:val="0"/>
        <w:spacing w:before="120" w:after="120"/>
        <w:ind w:left="0" w:right="0" w:firstLine="720"/>
        <w:jc w:val="left"/>
        <w:rPr>
          <w:rFonts w:ascii="Times New Roman;Times;serif" w:hAnsi="Times New Roman;Times;serif"/>
          <w:sz w:val="20"/>
        </w:rPr>
      </w:pPr>
      <w:bookmarkStart w:id="135" w:name="_cp_text_1_232"/>
      <w:bookmarkStart w:id="136" w:name="_cp_text_4_231"/>
      <w:bookmarkStart w:id="137" w:name="_cp_text_1_230"/>
      <w:bookmarkEnd w:id="135"/>
      <w:bookmarkEnd w:id="136"/>
      <w:bookmarkEnd w:id="137"/>
      <w:r>
        <w:rPr>
          <w:rFonts w:ascii="Times New Roman;Times;serif" w:hAnsi="Times New Roman;Times;serif"/>
          <w:i/>
          <w:sz w:val="20"/>
        </w:rPr>
        <w:t>2023 individual goals</w:t>
      </w:r>
      <w:r>
        <w:rPr>
          <w:rFonts w:ascii="Times New Roman;Times;serif" w:hAnsi="Times New Roman;Times;serif"/>
          <w:sz w:val="20"/>
        </w:rPr>
        <w:t>. The individual performance goals applicable to the named executive officers in 2023 focused on each executive’s achievement of one or more objectives that related to their specific duties and responsibilities on behalf of the Company. These individual goals included:</w:t>
      </w:r>
    </w:p>
    <w:p>
      <w:pPr>
        <w:pStyle w:val="Normal"/>
        <w:bidi w:val="0"/>
        <w:spacing w:before="0" w:after="0"/>
        <w:jc w:val="left"/>
        <w:rPr>
          <w:sz w:val="4"/>
          <w:szCs w:val="4"/>
        </w:rPr>
      </w:pPr>
      <w:r>
        <w:rPr>
          <w:sz w:val="4"/>
          <w:szCs w:val="4"/>
        </w:rPr>
      </w:r>
      <w:bookmarkStart w:id="138" w:name="_cp_text_1_237"/>
      <w:bookmarkStart w:id="139" w:name="_cp_text_1_234"/>
      <w:bookmarkStart w:id="140" w:name="_cp_blt_1_236"/>
      <w:bookmarkStart w:id="141" w:name="_cp_text_1_237"/>
      <w:bookmarkStart w:id="142" w:name="_cp_text_1_234"/>
      <w:bookmarkStart w:id="143" w:name="_cp_blt_1_236"/>
      <w:bookmarkEnd w:id="141"/>
      <w:bookmarkEnd w:id="142"/>
      <w:bookmarkEnd w:id="143"/>
    </w:p>
    <w:tbl>
      <w:tblPr>
        <w:tblW w:w="8616" w:type="dxa"/>
        <w:jc w:val="left"/>
        <w:tblInd w:w="0" w:type="dxa"/>
        <w:tblLayout w:type="fixed"/>
        <w:tblCellMar>
          <w:top w:w="28" w:type="dxa"/>
          <w:left w:w="28" w:type="dxa"/>
          <w:bottom w:w="28" w:type="dxa"/>
          <w:right w:w="28" w:type="dxa"/>
        </w:tblCellMar>
      </w:tblPr>
      <w:tblGrid>
        <w:gridCol w:w="124"/>
        <w:gridCol w:w="256"/>
        <w:gridCol w:w="8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Dr. Meyer and Mr. Bachus, collectively: to manage their individual departments within budget. </w:t>
            </w:r>
          </w:p>
        </w:tc>
      </w:tr>
    </w:tbl>
    <w:p>
      <w:pPr>
        <w:pStyle w:val="Normal"/>
        <w:bidi w:val="0"/>
        <w:spacing w:before="0" w:after="0"/>
        <w:jc w:val="left"/>
        <w:rPr>
          <w:sz w:val="4"/>
          <w:szCs w:val="4"/>
        </w:rPr>
      </w:pPr>
      <w:r>
        <w:rPr>
          <w:sz w:val="4"/>
          <w:szCs w:val="4"/>
        </w:rPr>
      </w:r>
      <w:bookmarkStart w:id="144" w:name="_cp_text_1_251"/>
      <w:bookmarkStart w:id="145" w:name="_cp_text_1_249"/>
      <w:bookmarkStart w:id="146" w:name="_cp_text_1_243"/>
      <w:bookmarkStart w:id="147" w:name="_cp_text_1_238"/>
      <w:bookmarkStart w:id="148" w:name="_cp_blt_1_250"/>
      <w:bookmarkStart w:id="149" w:name="_cp_text_1_251"/>
      <w:bookmarkStart w:id="150" w:name="_cp_text_1_249"/>
      <w:bookmarkStart w:id="151" w:name="_cp_text_1_243"/>
      <w:bookmarkStart w:id="152" w:name="_cp_text_1_238"/>
      <w:bookmarkStart w:id="153" w:name="_cp_blt_1_250"/>
      <w:bookmarkEnd w:id="149"/>
      <w:bookmarkEnd w:id="150"/>
      <w:bookmarkEnd w:id="151"/>
      <w:bookmarkEnd w:id="152"/>
      <w:bookmarkEnd w:id="15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 Mr. Mueller, Dr. Meyer and Mr. Bachus, collectively: to work on key strategic initiatives for the Company including the future growth of the hybrid healthcare partnerships with new and existing university partners and new off-campus classroom and laboratory sites, continue to achieve growth goals set by our most significant partner</w:t>
            </w:r>
            <w:r>
              <w:rPr>
                <w:caps w:val="false"/>
                <w:smallCaps w:val="false"/>
              </w:rPr>
              <w:t xml:space="preserve"> </w:t>
            </w:r>
            <w:r>
              <w:rPr>
                <w:rFonts w:ascii="Times New Roman;Times;serif" w:hAnsi="Times New Roman;Times;serif"/>
                <w:b w:val="false"/>
                <w:i w:val="false"/>
                <w:caps w:val="false"/>
                <w:smallCaps w:val="false"/>
                <w:sz w:val="20"/>
              </w:rPr>
              <w:t xml:space="preserve">and participate in a specified number of investor conferences and/or investor meetings. </w:t>
            </w:r>
          </w:p>
        </w:tc>
      </w:tr>
    </w:tbl>
    <w:p>
      <w:pPr>
        <w:pStyle w:val="Normal"/>
        <w:bidi w:val="0"/>
        <w:spacing w:before="0" w:after="0"/>
        <w:jc w:val="left"/>
        <w:rPr>
          <w:sz w:val="4"/>
          <w:szCs w:val="4"/>
        </w:rPr>
      </w:pPr>
      <w:r>
        <w:rPr>
          <w:sz w:val="4"/>
          <w:szCs w:val="4"/>
        </w:rPr>
      </w:r>
      <w:bookmarkStart w:id="154" w:name="_cp_text_1_256"/>
      <w:bookmarkStart w:id="155" w:name="_cp_text_1_254"/>
      <w:bookmarkStart w:id="156" w:name="_cp_text_1_252"/>
      <w:bookmarkStart w:id="157" w:name="_cp_blt_1_255"/>
      <w:bookmarkStart w:id="158" w:name="_cp_text_1_256"/>
      <w:bookmarkStart w:id="159" w:name="_cp_text_1_254"/>
      <w:bookmarkStart w:id="160" w:name="_cp_text_1_252"/>
      <w:bookmarkStart w:id="161" w:name="_cp_blt_1_255"/>
      <w:bookmarkEnd w:id="158"/>
      <w:bookmarkEnd w:id="159"/>
      <w:bookmarkEnd w:id="160"/>
      <w:bookmarkEnd w:id="16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Mr. Mueller, Dr. Meyer and Mr. Bachus: to lead the Company’s corporate responsibility initiatives, including its efforts in expanding its environmental awareness, social responsibility and human capital, and governance initiatives. </w:t>
            </w:r>
          </w:p>
        </w:tc>
      </w:tr>
    </w:tbl>
    <w:p>
      <w:pPr>
        <w:pStyle w:val="Normal"/>
        <w:bidi w:val="0"/>
        <w:spacing w:before="0" w:after="0"/>
        <w:jc w:val="left"/>
        <w:rPr>
          <w:sz w:val="4"/>
          <w:szCs w:val="4"/>
        </w:rPr>
      </w:pPr>
      <w:r>
        <w:rPr>
          <w:sz w:val="4"/>
          <w:szCs w:val="4"/>
        </w:rPr>
      </w:r>
      <w:bookmarkStart w:id="162" w:name="_cp_text_1_261"/>
      <w:bookmarkStart w:id="163" w:name="_cp_text_1_259"/>
      <w:bookmarkStart w:id="164" w:name="_cp_text_1_257"/>
      <w:bookmarkStart w:id="165" w:name="_cp_blt_1_260"/>
      <w:bookmarkStart w:id="166" w:name="_cp_text_1_261"/>
      <w:bookmarkStart w:id="167" w:name="_cp_text_1_259"/>
      <w:bookmarkStart w:id="168" w:name="_cp_text_1_257"/>
      <w:bookmarkStart w:id="169" w:name="_cp_blt_1_260"/>
      <w:bookmarkEnd w:id="166"/>
      <w:bookmarkEnd w:id="167"/>
      <w:bookmarkEnd w:id="168"/>
      <w:bookmarkEnd w:id="169"/>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Dr. Meyer: to demonstrate leadership over key functional areas such as marketing, online operations and campus operations. </w:t>
            </w:r>
          </w:p>
        </w:tc>
      </w:tr>
    </w:tbl>
    <w:p>
      <w:pPr>
        <w:pStyle w:val="Normal"/>
        <w:bidi w:val="0"/>
        <w:spacing w:before="0" w:after="0"/>
        <w:jc w:val="left"/>
        <w:rPr>
          <w:sz w:val="4"/>
          <w:szCs w:val="4"/>
        </w:rPr>
      </w:pPr>
      <w:r>
        <w:rPr>
          <w:sz w:val="4"/>
          <w:szCs w:val="4"/>
        </w:rPr>
      </w:r>
      <w:bookmarkStart w:id="170" w:name="_cp_text_1_266"/>
      <w:bookmarkStart w:id="171" w:name="_cp_text_1_264"/>
      <w:bookmarkStart w:id="172" w:name="_cp_text_1_262"/>
      <w:bookmarkStart w:id="173" w:name="_cp_blt_1_265"/>
      <w:bookmarkStart w:id="174" w:name="_cp_text_1_266"/>
      <w:bookmarkStart w:id="175" w:name="_cp_text_1_264"/>
      <w:bookmarkStart w:id="176" w:name="_cp_text_1_262"/>
      <w:bookmarkStart w:id="177" w:name="_cp_blt_1_265"/>
      <w:bookmarkEnd w:id="174"/>
      <w:bookmarkEnd w:id="175"/>
      <w:bookmarkEnd w:id="176"/>
      <w:bookmarkEnd w:id="177"/>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Mr. Bachus: to manage the financial and reporting functions to ensure that no material weaknesses occurred within the Company’s financial reporting structure. </w:t>
            </w:r>
          </w:p>
        </w:tc>
      </w:tr>
    </w:tbl>
    <w:p>
      <w:pPr>
        <w:pStyle w:val="Normal"/>
        <w:bidi w:val="0"/>
        <w:spacing w:before="0" w:after="0"/>
        <w:jc w:val="left"/>
        <w:rPr>
          <w:sz w:val="4"/>
          <w:szCs w:val="4"/>
        </w:rPr>
      </w:pPr>
      <w:r>
        <w:rPr>
          <w:sz w:val="4"/>
          <w:szCs w:val="4"/>
        </w:rPr>
      </w:r>
      <w:bookmarkStart w:id="178" w:name="_cp_text_1_269"/>
      <w:bookmarkStart w:id="179" w:name="_cp_text_1_267"/>
      <w:bookmarkStart w:id="180" w:name="_cp_blt_1_276"/>
      <w:bookmarkStart w:id="181" w:name="_cp_text_1_269"/>
      <w:bookmarkStart w:id="182" w:name="_cp_text_1_267"/>
      <w:bookmarkStart w:id="183" w:name="_cp_blt_1_276"/>
      <w:bookmarkEnd w:id="181"/>
      <w:bookmarkEnd w:id="182"/>
      <w:bookmarkEnd w:id="18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Ms. Marsh: to manage process improvements, manage data reporting and analytics for the company and our university partners, and manage the full development lifecycle of software tools necessary for operations teams in the Company to help educate, manage and support students.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each individual named executive officer’s achievement or substantial achievement of their individual performance goals, and in light of the superior financial performance achieved by the Company in 2023, the Compensation Committee determined that cash bonuses under the Annual Cash Incentive Plan should be paid out at the level achieved as a result of the achievement of the company-wide financial goals, and that no reductions were otherwise merited.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Bonus Paid to Mr. Briggs.</w:t>
      </w:r>
      <w:r>
        <w:rPr>
          <w:rFonts w:ascii="Times New Roman;Times;serif" w:hAnsi="Times New Roman;Times;serif"/>
          <w:sz w:val="20"/>
        </w:rPr>
        <w:t xml:space="preserve"> Under the terms of the third amended and restated employment agreement entered into on May 1, 2023 between Mr. Briggs and the Company, Mr. Briggs was eligible to receive an incentive bonus with a target amount equal to 74.3% of his base salary and threshold and maximum amounts equal to 52.0% and 96.6%, respectively. Of his target bonus, 60% is to be based on the achievement of revenue and Adjusted EBITDA targets and 40% is to be based on the achievement of individual performance goals, including developing new and expanding current university partner relationships, increasing the number of opened off-campus classroom and laboratory sites, and achieving certain revenue and profitability goals for our hybrid healthcare programs.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the financial performance of the Company during 2023 and the percentage of his individual goals determined to be achieved, Mr. Briggs was awarded a bonus of $87,750, which is equal to approximately 29.0% of his base salary.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Equity Incentive Plan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December 31, 2023, there were 1,081,311 shares available for grant under the 2017 Plan.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Equity Award Grant Policy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Our Board of Directors has approved a policy relating to the granting of stock options and other equity-based awards. Under this policy: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stock option grants, restricted stock awards, and other equity based awards, which we collectively refer to as stock-based awards, must be approved by the Compensation Committee;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intentionally grant stock-based awards before the anticipated announcement of materially favorable news or intentionally delay the grant of stock-based awards until after the announcement of materially unfavorable news;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will approve stock-based grants only for persons specifically identified at the meeting by management.</w:t>
            </w:r>
          </w:p>
        </w:tc>
      </w:tr>
    </w:tbl>
    <w:p>
      <w:pPr>
        <w:pStyle w:val="TextBody"/>
        <w:bidi w:val="0"/>
        <w:spacing w:before="0" w:after="120"/>
        <w:ind w:left="0" w:right="0" w:hanging="0"/>
        <w:jc w:val="both"/>
        <w:rPr>
          <w:rFonts w:ascii="Times New Roman;Times;serif" w:hAnsi="Times New Roman;Times;serif"/>
          <w:b/>
          <w:i/>
          <w:sz w:val="20"/>
        </w:rPr>
      </w:pPr>
      <w:bookmarkStart w:id="184" w:name="_cp_text_1_298"/>
      <w:bookmarkEnd w:id="184"/>
      <w:r>
        <w:rPr>
          <w:rFonts w:ascii="Times New Roman;Times;serif" w:hAnsi="Times New Roman;Times;serif"/>
          <w:b/>
          <w:i/>
          <w:sz w:val="20"/>
        </w:rPr>
        <w:t>Severance and Change in Control Arrangements</w:t>
      </w:r>
    </w:p>
    <w:p>
      <w:pPr>
        <w:pStyle w:val="TextBody"/>
        <w:bidi w:val="0"/>
        <w:spacing w:before="0" w:after="120"/>
        <w:ind w:left="0" w:right="0" w:firstLine="720"/>
        <w:jc w:val="left"/>
        <w:rPr>
          <w:rFonts w:ascii="Times New Roman;Times;serif" w:hAnsi="Times New Roman;Times;serif"/>
          <w:sz w:val="20"/>
        </w:rPr>
      </w:pPr>
      <w:bookmarkStart w:id="185" w:name="_cp_text_1_299"/>
      <w:bookmarkEnd w:id="185"/>
      <w:r>
        <w:rPr>
          <w:rFonts w:ascii="Times New Roman;Times;serif" w:hAnsi="Times New Roman;Times;serif"/>
          <w:sz w:val="20"/>
        </w:rPr>
        <w:t xml:space="preserve">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or within twelve (12) months immediately following,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“Potential Payments Upon Termination or Change in Control.” </w:t>
      </w:r>
    </w:p>
    <w:p>
      <w:pPr>
        <w:pStyle w:val="TextBody"/>
        <w:bidi w:val="0"/>
        <w:spacing w:before="120" w:after="120"/>
        <w:ind w:left="0" w:right="0" w:hanging="0"/>
        <w:jc w:val="both"/>
        <w:rPr>
          <w:rFonts w:ascii="Times New Roman;Times;serif" w:hAnsi="Times New Roman;Times;serif"/>
          <w:b/>
          <w:i/>
          <w:sz w:val="20"/>
        </w:rPr>
      </w:pPr>
      <w:bookmarkStart w:id="186" w:name="_cp_text_1_300"/>
      <w:bookmarkEnd w:id="186"/>
      <w:r>
        <w:rPr>
          <w:rFonts w:ascii="Times New Roman;Times;serif" w:hAnsi="Times New Roman;Times;serif"/>
          <w:b/>
          <w:i/>
          <w:sz w:val="20"/>
        </w:rPr>
        <w:t xml:space="preserve">Perquisites and Other Personal Benefits </w:t>
      </w:r>
    </w:p>
    <w:p>
      <w:pPr>
        <w:pStyle w:val="TextBody"/>
        <w:bidi w:val="0"/>
        <w:spacing w:before="0" w:after="120"/>
        <w:ind w:left="0" w:right="0" w:firstLine="720"/>
        <w:jc w:val="left"/>
        <w:rPr>
          <w:rFonts w:ascii="Times New Roman;Times;serif" w:hAnsi="Times New Roman;Times;serif"/>
          <w:sz w:val="20"/>
        </w:rPr>
      </w:pPr>
      <w:bookmarkStart w:id="187" w:name="_cp_text_1_303"/>
      <w:bookmarkStart w:id="188" w:name="_cp_text_4_302"/>
      <w:bookmarkStart w:id="189" w:name="_cp_text_1_301"/>
      <w:bookmarkEnd w:id="187"/>
      <w:bookmarkEnd w:id="188"/>
      <w:bookmarkEnd w:id="189"/>
      <w:r>
        <w:rPr>
          <w:rFonts w:ascii="Times New Roman;Times;serif" w:hAnsi="Times New Roman;Times;serif"/>
          <w:sz w:val="20"/>
        </w:rPr>
        <w:t xml:space="preserve">We generally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generally do not provide tax reimbursements or any other tax payments, including excise tax “gross-ups,” to any of our executive officers.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90" w:name="ClawbackPolicy_864375"/>
      <w:bookmarkStart w:id="191" w:name="_cp_text_1_304"/>
      <w:bookmarkEnd w:id="190"/>
      <w:bookmarkEnd w:id="191"/>
      <w:r>
        <w:rPr>
          <w:rFonts w:ascii="Times New Roman;Times;serif" w:hAnsi="Times New Roman;Times;serif"/>
          <w:b/>
          <w:sz w:val="20"/>
        </w:rPr>
        <w:t>Clawback Policy</w:t>
      </w:r>
    </w:p>
    <w:p>
      <w:pPr>
        <w:pStyle w:val="TextBody"/>
        <w:bidi w:val="0"/>
        <w:spacing w:before="0" w:after="120"/>
        <w:ind w:left="0" w:right="0" w:firstLine="720"/>
        <w:jc w:val="left"/>
        <w:rPr>
          <w:rFonts w:ascii="Times New Roman;Times;serif" w:hAnsi="Times New Roman;Times;serif"/>
          <w:sz w:val="20"/>
        </w:rPr>
      </w:pPr>
      <w:bookmarkStart w:id="192" w:name="_cp_text_4_306"/>
      <w:bookmarkEnd w:id="192"/>
      <w:r>
        <w:rPr>
          <w:rFonts w:ascii="Times New Roman;Times;serif" w:hAnsi="Times New Roman;Times;serif"/>
          <w:sz w:val="20"/>
        </w:rPr>
        <w:t>As directed by the Dodd-Frank Act, in November 2022, the SEC issued final rules directing the national securities exchanges to adopt listing standards that require issuers to seek recovery from executive officers in certain circumstances involving financial restatements. The new clawback rules, which took effect on December 1, 2023 and cover incentive compensation paid on or after October 1, 2023, apply to all issuers listed on a national securities exchange. On October 25, 2023, the Board of Directors adopted the Recovery of Erroneously-Awarded Incentive Compensation Policy (the “Revised Clawback Policy”) in order to comply with Section 10D of the Exchange Act and the listing standards recently adopted by the NASDAQ Stock Exchange. Effective October 25, 2023, the Revised Clawback Policy, which replaced in its entirety a prior clawback policy originally adopted in January 2017, provides for the mandatory recovery of erroneously awarded incentive-based compensation from current and former executive officers of the Company in the event that the Company is required to prepare an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will recover erroneously awarded incentive-based compensation (as defined in the policy) previously paid to such executive officers in accordance with the terms of the policy.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Role of the Compensation Consultant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Compensation Committee has the sole authority, delegated from the Board of Directors, to appoint, compensate and oversee the work of an independent compensation consultant. As in prior years, the Compensation Committee has retained Mercer as its consultant to assist the Compensation Committee with its responsibilities related to our executive compensation programs. The Compensation Committee incurred $35,000 of consulting costs utilizing Mercer’s services in 2023.</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Effect of Accounting and Tax Treatment on Compensation Decisions</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Internal Revenue Code Section 409A</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Section 409A of the Internal Revenue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penalties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Accounting Standards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Conclusion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that the compensation amounts paid to our named executive officers for their service in 2023 were reasonable and appropriate and in our best interests.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Compensation Policies and Practices as Related to Risk Management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Cash Incentive Plan focuses on the achievement of company-wide revenue and adjusted EBITDA targets, which prevents participants from being able to materially enhance their bonus prospects through excessive or inappropriate risk-taking;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payments that may be made to our named executive officers under the Annual Cash Incentive Plan are subject to stated maximum limits, which we believe mitigates any risks that our named executive officers may take;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grants made to our named executive officers, and all other employees, under our equity plan all vest in annual increments over a period of five years, which we believe discourages excessive or inappropriate short-term risk taking.</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that review, and with input from management, the Compensation Committee has determined that there are no known potential risks arising from our compensation polices or practices that are reasonably likely to have a material adverse effect on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93" w:name="CompensationofNamedExecutiveOfficers_915"/>
      <w:bookmarkEnd w:id="193"/>
      <w:r>
        <w:rPr>
          <w:rFonts w:ascii="Times New Roman;Times;serif" w:hAnsi="Times New Roman;Times;serif"/>
          <w:b/>
          <w:sz w:val="20"/>
        </w:rPr>
        <w:t>Compensation of Named Executive Officers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Summary Compensation Table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total compensation earned for services rendered by our named executive officers for the fiscal year ended December 31, 2023, 2022 and 2021. In accordance with the rules promulgated by the SEC, certain columns relating to information that is not applicable have been omitted from this table.</w:t>
      </w:r>
    </w:p>
    <w:tbl>
      <w:tblPr>
        <w:tblW w:w="10205" w:type="dxa"/>
        <w:jc w:val="left"/>
        <w:tblInd w:w="0" w:type="dxa"/>
        <w:tblLayout w:type="fixed"/>
        <w:tblCellMar>
          <w:top w:w="0" w:type="dxa"/>
          <w:left w:w="0" w:type="dxa"/>
          <w:bottom w:w="0" w:type="dxa"/>
          <w:right w:w="0" w:type="dxa"/>
        </w:tblCellMar>
      </w:tblPr>
      <w:tblGrid>
        <w:gridCol w:w="2120"/>
        <w:gridCol w:w="326"/>
        <w:gridCol w:w="526"/>
        <w:gridCol w:w="326"/>
        <w:gridCol w:w="211"/>
        <w:gridCol w:w="781"/>
        <w:gridCol w:w="326"/>
        <w:gridCol w:w="211"/>
        <w:gridCol w:w="931"/>
        <w:gridCol w:w="326"/>
        <w:gridCol w:w="242"/>
        <w:gridCol w:w="899"/>
        <w:gridCol w:w="326"/>
        <w:gridCol w:w="307"/>
        <w:gridCol w:w="834"/>
        <w:gridCol w:w="326"/>
        <w:gridCol w:w="211"/>
        <w:gridCol w:w="976"/>
      </w:tblGrid>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r>
      <w:tr>
        <w:trPr/>
        <w:tc>
          <w:tcPr>
            <w:tcW w:w="2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 and Position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Salary</w:t>
              <w:br/>
              <w:t>($)</w:t>
            </w:r>
            <w:r>
              <w:rPr>
                <w:rFonts w:ascii="Times New Roman;Times;serif" w:hAnsi="Times New Roman;Times;serif"/>
                <w:b/>
                <w:sz w:val="12"/>
              </w:rPr>
              <w:t>(1)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Stock</w:t>
              <w:br/>
              <w:t>Awards</w:t>
              <w:br/>
              <w:t>($)</w:t>
            </w:r>
            <w:r>
              <w:rPr>
                <w:rFonts w:ascii="Times New Roman;Times;serif" w:hAnsi="Times New Roman;Times;serif"/>
                <w:b/>
                <w:sz w:val="12"/>
              </w:rPr>
              <w:t>(2)</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Non-Equity</w:t>
              <w:br/>
              <w:t>Incentive Plan</w:t>
            </w:r>
            <w:r>
              <w:rPr>
                <w:rFonts w:ascii="Times New Roman;Times;serif" w:hAnsi="Times New Roman;Times;serif"/>
                <w:sz w:val="16"/>
              </w:rPr>
              <w:br/>
            </w:r>
            <w:r>
              <w:rPr>
                <w:rFonts w:ascii="Times New Roman;Times;serif" w:hAnsi="Times New Roman;Times;serif"/>
                <w:b/>
                <w:sz w:val="16"/>
              </w:rPr>
              <w:t>Compensation</w:t>
              <w:br/>
              <w:t>($)</w:t>
            </w:r>
            <w:r>
              <w:rPr>
                <w:rFonts w:ascii="Times New Roman;Times;serif" w:hAnsi="Times New Roman;Times;serif"/>
                <w:b/>
                <w:sz w:val="12"/>
              </w:rPr>
              <w:t>(3)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All Other</w:t>
              <w:br/>
              <w:t>Compensation</w:t>
              <w:br/>
              <w:t>($) </w:t>
            </w:r>
            <w:r>
              <w:rPr>
                <w:rFonts w:ascii="Times New Roman;Times;serif" w:hAnsi="Times New Roman;Times;serif"/>
                <w:b/>
                <w:sz w:val="12"/>
              </w:rPr>
              <w:t>(4)</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20"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2"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gridSpan w:val="2"/>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7" w:type="dxa"/>
            <w:gridSpan w:val="2"/>
            <w:tcBorders/>
            <w:shd w:fill="CCEEFF" w:val="clear"/>
            <w:vAlign w:val="center"/>
          </w:tcPr>
          <w:p>
            <w:pPr>
              <w:pStyle w:val="TableContents"/>
              <w:bidi w:val="0"/>
              <w:spacing w:before="0" w:after="0"/>
              <w:ind w:left="0" w:right="0" w:hanging="0"/>
              <w:jc w:val="left"/>
              <w:rPr/>
            </w:pPr>
            <w:r>
              <w:rPr/>
              <w:t>​</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Chairman</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1,211,643</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481,500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2,016,887</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1,211,488</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460,495</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1,997,113</w:t>
            </w:r>
          </w:p>
        </w:tc>
      </w:tr>
      <w:tr>
        <w:trPr/>
        <w:tc>
          <w:tcPr>
            <w:tcW w:w="21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1,211,575</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306,353</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1,843,058</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1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646,578</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438,750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1,481,981</w:t>
            </w:r>
          </w:p>
        </w:tc>
      </w:tr>
      <w:tr>
        <w:trPr/>
        <w:tc>
          <w:tcPr>
            <w:tcW w:w="2120"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Operating Officer</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646,492</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419,610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1,462,455</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646,494</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279,154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1,321,821</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646,578</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438,750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1,476,266</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646,492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419,610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1,457,040</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646,494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279,154</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1,316,586</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1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450,019</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932,878</w:t>
            </w:r>
          </w:p>
        </w:tc>
      </w:tr>
      <w:tr>
        <w:trPr/>
        <w:tc>
          <w:tcPr>
            <w:tcW w:w="2120" w:type="dxa"/>
            <w:tcBorders/>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Technology Officer</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304,831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449,972</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157,802</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916,728</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420,307</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95,437</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800,202</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302,904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500,034</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896,652</w:t>
            </w:r>
          </w:p>
        </w:tc>
      </w:tr>
      <w:tr>
        <w:trPr/>
        <w:tc>
          <w:tcPr>
            <w:tcW w:w="2120"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Orbis Education CEO</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499,932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178,769</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984,215</w:t>
            </w:r>
          </w:p>
        </w:tc>
      </w:tr>
      <w:tr>
        <w:trPr/>
        <w:tc>
          <w:tcPr>
            <w:tcW w:w="21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294,082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500,002</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161,543</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961,039</w:t>
            </w:r>
          </w:p>
        </w:tc>
      </w:tr>
      <w:tr>
        <w:trPr/>
        <w:tc>
          <w:tcPr>
            <w:tcW w:w="2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in this column reflect the base salary cash payments made in each year. Ms. Dilek’s base salary for 2021 reflects the amount paid prior to and following her promotion on July 1, 2021 to Chief Technology Officer.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this column reflect the compensation costs attributable to the restricted stock awards granted in 2023, 2022 and 2021.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2023, 2022, and 2021 fiscal years are set forth in Notes 2 and 12 to our financial statements for the fiscal year ended December 31, 2023 included in our 2023 Annual Report on Form 10-K.</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Calibri;Helvetica;sans-serif" w:hAnsi="Calibri;Helvetica;sans-serif"/>
                <w:sz w:val="20"/>
              </w:rPr>
            </w:pPr>
            <w:r>
              <w:rPr>
                <w:rFonts w:ascii="Calibri;Helvetica;sans-serif" w:hAnsi="Calibri;Helvetica;sans-serif"/>
                <w:sz w:val="20"/>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this column reflect non-equity incentive payments earned pursuant to our Annual Cash Incentive Plan in 2023, 2022 and 2021 except for Mr. Briggs whose non-equity incentive payments were based on the Senior Management Plan in 2023, 2022 and 2021. The amounts for Ms. Marsh in 2021 give effect to a salary increase from $263,313 to $300,000 effective July 1, 2021.</w:t>
            </w:r>
          </w:p>
        </w:tc>
      </w:tr>
    </w:tbl>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2023, 2022, and 2021, the amounts in this column include company paid life insurance premiums for all named executive officers. For Dr. Meyer, Ms. Marsh and Mr. Briggs, the amounts in this column also reflect matching payments made by the Company under our 401(k) plan.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2023 Grants of Plan-Based Awards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certain information with respect to incentive plan awards under our Annual Cash Incentive Plan and our 2017 Plan for the fiscal year ended December 31, 2023 to each of our named executive officers:</w:t>
      </w:r>
    </w:p>
    <w:tbl>
      <w:tblPr>
        <w:tblW w:w="10205" w:type="dxa"/>
        <w:jc w:val="left"/>
        <w:tblInd w:w="0" w:type="dxa"/>
        <w:tblLayout w:type="fixed"/>
        <w:tblCellMar>
          <w:top w:w="0" w:type="dxa"/>
          <w:left w:w="0" w:type="dxa"/>
          <w:bottom w:w="0" w:type="dxa"/>
          <w:right w:w="0" w:type="dxa"/>
        </w:tblCellMar>
      </w:tblPr>
      <w:tblGrid>
        <w:gridCol w:w="1508"/>
        <w:gridCol w:w="326"/>
        <w:gridCol w:w="1436"/>
        <w:gridCol w:w="326"/>
        <w:gridCol w:w="211"/>
        <w:gridCol w:w="826"/>
        <w:gridCol w:w="326"/>
        <w:gridCol w:w="211"/>
        <w:gridCol w:w="826"/>
        <w:gridCol w:w="326"/>
        <w:gridCol w:w="211"/>
        <w:gridCol w:w="826"/>
        <w:gridCol w:w="326"/>
        <w:gridCol w:w="961"/>
        <w:gridCol w:w="326"/>
        <w:gridCol w:w="211"/>
        <w:gridCol w:w="1022"/>
      </w:tblGrid>
      <w:tr>
        <w:trPr/>
        <w:tc>
          <w:tcPr>
            <w:tcW w:w="1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left"/>
              <w:rPr/>
            </w:pPr>
            <w:r>
              <w:rPr/>
              <w:t>​</w:t>
            </w:r>
          </w:p>
        </w:tc>
      </w:tr>
      <w:tr>
        <w:trPr/>
        <w:tc>
          <w:tcPr>
            <w:tcW w:w="150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763" w:type="dxa"/>
            <w:gridSpan w:val="8"/>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Estimated Future Payouts Under Non-</w:t>
              <w:br/>
              <w:t>Equity Incentive Plan Awards</w:t>
            </w:r>
            <w:r>
              <w:rPr>
                <w:rFonts w:ascii="Times New Roman;Times;serif" w:hAnsi="Times New Roman;Times;serif"/>
                <w:b/>
                <w:sz w:val="12"/>
              </w:rPr>
              <w:t>(1)</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508"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14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Threshold($)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Target</w:t>
              <w:b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w:t>
              <w:b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All Other</w:t>
              <w:br/>
              <w:t>Stock</w:t>
            </w:r>
            <w:r>
              <w:rPr>
                <w:rFonts w:ascii="Times New Roman;Times;serif" w:hAnsi="Times New Roman;Times;serif"/>
                <w:sz w:val="16"/>
              </w:rPr>
              <w:br/>
            </w:r>
            <w:r>
              <w:rPr>
                <w:rFonts w:ascii="Times New Roman;Times;serif" w:hAnsi="Times New Roman;Times;serif"/>
                <w:b/>
                <w:sz w:val="16"/>
              </w:rPr>
              <w:t>Awards:</w:t>
            </w:r>
            <w:r>
              <w:rPr>
                <w:rFonts w:ascii="Times New Roman;Times;serif" w:hAnsi="Times New Roman;Times;serif"/>
                <w:sz w:val="16"/>
              </w:rPr>
              <w:t> </w:t>
              <w:br/>
            </w:r>
            <w:r>
              <w:rPr>
                <w:rFonts w:ascii="Times New Roman;Times;serif" w:hAnsi="Times New Roman;Times;serif"/>
                <w:b/>
                <w:sz w:val="16"/>
              </w:rPr>
              <w:t>Number of</w:t>
            </w:r>
            <w:r>
              <w:rPr>
                <w:rFonts w:ascii="Times New Roman;Times;serif" w:hAnsi="Times New Roman;Times;serif"/>
                <w:sz w:val="16"/>
              </w:rPr>
              <w:br/>
            </w:r>
            <w:r>
              <w:rPr>
                <w:rFonts w:ascii="Times New Roman;Times;serif" w:hAnsi="Times New Roman;Times;serif"/>
                <w:b/>
                <w:sz w:val="16"/>
              </w:rPr>
              <w:t>Shares</w:t>
            </w:r>
            <w:r>
              <w:rPr>
                <w:rFonts w:ascii="Times New Roman;Times;serif" w:hAnsi="Times New Roman;Times;serif"/>
                <w:sz w:val="16"/>
              </w:rPr>
              <w:t> </w:t>
            </w:r>
            <w:r>
              <w:rPr>
                <w:rFonts w:ascii="Times New Roman;Times;serif" w:hAnsi="Times New Roman;Times;serif"/>
                <w:b/>
                <w:sz w:val="16"/>
              </w:rPr>
              <w:br/>
              <w:t>of Stock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Grant Date</w:t>
              <w:br/>
              <w:t>Fair Value</w:t>
            </w:r>
            <w:r>
              <w:rPr>
                <w:rFonts w:ascii="Times New Roman;Times;serif" w:hAnsi="Times New Roman;Times;serif"/>
                <w:sz w:val="16"/>
              </w:rPr>
              <w:br/>
            </w:r>
            <w:r>
              <w:rPr>
                <w:rFonts w:ascii="Times New Roman;Times;serif" w:hAnsi="Times New Roman;Times;serif"/>
                <w:b/>
                <w:sz w:val="16"/>
              </w:rPr>
              <w:t>of Stock</w:t>
            </w:r>
            <w:r>
              <w:rPr>
                <w:rFonts w:ascii="Times New Roman;Times;serif" w:hAnsi="Times New Roman;Times;serif"/>
                <w:sz w:val="16"/>
              </w:rPr>
              <w:br/>
            </w:r>
            <w:r>
              <w:rPr>
                <w:rFonts w:ascii="Times New Roman;Times;serif" w:hAnsi="Times New Roman;Times;serif"/>
                <w:b/>
                <w:sz w:val="16"/>
              </w:rPr>
              <w:t>Awards(2)</w:t>
            </w:r>
          </w:p>
        </w:tc>
      </w:tr>
      <w:tr>
        <w:trPr/>
        <w:tc>
          <w:tcPr>
            <w:tcW w:w="1508"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481,500 </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022"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pPr>
            <w:r>
              <w:rPr/>
              <w:t>— </w:t>
            </w:r>
          </w:p>
        </w:tc>
      </w:tr>
      <w:tr>
        <w:trPr/>
        <w:tc>
          <w:tcPr>
            <w:tcW w:w="150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10,732 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1,211,643 </w:t>
            </w:r>
          </w:p>
        </w:tc>
      </w:tr>
      <w:tr>
        <w:trPr/>
        <w:tc>
          <w:tcPr>
            <w:tcW w:w="1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15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146,250 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438,750 </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1508"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5,727 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646,578 </w:t>
            </w:r>
          </w:p>
        </w:tc>
      </w:tr>
      <w:tr>
        <w:trPr/>
        <w:tc>
          <w:tcPr>
            <w:tcW w:w="1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15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146,250 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438,750 </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150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5,727 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646,578 </w:t>
            </w:r>
          </w:p>
        </w:tc>
      </w:tr>
      <w:tr>
        <w:trPr/>
        <w:tc>
          <w:tcPr>
            <w:tcW w:w="1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150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165,000 </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1508" w:type="dxa"/>
            <w:tcBorders/>
            <w:shd w:fill="CCEEFF" w:val="clear"/>
            <w:vAlign w:val="center"/>
          </w:tcPr>
          <w:p>
            <w:pPr>
              <w:pStyle w:val="TableContents"/>
              <w:pBdr/>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450,019 </w:t>
            </w:r>
          </w:p>
        </w:tc>
      </w:tr>
      <w:tr>
        <w:trPr/>
        <w:tc>
          <w:tcPr>
            <w:tcW w:w="15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22" w:type="dxa"/>
            <w:tcBorders/>
            <w:vAlign w:val="center"/>
          </w:tcPr>
          <w:p>
            <w:pPr>
              <w:pStyle w:val="TableContents"/>
              <w:bidi w:val="0"/>
              <w:spacing w:before="0" w:after="0"/>
              <w:ind w:left="0" w:right="0" w:hanging="0"/>
              <w:jc w:val="right"/>
              <w:rPr/>
            </w:pPr>
            <w:r>
              <w:rPr/>
              <w:t>​</w:t>
            </w:r>
          </w:p>
        </w:tc>
      </w:tr>
      <w:tr>
        <w:trPr/>
        <w:tc>
          <w:tcPr>
            <w:tcW w:w="150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292,500 </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r>
        <w:trPr/>
        <w:tc>
          <w:tcPr>
            <w:tcW w:w="1508"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25,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500,034 </w:t>
            </w:r>
          </w:p>
        </w:tc>
      </w:tr>
      <w:tr>
        <w:trPr/>
        <w:tc>
          <w:tcPr>
            <w:tcW w:w="15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22" w:type="dxa"/>
            <w:tcBorders/>
            <w:shd w:fill="CCEEFF" w:val="clear"/>
            <w:vAlign w:val="center"/>
          </w:tcPr>
          <w:p>
            <w:pPr>
              <w:pStyle w:val="TableContents"/>
              <w:bidi w:val="0"/>
              <w:spacing w:before="0" w:after="0"/>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reflect the Threshold, Target and Maximum bonuses payable to our named executive officers under our Annual Cash Incentive Plan or Senior Management Plan, as applicable (based on their base salaries as in effect at year end). All such awards have been paid, and the actual amounts paid are set forth in the Summary Compensation Table above.</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shown in this column reflect the compensation costs attributable to the restricted stock awards granted in 2023.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2023 are set forth in Notes 2 and 12 to our financial statements for the fiscal year ended December 31, 2023 included in our 2023 Annual Report on Form 10-K.</w:t>
            </w:r>
          </w:p>
        </w:tc>
      </w:tr>
    </w:tbl>
    <w:p>
      <w:pPr>
        <w:pStyle w:val="TextBody"/>
        <w:bidi w:val="0"/>
        <w:spacing w:before="0" w:after="240"/>
        <w:ind w:left="0" w:right="0" w:hanging="0"/>
        <w:jc w:val="left"/>
        <w:rPr/>
      </w:pPr>
      <w:r>
        <w:rPr/>
        <w:t>​</w:t>
      </w:r>
    </w:p>
    <w:p>
      <w:pPr>
        <w:pStyle w:val="TextBody"/>
        <w:bidi w:val="0"/>
        <w:spacing w:before="0" w:after="24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2023 Outstanding Equity Awards at Fiscal Year-End</w:t>
      </w:r>
    </w:p>
    <w:p>
      <w:pPr>
        <w:pStyle w:val="TextBody"/>
        <w:bidi w:val="0"/>
        <w:spacing w:before="0" w:after="80"/>
        <w:ind w:left="0" w:right="0" w:firstLine="720"/>
        <w:jc w:val="left"/>
        <w:rPr>
          <w:rFonts w:ascii="Times New Roman;Times;serif" w:hAnsi="Times New Roman;Times;serif"/>
          <w:sz w:val="20"/>
        </w:rPr>
      </w:pPr>
      <w:r>
        <w:rPr>
          <w:rFonts w:ascii="Times New Roman;Times;serif" w:hAnsi="Times New Roman;Times;serif"/>
          <w:sz w:val="20"/>
        </w:rPr>
        <w:t>The following table provides certain summary information concerning outstanding unvested restricted stock awards held by the named executive officers as of December 31, 2023. The Company does not have any outstanding stock options or other types of equity incentive awards.</w:t>
      </w:r>
    </w:p>
    <w:tbl>
      <w:tblPr>
        <w:tblW w:w="4391" w:type="dxa"/>
        <w:jc w:val="left"/>
        <w:tblInd w:w="0" w:type="dxa"/>
        <w:tblLayout w:type="fixed"/>
        <w:tblCellMar>
          <w:top w:w="0" w:type="dxa"/>
          <w:left w:w="0" w:type="dxa"/>
          <w:bottom w:w="0" w:type="dxa"/>
          <w:right w:w="0" w:type="dxa"/>
        </w:tblCellMar>
      </w:tblPr>
      <w:tblGrid>
        <w:gridCol w:w="1606"/>
        <w:gridCol w:w="326"/>
        <w:gridCol w:w="901"/>
        <w:gridCol w:w="326"/>
        <w:gridCol w:w="211"/>
        <w:gridCol w:w="1021"/>
      </w:tblGrid>
      <w:tr>
        <w:trPr/>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019810" cy="175260"/>
                      <wp:effectExtent l="0" t="0" r="0" b="0"/>
                      <wp:wrapNone/>
                      <wp:docPr id="47" name="Frame30"/>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48"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72135" cy="29210"/>
                      <wp:effectExtent l="0" t="0" r="0" b="0"/>
                      <wp:wrapNone/>
                      <wp:docPr id="49" name="Frame32"/>
                      <a:graphic xmlns:a="http://schemas.openxmlformats.org/drawingml/2006/main">
                        <a:graphicData uri="http://schemas.microsoft.com/office/word/2010/wordprocessingShape">
                          <wps:wsp>
                            <wps:cNvSpPr txBox="1"/>
                            <wps:spPr>
                              <a:xfrm>
                                <a:off x="0" y="0"/>
                                <a:ext cx="572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0"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29210"/>
                      <wp:effectExtent l="0" t="0" r="0" b="0"/>
                      <wp:wrapNone/>
                      <wp:docPr id="51" name="Frame34"/>
                      <a:graphic xmlns:a="http://schemas.openxmlformats.org/drawingml/2006/main">
                        <a:graphicData uri="http://schemas.microsoft.com/office/word/2010/wordprocessingShape">
                          <wps:wsp>
                            <wps:cNvSpPr txBox="1"/>
                            <wps:spPr>
                              <a:xfrm>
                                <a:off x="0" y="0"/>
                                <a:ext cx="133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335" cy="29210"/>
                      <wp:effectExtent l="0" t="0" r="0" b="0"/>
                      <wp:wrapNone/>
                      <wp:docPr id="52" name="Frame35"/>
                      <a:graphic xmlns:a="http://schemas.openxmlformats.org/drawingml/2006/main">
                        <a:graphicData uri="http://schemas.microsoft.com/office/word/2010/wordprocessingShape">
                          <wps:wsp>
                            <wps:cNvSpPr txBox="1"/>
                            <wps:spPr>
                              <a:xfrm>
                                <a:off x="0" y="0"/>
                                <a:ext cx="6483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1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top w:val="single" w:sz="2" w:space="0" w:color="000000"/>
              <w:bottom w:val="single" w:sz="2" w:space="0" w:color="000000"/>
            </w:tcBorders>
            <w:tcMar>
              <w:top w:w="28" w:type="dxa"/>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Number of</w:t>
              <w:br/>
              <w:t>Shares of</w:t>
              <w:br/>
              <w:t>Stock That</w:t>
              <w:br/>
              <w:t>Have Not</w:t>
              <w:br/>
              <w:t>Vested </w:t>
            </w:r>
            <w:r>
              <w:rPr>
                <w:rFonts w:ascii="Times New Roman;Times;serif" w:hAnsi="Times New Roman;Times;serif"/>
                <w:b/>
                <w:sz w:val="12"/>
              </w:rPr>
              <w:t>(1)</w:t>
            </w:r>
          </w:p>
        </w:tc>
        <w:tc>
          <w:tcPr>
            <w:tcW w:w="326" w:type="dxa"/>
            <w:tcBorders>
              <w:top w:val="single" w:sz="2" w:space="0" w:color="000000"/>
            </w:tcBorders>
            <w:tcMar>
              <w:top w:w="28" w:type="dxa"/>
            </w:tcMar>
            <w:vAlign w:val="center"/>
          </w:tcPr>
          <w:p>
            <w:pPr>
              <w:pStyle w:val="TableContents"/>
              <w:bidi w:val="0"/>
              <w:spacing w:before="0" w:after="0"/>
              <w:ind w:left="0" w:right="0" w:hanging="0"/>
              <w:jc w:val="left"/>
              <w:rPr/>
            </w:pPr>
            <w:r>
              <w:rPr/>
              <w:t>    </w:t>
            </w:r>
          </w:p>
        </w:tc>
        <w:tc>
          <w:tcPr>
            <w:tcW w:w="1232" w:type="dxa"/>
            <w:gridSpan w:val="2"/>
            <w:tcBorders>
              <w:top w:val="single" w:sz="2" w:space="0" w:color="000000"/>
              <w:bottom w:val="single" w:sz="2" w:space="0" w:color="000000"/>
            </w:tcBorders>
            <w:tcMar>
              <w:top w:w="28" w:type="dxa"/>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Market Value</w:t>
              <w:br/>
              <w:t>of Shares of</w:t>
              <w:br/>
              <w:t>Stock That</w:t>
              <w:br/>
              <w:t>Have Not</w:t>
              <w:br/>
              <w:t>Vested </w:t>
            </w:r>
            <w:r>
              <w:rPr>
                <w:rFonts w:ascii="Times New Roman;Times;serif" w:hAnsi="Times New Roman;Times;serif"/>
                <w:b/>
                <w:sz w:val="12"/>
              </w:rPr>
              <w:t>(2)</w:t>
            </w:r>
          </w:p>
        </w:tc>
      </w:tr>
      <w:tr>
        <w:trPr/>
        <w:tc>
          <w:tcPr>
            <w:tcW w:w="1606"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5,182,570 </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20,944 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2,765,446 </w:t>
            </w:r>
          </w:p>
        </w:tc>
      </w:tr>
      <w:tr>
        <w:trPr/>
        <w:tc>
          <w:tcPr>
            <w:tcW w:w="1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20,944 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2,765,446 </w:t>
            </w:r>
          </w:p>
        </w:tc>
      </w:tr>
      <w:tr>
        <w:trPr/>
        <w:tc>
          <w:tcPr>
            <w:tcW w:w="16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13,102 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1,729,988 </w:t>
            </w:r>
          </w:p>
        </w:tc>
      </w:tr>
      <w:tr>
        <w:trPr/>
        <w:tc>
          <w:tcPr>
            <w:tcW w:w="160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2,066,426 </w:t>
            </w:r>
          </w:p>
        </w:tc>
      </w:tr>
    </w:tbl>
    <w:tbl>
      <w:tblPr>
        <w:tblW w:w="10205" w:type="dxa"/>
        <w:jc w:val="left"/>
        <w:tblInd w:w="0" w:type="dxa"/>
        <w:tblLayout w:type="fixed"/>
        <w:tblCellMar>
          <w:top w:w="28" w:type="dxa"/>
          <w:left w:w="28" w:type="dxa"/>
          <w:bottom w:w="28" w:type="dxa"/>
          <w:right w:w="28" w:type="dxa"/>
        </w:tblCellMar>
      </w:tblPr>
      <w:tblGrid>
        <w:gridCol w:w="124"/>
        <w:gridCol w:w="277"/>
        <w:gridCol w:w="9804"/>
      </w:tblGrid>
      <w:tr>
        <w:trPr/>
        <w:tc>
          <w:tcPr>
            <w:tcW w:w="124" w:type="dxa"/>
            <w:tcBorders/>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granted to Mr. Mueller, Dr. Meyer, Mr. Bachus, Ms. Marsh, and Mr. Briggs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Mueller, Dr. Meyer, Mr. Bachus, Ms. Marsh, and Mr. Briggs also receive partial accelerated vesting through the next annual vesting date immediately following the date of termination, upon the termination of employment by us without Cause or by the executive for Good Reason (as further discussed below). The following table sets forth the vesting schedule of the shares of restricted stock reported in this column for each NEO:</w:t>
            </w:r>
          </w:p>
        </w:tc>
      </w:tr>
    </w:tbl>
    <w:tbl>
      <w:tblPr>
        <w:tblW w:w="8751" w:type="dxa"/>
        <w:jc w:val="left"/>
        <w:tblInd w:w="0" w:type="dxa"/>
        <w:tblLayout w:type="fixed"/>
        <w:tblCellMar>
          <w:top w:w="0" w:type="dxa"/>
          <w:left w:w="0" w:type="dxa"/>
          <w:bottom w:w="0" w:type="dxa"/>
          <w:right w:w="0" w:type="dxa"/>
        </w:tblCellMar>
      </w:tblPr>
      <w:tblGrid>
        <w:gridCol w:w="1306"/>
        <w:gridCol w:w="1546"/>
        <w:gridCol w:w="1681"/>
        <w:gridCol w:w="1546"/>
        <w:gridCol w:w="1156"/>
        <w:gridCol w:w="1516"/>
      </w:tblGrid>
      <w:tr>
        <w:trPr/>
        <w:tc>
          <w:tcPr>
            <w:tcW w:w="1306"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15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Vesting Date</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Brian E. Mueller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Dr. W. Stan Meyer</w:t>
            </w:r>
          </w:p>
        </w:tc>
        <w:tc>
          <w:tcPr>
            <w:tcW w:w="15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Daniel E. Bachus</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Dilek Marsh</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Daniel J. Briggs</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2024</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13,384</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7,142</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7,142</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4,974</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2025</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10,767</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5,745</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5,745</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4,444</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2026</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7,886</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4,208</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2,859</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2027</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15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1,882</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2028</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2,147</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r>
    </w:tbl>
    <w:tbl>
      <w:tblPr>
        <w:tblW w:w="10205" w:type="dxa"/>
        <w:jc w:val="left"/>
        <w:tblInd w:w="0" w:type="dxa"/>
        <w:tblLayout w:type="fixed"/>
        <w:tblCellMar>
          <w:top w:w="28" w:type="dxa"/>
          <w:left w:w="28" w:type="dxa"/>
          <w:bottom w:w="28" w:type="dxa"/>
          <w:right w:w="28" w:type="dxa"/>
        </w:tblCellMar>
      </w:tblPr>
      <w:tblGrid>
        <w:gridCol w:w="124"/>
        <w:gridCol w:w="299"/>
        <w:gridCol w:w="9782"/>
      </w:tblGrid>
      <w:tr>
        <w:trPr/>
        <w:tc>
          <w:tcPr>
            <w:tcW w:w="124" w:type="dxa"/>
            <w:tcBorders/>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8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unvested shares is equal to the number of shares listed multiplied by $132.04, which was the closing market price of our common stock on December 29, 2023, the last trading day of the last completed fiscal year.</w:t>
            </w:r>
          </w:p>
        </w:tc>
      </w:tr>
    </w:tbl>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2023 Stock Vested</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provides certain summary information concerning restricted stock awards made to our named executive officers that vested, during the fiscal year ended December 31, 2023.</w:t>
      </w:r>
    </w:p>
    <w:p>
      <w:pPr>
        <w:pStyle w:val="Normal"/>
        <w:bidi w:val="0"/>
        <w:spacing w:before="0" w:after="0"/>
        <w:jc w:val="left"/>
        <w:rPr>
          <w:sz w:val="4"/>
          <w:szCs w:val="4"/>
        </w:rPr>
      </w:pPr>
      <w:r>
        <w:rPr>
          <w:sz w:val="4"/>
          <w:szCs w:val="4"/>
        </w:rPr>
      </w:r>
      <w:bookmarkStart w:id="194" w:name="_cp_text_1_342"/>
      <w:bookmarkStart w:id="195" w:name="_cp_text_1_342"/>
      <w:bookmarkEnd w:id="195"/>
    </w:p>
    <w:tbl>
      <w:tblPr>
        <w:tblW w:w="5709" w:type="dxa"/>
        <w:jc w:val="left"/>
        <w:tblInd w:w="0" w:type="dxa"/>
        <w:tblLayout w:type="fixed"/>
        <w:tblCellMar>
          <w:top w:w="0" w:type="dxa"/>
          <w:left w:w="0" w:type="dxa"/>
          <w:bottom w:w="0" w:type="dxa"/>
          <w:right w:w="0" w:type="dxa"/>
        </w:tblCellMar>
      </w:tblPr>
      <w:tblGrid>
        <w:gridCol w:w="1846"/>
        <w:gridCol w:w="326"/>
        <w:gridCol w:w="240"/>
        <w:gridCol w:w="1591"/>
        <w:gridCol w:w="326"/>
        <w:gridCol w:w="236"/>
        <w:gridCol w:w="1144"/>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172210" cy="1226820"/>
                      <wp:effectExtent l="0" t="0" r="0" b="0"/>
                      <wp:wrapNone/>
                      <wp:docPr id="53" name="Frame36"/>
                      <a:graphic xmlns:a="http://schemas.openxmlformats.org/drawingml/2006/main">
                        <a:graphicData uri="http://schemas.microsoft.com/office/word/2010/wordprocessingShape">
                          <wps:wsp>
                            <wps:cNvSpPr txBox="1"/>
                            <wps:spPr>
                              <a:xfrm>
                                <a:off x="0" y="0"/>
                                <a:ext cx="1172210" cy="12268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9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4"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2400" cy="175260"/>
                      <wp:effectExtent l="0" t="0" r="0" b="0"/>
                      <wp:wrapNone/>
                      <wp:docPr id="55" name="Frame38"/>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010285" cy="175260"/>
                      <wp:effectExtent l="0" t="0" r="0" b="0"/>
                      <wp:wrapNone/>
                      <wp:docPr id="56" name="Frame39"/>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57"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9860" cy="175260"/>
                      <wp:effectExtent l="0" t="0" r="0" b="0"/>
                      <wp:wrapNone/>
                      <wp:docPr id="58" name="Frame4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726440" cy="175260"/>
                      <wp:effectExtent l="0" t="0" r="0" b="0"/>
                      <wp:wrapNone/>
                      <wp:docPr id="59" name="Frame42"/>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 Awards</w:t>
            </w:r>
          </w:p>
        </w:tc>
      </w:tr>
      <w:tr>
        <w:trPr/>
        <w:tc>
          <w:tcPr>
            <w:tcW w:w="1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83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br/>
              <w:t>Acquired on Vesting (#)</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38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Realized</w:t>
              <w:br/>
              <w:t>on Vesting ($)(1)</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13,911 </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1,580,985 </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7,424 </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843,738 </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7,424 </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843,738 </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 Dilek Marsh</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5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3,861 </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438,803 </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Mr. Daniel J. Briggs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5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4,089 </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464,715 </w:t>
            </w:r>
          </w:p>
        </w:tc>
      </w:tr>
    </w:tbl>
    <w:tbl>
      <w:tblPr>
        <w:tblW w:w="10205" w:type="dxa"/>
        <w:jc w:val="left"/>
        <w:tblInd w:w="0" w:type="dxa"/>
        <w:tblLayout w:type="fixed"/>
        <w:tblCellMar>
          <w:top w:w="28" w:type="dxa"/>
          <w:left w:w="28" w:type="dxa"/>
          <w:bottom w:w="28" w:type="dxa"/>
          <w:right w:w="28" w:type="dxa"/>
        </w:tblCellMar>
      </w:tblPr>
      <w:tblGrid>
        <w:gridCol w:w="124"/>
        <w:gridCol w:w="298"/>
        <w:gridCol w:w="9783"/>
      </w:tblGrid>
      <w:tr>
        <w:trPr/>
        <w:tc>
          <w:tcPr>
            <w:tcW w:w="124" w:type="dxa"/>
            <w:tcBorders/>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realized on vesting of restricted stock equals the closing trading price of our common stock on the date of vesting (or if such day is not a trading day, the immediately preceding trading day), multiplied by the number of shares vesting.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Pay Ratio Disclosure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2023, our last completed fiscal year:</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total compensation of our median employee (other than the Chief Executive Officer) was $63,433: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total compensation of Mr. Mueller, as reported above in the Summary Compensation Table, was $2,016,887.</w:t>
            </w:r>
          </w:p>
        </w:tc>
      </w:tr>
    </w:tbl>
    <w:tbl>
      <w:tblPr>
        <w:tblW w:w="10205" w:type="dxa"/>
        <w:jc w:val="left"/>
        <w:tblInd w:w="0" w:type="dxa"/>
        <w:tblLayout w:type="fixed"/>
        <w:tblCellMar>
          <w:top w:w="28" w:type="dxa"/>
          <w:left w:w="28" w:type="dxa"/>
          <w:bottom w:w="0" w:type="dxa"/>
          <w:right w:w="28" w:type="dxa"/>
        </w:tblCellMar>
      </w:tblPr>
      <w:tblGrid>
        <w:gridCol w:w="10205"/>
      </w:tblGrid>
      <w:tr>
        <w:trPr/>
        <w:tc>
          <w:tcPr>
            <w:tcW w:w="10205"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pPr>
            <w:r>
              <w:rPr/>
              <w:t>​</w:t>
            </w:r>
          </w:p>
        </w:tc>
      </w:tr>
      <w:tr>
        <w:trPr/>
        <w:tc>
          <w:tcPr>
            <w:tcW w:w="1020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144" w:right="0" w:hanging="0"/>
              <w:jc w:val="left"/>
              <w:rPr>
                <w:rFonts w:ascii="Times New Roman;Times;serif" w:hAnsi="Times New Roman;Times;serif"/>
                <w:i/>
                <w:sz w:val="20"/>
              </w:rPr>
            </w:pPr>
            <w:r>
              <w:rPr>
                <w:rFonts w:ascii="Times New Roman;Times;serif" w:hAnsi="Times New Roman;Times;serif"/>
                <w:i/>
                <w:sz w:val="20"/>
              </w:rPr>
              <w:t>Based on this information, for 2023 the ratio of the annual total compensation of Mr. Mueller, our Chief Executive Officer, to the annual total compensation of our median employee was 31.8 to 1.</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To identify the annual total compensation of all our employees, as well as to determine the annual total compensation of our median employee, we took the following steps: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as of December 31, 2023, our employee population consisted of 5,800 individuals, all of whom were located in the United States and of which 4,068, or 70.1%, were full-time employees, 2,186, or 37.7%, were full-time salaried employees, and 1,732, or 29.9%, were part-time employees and student workers. We selected December 31, 2023 as the date upon which we would identify the “median employee” because it enabled us to make such identification in a reasonably efficient and economical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2023 fiscal year, there were no such changes in employee population or compensation arrangements generally that would significantly change our pay ratio disclosure. Therefore, as permitted by Item 402(u) of Regulation S-K, we used the same median employee for 2023 that we used for our 2022 pay ratio calculation. See our proxy statement for our 2022 annual meeting of stockholders for information regarding the process we utilized to identify our “median employee.”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then combined all of the elements of such employee’s compensation for 2023 in accordance with the requirements of Item 402(c)(2)(x) of Regulation S-K, resulting in annual total compensation of $63,433.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companies in our peer group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This information is being provided for compliance purposes only. Neither the Compensation Committee nor management of the Company used the pay ratio measure in making compensation decisions.</w:t>
      </w:r>
    </w:p>
    <w:p>
      <w:pPr>
        <w:pStyle w:val="TextBody"/>
        <w:bidi w:val="0"/>
        <w:spacing w:before="0" w:after="120"/>
        <w:ind w:left="0" w:right="0" w:hanging="0"/>
        <w:jc w:val="left"/>
        <w:rPr>
          <w:rFonts w:ascii="Times New Roman;Times;serif" w:hAnsi="Times New Roman;Times;serif"/>
          <w:b/>
          <w:sz w:val="20"/>
        </w:rPr>
      </w:pPr>
      <w:bookmarkStart w:id="196" w:name="ExecutiveEmploymentAgreements_118897"/>
      <w:bookmarkEnd w:id="196"/>
      <w:r>
        <w:rPr>
          <w:rFonts w:ascii="Times New Roman;Times;serif" w:hAnsi="Times New Roman;Times;serif"/>
          <w:b/>
          <w:sz w:val="20"/>
        </w:rPr>
        <w:t>Executive Employment Agreements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party to employment agreements with each of our named executive officers. Each of the agreements has a five-year term from the effective date, except for the agreement with Mr. Briggs which has a three-year term from the effective date, that automatically renews for one-year periods after the initial term unless either party provides written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notice that it does not wish to renew the respective agreement. The terms of each agreement are similar in all material respects and, among other things, provide for each executive to:</w:t>
      </w:r>
    </w:p>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a base salary and a target incentive bonus.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customary and usual fringe benefits generally available to our senior management, and to be reimbursed for reasonable out-of-pocket business expenses.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certain benefits upon his or her termination of employment under specified circumstances.</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 addition, each of the above employment agreements provides for payments upon certain terminations of the executive’s employment, as described below.</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Termination for Cause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Termination Without Cause or Termination for Good Reason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severance payment in an amount equal to the sum of (i) twelve (12) months of the executive’s base salary then in effect on the date of termination, and (ii)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us of the premiums required to continue the executive’s group health care coverage for a period of twelve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acceleration of the vesting of the next annual installment under any outstanding restricted stock award that otherwise would have vested on the next annual vesting date following the named executive officer’s termination.</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previously vested, the executive has until the earlier of three months from the date of separation and the expiration of the applicable option to exercise such options.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Termination Upon a Change in Control</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Non-Competition and Non-Solicitation Obligations</w:t>
      </w:r>
    </w:p>
    <w:p>
      <w:pPr>
        <w:pStyle w:val="TextBody"/>
        <w:bidi w:val="0"/>
        <w:spacing w:before="0" w:after="120"/>
        <w:ind w:left="0" w:right="0" w:firstLine="720"/>
        <w:jc w:val="left"/>
        <w:rPr>
          <w:rFonts w:ascii="Times New Roman;Times;serif" w:hAnsi="Times New Roman;Times;serif"/>
          <w:sz w:val="20"/>
        </w:rPr>
      </w:pPr>
      <w:bookmarkStart w:id="197" w:name="_cp_text_1_392"/>
      <w:bookmarkStart w:id="198" w:name="_cp_text_1_390"/>
      <w:bookmarkStart w:id="199" w:name="_cp_text_1_386"/>
      <w:bookmarkStart w:id="200" w:name="_cp_text_1_384"/>
      <w:bookmarkStart w:id="201" w:name="_cp_text_1_382"/>
      <w:bookmarkStart w:id="202" w:name="_cp_text_1_380"/>
      <w:bookmarkStart w:id="203" w:name="_cp_text_1_378"/>
      <w:bookmarkStart w:id="204" w:name="_cp_text_1_376"/>
      <w:bookmarkStart w:id="205" w:name="_cp_text_1_374"/>
      <w:bookmarkStart w:id="206" w:name="_cp_text_1_372"/>
      <w:bookmarkStart w:id="207" w:name="_cp_text_1_370"/>
      <w:bookmarkStart w:id="208" w:name="_cp_text_1_369"/>
      <w:bookmarkStart w:id="209" w:name="_cp_text_1_367"/>
      <w:bookmarkStart w:id="210" w:name="_cp_text_1_359"/>
      <w:bookmarkStart w:id="211" w:name="_cp_text_1_357"/>
      <w:bookmarkStart w:id="212" w:name="_cp_text_1_355"/>
      <w:bookmarkStart w:id="213" w:name="_cp_text_1_351"/>
      <w:bookmarkStart w:id="214" w:name="_cp_text_1_350"/>
      <w:bookmarkStart w:id="215" w:name="_cp_text_1_349"/>
      <w:bookmarkStart w:id="216" w:name="_cp_text_1_345"/>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ascii="Times New Roman;Times;serif" w:hAnsi="Times New Roman;Times;serif"/>
          <w:sz w:val="20"/>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1% of any class of securities which are listed for trading on any securities exchange or which are traded in the over-the-counter market), managing, controlling, participating in, consulting with, rendering services for, being employed by, or in any manner engaging in the operation of (i) any business that develops or administers services to degree-granting institutions of higher education, or (ii) any other business of the Company in which the executive had significant involvement prior to the executive’s separation; (b) inducing or attempting to induce any employee of the Company to leave the employ of the Company, or in any way interfering with the relationship between the Company and any employee thereof, or (c)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217" w:name="PotentialPaymentsuponTerminationorChange"/>
      <w:bookmarkEnd w:id="217"/>
      <w:r>
        <w:rPr>
          <w:rFonts w:ascii="Times New Roman;Times;serif" w:hAnsi="Times New Roman;Times;serif"/>
          <w:b/>
          <w:sz w:val="20"/>
        </w:rPr>
        <w:t>Potential Payments upon Termination or Change in Control</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29, 2023, the last business day of fiscal year 2023. All payments in connection with any such termination will comply with Section 409A of the Internal Revenue Code, to the extent Section 409A applies. The actual amounts to be paid out can only be determined at the time of such executive’s separation from the Company.</w:t>
      </w:r>
    </w:p>
    <w:tbl>
      <w:tblPr>
        <w:tblW w:w="10205" w:type="dxa"/>
        <w:jc w:val="left"/>
        <w:tblInd w:w="0" w:type="dxa"/>
        <w:tblLayout w:type="fixed"/>
        <w:tblCellMar>
          <w:top w:w="0" w:type="dxa"/>
          <w:left w:w="0" w:type="dxa"/>
          <w:bottom w:w="0" w:type="dxa"/>
          <w:right w:w="0" w:type="dxa"/>
        </w:tblCellMar>
      </w:tblPr>
      <w:tblGrid>
        <w:gridCol w:w="1415"/>
        <w:gridCol w:w="326"/>
        <w:gridCol w:w="211"/>
        <w:gridCol w:w="826"/>
        <w:gridCol w:w="326"/>
        <w:gridCol w:w="211"/>
        <w:gridCol w:w="721"/>
        <w:gridCol w:w="326"/>
        <w:gridCol w:w="242"/>
        <w:gridCol w:w="1124"/>
        <w:gridCol w:w="326"/>
        <w:gridCol w:w="235"/>
        <w:gridCol w:w="921"/>
        <w:gridCol w:w="326"/>
        <w:gridCol w:w="211"/>
        <w:gridCol w:w="721"/>
        <w:gridCol w:w="326"/>
        <w:gridCol w:w="241"/>
        <w:gridCol w:w="1170"/>
      </w:tblGrid>
      <w:tr>
        <w:trPr/>
        <w:tc>
          <w:tcPr>
            <w:tcW w:w="1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left"/>
              <w:rPr/>
            </w:pPr>
            <w:r>
              <w:rPr/>
              <w:t>​</w:t>
            </w:r>
          </w:p>
        </w:tc>
      </w:tr>
      <w:tr>
        <w:trPr/>
        <w:tc>
          <w:tcPr>
            <w:tcW w:w="1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8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Termination without Cause or for Good Reason</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Termination without Cause or for Good Reason</w:t>
            </w:r>
            <w:r>
              <w:rPr>
                <w:rFonts w:ascii="Times New Roman;Times;serif" w:hAnsi="Times New Roman;Times;serif"/>
                <w:sz w:val="16"/>
              </w:rPr>
              <w:br/>
            </w:r>
            <w:r>
              <w:rPr>
                <w:rFonts w:ascii="Times New Roman;Times;serif" w:hAnsi="Times New Roman;Times;serif"/>
                <w:b/>
                <w:sz w:val="16"/>
              </w:rPr>
              <w:t>following a Change in Control</w:t>
            </w:r>
          </w:p>
        </w:tc>
      </w:tr>
      <w:tr>
        <w:trPr/>
        <w:tc>
          <w:tcPr>
            <w:tcW w:w="1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Cash</w:t>
              <w:br/>
              <w:t>Payment</w:t>
              <w:br/>
            </w:r>
            <w:r>
              <w:rPr>
                <w:rFonts w:ascii="Times New Roman;Times;serif" w:hAnsi="Times New Roman;Times;serif"/>
                <w:sz w:val="16"/>
              </w:rPr>
              <w:t> </w:t>
            </w:r>
            <w:r>
              <w:rPr>
                <w:rFonts w:ascii="Times New Roman;Times;serif" w:hAnsi="Times New Roman;Times;serif"/>
                <w:b/>
                <w:sz w:val="16"/>
              </w:rPr>
              <w:t>($)(1)</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93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Benefits</w:t>
              <w:br/>
            </w:r>
            <w:r>
              <w:rPr>
                <w:rFonts w:ascii="Times New Roman;Times;serif" w:hAnsi="Times New Roman;Times;serif"/>
                <w:sz w:val="16"/>
              </w:rPr>
              <w:t> </w:t>
            </w:r>
            <w:r>
              <w:rPr>
                <w:rFonts w:ascii="Times New Roman;Times;serif" w:hAnsi="Times New Roman;Times;serif"/>
                <w:b/>
                <w:sz w:val="16"/>
              </w:rPr>
              <w:t>($)(2)</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36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Acceleration of</w:t>
              <w:br/>
              <w:t>Vesting of Shares</w:t>
              <w:br/>
              <w:t>($)(3)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Payment</w:t>
              <w:br/>
              <w:t>($)(1)</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93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br/>
              <w:t>($)(2)</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411"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Acceleration of</w:t>
              <w:br/>
              <w:t>Vesting of Shares</w:t>
              <w:br/>
              <w:t>($)(3)</w:t>
            </w:r>
          </w:p>
        </w:tc>
      </w:tr>
      <w:tr>
        <w:trPr/>
        <w:tc>
          <w:tcPr>
            <w:tcW w:w="14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21,015 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1,767,223 </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21,015 </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5,182,280 </w:t>
            </w:r>
          </w:p>
        </w:tc>
      </w:tr>
      <w:tr>
        <w:trPr/>
        <w:tc>
          <w:tcPr>
            <w:tcW w:w="14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 W. Stan Meyer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943,030 </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2,765,393 </w:t>
            </w:r>
          </w:p>
        </w:tc>
      </w:tr>
      <w:tr>
        <w:trPr/>
        <w:tc>
          <w:tcPr>
            <w:tcW w:w="14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E. Bachus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25,045 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943,030 </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682,500 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25,045 </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2,765,393 </w:t>
            </w:r>
          </w:p>
        </w:tc>
      </w:tr>
      <w:tr>
        <w:trPr/>
        <w:tc>
          <w:tcPr>
            <w:tcW w:w="1415"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423,418 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25,045 </w:t>
            </w:r>
          </w:p>
        </w:tc>
        <w:tc>
          <w:tcPr>
            <w:tcW w:w="32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537,244 </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423,418 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25,045 </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1,729,750 </w:t>
            </w:r>
          </w:p>
        </w:tc>
      </w:tr>
      <w:tr>
        <w:trPr/>
        <w:tc>
          <w:tcPr>
            <w:tcW w:w="14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527,904 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17,218 </w:t>
            </w:r>
          </w:p>
        </w:tc>
        <w:tc>
          <w:tcPr>
            <w:tcW w:w="32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656,925 </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527,904 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17,218 </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2,066,241 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a termination date of December 29, 2023, and is based on the executive’s salary and target bonus in effect at such date.</w:t>
            </w:r>
          </w:p>
        </w:tc>
      </w:tr>
    </w:tbl>
    <w:tbl>
      <w:tblPr>
        <w:tblW w:w="8732" w:type="dxa"/>
        <w:jc w:val="left"/>
        <w:tblInd w:w="0" w:type="dxa"/>
        <w:tblLayout w:type="fixed"/>
        <w:tblCellMar>
          <w:top w:w="0" w:type="dxa"/>
          <w:left w:w="0" w:type="dxa"/>
          <w:bottom w:w="0" w:type="dxa"/>
          <w:right w:w="0" w:type="dxa"/>
        </w:tblCellMar>
      </w:tblPr>
      <w:tblGrid>
        <w:gridCol w:w="346"/>
        <w:gridCol w:w="83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the cost related to the continuation of the executive’s health benefits for the period specified.</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Calculated based on an assumed termination date of December 29, 2023 and the closing market price of our common stock on the Nasdaq Global Market on such date.</w:t>
            </w:r>
          </w:p>
        </w:tc>
      </w:tr>
    </w:tbl>
    <w:p>
      <w:pPr>
        <w:pStyle w:val="TextBody"/>
        <w:bidi w:val="0"/>
        <w:spacing w:before="120" w:after="120"/>
        <w:ind w:left="0" w:right="0" w:hanging="0"/>
        <w:jc w:val="left"/>
        <w:rPr>
          <w:rFonts w:ascii="Times New Roman;Times;serif" w:hAnsi="Times New Roman;Times;serif"/>
          <w:b/>
          <w:sz w:val="20"/>
        </w:rPr>
      </w:pPr>
      <w:bookmarkStart w:id="218" w:name="PAYVSPERFORMANCE"/>
      <w:bookmarkStart w:id="219" w:name="_82770817_eac6_42e6_bc2f_e27c354d588d"/>
      <w:bookmarkEnd w:id="218"/>
      <w:bookmarkEnd w:id="219"/>
      <w:r>
        <w:rPr>
          <w:rFonts w:ascii="Times New Roman;Times;serif" w:hAnsi="Times New Roman;Times;serif"/>
          <w:b/>
          <w:sz w:val="20"/>
        </w:rPr>
        <w:t>Pay vs. Performance Comparison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As discussed in the Compensation Discussion and Analysis above, our Compensation Committee has implemented an executive compensation program designed to align a substantial portion of our NEOs’ realized compensation to the achievement of GCE’s financial, operational, and strategic objectives, and to align our executive pay with changes in the value of our shareholders’ investments. The following table set forth additional compensation information for our NEOs, calculated in accordance with SEC regulations, for fiscal years 2023, 2022, 2021 and 2020. </w:t>
      </w:r>
    </w:p>
    <w:p>
      <w:pPr>
        <w:pStyle w:val="TextBody"/>
        <w:bidi w:val="0"/>
        <w:spacing w:before="0" w:after="0"/>
        <w:ind w:left="0" w:right="0" w:hanging="0"/>
        <w:jc w:val="left"/>
        <w:rPr/>
      </w:pPr>
      <w:bookmarkStart w:id="220" w:name="Tc_YxLoUqsJx0KQGuL6Kw8orA_10_23"/>
      <w:bookmarkStart w:id="221" w:name="Tc_Rh9evFhE40eV78ezGBza7A_10_20"/>
      <w:bookmarkStart w:id="222" w:name="Tc_nDqX2_IHJEKKMJdD0L6hPw_10_17"/>
      <w:bookmarkStart w:id="223" w:name="Tc_lrk9KZ1MYkSNmLKKsm_M8Q_10_14"/>
      <w:bookmarkStart w:id="224" w:name="Tc_0cXpVsE_-kKFzn9h5KC0XA_10_11"/>
      <w:bookmarkStart w:id="225" w:name="Tc_MPHTeL5W8kOI47JlZ3XEng_10_8"/>
      <w:bookmarkStart w:id="226" w:name="Tc_sm6DbGMXukGvLJtpDdkRJQ_10_5"/>
      <w:bookmarkStart w:id="227" w:name="Tc_CFK0a8PraU6s-RxKn_njVA_10_2"/>
      <w:bookmarkStart w:id="228" w:name="Tc_pDPnKaNDqEuE9MXepTky0g_10_0"/>
      <w:bookmarkStart w:id="229" w:name="Tc_9_SME121NkikIeI5PhqwwQ_9_23"/>
      <w:bookmarkStart w:id="230" w:name="Tc_o_3h2507UU2wKbMD7kdj5g_9_20"/>
      <w:bookmarkStart w:id="231" w:name="Tc_M5D8YOOTmUC95w0zEcZyyg_9_17"/>
      <w:bookmarkStart w:id="232" w:name="Tc_KqfdMfgl20ylubfAz6-Jzg_9_14"/>
      <w:bookmarkStart w:id="233" w:name="Tc_t4YNE3XjX0-g_iAvl7jzLg_9_11"/>
      <w:bookmarkStart w:id="234" w:name="Tc_Kdck5lXuCEivd79BqNFPzw_9_8"/>
      <w:bookmarkStart w:id="235" w:name="Tc_gTLpdja60kOwpqI6aQmpFA_9_5"/>
      <w:bookmarkStart w:id="236" w:name="Tc_i9sZ9JSQ3kupb15aPpapmQ_9_2"/>
      <w:bookmarkStart w:id="237" w:name="Tc_drDcUVXBtkyJidTgNl_IWw_9_0"/>
      <w:bookmarkStart w:id="238" w:name="Tc_pp0sFmoAtkOyv4PzcuztZQ_8_23"/>
      <w:bookmarkStart w:id="239" w:name="Tc__Ei9cdtVa0mNx2Z4HdP8LQ_8_20"/>
      <w:bookmarkStart w:id="240" w:name="Tc_ArMCE0uyEUOnOLJhroFHxg_8_17"/>
      <w:bookmarkStart w:id="241" w:name="Tc_zczzquHiW0GDF7eThv_P3Q_8_14"/>
      <w:bookmarkStart w:id="242" w:name="Tc_bxF6iV1P5kqXkW77CuGpbg_8_11"/>
      <w:bookmarkStart w:id="243" w:name="Tc_5p8YMexsFkOWQ2RVeytAVg_8_8"/>
      <w:bookmarkStart w:id="244" w:name="Tc_4_wL3NykCEqlRompILmf3w_8_5"/>
      <w:bookmarkStart w:id="245" w:name="Tc_dfW4zUFXNEupjzXOq2934g_8_2"/>
      <w:bookmarkStart w:id="246" w:name="Tc_ConePcRKfEOxYt5hXe98iA_8_0"/>
      <w:bookmarkStart w:id="247" w:name="Tc_ddB-n5YzVU639KNJbBGQFA_7_23"/>
      <w:bookmarkStart w:id="248" w:name="Tc_GWB_bTKtxE-jnOMmQylNgA_7_20"/>
      <w:bookmarkStart w:id="249" w:name="Tc_HLZq0MFC_UuEg9B_7P0O5w_7_17"/>
      <w:bookmarkStart w:id="250" w:name="Tc_k-91sNGJlUKgiS1QvuwAiw_7_14"/>
      <w:bookmarkStart w:id="251" w:name="Tc_qal3iLIrhEqwZtGckaA28g_7_11"/>
      <w:bookmarkStart w:id="252" w:name="Tc_sbtslP-m4UWfgIkq7nsMXg_7_8"/>
      <w:bookmarkStart w:id="253" w:name="Tc_eeXef16GNUeE9U9cKRcixQ_7_5"/>
      <w:bookmarkStart w:id="254" w:name="Tc_g96Q0P6PRkSOISOrvmkcIg_7_2"/>
      <w:bookmarkStart w:id="255" w:name="Tc_aonBzVacSUGItEeruh8wrw_7_0"/>
      <w:bookmarkStart w:id="256" w:name="Tc_l0YsSuQPskyGDi44YL1LEQ_6_23"/>
      <w:bookmarkStart w:id="257" w:name="Tc_NC1Rb2Yjn0acQv_uftbsfw_6_20"/>
      <w:bookmarkStart w:id="258" w:name="Tc_duLsNxJyk0iNPoC7IwmhSQ_6_17"/>
      <w:bookmarkStart w:id="259" w:name="Tc_QyaDXLGlFUK2QzqXlxZUWw_6_14"/>
      <w:bookmarkStart w:id="260" w:name="Tc_LNLqFxgBjU-JeKCmXQ3apw_6_11"/>
      <w:bookmarkStart w:id="261" w:name="Tc_0v3snmcKSUimenKKjmOW7w_6_8"/>
      <w:bookmarkStart w:id="262" w:name="Tc_KDE09OiT50aPmGRRZ1Tc3w_6_5"/>
      <w:bookmarkStart w:id="263" w:name="Tc_Z4tZ_QG-_UOPGMxcj_8BVg_6_2"/>
      <w:bookmarkStart w:id="264" w:name="Tc_loacUAjM1EaBwLV0ZE4I_Q_6_0"/>
      <w:bookmarkStart w:id="265" w:name="Tc_SX8U5eTdJESWuOo8nYg9Yw_5_23"/>
      <w:bookmarkStart w:id="266" w:name="Tc_u9iHP9ThckyiYx_MBIP2BQ_5_20"/>
      <w:bookmarkStart w:id="267" w:name="Tc_ZDJs-x8Df06xWZFUW8xp8A_5_17"/>
      <w:bookmarkStart w:id="268" w:name="Tc_GJqYdWpCy0q98-Kz-HP_kg_5_14"/>
      <w:bookmarkStart w:id="269" w:name="Tc_BK-zOOuVHE-1PTac4HcmNA_5_11"/>
      <w:bookmarkStart w:id="270" w:name="Tc_Mh8f8D3dzkmj0m-eB6HmLA_5_8"/>
      <w:bookmarkStart w:id="271" w:name="Tc_Bi-DhnWfVE-lt880g3Plbg_5_5"/>
      <w:bookmarkStart w:id="272" w:name="Tc_Q8TpWUi3Y0e2qSjoXecYYA_5_2"/>
      <w:bookmarkStart w:id="273" w:name="Tc_hE8lMsbFTUa2OOCfmcRWVA_4_17"/>
      <w:bookmarkStart w:id="274" w:name="Tc_3HXHjCWnW0SjQYuSXbGt_A_4_14"/>
      <w:bookmarkStart w:id="275" w:name="Tc_GLSikB69vUi0O_8imV7PpA_4_11"/>
      <w:bookmarkStart w:id="276" w:name="Tc_34Iuwyc-hECRCFnT91LJhQ_4_8"/>
      <w:bookmarkStart w:id="277" w:name="Tc_MoP7CP1GD0i98pqEBNO3_g_4_5"/>
      <w:bookmarkStart w:id="278" w:name="Tc_Y9smH17euk6JTwFH4yTA6w_4_2"/>
      <w:bookmarkStart w:id="279" w:name="Tc_10x5Kn7gI0qFv2SJwsiZfw_3_17"/>
      <w:bookmarkStart w:id="280" w:name="Tc_v6mWt3XZRUiuMU27PTMwlA_3_11"/>
      <w:bookmarkStart w:id="281" w:name="Tc_P47TGgMDeUW1Q2Ang-wWvw_3_8"/>
      <w:bookmarkStart w:id="282" w:name="Tc_j5rAuKaVvUesE9CYo4AJAg_3_2"/>
      <w:bookmarkStart w:id="283" w:name="Tc_ZOVOZLMxEUm_Aw_pgGlLfg_2_14"/>
      <w:bookmarkStart w:id="284" w:name="Tc_8N3bfKhYB0mub31NxE0_xw_2_11"/>
      <w:bookmarkStart w:id="285" w:name="Tc_BqcqRKmixkWNgOXsj4o7iw_2_8"/>
      <w:bookmarkStart w:id="286" w:name="Tc_Hwpp49T-60qy3arBvaZGPg_1_14"/>
      <w:bookmarkStart w:id="287" w:name="_f62ff3cc_d273_4f60_b864_fe048982ef02"/>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r>
        <w:rPr/>
        <w:t>​</w:t>
      </w:r>
    </w:p>
    <w:tbl>
      <w:tblPr>
        <w:tblW w:w="10205" w:type="dxa"/>
        <w:jc w:val="left"/>
        <w:tblInd w:w="0" w:type="dxa"/>
        <w:tblLayout w:type="fixed"/>
        <w:tblCellMar>
          <w:top w:w="0" w:type="dxa"/>
          <w:left w:w="0" w:type="dxa"/>
          <w:bottom w:w="0" w:type="dxa"/>
          <w:right w:w="0" w:type="dxa"/>
        </w:tblCellMar>
      </w:tblPr>
      <w:tblGrid>
        <w:gridCol w:w="481"/>
        <w:gridCol w:w="109"/>
        <w:gridCol w:w="249"/>
        <w:gridCol w:w="1057"/>
        <w:gridCol w:w="109"/>
        <w:gridCol w:w="218"/>
        <w:gridCol w:w="923"/>
        <w:gridCol w:w="109"/>
        <w:gridCol w:w="262"/>
        <w:gridCol w:w="1114"/>
        <w:gridCol w:w="109"/>
        <w:gridCol w:w="218"/>
        <w:gridCol w:w="923"/>
        <w:gridCol w:w="109"/>
        <w:gridCol w:w="243"/>
        <w:gridCol w:w="748"/>
        <w:gridCol w:w="121"/>
        <w:gridCol w:w="243"/>
        <w:gridCol w:w="748"/>
        <w:gridCol w:w="109"/>
        <w:gridCol w:w="196"/>
        <w:gridCol w:w="691"/>
        <w:gridCol w:w="109"/>
        <w:gridCol w:w="200"/>
        <w:gridCol w:w="807"/>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305435" cy="175260"/>
                      <wp:effectExtent l="0" t="0" r="0" b="0"/>
                      <wp:wrapNone/>
                      <wp:docPr id="60" name="Frame4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1" name="Frame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8115" cy="175260"/>
                      <wp:effectExtent l="0" t="0" r="0" b="0"/>
                      <wp:wrapNone/>
                      <wp:docPr id="62" name="Frame4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71195" cy="175260"/>
                      <wp:effectExtent l="0" t="0" r="0" b="0"/>
                      <wp:wrapNone/>
                      <wp:docPr id="63" name="Frame46"/>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4"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8430" cy="175260"/>
                      <wp:effectExtent l="0" t="0" r="0" b="0"/>
                      <wp:wrapNone/>
                      <wp:docPr id="65" name="Frame48"/>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86105" cy="175260"/>
                      <wp:effectExtent l="0" t="0" r="0" b="0"/>
                      <wp:wrapNone/>
                      <wp:docPr id="66" name="Frame49"/>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67"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6370" cy="175260"/>
                      <wp:effectExtent l="0" t="0" r="0" b="0"/>
                      <wp:wrapNone/>
                      <wp:docPr id="68" name="Frame51"/>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07390" cy="175260"/>
                      <wp:effectExtent l="0" t="0" r="0" b="0"/>
                      <wp:wrapNone/>
                      <wp:docPr id="69" name="Frame52"/>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0"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8430" cy="175260"/>
                      <wp:effectExtent l="0" t="0" r="0" b="0"/>
                      <wp:wrapNone/>
                      <wp:docPr id="71" name="Frame54"/>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86105" cy="175260"/>
                      <wp:effectExtent l="0" t="0" r="0" b="0"/>
                      <wp:wrapNone/>
                      <wp:docPr id="72" name="Frame55"/>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3"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4305" cy="175260"/>
                      <wp:effectExtent l="0" t="0" r="0" b="0"/>
                      <wp:wrapNone/>
                      <wp:docPr id="74" name="Frame57"/>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4980" cy="175260"/>
                      <wp:effectExtent l="0" t="0" r="0" b="0"/>
                      <wp:wrapNone/>
                      <wp:docPr id="75" name="Frame58"/>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6835" cy="175260"/>
                      <wp:effectExtent l="0" t="0" r="0" b="0"/>
                      <wp:wrapNone/>
                      <wp:docPr id="76" name="Frame59"/>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54305" cy="175260"/>
                      <wp:effectExtent l="0" t="0" r="0" b="0"/>
                      <wp:wrapNone/>
                      <wp:docPr id="77" name="Frame60"/>
                      <a:graphic xmlns:a="http://schemas.openxmlformats.org/drawingml/2006/main">
                        <a:graphicData uri="http://schemas.microsoft.com/office/word/2010/wordprocessingShape">
                          <wps:wsp>
                            <wps:cNvSpPr txBox="1"/>
                            <wps:spPr>
                              <a:xfrm>
                                <a:off x="0" y="0"/>
                                <a:ext cx="154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74980" cy="175260"/>
                      <wp:effectExtent l="0" t="0" r="0" b="0"/>
                      <wp:wrapNone/>
                      <wp:docPr id="78" name="Frame61"/>
                      <a:graphic xmlns:a="http://schemas.openxmlformats.org/drawingml/2006/main">
                        <a:graphicData uri="http://schemas.microsoft.com/office/word/2010/wordprocessingShape">
                          <wps:wsp>
                            <wps:cNvSpPr txBox="1"/>
                            <wps:spPr>
                              <a:xfrm>
                                <a:off x="0" y="0"/>
                                <a:ext cx="474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79"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0" name="Frame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38785" cy="175260"/>
                      <wp:effectExtent l="0" t="0" r="0" b="0"/>
                      <wp:wrapNone/>
                      <wp:docPr id="81" name="Frame6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2"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7000" cy="175260"/>
                      <wp:effectExtent l="0" t="0" r="0" b="0"/>
                      <wp:wrapNone/>
                      <wp:docPr id="83" name="Frame66"/>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12445" cy="175260"/>
                      <wp:effectExtent l="0" t="0" r="0" b="0"/>
                      <wp:wrapNone/>
                      <wp:docPr id="84" name="Frame67"/>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of Initial Fixed $100</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05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center"/>
              <w:rPr/>
            </w:pPr>
            <w:r>
              <w:rPr/>
              <w:t>​</w:t>
            </w:r>
          </w:p>
        </w:tc>
        <w:tc>
          <w:tcPr>
            <w:tcW w:w="21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 Based on:</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Summary</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Summary </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vAlign w:val="center"/>
          </w:tcPr>
          <w:p>
            <w:pPr>
              <w:pStyle w:val="TableContents"/>
              <w:bidi w:val="0"/>
              <w:spacing w:before="0" w:after="0"/>
              <w:ind w:left="0" w:right="0" w:hanging="0"/>
              <w:jc w:val="center"/>
              <w:rPr/>
            </w:pPr>
            <w:r>
              <w:rPr/>
              <w:t>​</w:t>
            </w:r>
          </w:p>
        </w:tc>
        <w:tc>
          <w:tcPr>
            <w:tcW w:w="243" w:type="dxa"/>
            <w:tcBorders/>
            <w:vAlign w:val="center"/>
          </w:tcPr>
          <w:p>
            <w:pPr>
              <w:pStyle w:val="TableContents"/>
              <w:bidi w:val="0"/>
              <w:spacing w:before="0" w:after="0"/>
              <w:ind w:left="0" w:right="0" w:hanging="0"/>
              <w:jc w:val="left"/>
              <w:rPr/>
            </w:pPr>
            <w:r>
              <w:rPr/>
              <w:t>​</w:t>
            </w:r>
          </w:p>
        </w:tc>
        <w:tc>
          <w:tcPr>
            <w:tcW w:w="748" w:type="dxa"/>
            <w:tcBorders/>
            <w:vAlign w:val="center"/>
          </w:tcPr>
          <w:p>
            <w:pPr>
              <w:pStyle w:val="TableContents"/>
              <w:bidi w:val="0"/>
              <w:spacing w:before="0" w:after="0"/>
              <w:ind w:left="0" w:right="0" w:hanging="0"/>
              <w:jc w:val="center"/>
              <w:rPr/>
            </w:pPr>
            <w:r>
              <w:rPr/>
              <w:t>​</w:t>
            </w:r>
          </w:p>
        </w:tc>
        <w:tc>
          <w:tcPr>
            <w:tcW w:w="121"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Peer Group</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vAlign w:val="center"/>
          </w:tcPr>
          <w:p>
            <w:pPr>
              <w:pStyle w:val="TableContents"/>
              <w:bidi w:val="0"/>
              <w:spacing w:before="0" w:after="0"/>
              <w:ind w:left="0" w:right="0" w:hanging="0"/>
              <w:jc w:val="center"/>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121"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center"/>
              <w:rPr/>
            </w:pPr>
            <w:r>
              <w:rPr/>
              <w:t>​</w:t>
            </w:r>
          </w:p>
        </w:tc>
      </w:tr>
      <w:tr>
        <w:trPr/>
        <w:tc>
          <w:tcPr>
            <w:tcW w:w="4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Actually Paid</w:t>
            </w:r>
          </w:p>
        </w:tc>
        <w:tc>
          <w:tcPr>
            <w:tcW w:w="109" w:type="dxa"/>
            <w:tcBorders/>
            <w:vAlign w:val="center"/>
          </w:tcPr>
          <w:p>
            <w:pPr>
              <w:pStyle w:val="TableContents"/>
              <w:bidi w:val="0"/>
              <w:spacing w:before="0" w:after="0"/>
              <w:ind w:left="0" w:right="0" w:hanging="0"/>
              <w:jc w:val="center"/>
              <w:rPr/>
            </w:pPr>
            <w:r>
              <w:rPr/>
              <w:t>​</w:t>
            </w:r>
          </w:p>
        </w:tc>
        <w:tc>
          <w:tcPr>
            <w:tcW w:w="13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Table Total for</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Non-CEO</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w:t>
            </w:r>
          </w:p>
        </w:tc>
        <w:tc>
          <w:tcPr>
            <w:tcW w:w="121"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Adjusted</w:t>
            </w:r>
          </w:p>
        </w:tc>
      </w:tr>
      <w:tr>
        <w:trPr/>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109" w:type="dxa"/>
            <w:tcBorders/>
            <w:vAlign w:val="center"/>
          </w:tcPr>
          <w:p>
            <w:pPr>
              <w:pStyle w:val="TableContents"/>
              <w:bidi w:val="0"/>
              <w:spacing w:before="0" w:after="0"/>
              <w:ind w:left="0" w:right="0" w:hanging="0"/>
              <w:jc w:val="center"/>
              <w:rPr/>
            </w:pPr>
            <w:r>
              <w:rPr/>
              <w:t>​</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for CEO (1)</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 CEO (2)</w:t>
            </w:r>
          </w:p>
        </w:tc>
        <w:tc>
          <w:tcPr>
            <w:tcW w:w="109" w:type="dxa"/>
            <w:tcBorders/>
            <w:vAlign w:val="center"/>
          </w:tcPr>
          <w:p>
            <w:pPr>
              <w:pStyle w:val="TableContents"/>
              <w:bidi w:val="0"/>
              <w:spacing w:before="0" w:after="0"/>
              <w:ind w:left="0" w:right="0" w:hanging="0"/>
              <w:jc w:val="center"/>
              <w:rPr/>
            </w:pPr>
            <w:r>
              <w:rPr/>
              <w:t>​</w:t>
            </w:r>
          </w:p>
        </w:tc>
        <w:tc>
          <w:tcPr>
            <w:tcW w:w="13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Non-CEO NEOs (3)</w:t>
            </w:r>
          </w:p>
        </w:tc>
        <w:tc>
          <w:tcPr>
            <w:tcW w:w="109" w:type="dxa"/>
            <w:tcBorders/>
            <w:vAlign w:val="center"/>
          </w:tcPr>
          <w:p>
            <w:pPr>
              <w:pStyle w:val="TableContents"/>
              <w:bidi w:val="0"/>
              <w:spacing w:before="0" w:after="0"/>
              <w:ind w:left="0" w:right="0" w:hanging="0"/>
              <w:jc w:val="center"/>
              <w:rPr/>
            </w:pPr>
            <w:r>
              <w:rPr/>
              <w:t>​</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NEOs (2) (3)</w:t>
            </w:r>
          </w:p>
        </w:tc>
        <w:tc>
          <w:tcPr>
            <w:tcW w:w="109"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w:t>
            </w:r>
          </w:p>
        </w:tc>
        <w:tc>
          <w:tcPr>
            <w:tcW w:w="121"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Return (4)</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(5)</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EBITDA (6)</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09"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2,016,887</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3,085,751</w:t>
            </w:r>
          </w:p>
        </w:tc>
        <w:tc>
          <w:tcPr>
            <w:tcW w:w="109" w:type="dxa"/>
            <w:tcBorders/>
            <w:vAlign w:val="center"/>
          </w:tcPr>
          <w:p>
            <w:pPr>
              <w:pStyle w:val="TableContents"/>
              <w:bidi w:val="0"/>
              <w:spacing w:before="0" w:after="0"/>
              <w:ind w:left="0" w:right="0" w:hanging="0"/>
              <w:jc w:val="center"/>
              <w:rPr/>
            </w:pPr>
            <w:r>
              <w:rPr/>
              <w:t>​</w:t>
            </w:r>
          </w:p>
        </w:tc>
        <w:tc>
          <w:tcPr>
            <w:tcW w:w="26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1,196,944</w:t>
            </w:r>
          </w:p>
        </w:tc>
        <w:tc>
          <w:tcPr>
            <w:tcW w:w="109"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1,672,392</w:t>
            </w:r>
          </w:p>
        </w:tc>
        <w:tc>
          <w:tcPr>
            <w:tcW w:w="109" w:type="dxa"/>
            <w:tcBorders/>
            <w:vAlign w:val="center"/>
          </w:tcPr>
          <w:p>
            <w:pPr>
              <w:pStyle w:val="TableContents"/>
              <w:bidi w:val="0"/>
              <w:spacing w:before="0" w:after="0"/>
              <w:ind w:left="0" w:right="0" w:hanging="0"/>
              <w:jc w:val="center"/>
              <w:rPr/>
            </w:pPr>
            <w:r>
              <w:rPr/>
              <w:t>​</w:t>
            </w:r>
          </w:p>
        </w:tc>
        <w:tc>
          <w:tcPr>
            <w:tcW w:w="24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137.84</w:t>
            </w:r>
          </w:p>
        </w:tc>
        <w:tc>
          <w:tcPr>
            <w:tcW w:w="121" w:type="dxa"/>
            <w:tcBorders/>
            <w:vAlign w:val="center"/>
          </w:tcPr>
          <w:p>
            <w:pPr>
              <w:pStyle w:val="TableContents"/>
              <w:bidi w:val="0"/>
              <w:spacing w:before="0" w:after="0"/>
              <w:ind w:left="0" w:right="0" w:hanging="0"/>
              <w:jc w:val="center"/>
              <w:rPr/>
            </w:pPr>
            <w:r>
              <w:rPr/>
              <w:t>​</w:t>
            </w:r>
          </w:p>
        </w:tc>
        <w:tc>
          <w:tcPr>
            <w:tcW w:w="243"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98.69</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204,985</w:t>
            </w:r>
          </w:p>
        </w:tc>
        <w:tc>
          <w:tcPr>
            <w:tcW w:w="109" w:type="dxa"/>
            <w:tcBorders/>
            <w:vAlign w:val="center"/>
          </w:tcPr>
          <w:p>
            <w:pPr>
              <w:pStyle w:val="TableContents"/>
              <w:bidi w:val="0"/>
              <w:spacing w:before="0" w:after="0"/>
              <w:ind w:left="0" w:right="0" w:hanging="0"/>
              <w:jc w:val="center"/>
              <w:rPr/>
            </w:pPr>
            <w:r>
              <w:rPr/>
              <w:t>​</w:t>
            </w:r>
          </w:p>
        </w:tc>
        <w:tc>
          <w:tcPr>
            <w:tcW w:w="200"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302,302</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1,997,113</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2,919,364</w:t>
            </w:r>
          </w:p>
        </w:tc>
        <w:tc>
          <w:tcPr>
            <w:tcW w:w="109" w:type="dxa"/>
            <w:tcBorders/>
            <w:shd w:fill="CCEEFF" w:val="clear"/>
            <w:vAlign w:val="center"/>
          </w:tcPr>
          <w:p>
            <w:pPr>
              <w:pStyle w:val="TableContents"/>
              <w:bidi w:val="0"/>
              <w:spacing w:before="0" w:after="0"/>
              <w:ind w:left="0" w:right="0" w:hanging="0"/>
              <w:jc w:val="center"/>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1,205,110</w:t>
            </w:r>
          </w:p>
        </w:tc>
        <w:tc>
          <w:tcPr>
            <w:tcW w:w="109" w:type="dxa"/>
            <w:tcBorders/>
            <w:shd w:fill="CCEEFF" w:val="clear"/>
            <w:vAlign w:val="center"/>
          </w:tcPr>
          <w:p>
            <w:pPr>
              <w:pStyle w:val="TableContents"/>
              <w:bidi w:val="0"/>
              <w:spacing w:before="0" w:after="0"/>
              <w:ind w:left="0" w:right="0" w:hanging="0"/>
              <w:jc w:val="center"/>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1,604,033</w:t>
            </w:r>
          </w:p>
        </w:tc>
        <w:tc>
          <w:tcPr>
            <w:tcW w:w="109" w:type="dxa"/>
            <w:tcBorders/>
            <w:shd w:fill="CCEEFF" w:val="clear"/>
            <w:vAlign w:val="center"/>
          </w:tcPr>
          <w:p>
            <w:pPr>
              <w:pStyle w:val="TableContents"/>
              <w:bidi w:val="0"/>
              <w:spacing w:before="0" w:after="0"/>
              <w:ind w:left="0" w:right="0" w:hanging="0"/>
              <w:jc w:val="center"/>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110.30</w:t>
            </w:r>
          </w:p>
        </w:tc>
        <w:tc>
          <w:tcPr>
            <w:tcW w:w="121" w:type="dxa"/>
            <w:tcBorders/>
            <w:shd w:fill="CCEEFF" w:val="clear"/>
            <w:vAlign w:val="center"/>
          </w:tcPr>
          <w:p>
            <w:pPr>
              <w:pStyle w:val="TableContents"/>
              <w:bidi w:val="0"/>
              <w:spacing w:before="0" w:after="0"/>
              <w:ind w:left="0" w:right="0" w:hanging="0"/>
              <w:jc w:val="center"/>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92.68</w:t>
            </w:r>
          </w:p>
        </w:tc>
        <w:tc>
          <w:tcPr>
            <w:tcW w:w="109" w:type="dxa"/>
            <w:tcBorders/>
            <w:shd w:fill="CCEEFF" w:val="clear"/>
            <w:vAlign w:val="center"/>
          </w:tcPr>
          <w:p>
            <w:pPr>
              <w:pStyle w:val="TableContents"/>
              <w:bidi w:val="0"/>
              <w:spacing w:before="0" w:after="0"/>
              <w:ind w:left="0" w:right="0" w:hanging="0"/>
              <w:jc w:val="center"/>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184,675</w:t>
            </w:r>
          </w:p>
        </w:tc>
        <w:tc>
          <w:tcPr>
            <w:tcW w:w="109" w:type="dxa"/>
            <w:tcBorders/>
            <w:shd w:fill="CCEEFF" w:val="clear"/>
            <w:vAlign w:val="center"/>
          </w:tcPr>
          <w:p>
            <w:pPr>
              <w:pStyle w:val="TableContents"/>
              <w:bidi w:val="0"/>
              <w:spacing w:before="0" w:after="0"/>
              <w:ind w:left="0" w:right="0" w:hanging="0"/>
              <w:jc w:val="center"/>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291,336</w:t>
            </w:r>
          </w:p>
        </w:tc>
      </w:tr>
      <w:tr>
        <w:trPr/>
        <w:tc>
          <w:tcPr>
            <w:tcW w:w="4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1,843,058</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1,864,868</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1,099,912</w:t>
            </w:r>
          </w:p>
        </w:tc>
        <w:tc>
          <w:tcPr>
            <w:tcW w:w="109"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1,100,530</w:t>
            </w:r>
          </w:p>
        </w:tc>
        <w:tc>
          <w:tcPr>
            <w:tcW w:w="109"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89.48</w:t>
            </w:r>
          </w:p>
        </w:tc>
        <w:tc>
          <w:tcPr>
            <w:tcW w:w="121" w:type="dxa"/>
            <w:tcBorders/>
            <w:vAlign w:val="center"/>
          </w:tcPr>
          <w:p>
            <w:pPr>
              <w:pStyle w:val="TableContents"/>
              <w:bidi w:val="0"/>
              <w:spacing w:before="0" w:after="0"/>
              <w:ind w:left="0" w:right="0" w:hanging="0"/>
              <w:jc w:val="left"/>
              <w:rPr/>
            </w:pPr>
            <w:r>
              <w:rPr/>
              <w:t>​</w:t>
            </w:r>
          </w:p>
        </w:tc>
        <w:tc>
          <w:tcPr>
            <w:tcW w:w="24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100.13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260,344</w:t>
            </w:r>
          </w:p>
        </w:tc>
        <w:tc>
          <w:tcPr>
            <w:tcW w:w="109" w:type="dxa"/>
            <w:tcBorders/>
            <w:vAlign w:val="center"/>
          </w:tcPr>
          <w:p>
            <w:pPr>
              <w:pStyle w:val="TableContents"/>
              <w:bidi w:val="0"/>
              <w:spacing w:before="0" w:after="0"/>
              <w:ind w:left="0" w:right="0" w:hanging="0"/>
              <w:jc w:val="left"/>
              <w:rPr/>
            </w:pPr>
            <w:r>
              <w:rPr/>
              <w:t>​</w:t>
            </w:r>
          </w:p>
        </w:tc>
        <w:tc>
          <w:tcPr>
            <w:tcW w:w="20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327,354</w:t>
            </w:r>
          </w:p>
        </w:tc>
      </w:tr>
      <w:tr>
        <w:trPr/>
        <w:tc>
          <w:tcPr>
            <w:tcW w:w="481"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2,105,208</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1,830,647</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1,322,165</w:t>
            </w:r>
          </w:p>
        </w:tc>
        <w:tc>
          <w:tcPr>
            <w:tcW w:w="109"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1,222,327</w:t>
            </w:r>
          </w:p>
        </w:tc>
        <w:tc>
          <w:tcPr>
            <w:tcW w:w="109"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97.20</w:t>
            </w:r>
          </w:p>
        </w:tc>
        <w:tc>
          <w:tcPr>
            <w:tcW w:w="121"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124.90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257,196</w:t>
            </w:r>
          </w:p>
        </w:tc>
        <w:tc>
          <w:tcPr>
            <w:tcW w:w="109" w:type="dxa"/>
            <w:tcBorders/>
            <w:shd w:fill="CCEEFF" w:val="clear"/>
            <w:vAlign w:val="center"/>
          </w:tcPr>
          <w:p>
            <w:pPr>
              <w:pStyle w:val="TableContents"/>
              <w:bidi w:val="0"/>
              <w:spacing w:before="0" w:after="0"/>
              <w:ind w:left="0" w:right="0" w:hanging="0"/>
              <w:jc w:val="left"/>
              <w:rPr/>
            </w:pPr>
            <w:r>
              <w:rPr/>
              <w:t>​</w:t>
            </w:r>
          </w:p>
        </w:tc>
        <w:tc>
          <w:tcPr>
            <w:tcW w:w="20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7" w:type="dxa"/>
            <w:tcBorders/>
            <w:shd w:fill="CCEEFF" w:val="cle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323,830</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are the amounts of total compensation reported for our CEO, Mr. Mueller, in the Summary Compensation Table for fiscal years 2023, 2022, 2021 and 2020. Mr. Mueller served as CEO for each of the years presented.</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“compensation actually paid” or “CAP”, as computed in accordance with SEC rules. The dollar amounts do not reflect the actual amounts of compensation paid to our CEO or other NEOs during the applicable years, but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2022 and 2021, reflects compensation information for our 2023 NEOs, other than our CEO, as described in the CD&amp;A of this proxy statement (each of whom served as NEOs for 2023, 2022 and 2021). For 2020, reflects compensation information for Dr. Meyer, Mr. Bachus, Mr. Briggs and Mr. Joseph Mildenhall, our prior chief information officer.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Reflects cumulative total shareholder return for the eight companies included in the customized peer group used by GCE for purposes of Item 201 (e) of Regulation S-K under the Exchange Act in GCE’s Annual Report on Form 10-K for the year ended December 31, 2023. Those eight companies are: 2U Inc, Adtalem Global Education, Inc, Chegg Inc, Coursera Inc, John Wiley &amp; Sons Inc, Laureate Education Inc, Pearson Plc and Strategic Education Inc.</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decline in net income between 2021 and 2022 is partially due to the lower interest income achieved as a result of the repayment to us by Grand Canyon University of a secured note payable that had been in place since 2018.</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We defined Adjusted EBITDA</w:t>
            </w:r>
            <w:r>
              <w:rPr>
                <w:caps w:val="false"/>
                <w:smallCaps w:val="false"/>
              </w:rPr>
              <w:t xml:space="preserve"> </w:t>
            </w:r>
            <w:r>
              <w:rPr>
                <w:rFonts w:ascii="Times New Roman;Times;serif" w:hAnsi="Times New Roman;Times;serif"/>
                <w:b w:val="false"/>
                <w:i w:val="false"/>
                <w:caps w:val="false"/>
                <w:smallCaps w:val="false"/>
                <w:sz w:val="20"/>
              </w:rPr>
              <w:t xml:space="preserve">for purposes of the Annual Cash Incentive Plan in a manner consistent with the definition we use when reporting our financial results. See </w:t>
            </w:r>
            <w:r>
              <w:rPr>
                <w:rFonts w:ascii="Times New Roman;Times;serif" w:hAnsi="Times New Roman;Times;serif"/>
                <w:b w:val="false"/>
                <w:i/>
                <w:sz w:val="20"/>
              </w:rPr>
              <w:t xml:space="preserve">Item 7, Management’s Discussion and Analysis of Financial Condition and Results of Operations – Adjusted EBITDA (Non- GAAP Financial Measure), </w:t>
            </w:r>
            <w:r>
              <w:rPr>
                <w:rFonts w:ascii="Times New Roman;Times;serif" w:hAnsi="Times New Roman;Times;serif"/>
                <w:b w:val="false"/>
                <w:i w:val="false"/>
                <w:caps w:val="false"/>
                <w:smallCaps w:val="false"/>
                <w:sz w:val="20"/>
              </w:rPr>
              <w:t>beginning on page 63 of our Annual Report on Form 10-K for the fiscal year ended December 31, 2023 for information regarding our use and calculation of Adjusted EBITDA.</w:t>
            </w:r>
          </w:p>
        </w:tc>
      </w:tr>
    </w:tbl>
    <w:p>
      <w:pPr>
        <w:pStyle w:val="TextBody"/>
        <w:bidi w:val="0"/>
        <w:spacing w:before="0" w:after="120"/>
        <w:ind w:left="0" w:right="0" w:firstLine="720"/>
        <w:jc w:val="left"/>
        <w:rPr>
          <w:rFonts w:ascii="Times New Roman;Times;serif" w:hAnsi="Times New Roman;Times;serif"/>
          <w:sz w:val="20"/>
        </w:rPr>
      </w:pPr>
      <w:bookmarkStart w:id="288" w:name="Tc_7OeS2Vr9h0-tNS22zOfXPg_5_11"/>
      <w:bookmarkStart w:id="289" w:name="Tc_ACvdqL3Br0WWa2gRo9sgTA_5_8"/>
      <w:bookmarkStart w:id="290" w:name="Tc_itugJMQRMEWQk7zt5BNBfg_5_5"/>
      <w:bookmarkStart w:id="291" w:name="Tc_Vc7ZqGdR306gMLKJ2mqxiw_5_2"/>
      <w:bookmarkStart w:id="292" w:name="Tc_YmplmDKtCUa7hq43BefjcQ_5_0"/>
      <w:bookmarkStart w:id="293" w:name="Tc_IPfttm7FO0y038_9sqDRyA_4_11"/>
      <w:bookmarkStart w:id="294" w:name="Tc_LQxGOocttkSN0A5sjPCkzw_4_8"/>
      <w:bookmarkStart w:id="295" w:name="Tc_4ebP7H0VNEGUA0MQ7BzeRg_4_5"/>
      <w:bookmarkStart w:id="296" w:name="Tc_qLZDb5YP70SGctypQigosQ_4_2"/>
      <w:bookmarkStart w:id="297" w:name="Tc_FB1bkki8QUK7hX4yu2e56g_4_0"/>
      <w:bookmarkStart w:id="298" w:name="Tc_77GZfyk0JEK0Ky0wEbRCuQ_3_11"/>
      <w:bookmarkStart w:id="299" w:name="Tc_bZ0gA0m07EGf9z4ZUVSupw_3_8"/>
      <w:bookmarkStart w:id="300" w:name="Tc_r2WYtWCZF0-r_9HkuqaT1Q_3_5"/>
      <w:bookmarkStart w:id="301" w:name="Tc_jk_mCHZLnUWzxO9lA9cvaQ_3_2"/>
      <w:bookmarkStart w:id="302" w:name="Tc_H09Pz-mNvUiTIEbS1pqNww_3_0"/>
      <w:bookmarkStart w:id="303" w:name="Tc_H0_apV3qp0apnLYS9ai00A_2_11"/>
      <w:bookmarkStart w:id="304" w:name="Tc_MoKW2o-Tukm1Q4odBqiHdw_2_8"/>
      <w:bookmarkStart w:id="305" w:name="Tc_k4jczIdHqESjj8rnwZ1SIg_2_5"/>
      <w:bookmarkStart w:id="306" w:name="Tc_PbHfKTO6skKh8RtIcZqAjg_2_2"/>
      <w:bookmarkStart w:id="307" w:name="Tc_B0fbukdJ_EOO9fMQycXwZA_2_0"/>
      <w:bookmarkStart w:id="308" w:name="Tc_fSTwQ5Xu7Ue6Mxrg_XXv3Q_1_11"/>
      <w:bookmarkStart w:id="309" w:name="Tc_fvfjxY2Wgk6vK3RvCbKa2Q_1_8"/>
      <w:bookmarkStart w:id="310" w:name="Tc_0pC6sv1v2EaO_guwGOwj7g_1_5"/>
      <w:bookmarkStart w:id="311" w:name="Tc_Km3oIOQwgkKXqNKadLv8Uw_1_2"/>
      <w:bookmarkStart w:id="312" w:name="Tc_FDUyykeVgkyHGNzssENQfg_1_0"/>
      <w:bookmarkStart w:id="313" w:name="_d74bd03b_fe8c_456c_8d6c_f6b0c2facbbd"/>
      <w:bookmarkStart w:id="314" w:name="Tc_yD0i4GlCLkCDhJVVWGvgBw_8_11"/>
      <w:bookmarkStart w:id="315" w:name="Tc_YlICz5btGkmTywBx0TF0ww_8_8"/>
      <w:bookmarkStart w:id="316" w:name="Tc_fyUGDpVNAE24QGYvEOXSOA_8_5"/>
      <w:bookmarkStart w:id="317" w:name="Tc_8vjrT9rCmk6sa6zWEIGtqw_8_2"/>
      <w:bookmarkStart w:id="318" w:name="Tc_tjSZUED6LEuB_WSduygjQQ_8_0"/>
      <w:bookmarkStart w:id="319" w:name="Tc_1UGohvYEvUOrufQs7qmLHg_7_11"/>
      <w:bookmarkStart w:id="320" w:name="Tc_-7I2KUwWUU29y6PswaQRig_7_8"/>
      <w:bookmarkStart w:id="321" w:name="Tc_d0TvfLeEYEeCF_oXy0KYNg_7_5"/>
      <w:bookmarkStart w:id="322" w:name="Tc_7zedmNHEvUWx9ub3bAiXMQ_7_2"/>
      <w:bookmarkStart w:id="323" w:name="Tc_eTil_l9XD0unip2-9gX1sQ_7_0"/>
      <w:bookmarkStart w:id="324" w:name="Tc_Y39Kv9w04U6c-ySvqA1bGQ_6_11"/>
      <w:bookmarkStart w:id="325" w:name="Tc_ndCc0ZOnKUW-uI9CKfpEQw_6_8"/>
      <w:bookmarkStart w:id="326" w:name="Tc_gY8mJSO05k-2TazNd6RtCQ_6_5"/>
      <w:bookmarkStart w:id="327" w:name="Tc_2n0bHB6sYE6bx7Y9cJsOGQ_6_2"/>
      <w:bookmarkStart w:id="328" w:name="Tc_AFGh91fYKkeR97bPW6FNKQ_6_0"/>
      <w:bookmarkStart w:id="329" w:name="Tc_nYCZ-EC5T0CTCq5KWv_bHA_5_11"/>
      <w:bookmarkStart w:id="330" w:name="Tc_8Fp1Bkx9oEOCwvgjZu_qdw_5_8"/>
      <w:bookmarkStart w:id="331" w:name="Tc_0qtp0FggvUaSx0p9UmUhTw_5_5"/>
      <w:bookmarkStart w:id="332" w:name="Tc_YVdwvwrVe0CKdw1_GrRo9A_5_2"/>
      <w:bookmarkStart w:id="333" w:name="Tc_PrRzUD9yi0-PpIwdCCFtxg_5_0"/>
      <w:bookmarkStart w:id="334" w:name="Tc_DaFQ6p3nI0uv7Wcs77qT7g_4_11"/>
      <w:bookmarkStart w:id="335" w:name="Tc_fTyssdHzUUCeZdbfCO9q0Q_4_8"/>
      <w:bookmarkStart w:id="336" w:name="Tc_ulZ-_IDQFkC4pYet63K1YQ_4_5"/>
      <w:bookmarkStart w:id="337" w:name="Tc_bPjTuJmouEyl9JkOEDAmLQ_4_2"/>
      <w:bookmarkStart w:id="338" w:name="Tc_ukReM2VQYkKwda2gjZOqAA_4_0"/>
      <w:bookmarkStart w:id="339" w:name="Tc_9xgAueA69Eq0LE45nC6w3Q_3_11"/>
      <w:bookmarkStart w:id="340" w:name="Tc_Cwo1f9gRzUS9xB4DXeUFAQ_3_8"/>
      <w:bookmarkStart w:id="341" w:name="Tc_5QngGnCT90CrMTdRKJf3JA_3_5"/>
      <w:bookmarkStart w:id="342" w:name="Tc_EVU6QgaDGk67970AvFHJpQ_3_2"/>
      <w:bookmarkStart w:id="343" w:name="Tc_Y0zDj__Dr02tMtuEJrh9zw_2_8"/>
      <w:bookmarkStart w:id="344" w:name="Tc_MX5MkXpJjkmP0hdPV-_u-Q_2_5"/>
      <w:bookmarkStart w:id="345" w:name="Tc_wQd1spg4qUWplARugXf0yA_2_2"/>
      <w:bookmarkStart w:id="346" w:name="Tc_nduFVSAF3U6Rsdet0BEPCw_1_2"/>
      <w:bookmarkStart w:id="347" w:name="_b5ed26a2_4b94_4e8f_a1ca_b601900ada9a"/>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Pr>
          <w:rFonts w:ascii="Times New Roman;Times;serif" w:hAnsi="Times New Roman;Times;serif"/>
          <w:sz w:val="20"/>
        </w:rPr>
        <w:t>To calculate the amounts in the “Compensation Actually Paid to CEO” column in the table above, the following amounts were deducted from and added to (as applicable) our CEO’s “Total” compensation as reported in the Summary Compensation Table:</w:t>
      </w:r>
    </w:p>
    <w:tbl>
      <w:tblPr>
        <w:tblW w:w="8115" w:type="dxa"/>
        <w:jc w:val="left"/>
        <w:tblInd w:w="0" w:type="dxa"/>
        <w:tblLayout w:type="fixed"/>
        <w:tblCellMar>
          <w:top w:w="0" w:type="dxa"/>
          <w:left w:w="0" w:type="dxa"/>
          <w:bottom w:w="0" w:type="dxa"/>
          <w:right w:w="0" w:type="dxa"/>
        </w:tblCellMar>
      </w:tblPr>
      <w:tblGrid>
        <w:gridCol w:w="541"/>
        <w:gridCol w:w="266"/>
        <w:gridCol w:w="268"/>
        <w:gridCol w:w="1187"/>
        <w:gridCol w:w="266"/>
        <w:gridCol w:w="298"/>
        <w:gridCol w:w="1487"/>
        <w:gridCol w:w="266"/>
        <w:gridCol w:w="238"/>
        <w:gridCol w:w="1052"/>
        <w:gridCol w:w="266"/>
        <w:gridCol w:w="332"/>
        <w:gridCol w:w="1648"/>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3535" cy="175260"/>
                      <wp:effectExtent l="0" t="0" r="0" b="0"/>
                      <wp:wrapNone/>
                      <wp:docPr id="85" name="Frame6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8910" cy="175260"/>
                      <wp:effectExtent l="0" t="0" r="0" b="0"/>
                      <wp:wrapNone/>
                      <wp:docPr id="86" name="Frame6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70180" cy="175260"/>
                      <wp:effectExtent l="0" t="0" r="0" b="0"/>
                      <wp:wrapNone/>
                      <wp:docPr id="87" name="Frame7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753745" cy="175260"/>
                      <wp:effectExtent l="0" t="0" r="0" b="0"/>
                      <wp:wrapNone/>
                      <wp:docPr id="88" name="Frame71"/>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68910" cy="175260"/>
                      <wp:effectExtent l="0" t="0" r="0" b="0"/>
                      <wp:wrapNone/>
                      <wp:docPr id="89" name="Frame7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89230" cy="175260"/>
                      <wp:effectExtent l="0" t="0" r="0" b="0"/>
                      <wp:wrapNone/>
                      <wp:docPr id="90" name="Frame73"/>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44245" cy="175260"/>
                      <wp:effectExtent l="0" t="0" r="0" b="0"/>
                      <wp:wrapNone/>
                      <wp:docPr id="91" name="Frame74"/>
                      <a:graphic xmlns:a="http://schemas.openxmlformats.org/drawingml/2006/main">
                        <a:graphicData uri="http://schemas.microsoft.com/office/word/2010/wordprocessingShape">
                          <wps:wsp>
                            <wps:cNvSpPr txBox="1"/>
                            <wps:spPr>
                              <a:xfrm>
                                <a:off x="0" y="0"/>
                                <a:ext cx="944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68910" cy="175260"/>
                      <wp:effectExtent l="0" t="0" r="0" b="0"/>
                      <wp:wrapNone/>
                      <wp:docPr id="92" name="Frame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1130" cy="175260"/>
                      <wp:effectExtent l="0" t="0" r="0" b="0"/>
                      <wp:wrapNone/>
                      <wp:docPr id="93" name="Frame7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8020" cy="175260"/>
                      <wp:effectExtent l="0" t="0" r="0" b="0"/>
                      <wp:wrapNone/>
                      <wp:docPr id="94" name="Frame77"/>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68910" cy="175260"/>
                      <wp:effectExtent l="0" t="0" r="0" b="0"/>
                      <wp:wrapNone/>
                      <wp:docPr id="95" name="Frame7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0820" cy="175260"/>
                      <wp:effectExtent l="0" t="0" r="0" b="0"/>
                      <wp:wrapNone/>
                      <wp:docPr id="96" name="Frame79"/>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46480" cy="175260"/>
                      <wp:effectExtent l="0" t="0" r="0" b="0"/>
                      <wp:wrapNone/>
                      <wp:docPr id="97" name="Frame80"/>
                      <a:graphic xmlns:a="http://schemas.openxmlformats.org/drawingml/2006/main">
                        <a:graphicData uri="http://schemas.microsoft.com/office/word/2010/wordprocessingShape">
                          <wps:wsp>
                            <wps:cNvSpPr txBox="1"/>
                            <wps:spPr>
                              <a:xfrm>
                                <a:off x="0" y="0"/>
                                <a:ext cx="1046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w:t>
            </w:r>
          </w:p>
        </w:tc>
        <w:tc>
          <w:tcPr>
            <w:tcW w:w="266"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center"/>
              <w:rPr/>
            </w:pPr>
            <w:r>
              <w:rPr/>
              <w:t>​</w:t>
            </w:r>
          </w:p>
        </w:tc>
        <w:tc>
          <w:tcPr>
            <w:tcW w:w="1487"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1052" w:type="dxa"/>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1648"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266" w:type="dxa"/>
            <w:tcBorders/>
            <w:vAlign w:val="center"/>
          </w:tcPr>
          <w:p>
            <w:pPr>
              <w:pStyle w:val="TableContents"/>
              <w:bidi w:val="0"/>
              <w:spacing w:before="0" w:after="0"/>
              <w:ind w:left="0" w:right="0" w:hanging="0"/>
              <w:jc w:val="center"/>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Reported </w:t>
            </w:r>
          </w:p>
        </w:tc>
        <w:tc>
          <w:tcPr>
            <w:tcW w:w="266" w:type="dxa"/>
            <w:tcBorders/>
            <w:vAlign w:val="center"/>
          </w:tcPr>
          <w:p>
            <w:pPr>
              <w:pStyle w:val="TableContents"/>
              <w:bidi w:val="0"/>
              <w:spacing w:before="0" w:after="0"/>
              <w:ind w:left="0" w:right="0" w:hanging="0"/>
              <w:jc w:val="center"/>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w:t>
            </w:r>
          </w:p>
        </w:tc>
        <w:tc>
          <w:tcPr>
            <w:tcW w:w="26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center"/>
              <w:rPr/>
            </w:pPr>
            <w:r>
              <w:rPr/>
              <w:t>​</w:t>
            </w:r>
          </w:p>
        </w:tc>
        <w:tc>
          <w:tcPr>
            <w:tcW w:w="1648"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45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Table Total for </w:t>
            </w:r>
          </w:p>
        </w:tc>
        <w:tc>
          <w:tcPr>
            <w:tcW w:w="266" w:type="dxa"/>
            <w:tcBorders/>
            <w:vAlign w:val="center"/>
          </w:tcPr>
          <w:p>
            <w:pPr>
              <w:pStyle w:val="TableContents"/>
              <w:bidi w:val="0"/>
              <w:spacing w:before="0" w:after="0"/>
              <w:ind w:left="0" w:right="0" w:hanging="0"/>
              <w:jc w:val="center"/>
              <w:rPr/>
            </w:pPr>
            <w:r>
              <w:rPr/>
              <w:t>​</w:t>
            </w:r>
          </w:p>
        </w:tc>
        <w:tc>
          <w:tcPr>
            <w:tcW w:w="178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 of Equity</w:t>
            </w:r>
          </w:p>
        </w:tc>
        <w:tc>
          <w:tcPr>
            <w:tcW w:w="266" w:type="dxa"/>
            <w:tcBorders/>
            <w:vAlign w:val="center"/>
          </w:tcPr>
          <w:p>
            <w:pPr>
              <w:pStyle w:val="TableContents"/>
              <w:bidi w:val="0"/>
              <w:spacing w:before="0" w:after="0"/>
              <w:ind w:left="0" w:right="0" w:hanging="0"/>
              <w:jc w:val="center"/>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Adjustments</w:t>
            </w:r>
          </w:p>
        </w:tc>
        <w:tc>
          <w:tcPr>
            <w:tcW w:w="266" w:type="dxa"/>
            <w:tcBorders/>
            <w:vAlign w:val="center"/>
          </w:tcPr>
          <w:p>
            <w:pPr>
              <w:pStyle w:val="TableContents"/>
              <w:bidi w:val="0"/>
              <w:spacing w:before="0" w:after="0"/>
              <w:ind w:left="0" w:right="0" w:hanging="0"/>
              <w:jc w:val="center"/>
              <w:rPr/>
            </w:pPr>
            <w:r>
              <w:rPr/>
              <w:t>​</w:t>
            </w:r>
          </w:p>
        </w:tc>
        <w:tc>
          <w:tcPr>
            <w:tcW w:w="19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w:t>
            </w:r>
          </w:p>
        </w:tc>
        <w:tc>
          <w:tcPr>
            <w:tcW w:w="266" w:type="dxa"/>
            <w:tcBorders/>
            <w:vAlign w:val="center"/>
          </w:tcPr>
          <w:p>
            <w:pPr>
              <w:pStyle w:val="TableContents"/>
              <w:bidi w:val="0"/>
              <w:spacing w:before="0" w:after="0"/>
              <w:ind w:left="0" w:right="0" w:hanging="0"/>
              <w:jc w:val="center"/>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CEO</w:t>
            </w:r>
          </w:p>
        </w:tc>
        <w:tc>
          <w:tcPr>
            <w:tcW w:w="266" w:type="dxa"/>
            <w:tcBorders/>
            <w:vAlign w:val="center"/>
          </w:tcPr>
          <w:p>
            <w:pPr>
              <w:pStyle w:val="TableContents"/>
              <w:bidi w:val="0"/>
              <w:spacing w:before="0" w:after="0"/>
              <w:ind w:left="0" w:right="0" w:hanging="0"/>
              <w:jc w:val="center"/>
              <w:rPr/>
            </w:pPr>
            <w:r>
              <w:rPr/>
              <w:t>   </w:t>
            </w:r>
          </w:p>
        </w:tc>
        <w:tc>
          <w:tcPr>
            <w:tcW w:w="1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Awards for CEO (1)</w:t>
            </w:r>
          </w:p>
        </w:tc>
        <w:tc>
          <w:tcPr>
            <w:tcW w:w="266" w:type="dxa"/>
            <w:tcBorders/>
            <w:vAlign w:val="center"/>
          </w:tcPr>
          <w:p>
            <w:pPr>
              <w:pStyle w:val="TableContents"/>
              <w:bidi w:val="0"/>
              <w:spacing w:before="0" w:after="0"/>
              <w:ind w:left="0" w:right="0" w:hanging="0"/>
              <w:jc w:val="center"/>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CEO (2)</w:t>
            </w:r>
          </w:p>
        </w:tc>
        <w:tc>
          <w:tcPr>
            <w:tcW w:w="266" w:type="dxa"/>
            <w:tcBorders/>
            <w:vAlign w:val="center"/>
          </w:tcPr>
          <w:p>
            <w:pPr>
              <w:pStyle w:val="TableContents"/>
              <w:bidi w:val="0"/>
              <w:spacing w:before="0" w:after="0"/>
              <w:ind w:left="0" w:right="0" w:hanging="0"/>
              <w:jc w:val="center"/>
              <w:rPr/>
            </w:pPr>
            <w:r>
              <w:rPr/>
              <w:t>   </w:t>
            </w:r>
          </w:p>
        </w:tc>
        <w:tc>
          <w:tcPr>
            <w:tcW w:w="1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Actually Paid to CEO</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266" w:type="dxa"/>
            <w:tcBorders/>
            <w:vAlign w:val="center"/>
          </w:tcPr>
          <w:p>
            <w:pPr>
              <w:pStyle w:val="TableContents"/>
              <w:bidi w:val="0"/>
              <w:spacing w:before="0" w:after="0"/>
              <w:ind w:left="0" w:right="0" w:hanging="0"/>
              <w:jc w:val="center"/>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2,016,887</w:t>
            </w:r>
          </w:p>
        </w:tc>
        <w:tc>
          <w:tcPr>
            <w:tcW w:w="266" w:type="dxa"/>
            <w:tcBorders/>
            <w:vAlign w:val="center"/>
          </w:tcPr>
          <w:p>
            <w:pPr>
              <w:pStyle w:val="TableContents"/>
              <w:bidi w:val="0"/>
              <w:spacing w:before="0" w:after="0"/>
              <w:ind w:left="0" w:right="0" w:hanging="0"/>
              <w:jc w:val="center"/>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(1,211,643)</w:t>
            </w:r>
          </w:p>
        </w:tc>
        <w:tc>
          <w:tcPr>
            <w:tcW w:w="26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2,280,507</w:t>
            </w:r>
          </w:p>
        </w:tc>
        <w:tc>
          <w:tcPr>
            <w:tcW w:w="266" w:type="dxa"/>
            <w:tcBorders/>
            <w:vAlign w:val="center"/>
          </w:tcPr>
          <w:p>
            <w:pPr>
              <w:pStyle w:val="TableContents"/>
              <w:bidi w:val="0"/>
              <w:spacing w:before="0" w:after="0"/>
              <w:ind w:left="0" w:right="0" w:hanging="0"/>
              <w:jc w:val="center"/>
              <w:rPr/>
            </w:pPr>
            <w:r>
              <w:rPr/>
              <w:t>​</w:t>
            </w:r>
          </w:p>
        </w:tc>
        <w:tc>
          <w:tcPr>
            <w:tcW w:w="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3,085,751</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26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1,997,113</w:t>
            </w:r>
          </w:p>
        </w:tc>
        <w:tc>
          <w:tcPr>
            <w:tcW w:w="26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(1,211,488)</w:t>
            </w:r>
          </w:p>
        </w:tc>
        <w:tc>
          <w:tcPr>
            <w:tcW w:w="26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2,133,739</w:t>
            </w:r>
          </w:p>
        </w:tc>
        <w:tc>
          <w:tcPr>
            <w:tcW w:w="26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2,919,364</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c>
          <w:tcPr>
            <w:tcW w:w="26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1,843,058</w:t>
            </w:r>
          </w:p>
        </w:tc>
        <w:tc>
          <w:tcPr>
            <w:tcW w:w="266" w:type="dxa"/>
            <w:tcBorders/>
            <w:vAlign w:val="center"/>
          </w:tcPr>
          <w:p>
            <w:pPr>
              <w:pStyle w:val="TableContents"/>
              <w:bidi w:val="0"/>
              <w:spacing w:before="0" w:after="0"/>
              <w:ind w:left="0" w:right="0" w:hanging="0"/>
              <w:jc w:val="left"/>
              <w:rPr/>
            </w:pPr>
            <w:r>
              <w:rPr/>
              <w:t>​</w:t>
            </w:r>
          </w:p>
        </w:tc>
        <w:tc>
          <w:tcPr>
            <w:tcW w:w="2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(1,211,575)</w:t>
            </w:r>
          </w:p>
        </w:tc>
        <w:tc>
          <w:tcPr>
            <w:tcW w:w="26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1,233,385</w:t>
            </w:r>
          </w:p>
        </w:tc>
        <w:tc>
          <w:tcPr>
            <w:tcW w:w="26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1,864,868</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26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2,105,208</w:t>
            </w:r>
          </w:p>
        </w:tc>
        <w:tc>
          <w:tcPr>
            <w:tcW w:w="266" w:type="dxa"/>
            <w:tcBorders/>
            <w:shd w:fill="CCEEFF" w:val="clear"/>
            <w:vAlign w:val="center"/>
          </w:tcPr>
          <w:p>
            <w:pPr>
              <w:pStyle w:val="TableContents"/>
              <w:bidi w:val="0"/>
              <w:spacing w:before="0" w:after="0"/>
              <w:ind w:left="0" w:right="0" w:hanging="0"/>
              <w:jc w:val="left"/>
              <w:rPr/>
            </w:pPr>
            <w:r>
              <w:rPr/>
              <w:t>​</w:t>
            </w:r>
          </w:p>
        </w:tc>
        <w:tc>
          <w:tcPr>
            <w:tcW w:w="2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(1,211,533)</w:t>
            </w:r>
          </w:p>
        </w:tc>
        <w:tc>
          <w:tcPr>
            <w:tcW w:w="26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936,972</w:t>
            </w:r>
          </w:p>
        </w:tc>
        <w:tc>
          <w:tcPr>
            <w:tcW w:w="26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4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1,830,647</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grant date fair value of the equity awards to our CEO, as reported in the “Stock Awards” column in the Summary Compensation Table for each applicable year.</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adjustments to equity awards granted to our CEO to arrive at CAP, as itemized in the table below. No awards vested in the year they were granted.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119"/>
        <w:gridCol w:w="109"/>
        <w:gridCol w:w="211"/>
        <w:gridCol w:w="931"/>
        <w:gridCol w:w="146"/>
        <w:gridCol w:w="211"/>
        <w:gridCol w:w="931"/>
        <w:gridCol w:w="109"/>
        <w:gridCol w:w="211"/>
        <w:gridCol w:w="931"/>
        <w:gridCol w:w="109"/>
        <w:gridCol w:w="211"/>
        <w:gridCol w:w="976"/>
      </w:tblGrid>
      <w:tr>
        <w:trPr/>
        <w:tc>
          <w:tcPr>
            <w:tcW w:w="5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250565" cy="175260"/>
                      <wp:effectExtent l="0" t="0" r="0" b="0"/>
                      <wp:wrapNone/>
                      <wp:docPr id="98" name="Frame81"/>
                      <a:graphic xmlns:a="http://schemas.openxmlformats.org/drawingml/2006/main">
                        <a:graphicData uri="http://schemas.microsoft.com/office/word/2010/wordprocessingShape">
                          <wps:wsp>
                            <wps:cNvSpPr txBox="1"/>
                            <wps:spPr>
                              <a:xfrm>
                                <a:off x="0" y="0"/>
                                <a:ext cx="3250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99"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0"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1185" cy="175260"/>
                      <wp:effectExtent l="0" t="0" r="0" b="0"/>
                      <wp:wrapNone/>
                      <wp:docPr id="101" name="Frame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2710" cy="175260"/>
                      <wp:effectExtent l="0" t="0" r="0" b="0"/>
                      <wp:wrapNone/>
                      <wp:docPr id="102" name="Frame8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3"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4" name="Frame8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5"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06"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91185" cy="175260"/>
                      <wp:effectExtent l="0" t="0" r="0" b="0"/>
                      <wp:wrapNone/>
                      <wp:docPr id="107" name="Frame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08"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09"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19760" cy="175260"/>
                      <wp:effectExtent l="0" t="0" r="0" b="0"/>
                      <wp:wrapNone/>
                      <wp:docPr id="110" name="Frame9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Equity Awards for CEO</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09" w:type="dxa"/>
            <w:tcBorders/>
            <w:vAlign w:val="center"/>
          </w:tcPr>
          <w:p>
            <w:pPr>
              <w:pStyle w:val="TableContents"/>
              <w:bidi w:val="0"/>
              <w:spacing w:before="0" w:after="0"/>
              <w:ind w:left="0" w:right="0" w:hanging="0"/>
              <w:jc w:val="center"/>
              <w:rPr/>
            </w:pPr>
            <w:r>
              <w:rPr/>
              <w:t>​</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r>
      <w:tr>
        <w:trPr/>
        <w:tc>
          <w:tcPr>
            <w:tcW w:w="5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year-end for awards granted during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1,417,053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1,542,425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1,207,911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1,341,808</w:t>
            </w:r>
          </w:p>
        </w:tc>
      </w:tr>
      <w:tr>
        <w:trPr/>
        <w:tc>
          <w:tcPr>
            <w:tcW w:w="5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Year-over-year increase (decrease) of unvested awards granted in prior years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752,305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555,228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(83,431)</w:t>
            </w:r>
          </w:p>
        </w:tc>
      </w:tr>
      <w:tr>
        <w:trPr/>
        <w:tc>
          <w:tcPr>
            <w:tcW w:w="5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from prior fiscal year-end for awards that vested during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111,149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234,813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(321,405)</w:t>
            </w:r>
          </w:p>
        </w:tc>
      </w:tr>
      <w:tr>
        <w:trPr/>
        <w:tc>
          <w:tcPr>
            <w:tcW w:w="5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Award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2,280,507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2,133,739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1,233,385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936,972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 calculate the amounts in the “Average Compensation Actually Paid to Non-CEO NEOs” column in the table above, the following amounts were deducted from and added to (as applicable) the average of the “Total” compensation of our non-CEO named executive officers for each applicable year, as reported in the Summary Compensation Table for that year:</w:t>
      </w:r>
    </w:p>
    <w:p>
      <w:pPr>
        <w:pStyle w:val="Normal"/>
        <w:bidi w:val="0"/>
        <w:spacing w:before="0" w:after="0"/>
        <w:jc w:val="left"/>
        <w:rPr>
          <w:sz w:val="4"/>
          <w:szCs w:val="4"/>
        </w:rPr>
      </w:pPr>
      <w:r>
        <w:rPr>
          <w:sz w:val="4"/>
          <w:szCs w:val="4"/>
        </w:rPr>
      </w:r>
      <w:bookmarkStart w:id="348" w:name="Tc_yRB9nliLQUe4fjYuaGxj7g_8_11"/>
      <w:bookmarkStart w:id="349" w:name="Tc_iV6QJiOwKEG2OcRr_qSVXw_8_8"/>
      <w:bookmarkStart w:id="350" w:name="Tc_etujPV9Mt06Z3I7I1u7kCg_8_5"/>
      <w:bookmarkStart w:id="351" w:name="Tc_jW3HuXhzE0GnhKXgm-C7uA_8_2"/>
      <w:bookmarkStart w:id="352" w:name="Tc_ilThrMwWeU-Of-RVXw7-Ow_8_0"/>
      <w:bookmarkStart w:id="353" w:name="Tc_FO7RwdhTHESvSIg48UJvxQ_7_11"/>
      <w:bookmarkStart w:id="354" w:name="Tc_ZbQeP_SdREy0U_qjPYn9UA_7_8"/>
      <w:bookmarkStart w:id="355" w:name="Tc_hCUeCNC3SEejI-aMDdF12w_7_5"/>
      <w:bookmarkStart w:id="356" w:name="Tc_K-v_bHq9VUGkGeHKknV9Ug_7_2"/>
      <w:bookmarkStart w:id="357" w:name="Tc_6MlAIluwz0eNKn7nTL-CgA_7_0"/>
      <w:bookmarkStart w:id="358" w:name="Tc_z-lOefRK5kihfqIuLQGTrw_6_11"/>
      <w:bookmarkStart w:id="359" w:name="Tc_qbP4fVPNY0mEqUuZ-MoxzQ_6_8"/>
      <w:bookmarkStart w:id="360" w:name="Tc_btYpUlMaEkaJOgKO2XcPWg_6_5"/>
      <w:bookmarkStart w:id="361" w:name="Tc_F5ZWKFVjyUGFgpNPkzMllw_6_2"/>
      <w:bookmarkStart w:id="362" w:name="Tc_v-3vUBixDEO9Ez0Mn2ueAQ_6_0"/>
      <w:bookmarkStart w:id="363" w:name="Tc_7sUmb--t-UqCYlHG5BjHfA_5_11"/>
      <w:bookmarkStart w:id="364" w:name="Tc_mFylVJ8ddk2aX5SVpXWmhA_5_8"/>
      <w:bookmarkStart w:id="365" w:name="Tc_ymKThkVw1U-vjruT5jqdgA_5_5"/>
      <w:bookmarkStart w:id="366" w:name="Tc_WcQkCIW9MEizSUkRWWjOBA_5_2"/>
      <w:bookmarkStart w:id="367" w:name="Tc_GH6wDymFBEiIPKLuNFVkHQ_5_0"/>
      <w:bookmarkStart w:id="368" w:name="Tc_OHsz8cCvNkGocSWxk2MsBw_4_11"/>
      <w:bookmarkStart w:id="369" w:name="Tc_yHPjERj7kUSkvaFCsh5p5w_4_8"/>
      <w:bookmarkStart w:id="370" w:name="Tc_dWPiybX5UkeCB5qOep74kA_4_5"/>
      <w:bookmarkStart w:id="371" w:name="Tc_Dc6aacjcW0K9xnEbt7OHkQ_4_2"/>
      <w:bookmarkStart w:id="372" w:name="Tc_QQFdSytPY0CaawYsOYS-tg_4_0"/>
      <w:bookmarkStart w:id="373" w:name="Tc_ihnYlHa0W0WyZ_oz7ffq1g_3_11"/>
      <w:bookmarkStart w:id="374" w:name="Tc_D_qcmZhUmkm0K3w6WWtJJw_3_8"/>
      <w:bookmarkStart w:id="375" w:name="Tc_StJiZm3eck23MLs0SO7jpQ_3_5"/>
      <w:bookmarkStart w:id="376" w:name="Tc_FWp184Ss9UKB2yQX8lEcEA_3_2"/>
      <w:bookmarkStart w:id="377" w:name="Tc_jtNwBVhJTECa_NyPZvUwhQ_2_11"/>
      <w:bookmarkStart w:id="378" w:name="Tc_MAAdzCw40E6c2h7o1zM2gA_2_8"/>
      <w:bookmarkStart w:id="379" w:name="Tc_w2jJl_rCdkKes9MTUsOqZQ_2_5"/>
      <w:bookmarkStart w:id="380" w:name="Tc_dEdKU28w-0iBerLxcNSrUw_2_2"/>
      <w:bookmarkStart w:id="381" w:name="Tc_7liwnlpjEUKJ1T4N590wmQ_1_8"/>
      <w:bookmarkStart w:id="382" w:name="Tc_FOZ4dMaed0WBjYt82ijIaA_1_5"/>
      <w:bookmarkStart w:id="383" w:name="Tc_wwfInlSdckOUw0k9E5NB6g_1_2"/>
      <w:bookmarkStart w:id="384" w:name="_6ec8ccd8_7b9d_49c4_86f2_197825f70979"/>
      <w:bookmarkStart w:id="385" w:name="Tc_yRB9nliLQUe4fjYuaGxj7g_8_11"/>
      <w:bookmarkStart w:id="386" w:name="Tc_iV6QJiOwKEG2OcRr_qSVXw_8_8"/>
      <w:bookmarkStart w:id="387" w:name="Tc_etujPV9Mt06Z3I7I1u7kCg_8_5"/>
      <w:bookmarkStart w:id="388" w:name="Tc_jW3HuXhzE0GnhKXgm-C7uA_8_2"/>
      <w:bookmarkStart w:id="389" w:name="Tc_ilThrMwWeU-Of-RVXw7-Ow_8_0"/>
      <w:bookmarkStart w:id="390" w:name="Tc_FO7RwdhTHESvSIg48UJvxQ_7_11"/>
      <w:bookmarkStart w:id="391" w:name="Tc_ZbQeP_SdREy0U_qjPYn9UA_7_8"/>
      <w:bookmarkStart w:id="392" w:name="Tc_hCUeCNC3SEejI-aMDdF12w_7_5"/>
      <w:bookmarkStart w:id="393" w:name="Tc_K-v_bHq9VUGkGeHKknV9Ug_7_2"/>
      <w:bookmarkStart w:id="394" w:name="Tc_6MlAIluwz0eNKn7nTL-CgA_7_0"/>
      <w:bookmarkStart w:id="395" w:name="Tc_z-lOefRK5kihfqIuLQGTrw_6_11"/>
      <w:bookmarkStart w:id="396" w:name="Tc_qbP4fVPNY0mEqUuZ-MoxzQ_6_8"/>
      <w:bookmarkStart w:id="397" w:name="Tc_btYpUlMaEkaJOgKO2XcPWg_6_5"/>
      <w:bookmarkStart w:id="398" w:name="Tc_F5ZWKFVjyUGFgpNPkzMllw_6_2"/>
      <w:bookmarkStart w:id="399" w:name="Tc_v-3vUBixDEO9Ez0Mn2ueAQ_6_0"/>
      <w:bookmarkStart w:id="400" w:name="Tc_7sUmb--t-UqCYlHG5BjHfA_5_11"/>
      <w:bookmarkStart w:id="401" w:name="Tc_mFylVJ8ddk2aX5SVpXWmhA_5_8"/>
      <w:bookmarkStart w:id="402" w:name="Tc_ymKThkVw1U-vjruT5jqdgA_5_5"/>
      <w:bookmarkStart w:id="403" w:name="Tc_WcQkCIW9MEizSUkRWWjOBA_5_2"/>
      <w:bookmarkStart w:id="404" w:name="Tc_GH6wDymFBEiIPKLuNFVkHQ_5_0"/>
      <w:bookmarkStart w:id="405" w:name="Tc_OHsz8cCvNkGocSWxk2MsBw_4_11"/>
      <w:bookmarkStart w:id="406" w:name="Tc_yHPjERj7kUSkvaFCsh5p5w_4_8"/>
      <w:bookmarkStart w:id="407" w:name="Tc_dWPiybX5UkeCB5qOep74kA_4_5"/>
      <w:bookmarkStart w:id="408" w:name="Tc_Dc6aacjcW0K9xnEbt7OHkQ_4_2"/>
      <w:bookmarkStart w:id="409" w:name="Tc_QQFdSytPY0CaawYsOYS-tg_4_0"/>
      <w:bookmarkStart w:id="410" w:name="Tc_ihnYlHa0W0WyZ_oz7ffq1g_3_11"/>
      <w:bookmarkStart w:id="411" w:name="Tc_D_qcmZhUmkm0K3w6WWtJJw_3_8"/>
      <w:bookmarkStart w:id="412" w:name="Tc_StJiZm3eck23MLs0SO7jpQ_3_5"/>
      <w:bookmarkStart w:id="413" w:name="Tc_FWp184Ss9UKB2yQX8lEcEA_3_2"/>
      <w:bookmarkStart w:id="414" w:name="Tc_jtNwBVhJTECa_NyPZvUwhQ_2_11"/>
      <w:bookmarkStart w:id="415" w:name="Tc_MAAdzCw40E6c2h7o1zM2gA_2_8"/>
      <w:bookmarkStart w:id="416" w:name="Tc_w2jJl_rCdkKes9MTUsOqZQ_2_5"/>
      <w:bookmarkStart w:id="417" w:name="Tc_dEdKU28w-0iBerLxcNSrUw_2_2"/>
      <w:bookmarkStart w:id="418" w:name="Tc_7liwnlpjEUKJ1T4N590wmQ_1_8"/>
      <w:bookmarkStart w:id="419" w:name="Tc_FOZ4dMaed0WBjYt82ijIaA_1_5"/>
      <w:bookmarkStart w:id="420" w:name="Tc_wwfInlSdckOUw0k9E5NB6g_1_2"/>
      <w:bookmarkStart w:id="421" w:name="_6ec8ccd8_7b9d_49c4_86f2_197825f70979"/>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tbl>
      <w:tblPr>
        <w:tblW w:w="9255" w:type="dxa"/>
        <w:jc w:val="left"/>
        <w:tblInd w:w="0" w:type="dxa"/>
        <w:tblLayout w:type="fixed"/>
        <w:tblCellMar>
          <w:top w:w="0" w:type="dxa"/>
          <w:left w:w="0" w:type="dxa"/>
          <w:bottom w:w="0" w:type="dxa"/>
          <w:right w:w="0" w:type="dxa"/>
        </w:tblCellMar>
      </w:tblPr>
      <w:tblGrid>
        <w:gridCol w:w="541"/>
        <w:gridCol w:w="266"/>
        <w:gridCol w:w="316"/>
        <w:gridCol w:w="1394"/>
        <w:gridCol w:w="266"/>
        <w:gridCol w:w="329"/>
        <w:gridCol w:w="1411"/>
        <w:gridCol w:w="266"/>
        <w:gridCol w:w="376"/>
        <w:gridCol w:w="1664"/>
        <w:gridCol w:w="266"/>
        <w:gridCol w:w="362"/>
        <w:gridCol w:w="1798"/>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3535" cy="175260"/>
                      <wp:effectExtent l="0" t="0" r="0" b="0"/>
                      <wp:wrapNone/>
                      <wp:docPr id="111" name="Frame9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8910" cy="175260"/>
                      <wp:effectExtent l="0" t="0" r="0" b="0"/>
                      <wp:wrapNone/>
                      <wp:docPr id="112" name="Frame9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0660" cy="175260"/>
                      <wp:effectExtent l="0" t="0" r="0" b="0"/>
                      <wp:wrapNone/>
                      <wp:docPr id="113" name="Frame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885190" cy="175260"/>
                      <wp:effectExtent l="0" t="0" r="0" b="0"/>
                      <wp:wrapNone/>
                      <wp:docPr id="114" name="Frame97"/>
                      <a:graphic xmlns:a="http://schemas.openxmlformats.org/drawingml/2006/main">
                        <a:graphicData uri="http://schemas.microsoft.com/office/word/2010/wordprocessingShape">
                          <wps:wsp>
                            <wps:cNvSpPr txBox="1"/>
                            <wps:spPr>
                              <a:xfrm>
                                <a:off x="0" y="0"/>
                                <a:ext cx="885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68910" cy="175260"/>
                      <wp:effectExtent l="0" t="0" r="0" b="0"/>
                      <wp:wrapNone/>
                      <wp:docPr id="115" name="Frame9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8915" cy="175260"/>
                      <wp:effectExtent l="0" t="0" r="0" b="0"/>
                      <wp:wrapNone/>
                      <wp:docPr id="116" name="Frame99"/>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895985" cy="175260"/>
                      <wp:effectExtent l="0" t="0" r="0" b="0"/>
                      <wp:wrapNone/>
                      <wp:docPr id="117" name="Frame100"/>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68910" cy="175260"/>
                      <wp:effectExtent l="0" t="0" r="0" b="0"/>
                      <wp:wrapNone/>
                      <wp:docPr id="118" name="Frame10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38760" cy="175260"/>
                      <wp:effectExtent l="0" t="0" r="0" b="0"/>
                      <wp:wrapNone/>
                      <wp:docPr id="119" name="Frame10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056640" cy="175260"/>
                      <wp:effectExtent l="0" t="0" r="0" b="0"/>
                      <wp:wrapNone/>
                      <wp:docPr id="120" name="Frame103"/>
                      <a:graphic xmlns:a="http://schemas.openxmlformats.org/drawingml/2006/main">
                        <a:graphicData uri="http://schemas.microsoft.com/office/word/2010/wordprocessingShape">
                          <wps:wsp>
                            <wps:cNvSpPr txBox="1"/>
                            <wps:spPr>
                              <a:xfrm>
                                <a:off x="0" y="0"/>
                                <a:ext cx="1056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8910" cy="175260"/>
                      <wp:effectExtent l="0" t="0" r="0" b="0"/>
                      <wp:wrapNone/>
                      <wp:docPr id="121" name="Frame10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29870" cy="175260"/>
                      <wp:effectExtent l="0" t="0" r="0" b="0"/>
                      <wp:wrapNone/>
                      <wp:docPr id="122" name="Frame105"/>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141730" cy="175260"/>
                      <wp:effectExtent l="0" t="0" r="0" b="0"/>
                      <wp:wrapNone/>
                      <wp:docPr id="123" name="Frame106"/>
                      <a:graphic xmlns:a="http://schemas.openxmlformats.org/drawingml/2006/main">
                        <a:graphicData uri="http://schemas.microsoft.com/office/word/2010/wordprocessingShape">
                          <wps:wsp>
                            <wps:cNvSpPr txBox="1"/>
                            <wps:spPr>
                              <a:xfrm>
                                <a:off x="0" y="0"/>
                                <a:ext cx="1141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7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Summary</w:t>
            </w:r>
          </w:p>
        </w:tc>
        <w:tc>
          <w:tcPr>
            <w:tcW w:w="26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266" w:type="dxa"/>
            <w:tcBorders/>
            <w:vAlign w:val="center"/>
          </w:tcPr>
          <w:p>
            <w:pPr>
              <w:pStyle w:val="TableContents"/>
              <w:bidi w:val="0"/>
              <w:spacing w:before="0" w:after="0"/>
              <w:ind w:left="0" w:right="0" w:hanging="0"/>
              <w:jc w:val="center"/>
              <w:rPr/>
            </w:pPr>
            <w:r>
              <w:rPr/>
              <w:t>​</w:t>
            </w:r>
          </w:p>
        </w:tc>
        <w:tc>
          <w:tcPr>
            <w:tcW w:w="204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266" w:type="dxa"/>
            <w:tcBorders/>
            <w:vAlign w:val="center"/>
          </w:tcPr>
          <w:p>
            <w:pPr>
              <w:pStyle w:val="TableContents"/>
              <w:bidi w:val="0"/>
              <w:spacing w:before="0" w:after="0"/>
              <w:ind w:left="0" w:right="0" w:hanging="0"/>
              <w:jc w:val="center"/>
              <w:rPr/>
            </w:pPr>
            <w:r>
              <w:rPr/>
              <w:t>​</w:t>
            </w:r>
          </w:p>
        </w:tc>
        <w:tc>
          <w:tcPr>
            <w:tcW w:w="362" w:type="dxa"/>
            <w:tcBorders/>
            <w:vAlign w:val="center"/>
          </w:tcPr>
          <w:p>
            <w:pPr>
              <w:pStyle w:val="TableContents"/>
              <w:bidi w:val="0"/>
              <w:spacing w:before="0" w:after="0"/>
              <w:ind w:left="0" w:right="0" w:hanging="0"/>
              <w:jc w:val="center"/>
              <w:rPr/>
            </w:pPr>
            <w:r>
              <w:rPr/>
              <w:t>​</w:t>
            </w:r>
          </w:p>
        </w:tc>
        <w:tc>
          <w:tcPr>
            <w:tcW w:w="1798" w:type="dxa"/>
            <w:tcBorders/>
            <w:vAlign w:val="center"/>
          </w:tcPr>
          <w:p>
            <w:pPr>
              <w:pStyle w:val="TableContents"/>
              <w:bidi w:val="0"/>
              <w:spacing w:before="0" w:after="0"/>
              <w:ind w:left="0" w:right="0" w:hanging="0"/>
              <w:jc w:val="center"/>
              <w:rPr/>
            </w:pPr>
            <w:r>
              <w:rPr/>
              <w:t>​</w:t>
            </w:r>
          </w:p>
        </w:tc>
      </w:tr>
      <w:tr>
        <w:trPr/>
        <w:tc>
          <w:tcPr>
            <w:tcW w:w="54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7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w:t>
            </w:r>
          </w:p>
        </w:tc>
        <w:tc>
          <w:tcPr>
            <w:tcW w:w="26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Reported Value of</w:t>
            </w:r>
          </w:p>
        </w:tc>
        <w:tc>
          <w:tcPr>
            <w:tcW w:w="266" w:type="dxa"/>
            <w:tcBorders/>
            <w:vAlign w:val="center"/>
          </w:tcPr>
          <w:p>
            <w:pPr>
              <w:pStyle w:val="TableContents"/>
              <w:bidi w:val="0"/>
              <w:spacing w:before="0" w:after="0"/>
              <w:ind w:left="0" w:right="0" w:hanging="0"/>
              <w:jc w:val="center"/>
              <w:rPr/>
            </w:pPr>
            <w:r>
              <w:rPr/>
              <w:t>​</w:t>
            </w:r>
          </w:p>
        </w:tc>
        <w:tc>
          <w:tcPr>
            <w:tcW w:w="204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w:t>
            </w:r>
          </w:p>
        </w:tc>
        <w:tc>
          <w:tcPr>
            <w:tcW w:w="266" w:type="dxa"/>
            <w:tcBorders/>
            <w:vAlign w:val="center"/>
          </w:tcPr>
          <w:p>
            <w:pPr>
              <w:pStyle w:val="TableContents"/>
              <w:bidi w:val="0"/>
              <w:spacing w:before="0" w:after="0"/>
              <w:ind w:left="0" w:right="0" w:hanging="0"/>
              <w:jc w:val="center"/>
              <w:rPr/>
            </w:pPr>
            <w:r>
              <w:rPr/>
              <w:t>​</w:t>
            </w:r>
          </w:p>
        </w:tc>
        <w:tc>
          <w:tcPr>
            <w:tcW w:w="21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54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71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Table Total for </w:t>
            </w:r>
          </w:p>
        </w:tc>
        <w:tc>
          <w:tcPr>
            <w:tcW w:w="266" w:type="dxa"/>
            <w:tcBorders/>
            <w:vAlign w:val="center"/>
          </w:tcPr>
          <w:p>
            <w:pPr>
              <w:pStyle w:val="TableContents"/>
              <w:bidi w:val="0"/>
              <w:spacing w:before="0" w:after="0"/>
              <w:ind w:left="0" w:right="0" w:hanging="0"/>
              <w:jc w:val="center"/>
              <w:rPr/>
            </w:pPr>
            <w:r>
              <w:rPr/>
              <w:t>​</w:t>
            </w:r>
          </w:p>
        </w:tc>
        <w:tc>
          <w:tcPr>
            <w:tcW w:w="174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 Awards for</w:t>
            </w:r>
          </w:p>
        </w:tc>
        <w:tc>
          <w:tcPr>
            <w:tcW w:w="266" w:type="dxa"/>
            <w:tcBorders/>
            <w:vAlign w:val="center"/>
          </w:tcPr>
          <w:p>
            <w:pPr>
              <w:pStyle w:val="TableContents"/>
              <w:bidi w:val="0"/>
              <w:spacing w:before="0" w:after="0"/>
              <w:ind w:left="0" w:right="0" w:hanging="0"/>
              <w:jc w:val="center"/>
              <w:rPr/>
            </w:pPr>
            <w:r>
              <w:rPr/>
              <w:t>​</w:t>
            </w:r>
          </w:p>
        </w:tc>
        <w:tc>
          <w:tcPr>
            <w:tcW w:w="204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Adjustments</w:t>
            </w:r>
          </w:p>
        </w:tc>
        <w:tc>
          <w:tcPr>
            <w:tcW w:w="266" w:type="dxa"/>
            <w:tcBorders/>
            <w:vAlign w:val="center"/>
          </w:tcPr>
          <w:p>
            <w:pPr>
              <w:pStyle w:val="TableContents"/>
              <w:bidi w:val="0"/>
              <w:spacing w:before="0" w:after="0"/>
              <w:ind w:left="0" w:right="0" w:hanging="0"/>
              <w:jc w:val="center"/>
              <w:rPr/>
            </w:pPr>
            <w:r>
              <w:rPr/>
              <w:t>​</w:t>
            </w:r>
          </w:p>
        </w:tc>
        <w:tc>
          <w:tcPr>
            <w:tcW w:w="216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Actually</w:t>
            </w:r>
          </w:p>
        </w:tc>
      </w:tr>
      <w:tr>
        <w:trPr/>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Year</w:t>
            </w:r>
          </w:p>
        </w:tc>
        <w:tc>
          <w:tcPr>
            <w:tcW w:w="266" w:type="dxa"/>
            <w:tcBorders/>
            <w:vAlign w:val="center"/>
          </w:tcPr>
          <w:p>
            <w:pPr>
              <w:pStyle w:val="TableContents"/>
              <w:bidi w:val="0"/>
              <w:spacing w:before="0" w:after="0"/>
              <w:ind w:left="0" w:right="0" w:hanging="0"/>
              <w:jc w:val="center"/>
              <w:rPr/>
            </w:pPr>
            <w:r>
              <w:rPr/>
              <w:t>   </w:t>
            </w:r>
          </w:p>
        </w:tc>
        <w:tc>
          <w:tcPr>
            <w:tcW w:w="1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Non-CEO NEOs</w:t>
            </w:r>
          </w:p>
        </w:tc>
        <w:tc>
          <w:tcPr>
            <w:tcW w:w="266" w:type="dxa"/>
            <w:tcBorders/>
            <w:vAlign w:val="center"/>
          </w:tcPr>
          <w:p>
            <w:pPr>
              <w:pStyle w:val="TableContents"/>
              <w:bidi w:val="0"/>
              <w:spacing w:before="0" w:after="0"/>
              <w:ind w:left="0" w:right="0" w:hanging="0"/>
              <w:jc w:val="center"/>
              <w:rPr/>
            </w:pPr>
            <w:r>
              <w:rPr/>
              <w:t>   </w:t>
            </w:r>
          </w:p>
        </w:tc>
        <w:tc>
          <w:tcPr>
            <w:tcW w:w="1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Non-CEO NEOs (1)</w:t>
            </w:r>
          </w:p>
        </w:tc>
        <w:tc>
          <w:tcPr>
            <w:tcW w:w="266" w:type="dxa"/>
            <w:tcBorders/>
            <w:vAlign w:val="center"/>
          </w:tcPr>
          <w:p>
            <w:pPr>
              <w:pStyle w:val="TableContents"/>
              <w:bidi w:val="0"/>
              <w:spacing w:before="0" w:after="0"/>
              <w:ind w:left="0" w:right="0" w:hanging="0"/>
              <w:jc w:val="center"/>
              <w:rPr/>
            </w:pPr>
            <w:r>
              <w:rPr/>
              <w:t>   </w:t>
            </w:r>
          </w:p>
        </w:tc>
        <w:tc>
          <w:tcPr>
            <w:tcW w:w="2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Non-CEO NEOs (2)</w:t>
            </w:r>
          </w:p>
        </w:tc>
        <w:tc>
          <w:tcPr>
            <w:tcW w:w="266" w:type="dxa"/>
            <w:tcBorders/>
            <w:vAlign w:val="center"/>
          </w:tcPr>
          <w:p>
            <w:pPr>
              <w:pStyle w:val="TableContents"/>
              <w:bidi w:val="0"/>
              <w:spacing w:before="0" w:after="0"/>
              <w:ind w:left="0" w:right="0" w:hanging="0"/>
              <w:jc w:val="center"/>
              <w:rPr/>
            </w:pPr>
            <w:r>
              <w:rPr/>
              <w:t>   </w:t>
            </w:r>
          </w:p>
        </w:tc>
        <w:tc>
          <w:tcPr>
            <w:tcW w:w="2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to Non-CEO NEOs</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2023</w:t>
            </w:r>
          </w:p>
        </w:tc>
        <w:tc>
          <w:tcPr>
            <w:tcW w:w="266"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1,196,944</w:t>
            </w:r>
          </w:p>
        </w:tc>
        <w:tc>
          <w:tcPr>
            <w:tcW w:w="266" w:type="dxa"/>
            <w:tcBorders/>
            <w:vAlign w:val="center"/>
          </w:tcPr>
          <w:p>
            <w:pPr>
              <w:pStyle w:val="TableContents"/>
              <w:bidi w:val="0"/>
              <w:spacing w:before="0" w:after="0"/>
              <w:ind w:left="0" w:right="0" w:hanging="0"/>
              <w:jc w:val="center"/>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(560,802)</w:t>
            </w:r>
          </w:p>
        </w:tc>
        <w:tc>
          <w:tcPr>
            <w:tcW w:w="266" w:type="dxa"/>
            <w:tcBorders/>
            <w:vAlign w:val="center"/>
          </w:tcPr>
          <w:p>
            <w:pPr>
              <w:pStyle w:val="TableContents"/>
              <w:bidi w:val="0"/>
              <w:spacing w:before="0" w:after="0"/>
              <w:ind w:left="0" w:right="0" w:hanging="0"/>
              <w:jc w:val="center"/>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1,036,250</w:t>
            </w:r>
          </w:p>
        </w:tc>
        <w:tc>
          <w:tcPr>
            <w:tcW w:w="266" w:type="dxa"/>
            <w:tcBorders/>
            <w:vAlign w:val="center"/>
          </w:tcPr>
          <w:p>
            <w:pPr>
              <w:pStyle w:val="TableContents"/>
              <w:bidi w:val="0"/>
              <w:spacing w:before="0" w:after="0"/>
              <w:ind w:left="0" w:right="0" w:hanging="0"/>
              <w:jc w:val="center"/>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1,672,392</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26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1,205,110</w:t>
            </w:r>
          </w:p>
        </w:tc>
        <w:tc>
          <w:tcPr>
            <w:tcW w:w="26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(560,722)</w:t>
            </w:r>
          </w:p>
        </w:tc>
        <w:tc>
          <w:tcPr>
            <w:tcW w:w="2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959,645</w:t>
            </w:r>
          </w:p>
        </w:tc>
        <w:tc>
          <w:tcPr>
            <w:tcW w:w="26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1,604,033</w:t>
            </w:r>
          </w:p>
        </w:tc>
      </w:tr>
      <w:tr>
        <w:trPr/>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w:t>
            </w:r>
          </w:p>
        </w:tc>
        <w:tc>
          <w:tcPr>
            <w:tcW w:w="2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1,099,912</w:t>
            </w:r>
          </w:p>
        </w:tc>
        <w:tc>
          <w:tcPr>
            <w:tcW w:w="26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(553,324)</w:t>
            </w:r>
          </w:p>
        </w:tc>
        <w:tc>
          <w:tcPr>
            <w:tcW w:w="26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553,942</w:t>
            </w:r>
          </w:p>
        </w:tc>
        <w:tc>
          <w:tcPr>
            <w:tcW w:w="26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1,100,530</w:t>
            </w:r>
          </w:p>
        </w:tc>
      </w:tr>
      <w:tr>
        <w:trPr/>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w:t>
            </w:r>
          </w:p>
        </w:tc>
        <w:tc>
          <w:tcPr>
            <w:tcW w:w="26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1,322,165</w:t>
            </w:r>
          </w:p>
        </w:tc>
        <w:tc>
          <w:tcPr>
            <w:tcW w:w="26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(609,865)</w:t>
            </w:r>
          </w:p>
        </w:tc>
        <w:tc>
          <w:tcPr>
            <w:tcW w:w="26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510,027</w:t>
            </w:r>
          </w:p>
        </w:tc>
        <w:tc>
          <w:tcPr>
            <w:tcW w:w="26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98"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1,222,327</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average of the grant date fair value of the equity awards to our named executive officers (other than our CEO), as reported in the “Stock Awards” column in the Summary Compensation Table for each applicable year.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adjustments for the equity awards granted to our named executive officers (other than our CEO) to arrive at CAP, as itemized in the table below. No awards vested in the year they were granted.</w:t>
            </w:r>
          </w:p>
        </w:tc>
      </w:tr>
    </w:tbl>
    <w:p>
      <w:pPr>
        <w:pStyle w:val="Normal"/>
        <w:bidi w:val="0"/>
        <w:spacing w:before="0" w:after="0"/>
        <w:jc w:val="left"/>
        <w:rPr>
          <w:sz w:val="4"/>
          <w:szCs w:val="4"/>
        </w:rPr>
      </w:pPr>
      <w:r>
        <w:rPr>
          <w:sz w:val="4"/>
          <w:szCs w:val="4"/>
        </w:rPr>
      </w:r>
      <w:bookmarkStart w:id="422" w:name="Tc_KVjkg3iXGkiMmReDHgJhcg_5_11"/>
      <w:bookmarkStart w:id="423" w:name="Tc_smY-JIPgqESiNVGzX4bfNA_5_8"/>
      <w:bookmarkStart w:id="424" w:name="Tc_kcYLcJIdikyo7K33VdawBA_5_5"/>
      <w:bookmarkStart w:id="425" w:name="Tc_b-Zc6vp4z0G7oAHZk8MtLg_5_2"/>
      <w:bookmarkStart w:id="426" w:name="Tc_c9VBQimUKEubirRPy8rjqA_5_0"/>
      <w:bookmarkStart w:id="427" w:name="Tc_2iCklJRl2EaSxAyvLNqBww_4_11"/>
      <w:bookmarkStart w:id="428" w:name="Tc_YdSVLnagsUi9TkBAIkoR7A_4_8"/>
      <w:bookmarkStart w:id="429" w:name="Tc_Q9GFhgzj5EeiikKsoZo6aA_4_5"/>
      <w:bookmarkStart w:id="430" w:name="Tc_Q5DN79EddEuEVPodEg7NHg_4_2"/>
      <w:bookmarkStart w:id="431" w:name="Tc_3qCHylu-_EKuj-Dxf9GFSw_4_0"/>
      <w:bookmarkStart w:id="432" w:name="Tc_6DbdquzAKE2AMNzcdIjGZw_3_11"/>
      <w:bookmarkStart w:id="433" w:name="Tc_9JQKlhCgVESwfITiEHop_g_3_8"/>
      <w:bookmarkStart w:id="434" w:name="Tc_SS2QZWLvq0-KIoPJ19vEqQ_3_5"/>
      <w:bookmarkStart w:id="435" w:name="Tc_7I8qbmLHikKO7ZqtxNU6SA_3_2"/>
      <w:bookmarkStart w:id="436" w:name="Tc_O81nHfcCb0GnmtKxDMC_Og_3_0"/>
      <w:bookmarkStart w:id="437" w:name="Tc_vB2wnibrz0-efrATBrBI9w_2_11"/>
      <w:bookmarkStart w:id="438" w:name="Tc_a8jKjO6dMkavdBR3FvOR_w_2_8"/>
      <w:bookmarkStart w:id="439" w:name="Tc_fNZg7HF0qUC-Tt2AITRTwQ_2_5"/>
      <w:bookmarkStart w:id="440" w:name="Tc_ZjOA0cWBb0qqDj9T5LHFCQ_2_2"/>
      <w:bookmarkStart w:id="441" w:name="Tc_rsnXAWNikkC7BP7amh9cNQ_2_0"/>
      <w:bookmarkStart w:id="442" w:name="Tc_8nSiR9-CK0iAU1tX9UG_7g_1_11"/>
      <w:bookmarkStart w:id="443" w:name="Tc_bUVsXOt0_UKSYItFIuCu9A_1_8"/>
      <w:bookmarkStart w:id="444" w:name="Tc_DIpUMV0oTkCQvPGiaiBLzA_1_5"/>
      <w:bookmarkStart w:id="445" w:name="Tc_urTjr42QBUKoHmdew9AQIA_1_2"/>
      <w:bookmarkStart w:id="446" w:name="Tc_MaWQqsHTv0GwABAnDn0I3A_1_0"/>
      <w:bookmarkStart w:id="447" w:name="_eb301ca6_7c18_4a2e_86e3_695111d84f76"/>
      <w:bookmarkStart w:id="448" w:name="Tc_KVjkg3iXGkiMmReDHgJhcg_5_11"/>
      <w:bookmarkStart w:id="449" w:name="Tc_smY-JIPgqESiNVGzX4bfNA_5_8"/>
      <w:bookmarkStart w:id="450" w:name="Tc_kcYLcJIdikyo7K33VdawBA_5_5"/>
      <w:bookmarkStart w:id="451" w:name="Tc_b-Zc6vp4z0G7oAHZk8MtLg_5_2"/>
      <w:bookmarkStart w:id="452" w:name="Tc_c9VBQimUKEubirRPy8rjqA_5_0"/>
      <w:bookmarkStart w:id="453" w:name="Tc_2iCklJRl2EaSxAyvLNqBww_4_11"/>
      <w:bookmarkStart w:id="454" w:name="Tc_YdSVLnagsUi9TkBAIkoR7A_4_8"/>
      <w:bookmarkStart w:id="455" w:name="Tc_Q9GFhgzj5EeiikKsoZo6aA_4_5"/>
      <w:bookmarkStart w:id="456" w:name="Tc_Q5DN79EddEuEVPodEg7NHg_4_2"/>
      <w:bookmarkStart w:id="457" w:name="Tc_3qCHylu-_EKuj-Dxf9GFSw_4_0"/>
      <w:bookmarkStart w:id="458" w:name="Tc_6DbdquzAKE2AMNzcdIjGZw_3_11"/>
      <w:bookmarkStart w:id="459" w:name="Tc_9JQKlhCgVESwfITiEHop_g_3_8"/>
      <w:bookmarkStart w:id="460" w:name="Tc_SS2QZWLvq0-KIoPJ19vEqQ_3_5"/>
      <w:bookmarkStart w:id="461" w:name="Tc_7I8qbmLHikKO7ZqtxNU6SA_3_2"/>
      <w:bookmarkStart w:id="462" w:name="Tc_O81nHfcCb0GnmtKxDMC_Og_3_0"/>
      <w:bookmarkStart w:id="463" w:name="Tc_vB2wnibrz0-efrATBrBI9w_2_11"/>
      <w:bookmarkStart w:id="464" w:name="Tc_a8jKjO6dMkavdBR3FvOR_w_2_8"/>
      <w:bookmarkStart w:id="465" w:name="Tc_fNZg7HF0qUC-Tt2AITRTwQ_2_5"/>
      <w:bookmarkStart w:id="466" w:name="Tc_ZjOA0cWBb0qqDj9T5LHFCQ_2_2"/>
      <w:bookmarkStart w:id="467" w:name="Tc_rsnXAWNikkC7BP7amh9cNQ_2_0"/>
      <w:bookmarkStart w:id="468" w:name="Tc_8nSiR9-CK0iAU1tX9UG_7g_1_11"/>
      <w:bookmarkStart w:id="469" w:name="Tc_bUVsXOt0_UKSYItFIuCu9A_1_8"/>
      <w:bookmarkStart w:id="470" w:name="Tc_DIpUMV0oTkCQvPGiaiBLzA_1_5"/>
      <w:bookmarkStart w:id="471" w:name="Tc_urTjr42QBUKoHmdew9AQIA_1_2"/>
      <w:bookmarkStart w:id="472" w:name="Tc_MaWQqsHTv0GwABAnDn0I3A_1_0"/>
      <w:bookmarkStart w:id="473" w:name="_eb301ca6_7c18_4a2e_86e3_695111d84f76"/>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tbl>
      <w:tblPr>
        <w:tblW w:w="10205" w:type="dxa"/>
        <w:jc w:val="left"/>
        <w:tblInd w:w="0" w:type="dxa"/>
        <w:tblLayout w:type="fixed"/>
        <w:tblCellMar>
          <w:top w:w="0" w:type="dxa"/>
          <w:left w:w="0" w:type="dxa"/>
          <w:bottom w:w="0" w:type="dxa"/>
          <w:right w:w="0" w:type="dxa"/>
        </w:tblCellMar>
      </w:tblPr>
      <w:tblGrid>
        <w:gridCol w:w="5486"/>
        <w:gridCol w:w="109"/>
        <w:gridCol w:w="211"/>
        <w:gridCol w:w="931"/>
        <w:gridCol w:w="109"/>
        <w:gridCol w:w="211"/>
        <w:gridCol w:w="781"/>
        <w:gridCol w:w="109"/>
        <w:gridCol w:w="211"/>
        <w:gridCol w:w="792"/>
        <w:gridCol w:w="109"/>
        <w:gridCol w:w="211"/>
        <w:gridCol w:w="935"/>
      </w:tblGrid>
      <w:tr>
        <w:trPr/>
        <w:tc>
          <w:tcPr>
            <w:tcW w:w="5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483610" cy="175260"/>
                      <wp:effectExtent l="0" t="0" r="0" b="0"/>
                      <wp:wrapNone/>
                      <wp:docPr id="124" name="Frame107"/>
                      <a:graphic xmlns:a="http://schemas.openxmlformats.org/drawingml/2006/main">
                        <a:graphicData uri="http://schemas.microsoft.com/office/word/2010/wordprocessingShape">
                          <wps:wsp>
                            <wps:cNvSpPr txBox="1"/>
                            <wps:spPr>
                              <a:xfrm>
                                <a:off x="0" y="0"/>
                                <a:ext cx="348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9215" cy="175260"/>
                      <wp:effectExtent l="0" t="0" r="0" b="0"/>
                      <wp:wrapNone/>
                      <wp:docPr id="125" name="Frame1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26"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91185" cy="175260"/>
                      <wp:effectExtent l="0" t="0" r="0" b="0"/>
                      <wp:wrapNone/>
                      <wp:docPr id="127" name="Frame1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28"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29"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0"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1"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2" name="Frame1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02920" cy="175260"/>
                      <wp:effectExtent l="0" t="0" r="0" b="0"/>
                      <wp:wrapNone/>
                      <wp:docPr id="133" name="Frame116"/>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215" cy="175260"/>
                      <wp:effectExtent l="0" t="0" r="0" b="0"/>
                      <wp:wrapNone/>
                      <wp:docPr id="134" name="Frame1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35"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93725" cy="175260"/>
                      <wp:effectExtent l="0" t="0" r="0" b="0"/>
                      <wp:wrapNone/>
                      <wp:docPr id="136" name="Frame119"/>
                      <a:graphic xmlns:a="http://schemas.openxmlformats.org/drawingml/2006/main">
                        <a:graphicData uri="http://schemas.microsoft.com/office/word/2010/wordprocessingShape">
                          <wps:wsp>
                            <wps:cNvSpPr txBox="1"/>
                            <wps:spPr>
                              <a:xfrm>
                                <a:off x="0" y="0"/>
                                <a:ext cx="593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Equity Awards for Non-CEO NEOs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0"/>
              <w:ind w:left="0" w:right="0" w:hanging="0"/>
              <w:jc w:val="center"/>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09" w:type="dxa"/>
            <w:tcBorders/>
            <w:vAlign w:val="center"/>
          </w:tcPr>
          <w:p>
            <w:pPr>
              <w:pStyle w:val="TableContents"/>
              <w:bidi w:val="0"/>
              <w:spacing w:before="0" w:after="0"/>
              <w:ind w:left="0" w:right="0" w:hanging="0"/>
              <w:jc w:val="center"/>
              <w:rPr/>
            </w:pPr>
            <w:r>
              <w:rPr/>
              <w:t>​</w:t>
            </w:r>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2020</w:t>
            </w:r>
          </w:p>
        </w:tc>
      </w:tr>
      <w:tr>
        <w:trPr/>
        <w:tc>
          <w:tcPr>
            <w:tcW w:w="5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year-end for awards granted during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655,876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713,892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551,651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675,443</w:t>
            </w:r>
          </w:p>
        </w:tc>
      </w:tr>
      <w:tr>
        <w:trPr/>
        <w:tc>
          <w:tcPr>
            <w:tcW w:w="5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Year-over-year increase (decrease) of unvested awards granted in prior years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334,835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(34,816)</w:t>
            </w:r>
          </w:p>
        </w:tc>
      </w:tr>
      <w:tr>
        <w:trPr/>
        <w:tc>
          <w:tcPr>
            <w:tcW w:w="5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from prior fiscal year-end for awards that vested during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(130,600)</w:t>
            </w:r>
          </w:p>
        </w:tc>
      </w:tr>
      <w:tr>
        <w:trPr/>
        <w:tc>
          <w:tcPr>
            <w:tcW w:w="5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Award Adjustments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1,036,250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959,645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553,942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510,027</w:t>
            </w:r>
          </w:p>
        </w:tc>
      </w:tr>
    </w:tbl>
    <w:p>
      <w:pPr>
        <w:pStyle w:val="TextBody"/>
        <w:bidi w:val="0"/>
        <w:spacing w:before="0" w:after="0"/>
        <w:ind w:left="0" w:right="0" w:hanging="0"/>
        <w:jc w:val="left"/>
        <w:rPr/>
      </w:pPr>
      <w:r>
        <w:rPr/>
        <w:t>​</w:t>
      </w:r>
    </w:p>
    <w:p>
      <w:pPr>
        <w:pStyle w:val="TextBody"/>
        <w:bidi w:val="0"/>
        <w:spacing w:before="120" w:after="120"/>
        <w:ind w:left="0" w:right="0" w:hanging="0"/>
        <w:jc w:val="left"/>
        <w:rPr>
          <w:rFonts w:ascii="Times New Roman;Times;serif" w:hAnsi="Times New Roman;Times;serif"/>
          <w:b/>
          <w:sz w:val="20"/>
        </w:rPr>
      </w:pPr>
      <w:r>
        <w:rPr>
          <w:rFonts w:ascii="Times New Roman;Times;serif" w:hAnsi="Times New Roman;Times;serif"/>
          <w:b/>
          <w:sz w:val="20"/>
        </w:rPr>
        <w:t>Pay-for-Performance Alignment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identifies the seven most important financial performance measures used by our Compensation Committee to link the “compensation actually paid” (CAP) to our CEO and other NEOs in 2023, calculated in accordance with SEC regulations, to company performance. </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Most Important Financial Performance Measures</w:t>
      </w:r>
    </w:p>
    <w:tbl>
      <w:tblPr>
        <w:tblW w:w="2016" w:type="dxa"/>
        <w:jc w:val="left"/>
        <w:tblInd w:w="0" w:type="dxa"/>
        <w:tblLayout w:type="fixed"/>
        <w:tblCellMar>
          <w:top w:w="28" w:type="dxa"/>
          <w:left w:w="28" w:type="dxa"/>
          <w:bottom w:w="28" w:type="dxa"/>
          <w:right w:w="28" w:type="dxa"/>
        </w:tblCellMar>
      </w:tblPr>
      <w:tblGrid>
        <w:gridCol w:w="124"/>
        <w:gridCol w:w="256"/>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r>
    </w:tbl>
    <w:tbl>
      <w:tblPr>
        <w:tblW w:w="1896" w:type="dxa"/>
        <w:jc w:val="left"/>
        <w:tblInd w:w="0" w:type="dxa"/>
        <w:tblLayout w:type="fixed"/>
        <w:tblCellMar>
          <w:top w:w="28" w:type="dxa"/>
          <w:left w:w="28" w:type="dxa"/>
          <w:bottom w:w="28" w:type="dxa"/>
          <w:right w:w="28" w:type="dxa"/>
        </w:tblCellMar>
      </w:tblPr>
      <w:tblGrid>
        <w:gridCol w:w="124"/>
        <w:gridCol w:w="256"/>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Revenue</w:t>
            </w:r>
          </w:p>
        </w:tc>
      </w:tr>
    </w:tbl>
    <w:tbl>
      <w:tblPr>
        <w:tblW w:w="1941" w:type="dxa"/>
        <w:jc w:val="left"/>
        <w:tblInd w:w="0" w:type="dxa"/>
        <w:tblLayout w:type="fixed"/>
        <w:tblCellMar>
          <w:top w:w="28" w:type="dxa"/>
          <w:left w:w="28" w:type="dxa"/>
          <w:bottom w:w="28" w:type="dxa"/>
          <w:right w:w="28" w:type="dxa"/>
        </w:tblCellMar>
      </w:tblPr>
      <w:tblGrid>
        <w:gridCol w:w="124"/>
        <w:gridCol w:w="256"/>
        <w:gridCol w:w="1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on Equity</w:t>
            </w:r>
          </w:p>
        </w:tc>
      </w:tr>
    </w:tbl>
    <w:tbl>
      <w:tblPr>
        <w:tblW w:w="1776" w:type="dxa"/>
        <w:jc w:val="left"/>
        <w:tblInd w:w="0" w:type="dxa"/>
        <w:tblLayout w:type="fixed"/>
        <w:tblCellMar>
          <w:top w:w="28" w:type="dxa"/>
          <w:left w:w="28" w:type="dxa"/>
          <w:bottom w:w="28" w:type="dxa"/>
          <w:right w:w="28" w:type="dxa"/>
        </w:tblCellMar>
      </w:tblPr>
      <w:tblGrid>
        <w:gridCol w:w="124"/>
        <w:gridCol w:w="256"/>
        <w:gridCol w:w="1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 Non-GAAP Diluted EPS</w:t>
            </w:r>
          </w:p>
        </w:tc>
      </w:tr>
    </w:tbl>
    <w:tbl>
      <w:tblPr>
        <w:tblW w:w="1461" w:type="dxa"/>
        <w:jc w:val="left"/>
        <w:tblInd w:w="0" w:type="dxa"/>
        <w:tblLayout w:type="fixed"/>
        <w:tblCellMar>
          <w:top w:w="28" w:type="dxa"/>
          <w:left w:w="28" w:type="dxa"/>
          <w:bottom w:w="28" w:type="dxa"/>
          <w:right w:w="28" w:type="dxa"/>
        </w:tblCellMar>
      </w:tblPr>
      <w:tblGrid>
        <w:gridCol w:w="124"/>
        <w:gridCol w:w="256"/>
        <w:gridCol w:w="1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r>
    </w:tbl>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Company Selected Metric</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 parties as a measure of performance.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pPr>
      <w:r>
        <w:rPr/>
        <w:drawing>
          <wp:inline distT="0" distB="0" distL="0" distR="0">
            <wp:extent cx="5723890" cy="3195320"/>
            <wp:effectExtent l="0" t="0" r="0" b="0"/>
            <wp:docPr id="1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8" descr=""/>
                    <pic:cNvPicPr>
                      <a:picLocks noChangeAspect="1" noChangeArrowheads="1"/>
                    </pic:cNvPicPr>
                  </pic:nvPicPr>
                  <pic:blipFill>
                    <a:blip r:embed="rId19"/>
                    <a:stretch>
                      <a:fillRect/>
                    </a:stretch>
                  </pic:blipFill>
                  <pic:spPr bwMode="auto">
                    <a:xfrm>
                      <a:off x="0" y="0"/>
                      <a:ext cx="5723890" cy="3195320"/>
                    </a:xfrm>
                    <a:prstGeom prst="rect">
                      <a:avLst/>
                    </a:prstGeom>
                  </pic:spPr>
                </pic:pic>
              </a:graphicData>
            </a:graphic>
          </wp:inline>
        </w:drawing>
      </w:r>
    </w:p>
    <w:p>
      <w:pPr>
        <w:pStyle w:val="TextBody"/>
        <w:bidi w:val="0"/>
        <w:spacing w:before="0" w:after="120"/>
        <w:ind w:left="0" w:right="0" w:hanging="0"/>
        <w:jc w:val="center"/>
        <w:rPr/>
      </w:pPr>
      <w:r>
        <w:rPr/>
        <w:t>​</w:t>
      </w:r>
    </w:p>
    <w:p>
      <w:pPr>
        <w:pStyle w:val="TextBody"/>
        <w:bidi w:val="0"/>
        <w:spacing w:before="0" w:after="120"/>
        <w:ind w:left="0" w:right="0" w:hanging="0"/>
        <w:jc w:val="center"/>
        <w:rPr/>
      </w:pPr>
      <w:r>
        <w:rPr/>
        <w:drawing>
          <wp:inline distT="0" distB="0" distL="0" distR="0">
            <wp:extent cx="5723890" cy="3636645"/>
            <wp:effectExtent l="0" t="0" r="0" b="0"/>
            <wp:docPr id="1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9" descr=""/>
                    <pic:cNvPicPr>
                      <a:picLocks noChangeAspect="1" noChangeArrowheads="1"/>
                    </pic:cNvPicPr>
                  </pic:nvPicPr>
                  <pic:blipFill>
                    <a:blip r:embed="rId20"/>
                    <a:stretch>
                      <a:fillRect/>
                    </a:stretch>
                  </pic:blipFill>
                  <pic:spPr bwMode="auto">
                    <a:xfrm>
                      <a:off x="0" y="0"/>
                      <a:ext cx="5723890" cy="3636645"/>
                    </a:xfrm>
                    <a:prstGeom prst="rect">
                      <a:avLst/>
                    </a:prstGeom>
                  </pic:spPr>
                </pic:pic>
              </a:graphicData>
            </a:graphic>
          </wp:inline>
        </w:drawing>
      </w:r>
    </w:p>
    <w:p>
      <w:pPr>
        <w:pStyle w:val="TextBody"/>
        <w:bidi w:val="0"/>
        <w:spacing w:before="0" w:after="12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pPr>
      <w:r>
        <w:rPr/>
        <w:drawing>
          <wp:inline distT="0" distB="0" distL="0" distR="0">
            <wp:extent cx="5723890" cy="3923030"/>
            <wp:effectExtent l="0" t="0" r="0" b="0"/>
            <wp:docPr id="1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20" descr=""/>
                    <pic:cNvPicPr>
                      <a:picLocks noChangeAspect="1" noChangeArrowheads="1"/>
                    </pic:cNvPicPr>
                  </pic:nvPicPr>
                  <pic:blipFill>
                    <a:blip r:embed="rId21"/>
                    <a:stretch>
                      <a:fillRect/>
                    </a:stretch>
                  </pic:blipFill>
                  <pic:spPr bwMode="auto">
                    <a:xfrm>
                      <a:off x="0" y="0"/>
                      <a:ext cx="5723890" cy="3923030"/>
                    </a:xfrm>
                    <a:prstGeom prst="rect">
                      <a:avLst/>
                    </a:prstGeom>
                  </pic:spPr>
                </pic:pic>
              </a:graphicData>
            </a:graphic>
          </wp:inline>
        </w:drawing>
      </w:r>
    </w:p>
    <w:p>
      <w:pPr>
        <w:pStyle w:val="TextBody"/>
        <w:bidi w:val="0"/>
        <w:spacing w:before="0" w:after="120"/>
        <w:ind w:left="0" w:right="0" w:hanging="0"/>
        <w:jc w:val="left"/>
        <w:rPr>
          <w:rFonts w:ascii="Times New Roman;Times;serif" w:hAnsi="Times New Roman;Times;serif"/>
          <w:b/>
          <w:sz w:val="20"/>
        </w:rPr>
      </w:pPr>
      <w:bookmarkStart w:id="474" w:name="CompensationCommitteeReport_99522"/>
      <w:bookmarkEnd w:id="474"/>
      <w:r>
        <w:rPr>
          <w:rFonts w:ascii="Times New Roman;Times;serif" w:hAnsi="Times New Roman;Times;serif"/>
          <w:b/>
          <w:sz w:val="20"/>
        </w:rPr>
        <w:t>Compensation Committee Report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tbl>
      <w:tblPr>
        <w:tblW w:w="2465" w:type="dxa"/>
        <w:jc w:val="left"/>
        <w:tblInd w:w="0" w:type="dxa"/>
        <w:tblLayout w:type="fixed"/>
        <w:tblCellMar>
          <w:top w:w="0" w:type="dxa"/>
          <w:left w:w="0" w:type="dxa"/>
          <w:bottom w:w="0" w:type="dxa"/>
          <w:right w:w="0" w:type="dxa"/>
        </w:tblCellMar>
      </w:tblPr>
      <w:tblGrid>
        <w:gridCol w:w="124"/>
        <w:gridCol w:w="2341"/>
      </w:tblGrid>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Compensation Committee:</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Chevy Humphrey (Chair)</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Jack A. Henry</w:t>
            </w:r>
          </w:p>
        </w:tc>
      </w:tr>
      <w:tr>
        <w:trPr/>
        <w:tc>
          <w:tcPr>
            <w:tcW w:w="124" w:type="dxa"/>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Sara Ward</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Lisa Graham Keegan</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5" w:name="PROPOSALNO3_912565"/>
      <w:bookmarkStart w:id="476" w:name="_e01048fa_a875_49e2_b0b9_f1fd8a027ac6"/>
      <w:bookmarkEnd w:id="475"/>
      <w:bookmarkEnd w:id="476"/>
      <w:r>
        <w:rPr>
          <w:rFonts w:ascii="Times New Roman;Times;serif" w:hAnsi="Times New Roman;Times;serif"/>
          <w:b/>
          <w:sz w:val="20"/>
        </w:rPr>
        <w:t>PROPOSAL NO. 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RATIFICATION OF INDEPENDENT REGISTERED PUBLIC ACCOUNTING FIRM</w:t>
      </w:r>
    </w:p>
    <w:tbl>
      <w:tblPr>
        <w:tblW w:w="10205" w:type="dxa"/>
        <w:jc w:val="left"/>
        <w:tblInd w:w="0" w:type="dxa"/>
        <w:tblLayout w:type="fixed"/>
        <w:tblCellMar>
          <w:top w:w="28" w:type="dxa"/>
          <w:left w:w="28" w:type="dxa"/>
          <w:bottom w:w="0" w:type="dxa"/>
          <w:right w:w="0" w:type="dxa"/>
        </w:tblCellMar>
      </w:tblPr>
      <w:tblGrid>
        <w:gridCol w:w="1814"/>
        <w:gridCol w:w="326"/>
        <w:gridCol w:w="8065"/>
      </w:tblGrid>
      <w:tr>
        <w:trPr/>
        <w:tc>
          <w:tcPr>
            <w:tcW w:w="1814" w:type="dxa"/>
            <w:tcBorders>
              <w:top w:val="single" w:sz="2" w:space="0" w:color="000000"/>
              <w:left w:val="single" w:sz="2" w:space="0" w:color="000000"/>
            </w:tcBorders>
            <w:vAlign w:val="center"/>
          </w:tcPr>
          <w:p>
            <w:pPr>
              <w:pStyle w:val="TableContents"/>
              <w:bidi w:val="0"/>
              <w:spacing w:before="0" w:after="0"/>
              <w:ind w:left="0" w:right="0" w:hanging="0"/>
              <w:jc w:val="left"/>
              <w:rPr/>
            </w:pPr>
            <w:r>
              <w:rPr/>
              <w:t>☐     </w:t>
            </w:r>
            <w:r>
              <w:rPr>
                <w:rFonts w:ascii="Times New Roman;Times;serif" w:hAnsi="Times New Roman;Times;serif"/>
                <w:b/>
                <w:i/>
                <w:sz w:val="20"/>
              </w:rPr>
              <w:t>What am I voting on?</w:t>
            </w:r>
          </w:p>
        </w:tc>
        <w:tc>
          <w:tcPr>
            <w:tcW w:w="326" w:type="dxa"/>
            <w:tcBorders>
              <w:top w:val="single" w:sz="2" w:space="0" w:color="000000"/>
            </w:tcBorders>
            <w:tcMar>
              <w:left w:w="0" w:type="dxa"/>
            </w:tcMar>
            <w:vAlign w:val="center"/>
          </w:tcPr>
          <w:p>
            <w:pPr>
              <w:pStyle w:val="TableContents"/>
              <w:bidi w:val="0"/>
              <w:spacing w:before="0" w:after="0"/>
              <w:ind w:left="0" w:right="0" w:hanging="0"/>
              <w:jc w:val="left"/>
              <w:rPr/>
            </w:pPr>
            <w:r>
              <w:rPr/>
              <w:t>    </w:t>
            </w:r>
          </w:p>
        </w:tc>
        <w:tc>
          <w:tcPr>
            <w:tcW w:w="8065" w:type="dxa"/>
            <w:tcBorders>
              <w:top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are being asked to ratify the appointment of KPMG LLP, a registered public accounting firm, to serve as the Company’s independent registered public accounting firm for the fiscal year ending December 31, 2024.</w:t>
            </w:r>
          </w:p>
        </w:tc>
      </w:tr>
      <w:tr>
        <w:trPr/>
        <w:tc>
          <w:tcPr>
            <w:tcW w:w="181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065"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814" w:type="dxa"/>
            <w:tcBorders>
              <w:left w:val="single" w:sz="2" w:space="0" w:color="000000"/>
            </w:tcBorders>
            <w:tcMar>
              <w:top w:w="0" w:type="dxa"/>
            </w:tcMar>
            <w:vAlign w:val="center"/>
          </w:tcPr>
          <w:p>
            <w:pPr>
              <w:pStyle w:val="TableContents"/>
              <w:bidi w:val="0"/>
              <w:spacing w:before="0" w:after="0"/>
              <w:ind w:left="0" w:right="0" w:hanging="0"/>
              <w:jc w:val="left"/>
              <w:rPr/>
            </w:pPr>
            <w:r>
              <w:rPr/>
              <w:t>☐     </w:t>
            </w:r>
            <w:r>
              <w:rPr>
                <w:rFonts w:ascii="Times New Roman;Times;serif" w:hAnsi="Times New Roman;Times;serif"/>
                <w:b/>
                <w:i/>
                <w:sz w:val="20"/>
              </w:rPr>
              <w:t>Voting recommendation:</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065"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Board of Directors unanimously recommends that you vote “FOR” the ratification of the appointment of KPMG LLP as our independent registered public accounting firm for the fiscal year ending December 31, 2024.</w:t>
            </w:r>
          </w:p>
        </w:tc>
      </w:tr>
      <w:tr>
        <w:trPr/>
        <w:tc>
          <w:tcPr>
            <w:tcW w:w="1814" w:type="dxa"/>
            <w:tcBorders>
              <w:left w:val="single" w:sz="2" w:space="0" w:color="000000"/>
            </w:tcBorders>
            <w:tcMar>
              <w:top w:w="0" w:type="dxa"/>
            </w:tcMar>
            <w:vAlign w:val="center"/>
          </w:tcPr>
          <w:p>
            <w:pPr>
              <w:pStyle w:val="TableContents"/>
              <w:bidi w:val="0"/>
              <w:spacing w:before="0" w:after="0"/>
              <w:ind w:left="0" w:right="0" w:hanging="0"/>
              <w:jc w:val="left"/>
              <w:rPr/>
            </w:pPr>
            <w:r>
              <w:rPr/>
              <w:t>​</w:t>
            </w:r>
          </w:p>
        </w:tc>
        <w:tc>
          <w:tcPr>
            <w:tcW w:w="326" w:type="dxa"/>
            <w:tcBorders/>
            <w:tcMar>
              <w:top w:w="0" w:type="dxa"/>
              <w:left w:w="0" w:type="dxa"/>
            </w:tcMar>
            <w:vAlign w:val="center"/>
          </w:tcPr>
          <w:p>
            <w:pPr>
              <w:pStyle w:val="TableContents"/>
              <w:bidi w:val="0"/>
              <w:spacing w:before="0" w:after="0"/>
              <w:ind w:left="0" w:right="0" w:hanging="0"/>
              <w:jc w:val="left"/>
              <w:rPr/>
            </w:pPr>
            <w:r>
              <w:rPr/>
              <w:t>​</w:t>
            </w:r>
          </w:p>
        </w:tc>
        <w:tc>
          <w:tcPr>
            <w:tcW w:w="8065" w:type="dxa"/>
            <w:tcBorders>
              <w:right w:val="single" w:sz="2" w:space="0" w:color="000000"/>
            </w:tcBorders>
            <w:tcMar>
              <w:top w:w="0" w:type="dxa"/>
              <w:left w:w="0" w:type="dxa"/>
              <w:right w:w="28" w:type="dxa"/>
            </w:tcMar>
            <w:vAlign w:val="center"/>
          </w:tcPr>
          <w:p>
            <w:pPr>
              <w:pStyle w:val="TableContents"/>
              <w:bidi w:val="0"/>
              <w:spacing w:before="0" w:after="0"/>
              <w:ind w:left="0" w:right="0" w:hanging="0"/>
              <w:jc w:val="left"/>
              <w:rPr/>
            </w:pPr>
            <w:r>
              <w:rPr/>
              <w:t>​</w:t>
            </w:r>
          </w:p>
        </w:tc>
      </w:tr>
      <w:tr>
        <w:trPr/>
        <w:tc>
          <w:tcPr>
            <w:tcW w:w="1814" w:type="dxa"/>
            <w:tcBorders>
              <w:left w:val="single" w:sz="2" w:space="0" w:color="000000"/>
              <w:bottom w:val="single" w:sz="2" w:space="0" w:color="000000"/>
            </w:tcBorders>
            <w:tcMar>
              <w:top w:w="0" w:type="dxa"/>
              <w:bottom w:w="28" w:type="dxa"/>
            </w:tcMar>
            <w:vAlign w:val="center"/>
          </w:tcPr>
          <w:p>
            <w:pPr>
              <w:pStyle w:val="TableContents"/>
              <w:bidi w:val="0"/>
              <w:spacing w:before="0" w:after="0"/>
              <w:ind w:left="0" w:right="0" w:hanging="0"/>
              <w:jc w:val="left"/>
              <w:rPr/>
            </w:pPr>
            <w:r>
              <w:rPr/>
              <w:t>☐     </w:t>
            </w:r>
            <w:r>
              <w:rPr>
                <w:rFonts w:ascii="Times New Roman;Times;serif" w:hAnsi="Times New Roman;Times;serif"/>
                <w:b/>
                <w:i/>
                <w:sz w:val="20"/>
              </w:rPr>
              <w:t>Vote required:</w:t>
            </w:r>
          </w:p>
        </w:tc>
        <w:tc>
          <w:tcPr>
            <w:tcW w:w="326" w:type="dxa"/>
            <w:tcBorders>
              <w:bottom w:val="single" w:sz="2" w:space="0" w:color="000000"/>
            </w:tcBorders>
            <w:tcMar>
              <w:top w:w="0" w:type="dxa"/>
              <w:left w:w="0" w:type="dxa"/>
              <w:bottom w:w="28" w:type="dxa"/>
            </w:tcMar>
            <w:vAlign w:val="center"/>
          </w:tcPr>
          <w:p>
            <w:pPr>
              <w:pStyle w:val="TableContents"/>
              <w:bidi w:val="0"/>
              <w:spacing w:before="0" w:after="0"/>
              <w:ind w:left="0" w:right="0" w:hanging="0"/>
              <w:jc w:val="left"/>
              <w:rPr/>
            </w:pPr>
            <w:r>
              <w:rPr/>
              <w:t>​</w:t>
            </w:r>
          </w:p>
        </w:tc>
        <w:tc>
          <w:tcPr>
            <w:tcW w:w="8065" w:type="dxa"/>
            <w:tcBorders>
              <w:bottom w:val="single" w:sz="2" w:space="0" w:color="000000"/>
              <w:right w:val="single" w:sz="2" w:space="0" w:color="000000"/>
            </w:tcBorders>
            <w:tcMar>
              <w:top w:w="0" w:type="dxa"/>
              <w:left w:w="0"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of the Board of Directors has selected KPMG LLP (“KPMG”), an independent registered public accounting firm, to audit our consolidated financial statements for the year ending December 31, 2024.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2024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2024.</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 representative of KPMG will be present at the meeting, will be afforded an opportunity to make a statement if the representative so desires, and will be available to respond to appropriate questions during the meeting.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b/>
          <w:sz w:val="20"/>
        </w:rPr>
        <w:t>Our Board of Directors unanimously recommends that the stockholders vote FOR</w:t>
      </w:r>
      <w:r>
        <w:rPr>
          <w:rFonts w:ascii="Times New Roman;Times;serif" w:hAnsi="Times New Roman;Times;serif"/>
          <w:sz w:val="20"/>
        </w:rPr>
        <w:t xml:space="preserve"> </w:t>
      </w:r>
      <w:r>
        <w:rPr>
          <w:rFonts w:ascii="Times New Roman;Times;serif" w:hAnsi="Times New Roman;Times;serif"/>
          <w:b/>
          <w:sz w:val="20"/>
        </w:rPr>
        <w:t>the ratification of the appointment of KPMG LLP as our independent registered public accounting firm for the fiscal year ending December 31, 2024.</w:t>
      </w:r>
    </w:p>
    <w:p>
      <w:pPr>
        <w:pStyle w:val="TextBody"/>
        <w:bidi w:val="0"/>
        <w:spacing w:before="0" w:after="120"/>
        <w:ind w:left="0" w:right="0" w:hanging="0"/>
        <w:jc w:val="left"/>
        <w:rPr>
          <w:rFonts w:ascii="Times New Roman;Times;serif" w:hAnsi="Times New Roman;Times;serif"/>
          <w:b/>
          <w:sz w:val="20"/>
        </w:rPr>
      </w:pPr>
      <w:bookmarkStart w:id="477" w:name="Fees_464615"/>
      <w:bookmarkEnd w:id="477"/>
      <w:r>
        <w:rPr>
          <w:rFonts w:ascii="Times New Roman;Times;serif" w:hAnsi="Times New Roman;Times;serif"/>
          <w:b/>
          <w:sz w:val="20"/>
        </w:rPr>
        <w:t>Fees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For the years ended December 31, 2023 and 2022,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tbl>
      <w:tblPr>
        <w:tblW w:w="4452" w:type="dxa"/>
        <w:jc w:val="left"/>
        <w:tblInd w:w="0" w:type="dxa"/>
        <w:tblLayout w:type="fixed"/>
        <w:tblCellMar>
          <w:top w:w="0" w:type="dxa"/>
          <w:left w:w="0" w:type="dxa"/>
          <w:bottom w:w="0" w:type="dxa"/>
          <w:right w:w="0" w:type="dxa"/>
        </w:tblCellMar>
      </w:tblPr>
      <w:tblGrid>
        <w:gridCol w:w="1681"/>
        <w:gridCol w:w="326"/>
        <w:gridCol w:w="211"/>
        <w:gridCol w:w="826"/>
        <w:gridCol w:w="326"/>
        <w:gridCol w:w="211"/>
        <w:gridCol w:w="871"/>
      </w:tblGrid>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Services Rendered</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81" w:type="dxa"/>
            <w:tcBorders>
              <w:top w:val="single" w:sz="2" w:space="0" w:color="000000"/>
            </w:tcBorders>
            <w:shd w:fill="CCEEFF" w:val="clear"/>
            <w:tcMar>
              <w:top w:w="28" w:type="dxa"/>
            </w:tcM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772,000 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745,000 </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  </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168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61,716 </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833,716 </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745,000 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 2023 and 2022 relate to services rendered for the audits of our annual consolidated financial statements including accounting and reporting consultations, for the review of our quarterly financial statements, and for services that are normally provided by the auditor in connection with statutory and regulatory filings or engagements.</w:t>
            </w:r>
          </w:p>
        </w:tc>
      </w:tr>
    </w:tbl>
    <w:tbl>
      <w:tblPr>
        <w:tblW w:w="7187" w:type="dxa"/>
        <w:jc w:val="left"/>
        <w:tblInd w:w="0" w:type="dxa"/>
        <w:tblLayout w:type="fixed"/>
        <w:tblCellMar>
          <w:top w:w="0" w:type="dxa"/>
          <w:left w:w="0" w:type="dxa"/>
          <w:bottom w:w="0" w:type="dxa"/>
          <w:right w:w="0" w:type="dxa"/>
        </w:tblCellMar>
      </w:tblPr>
      <w:tblGrid>
        <w:gridCol w:w="346"/>
        <w:gridCol w:w="68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8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Fees in 2023 relate to reimbursement for costs associated with legal requests.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478" w:name="ApprovalofIndependentRegisteredPublicAcc"/>
      <w:bookmarkEnd w:id="478"/>
      <w:r>
        <w:rPr>
          <w:rFonts w:ascii="Times New Roman;Times;serif" w:hAnsi="Times New Roman;Times;serif"/>
          <w:b/>
          <w:sz w:val="20"/>
        </w:rPr>
        <w:t>Approval of Independent Registered Public Accounting Firm Services and Fees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 a regular basis, management provides written updates to the Audit Committee regarding the amount of audit and non-audit service fees incurred to date. All of the services described above for fiscal years 2023 and 2022 were approved by our Audit Committee.</w:t>
      </w:r>
    </w:p>
    <w:p>
      <w:pPr>
        <w:pStyle w:val="TextBody"/>
        <w:bidi w:val="0"/>
        <w:spacing w:before="0" w:after="120"/>
        <w:ind w:left="0" w:right="0" w:hanging="0"/>
        <w:jc w:val="center"/>
        <w:rPr>
          <w:rFonts w:ascii="Times New Roman;Times;serif" w:hAnsi="Times New Roman;Times;serif"/>
          <w:b/>
          <w:sz w:val="20"/>
        </w:rPr>
      </w:pPr>
      <w:bookmarkStart w:id="479" w:name="AUDITCOMMITTEEREPORT_52457"/>
      <w:bookmarkStart w:id="480" w:name="_ce402336_9e22_4904_bac4_0367f6555e68"/>
      <w:bookmarkEnd w:id="479"/>
      <w:bookmarkEnd w:id="480"/>
      <w:r>
        <w:rPr>
          <w:rFonts w:ascii="Times New Roman;Times;serif" w:hAnsi="Times New Roman;Times;serif"/>
          <w:b/>
          <w:sz w:val="20"/>
        </w:rPr>
        <w:t>AUDIT COMMITTEE REPORT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The Audit Committee operates under a written charter adopted by the Board that outlines its responsibilities and the practices it follows. You can view the charter on the Company’s website, </w:t>
      </w:r>
      <w:r>
        <w:rPr>
          <w:rFonts w:ascii="Times New Roman;Times;serif" w:hAnsi="Times New Roman;Times;serif"/>
          <w:i/>
          <w:sz w:val="20"/>
        </w:rPr>
        <w:t>www.gce.com</w:t>
      </w:r>
      <w:r>
        <w:rPr>
          <w:rFonts w:ascii="Times New Roman;Times;serif" w:hAnsi="Times New Roman;Times;serif"/>
          <w:sz w:val="20"/>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Times New Roman;Times;serif" w:hAnsi="Times New Roman;Times;serif"/>
          <w:i/>
          <w:sz w:val="20"/>
        </w:rPr>
        <w:t>Committees of Our Board of Directors</w:t>
      </w:r>
      <w:r>
        <w:rPr>
          <w:rFonts w:ascii="Times New Roman;Times;serif" w:hAnsi="Times New Roman;Times;serif"/>
          <w:sz w:val="20"/>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is composed of five,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Mr. Jack A. Henry and Ms. Chevy Humphrey as “audit committee financial experts” under the SEC rules.</w:t>
      </w:r>
    </w:p>
    <w:p>
      <w:pPr>
        <w:pStyle w:val="TextBody"/>
        <w:bidi w:val="0"/>
        <w:spacing w:before="0" w:after="120"/>
        <w:ind w:left="0" w:right="0" w:hanging="0"/>
        <w:jc w:val="left"/>
        <w:rPr>
          <w:rFonts w:ascii="Times New Roman;Times;serif" w:hAnsi="Times New Roman;Times;serif"/>
          <w:b/>
          <w:sz w:val="20"/>
        </w:rPr>
      </w:pPr>
      <w:bookmarkStart w:id="481" w:name="PrimaryResponsibilitiesoftheAuditCommitt"/>
      <w:bookmarkEnd w:id="481"/>
      <w:r>
        <w:rPr>
          <w:rFonts w:ascii="Times New Roman;Times;serif" w:hAnsi="Times New Roman;Times;serif"/>
          <w:b/>
          <w:sz w:val="20"/>
        </w:rPr>
        <w:t>Primary Responsibilities of the Audit Committee and the Audit Committee’s Activities in 2023</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regulatory compliance and cybersecurity, among others), and the processes in place to monitor and control such exposures.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During 2023, among other things, the Audit Committee:</w:t>
      </w:r>
    </w:p>
    <w:tbl>
      <w:tblPr>
        <w:tblW w:w="4206" w:type="dxa"/>
        <w:jc w:val="left"/>
        <w:tblInd w:w="0" w:type="dxa"/>
        <w:tblLayout w:type="fixed"/>
        <w:tblCellMar>
          <w:top w:w="28" w:type="dxa"/>
          <w:left w:w="28" w:type="dxa"/>
          <w:bottom w:w="28" w:type="dxa"/>
          <w:right w:w="28" w:type="dxa"/>
        </w:tblCellMar>
      </w:tblPr>
      <w:tblGrid>
        <w:gridCol w:w="124"/>
        <w:gridCol w:w="256"/>
        <w:gridCol w:w="3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Engaged KPMG as our independent auditors;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 involved in the selection of the lead engagement partner and negotiation of audit fees;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tenure of the independent audit firm;</w:t>
            </w:r>
          </w:p>
        </w:tc>
      </w:tr>
    </w:tbl>
    <w:tbl>
      <w:tblPr>
        <w:tblW w:w="9666" w:type="dxa"/>
        <w:jc w:val="left"/>
        <w:tblInd w:w="0" w:type="dxa"/>
        <w:tblLayout w:type="fixed"/>
        <w:tblCellMar>
          <w:top w:w="28" w:type="dxa"/>
          <w:left w:w="28" w:type="dxa"/>
          <w:bottom w:w="28" w:type="dxa"/>
          <w:right w:w="28" w:type="dxa"/>
        </w:tblCellMar>
      </w:tblPr>
      <w:tblGrid>
        <w:gridCol w:w="124"/>
        <w:gridCol w:w="256"/>
        <w:gridCol w:w="9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 with the senior members of the Company’s financial management team at each regularly scheduled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 separate private sessions, during its regularly scheduled meetings, with each of KPMG and our Chief Risk Officer, at which candid discussions regarding financial management, legal, accounting, auditing and internal control issues took place;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Discussed with KPMG the Company’s internal control assessment process, management’s assessment with respect thereto and KPMG’s evaluation of the Company’s system of internal control over financial reporting;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and discussed with management and KPMG the Company’s periodic reports prior to filing with the SEC, including matters such as significant accounting policies, management judgements and accounting estimates;</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the Company’s internal audit plan and the performance of the Company’s internal audit function;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with management, including our Chief Risk Officer, Chief Information Security Officer and General Counsel, and KPMG significant risks and exposures identified by management, the overall adequacy and effectiveness of the Company’s legal, regulatory and ethical compliance programs, including the Company’s code of conduct, cybersecurity programs and climate-related risks for the Company.</w:t>
            </w:r>
          </w:p>
        </w:tc>
      </w:tr>
    </w:tbl>
    <w:p>
      <w:pPr>
        <w:pStyle w:val="TextBody"/>
        <w:bidi w:val="0"/>
        <w:spacing w:before="0" w:after="120"/>
        <w:ind w:left="0" w:right="0" w:hanging="0"/>
        <w:jc w:val="left"/>
        <w:rPr>
          <w:rFonts w:ascii="Times New Roman;Times;serif" w:hAnsi="Times New Roman;Times;serif"/>
          <w:b/>
          <w:sz w:val="20"/>
        </w:rPr>
      </w:pPr>
      <w:bookmarkStart w:id="482" w:name="a2019AuditedFinancialStatements_445903"/>
      <w:bookmarkEnd w:id="482"/>
      <w:r>
        <w:rPr>
          <w:rFonts w:ascii="Times New Roman;Times;serif" w:hAnsi="Times New Roman;Times;serif"/>
          <w:b/>
          <w:sz w:val="20"/>
        </w:rPr>
        <w:t>2023 Audited Financial Statements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We have (a) reviewed and discussed our Company’s audited financial statements for the fiscal year ended December 31, 2023, with management; (b) discussed with our Company’s independent registered public accounting firm the matters required to be discussed by Public Company Oversight Board (PCAOB) Auditing Standard Number 1301, </w:t>
      </w:r>
      <w:r>
        <w:rPr>
          <w:rFonts w:ascii="Times New Roman;Times;serif" w:hAnsi="Times New Roman;Times;serif"/>
          <w:i/>
          <w:sz w:val="20"/>
        </w:rPr>
        <w:t>Communications with Audit Committees</w:t>
      </w:r>
      <w:r>
        <w:rPr>
          <w:rFonts w:ascii="Times New Roman;Times;serif" w:hAnsi="Times New Roman;Times;serif"/>
          <w:sz w:val="20"/>
        </w:rPr>
        <w:t xml:space="preserve"> (PCAOB General Auditing Standards 1300, </w:t>
      </w:r>
      <w:r>
        <w:rPr>
          <w:rFonts w:ascii="Times New Roman;Times;serif" w:hAnsi="Times New Roman;Times;serif"/>
          <w:i/>
          <w:sz w:val="20"/>
        </w:rPr>
        <w:t>Auditor Communications</w:t>
      </w:r>
      <w:r>
        <w:rPr>
          <w:rFonts w:ascii="Times New Roman;Times;serif" w:hAnsi="Times New Roman;Times;serif"/>
          <w:sz w:val="20"/>
        </w:rPr>
        <w:t>); (c) received the written disclosures and presentation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2023, for filing with the Securities and Exchange Commission.</w:t>
      </w:r>
    </w:p>
    <w:tbl>
      <w:tblPr>
        <w:tblW w:w="2045" w:type="dxa"/>
        <w:jc w:val="left"/>
        <w:tblInd w:w="0" w:type="dxa"/>
        <w:tblLayout w:type="fixed"/>
        <w:tblCellMar>
          <w:top w:w="0" w:type="dxa"/>
          <w:left w:w="0" w:type="dxa"/>
          <w:bottom w:w="0" w:type="dxa"/>
          <w:right w:w="0" w:type="dxa"/>
        </w:tblCellMar>
      </w:tblPr>
      <w:tblGrid>
        <w:gridCol w:w="124"/>
        <w:gridCol w:w="1921"/>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w:t>
            </w:r>
          </w:p>
        </w:tc>
      </w:tr>
      <w:tr>
        <w:trPr/>
        <w:tc>
          <w:tcPr>
            <w:tcW w:w="124"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Jack A. Henry (Chair)</w:t>
            </w:r>
          </w:p>
        </w:tc>
      </w:tr>
      <w:tr>
        <w:trPr/>
        <w:tc>
          <w:tcPr>
            <w:tcW w:w="124"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Sara Ward</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Lisa Graham Keegan</w:t>
            </w:r>
          </w:p>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Chevy Humphrey</w:t>
            </w:r>
          </w:p>
        </w:tc>
      </w:tr>
      <w:tr>
        <w:trPr/>
        <w:tc>
          <w:tcPr>
            <w:tcW w:w="124"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83" w:name="BENEFICIALOWNERSHIPOFCOMMONSTOCK_351108"/>
      <w:bookmarkStart w:id="484" w:name="_ac6c152b_7806_4e54_a2df_4eb99ab296b6"/>
      <w:bookmarkEnd w:id="483"/>
      <w:bookmarkEnd w:id="484"/>
      <w:r>
        <w:rPr>
          <w:rFonts w:ascii="Times New Roman;Times;serif" w:hAnsi="Times New Roman;Times;serif"/>
          <w:b/>
          <w:sz w:val="20"/>
        </w:rPr>
        <w:t>BENEFICIAL OWNERSHIP OF COMMON STOCK</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following table sets forth information regarding the beneficial ownership of our common stock as of March 31, 2024 for:</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to us to own beneficially 5% or more of our outstanding common stock;</w:t>
            </w:r>
          </w:p>
        </w:tc>
      </w:tr>
    </w:tbl>
    <w:tbl>
      <w:tblPr>
        <w:tblW w:w="2241" w:type="dxa"/>
        <w:jc w:val="left"/>
        <w:tblInd w:w="0" w:type="dxa"/>
        <w:tblLayout w:type="fixed"/>
        <w:tblCellMar>
          <w:top w:w="28" w:type="dxa"/>
          <w:left w:w="28" w:type="dxa"/>
          <w:bottom w:w="28" w:type="dxa"/>
          <w:right w:w="28" w:type="dxa"/>
        </w:tblCellMar>
      </w:tblPr>
      <w:tblGrid>
        <w:gridCol w:w="124"/>
        <w:gridCol w:w="256"/>
        <w:gridCol w:w="1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named executive officers as a group.</w:t>
            </w:r>
          </w:p>
        </w:tc>
      </w:tr>
    </w:tbl>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calculations of beneficial ownership in this table are based on 29,839,253 shares outstanding at March 31, 2024</w:t>
      </w:r>
      <w:r>
        <w:rPr>
          <w:rFonts w:ascii="Times New Roman;Times;serif" w:hAnsi="Times New Roman;Times;serif"/>
          <w:b/>
          <w:sz w:val="20"/>
        </w:rPr>
        <w:t>.</w:t>
      </w:r>
    </w:p>
    <w:tbl>
      <w:tblPr>
        <w:tblW w:w="9101" w:type="dxa"/>
        <w:jc w:val="left"/>
        <w:tblInd w:w="0" w:type="dxa"/>
        <w:tblLayout w:type="fixed"/>
        <w:tblCellMar>
          <w:top w:w="0" w:type="dxa"/>
          <w:left w:w="0" w:type="dxa"/>
          <w:bottom w:w="0" w:type="dxa"/>
          <w:right w:w="0" w:type="dxa"/>
        </w:tblCellMar>
      </w:tblPr>
      <w:tblGrid>
        <w:gridCol w:w="4951"/>
        <w:gridCol w:w="326"/>
        <w:gridCol w:w="1756"/>
        <w:gridCol w:w="326"/>
        <w:gridCol w:w="1426"/>
        <w:gridCol w:w="316"/>
      </w:tblGrid>
      <w:tr>
        <w:trPr/>
        <w:tc>
          <w:tcPr>
            <w:tcW w:w="4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and Nature of</w:t>
              <w:br/>
              <w:t>Beneficial Ownership</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    </w:t>
            </w:r>
          </w:p>
        </w:tc>
        <w:tc>
          <w:tcPr>
            <w:tcW w:w="1426" w:type="dxa"/>
            <w:tcBorders>
              <w:top w:val="single" w:sz="2" w:space="0" w:color="000000"/>
              <w:bottom w:val="single" w:sz="2" w:space="0" w:color="000000"/>
            </w:tcBorders>
            <w:tcMar>
              <w:top w:w="28" w:type="dxa"/>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Percent of Class</w:t>
            </w:r>
            <w:r>
              <w:rPr>
                <w:rFonts w:ascii="Times New Roman;Times;serif" w:hAnsi="Times New Roman;Times;serif"/>
                <w:b/>
                <w:sz w:val="12"/>
              </w:rPr>
              <w:t>(1)</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Stockholders:</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The Vanguard Group– 23-1945930</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3,003,213 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BlackRock, Inc.</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2,993,921 </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Riverbridge Partners LLC</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1,845,730 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Named Executive Officers:</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Brian E. Mueller </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307,733 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Dr. W. Stan Meyer </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111,798 </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Daniel E. Bachus </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117,710 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Dilek Marsh</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27,174 </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Daniel J. Briggs</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24,609 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Sara Ward</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4,711 </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Jack A. Henry</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Graham Keegan</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2,905 </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Chevy Humphrey</w:t>
            </w:r>
          </w:p>
        </w:tc>
        <w:tc>
          <w:tcPr>
            <w:tcW w:w="32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3,345 </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All directors and executive officers as a group (9 persons)</w:t>
            </w:r>
          </w:p>
        </w:tc>
        <w:tc>
          <w:tcPr>
            <w:tcW w:w="326"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614,767 </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4427" w:type="dxa"/>
        <w:jc w:val="left"/>
        <w:tblInd w:w="0" w:type="dxa"/>
        <w:tblLayout w:type="fixed"/>
        <w:tblCellMar>
          <w:top w:w="0" w:type="dxa"/>
          <w:left w:w="0" w:type="dxa"/>
          <w:bottom w:w="0" w:type="dxa"/>
          <w:right w:w="0" w:type="dxa"/>
        </w:tblCellMar>
      </w:tblPr>
      <w:tblGrid>
        <w:gridCol w:w="226"/>
        <w:gridCol w:w="4201"/>
      </w:tblGrid>
      <w:tr>
        <w:trPr/>
        <w:tc>
          <w:tcPr>
            <w:tcW w:w="226"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t>
            </w:r>
          </w:p>
        </w:tc>
        <w:tc>
          <w:tcPr>
            <w:tcW w:w="420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Represents beneficial ownership of less than 0.1%</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 </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information for the Vanguard Group – 23-1945930 (“Vanguard”) is based on a Schedule 13G/A filed with the Securities and Exchange Commission on March 11, 2024. The address for Vanguard is 100 Vanguard Blvd.,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Malvern, PA 19355. Vanguard reported that it had sole voting power over 0 shares, shared voting power over 11,657 shares, sole dispositive power over 2,959,976 shares, and shared dispositive power over 43,237 shares.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BlackRock, Inc. (“BlackRock”) is based on a Schedule 13G/A filed with the Securities and Exchange Commission on January 24, 2024. The address for BlackRock is 50 Hudson Yards, New York, NY 10001. BlackRock reported that it had sole voting power over 2,778,657 shares, shared voting power over 0 shares, sole dispositive power over 2,993,921 shares, and shared dispositive power over 0 shares.</w:t>
            </w:r>
          </w:p>
        </w:tc>
      </w:tr>
    </w:tbl>
    <w:p>
      <w:pPr>
        <w:pStyle w:val="Normal"/>
        <w:bidi w:val="0"/>
        <w:spacing w:before="0" w:after="0"/>
        <w:jc w:val="left"/>
        <w:rPr>
          <w:sz w:val="4"/>
          <w:szCs w:val="4"/>
        </w:rPr>
      </w:pPr>
      <w:r>
        <w:rPr>
          <w:sz w:val="4"/>
          <w:szCs w:val="4"/>
        </w:rPr>
      </w:r>
      <w:bookmarkStart w:id="485" w:name="_cp_text_1_388"/>
      <w:bookmarkStart w:id="486" w:name="_cp_text_1_387"/>
      <w:bookmarkStart w:id="487" w:name="_cp_text_1_388"/>
      <w:bookmarkStart w:id="488" w:name="_cp_text_1_387"/>
      <w:bookmarkEnd w:id="487"/>
      <w:bookmarkEnd w:id="488"/>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for Riverbridge Partners LLC (“Riverbridge”) is based on a Schedule 13G/A filed with the Securities and Exchange Commission on February 14, 2024. The address for Riverbridge is 80 South Eighth St., Suite 1500, Minneapolis, MN 55402. Riverbridge reported that it had sole voting power over 1,362,207 shares, shared voting power over 0 shares, sole dispositive power over 1,845,730 shares, and shared dispositive power over 0 shares.</w:t>
            </w:r>
          </w:p>
        </w:tc>
      </w:tr>
    </w:tbl>
    <w:p>
      <w:pPr>
        <w:pStyle w:val="TextBody"/>
        <w:bidi w:val="0"/>
        <w:spacing w:before="0" w:after="120"/>
        <w:ind w:left="0" w:right="0" w:hanging="0"/>
        <w:jc w:val="center"/>
        <w:rPr>
          <w:rFonts w:ascii="Times New Roman;Times;serif" w:hAnsi="Times New Roman;Times;serif"/>
          <w:b/>
          <w:sz w:val="20"/>
        </w:rPr>
      </w:pPr>
      <w:bookmarkStart w:id="489" w:name="CERTAINRELATIONSHIPSANDRELATEDTRANSACTIO"/>
      <w:bookmarkStart w:id="490" w:name="_22e557f8_6070_4658_ac65_724bea399923"/>
      <w:bookmarkEnd w:id="489"/>
      <w:bookmarkEnd w:id="490"/>
      <w:r>
        <w:rPr>
          <w:rFonts w:ascii="Times New Roman;Times;serif" w:hAnsi="Times New Roman;Times;serif"/>
          <w:b/>
          <w:sz w:val="20"/>
        </w:rPr>
        <w:t>CERTAIN RELATIONSHIPS AND RELATED TRANSACTIONS</w:t>
      </w:r>
    </w:p>
    <w:p>
      <w:pPr>
        <w:pStyle w:val="TextBody"/>
        <w:bidi w:val="0"/>
        <w:spacing w:before="0" w:after="120"/>
        <w:ind w:left="0" w:right="0" w:hanging="0"/>
        <w:jc w:val="left"/>
        <w:rPr>
          <w:rFonts w:ascii="Times New Roman;Times;serif" w:hAnsi="Times New Roman;Times;serif"/>
          <w:b/>
          <w:sz w:val="20"/>
        </w:rPr>
      </w:pPr>
      <w:bookmarkStart w:id="491" w:name="PoliciesandProceduresforRelatedPartyTran"/>
      <w:bookmarkEnd w:id="491"/>
      <w:r>
        <w:rPr>
          <w:rFonts w:ascii="Times New Roman;Times;serif" w:hAnsi="Times New Roman;Times;serif"/>
          <w:b/>
          <w:sz w:val="20"/>
        </w:rPr>
        <w:t>Policies and Procedures for Related Party Transactions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Relationship to Grand Canyon University</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Mr. Brian E. Mueller has served as the Chief Executive Officer of the Company since 2008 and the Chairman of the Board of the Company since 2017 and has also served as the President of GCU since 2012. In connection with the sale of GCU to Grand Canyon University, an Arizona non-profit corporation, in 2018, the Board of Directors of the Company and the board of trustees of GCU each independently determined that Mr. Mueller should retain those roles. Accordingly, Mr. Mueller remains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sale of GCU,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the Company and GCU relating to, the Master Services Agreement. Aside from Mr. Mueller, no other employee of GCU or GCE has a dual role in both organizations. Beginning July 1, 2018, the base salary under Mr. Mueller’s employment agreement with the Company was decreased by 50% to $321,000, reflecting his dual employment by GCE and GCU.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pStyle w:val="TextBody"/>
        <w:bidi w:val="0"/>
        <w:spacing w:before="0" w:after="120"/>
        <w:ind w:left="0" w:right="0" w:hanging="0"/>
        <w:jc w:val="left"/>
        <w:rPr>
          <w:rFonts w:ascii="Times New Roman;Times;serif" w:hAnsi="Times New Roman;Times;serif"/>
          <w:b/>
          <w:sz w:val="20"/>
        </w:rPr>
      </w:pPr>
      <w:bookmarkStart w:id="492" w:name="CertainTransactions_743659"/>
      <w:bookmarkEnd w:id="492"/>
      <w:r>
        <w:rPr>
          <w:rFonts w:ascii="Times New Roman;Times;serif" w:hAnsi="Times New Roman;Times;serif"/>
          <w:b/>
          <w:sz w:val="20"/>
        </w:rPr>
        <w:t>Certain Transactions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Set forth below is a summary of certain transactions since January 1, 2022,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i/>
          <w:sz w:val="20"/>
        </w:rPr>
        <w:t>GCE Community Fund (“GCECF”)</w:t>
      </w:r>
      <w:r>
        <w:rPr>
          <w:rFonts w:ascii="Times New Roman;Times;serif" w:hAnsi="Times New Roman;Times;serif"/>
          <w:sz w:val="20"/>
        </w:rPr>
        <w:t xml:space="preserve"> – GCECF was initially formed in 2014. GCECF makes grants for charitable, educational, literary, religious or scientific purposes within the meaning of Section 501(c )(3) of the Internal Revenue Code. Mr. Mueller serves as the president of GCECF, and the board of directors of GCECF is composed of Company executives. The Company is not the primary beneficiary of GCECF, and accordingly, the Company does not consolidate GCECF’s statement of activities with its financial results. The Company contributed $1.7 million for the year ended December 31, 2023, of which no amounts were owed at December 31, 2023.</w:t>
      </w:r>
    </w:p>
    <w:p>
      <w:pPr>
        <w:pStyle w:val="TextBody"/>
        <w:bidi w:val="0"/>
        <w:spacing w:before="0" w:after="120"/>
        <w:ind w:left="0" w:right="0" w:hanging="0"/>
        <w:jc w:val="center"/>
        <w:rPr>
          <w:rFonts w:ascii="Times New Roman;Times;serif" w:hAnsi="Times New Roman;Times;serif"/>
          <w:b/>
          <w:sz w:val="20"/>
        </w:rPr>
      </w:pPr>
      <w:bookmarkStart w:id="493" w:name="HOUSEHOLDINGOFPROXYMATERIALS_178462"/>
      <w:bookmarkStart w:id="494" w:name="_9a9353c5_3d71_42b2_9180_0c7f4e099c9b"/>
      <w:bookmarkEnd w:id="493"/>
      <w:bookmarkEnd w:id="494"/>
      <w:r>
        <w:rPr>
          <w:rFonts w:ascii="Times New Roman;Times;serif" w:hAnsi="Times New Roman;Times;serif"/>
          <w:b/>
          <w:sz w:val="20"/>
        </w:rPr>
        <w:t>HOUSEHOLDING OF PROXY MATERIALS</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247-4400.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95" w:name="ADDITIONALINFORMATION_301982"/>
      <w:bookmarkStart w:id="496" w:name="_9d0970b0_0d32_4f8a_bd3f_2a081a5cca5c"/>
      <w:bookmarkEnd w:id="495"/>
      <w:bookmarkEnd w:id="496"/>
      <w:r>
        <w:rPr>
          <w:rFonts w:ascii="Times New Roman;Times;serif" w:hAnsi="Times New Roman;Times;serif"/>
          <w:b/>
          <w:sz w:val="20"/>
        </w:rPr>
        <w:t>ADDITIONAL INFORMATION</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 xml:space="preserve">Our 2023 annual report and our Annual Report on Form 10-K for fiscal year 2023, including financial statements, are available electronically along with our proxy statement to all stockholders of record as of April 18, 2024, including those stockholders whose shares are held in a brokerage, bank or similar account, who will receive the same mailing from the organization holding the account. </w:t>
      </w:r>
      <w:r>
        <w:rPr>
          <w:rFonts w:ascii="Times New Roman;Times;serif" w:hAnsi="Times New Roman;Times;serif"/>
          <w:b/>
          <w:sz w:val="20"/>
        </w:rPr>
        <w:t>Stockholders who wish to obtain a copy of our Annual Report on Form 10-K, for the fiscal year ended December 31, 2023, and our proxy statement may do so without charge by writing to Investor Relations, Grand Canyon Education, Inc., 2600 W. Camelback Road, Phoenix, Arizona 85017.</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tbl>
      <w:tblPr>
        <w:tblW w:w="3410" w:type="dxa"/>
        <w:jc w:val="left"/>
        <w:tblInd w:w="0" w:type="dxa"/>
        <w:tblLayout w:type="fixed"/>
        <w:tblCellMar>
          <w:top w:w="0" w:type="dxa"/>
          <w:left w:w="0" w:type="dxa"/>
          <w:bottom w:w="0" w:type="dxa"/>
          <w:right w:w="0" w:type="dxa"/>
        </w:tblCellMar>
      </w:tblPr>
      <w:tblGrid>
        <w:gridCol w:w="3256"/>
        <w:gridCol w:w="154"/>
      </w:tblGrid>
      <w:tr>
        <w:trPr/>
        <w:tc>
          <w:tcPr>
            <w:tcW w:w="3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tc>
        <w:tc>
          <w:tcPr>
            <w:tcW w:w="154"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E. Mueller</w:t>
            </w:r>
          </w:p>
        </w:tc>
        <w:tc>
          <w:tcPr>
            <w:tcW w:w="154"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 and Chairman</w:t>
            </w:r>
          </w:p>
        </w:tc>
        <w:tc>
          <w:tcPr>
            <w:tcW w:w="154"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April 26, 2024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tbl>
      <w:tblPr>
        <w:tblW w:w="12995" w:type="dxa"/>
        <w:jc w:val="left"/>
        <w:tblInd w:w="0" w:type="dxa"/>
        <w:tblLayout w:type="fixed"/>
        <w:tblCellMar>
          <w:top w:w="0" w:type="dxa"/>
          <w:left w:w="0" w:type="dxa"/>
          <w:bottom w:w="0" w:type="dxa"/>
          <w:right w:w="0" w:type="dxa"/>
        </w:tblCellMar>
      </w:tblPr>
      <w:tblGrid>
        <w:gridCol w:w="12735"/>
        <w:gridCol w:w="26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1"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Using a black ink pen, mark your votes with an X as shown in this example. Please do not write outside the designated areas. Your vote matters – here’s how to vote! You may vote online or by phone instead of mailing this card. Votes submitted electronically must be received by 11:00 p.m., Pacific Time, on Tuesday, June 11, 2024. Online Go to www.envisionreports.com/LOPE or scan the QR code — login details are located in the shaded bar below. Phone Call toll free 1-800-652-VOTE (8683) within the USA, US territories and Canada Save paper, time and money! Sign up for electronic delivery at www.envisionreports.com/LOPE IF VOTING BY MAIL, SIGN, DETACH AND RETURN THE BOTTOM PORTION IN THE ENCLOSED ENVELOPE. 1. Election of Directors: For Against Abstain For Against Abstain For Against Abstain 01 - Brian E. Mueller 04 - Lisa Graham Keegan 02 - Sara Ward 05 - Chevy Humphrey 03 - Jack A. Henry 06 - Kevin F. Warren The Board of Directors recommends a vote FOR Proposals 2 and 3. 2. To approve, on an advisory basis, the compensation of our named executive officers as disclosed in the Proxy Statement. For Against Abstain 3. To ratify the appointment of KPMG LLP as our independent registered public accounting firm for the fiscal year ending December 31, 2024. For Against Abstain Please sign exactly as your name(s) appear on the proxy. If held in joint tenancy, all persons must sign. Trustee, administrators, etc., should include title and authority. Corporations should provide the full name of corporation and the title of the authorized officer signing the proxy. Date (mm/dd/yyyy) — Please print date below. Signature 1 — Please keep signature within the box. Signature 2 — Please keep signature within the box. 03ZUJC Authorized Signatures — This section must be completed for your vote to count. Please date and sign below. 2024 Annual Meeting Proxy Card A Proposals — The Board of Directors recommends a vote FOR all the nominees listed. B </w:t>
            </w:r>
          </w:p>
        </w:tc>
      </w:tr>
    </w:tbl>
    <w:tbl>
      <w:tblPr>
        <w:tblW w:w="12995" w:type="dxa"/>
        <w:jc w:val="left"/>
        <w:tblInd w:w="0" w:type="dxa"/>
        <w:tblLayout w:type="fixed"/>
        <w:tblCellMar>
          <w:top w:w="0" w:type="dxa"/>
          <w:left w:w="0" w:type="dxa"/>
          <w:bottom w:w="0" w:type="dxa"/>
          <w:right w:w="0" w:type="dxa"/>
        </w:tblCellMar>
      </w:tblPr>
      <w:tblGrid>
        <w:gridCol w:w="12735"/>
        <w:gridCol w:w="260"/>
      </w:tblGrid>
      <w:tr>
        <w:trPr/>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2"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26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Annual Meeting of Stockholders Wednesday, June 12, 2024 10:30 a.m. Arizona time Grand Canyon Education, Inc. 2600 W. Camelback Road Phoenix, Arizona 85017 Important Notice Regarding the Availability of Proxy Materials for the Stockholder Meeting to Be Held on June 12, 2024. This proxy statement and our annual report for the year ended December 31, 2023, are available and may be viewed at: www.edocumentview.com/LOPE IF VOTING BY MAIL, SIGN, DETACH AND RETURN THE BOTTOM PORTION IN THE ENCLOSED ENVELOPE. Notice of 2024 Annual Meeting of Stockholders Grand Canyon Education, Inc. 2600 W. Camelback Road Phoenix, Arizona 85017 Proxy Solicited by Board of Directors for Annual Meeting — Wednesday, June 12, 2024 Brian E. Mueller, Daniel E. Bachus, and Sarah S. Collins, or any of them, each with the power of substitution, are hereby authorized to represent and vote the shares of the undersigned, with all the powers which the undersigned would possess if personally present, at the Annual Meeting of Stockholders of Grand Canyon Education, Inc. to be held on Wednesday, June 12, 2024 or at any postponement or adjournment thereof. THIS PROXY WHEN PROPERLY EXECUTED WILL BE VOTED AS DIRECTED OR, IF NO DIRECTION IS GIVEN, WILL BE VOTED “FOR” EACH OF THE NOMINEES LISTED ON THE REVERSE SIDE OF THIS PROXY CARD AND “FOR” PROPOSALS 2 AND 3. In their discretion, the Proxies are authorized to vote upon such other business as may properly come before the meeting. (Items to be voted appear on reverse side) Change of Address — Please print new address below. Comments — Please print your comments below. Small steps make an impact. Help the environment by consenting to receive electronic delivery, sign up at www.envisionreports.com/LOPE Grand Canyon Education, Inc. C Non-Voting Items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33419</Words>
  <Characters>182092</Characters>
  <CharactersWithSpaces>216057</CharactersWithSpaces>
  <Paragraphs>4359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