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531495</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111125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u w:val="single" w:color="auto"/>
          <w:color w:val="auto"/>
        </w:rPr>
        <w:t>Submission of Matters to a Vote of Security Holders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10, 2025, Grand Canyon Education, Inc. (the “Company”) held its 2025 Annual Meeting of Stockholders (the “Annual Meeting”). The total number of shares of the Company’s common stock, par value of $0.01 per share, that voted in person or by proxy at the Annual Meeting was 25,792,336, representing approximately 90.7% of the 28,425,849 shares that were outstanding and entitled to vote as of April 16, 2025, the record date for the Annual Meeting. The following matters, which were described in the Company’s definitive Proxy Statement filed with the Securities and Exchange Commission on April 16, 2025, were voted upon at the Annual Meeting, and the number of votes cast for and against, as well as abstentions and broker non-votes, if applicable, with respect to each such matter is set forth below.</w:t>
      </w:r>
    </w:p>
    <w:p>
      <w:pPr>
        <w:spacing w:after="0" w:line="189" w:lineRule="exact"/>
        <w:rPr>
          <w:sz w:val="20"/>
          <w:szCs w:val="20"/>
          <w:color w:val="auto"/>
        </w:rPr>
      </w:pPr>
    </w:p>
    <w:p>
      <w:pPr>
        <w:jc w:val="both"/>
        <w:ind w:left="680" w:hanging="321"/>
        <w:spacing w:after="0" w:line="266"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nominees listed below as directors of the Company, each to serve until the Company’s 2026 annual meeting of stockholders or until his or her respective successor is elected and qualified or until his or her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For</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23,575,823</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1,281,830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54,055</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880,628</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Ward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23,455,759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1,350,962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880,628</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23,345,079</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880,628</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Graham Keegan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23,992,955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863,935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880,628</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Chevy Humphrey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24,161,773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644,948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880,628</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24,365,871</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440,763</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105,074</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880,628</w:t>
            </w:r>
          </w:p>
        </w:tc>
      </w:tr>
    </w:tbl>
    <w:p>
      <w:pPr>
        <w:spacing w:after="0" w:line="179" w:lineRule="exact"/>
        <w:rPr>
          <w:sz w:val="20"/>
          <w:szCs w:val="20"/>
          <w:color w:val="auto"/>
        </w:rPr>
      </w:pPr>
    </w:p>
    <w:p>
      <w:pPr>
        <w:ind w:left="360"/>
        <w:spacing w:after="0"/>
        <w:tabs>
          <w:tab w:leader="none" w:pos="6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stockholders approved, on an advisory basis, the compensation of the Company’s named executive officers.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8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3060" w:type="dxa"/>
            <w:vAlign w:val="bottom"/>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Broker Non Votes</w:t>
            </w:r>
          </w:p>
        </w:tc>
      </w:tr>
      <w:tr>
        <w:trPr>
          <w:trHeight w:val="210"/>
        </w:trPr>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23,291,624</w:t>
            </w:r>
          </w:p>
        </w:tc>
        <w:tc>
          <w:tcPr>
            <w:tcW w:w="3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1,563,362</w:t>
            </w:r>
          </w:p>
        </w:tc>
        <w:tc>
          <w:tcPr>
            <w:tcW w:w="3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56,722</w:t>
            </w:r>
          </w:p>
        </w:tc>
        <w:tc>
          <w:tcPr>
            <w:tcW w:w="38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880,628</w:t>
            </w:r>
          </w:p>
        </w:tc>
      </w:tr>
    </w:tbl>
    <w:p>
      <w:pPr>
        <w:spacing w:after="0" w:line="198" w:lineRule="exact"/>
        <w:rPr>
          <w:sz w:val="20"/>
          <w:szCs w:val="20"/>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KPMG LLP as the Company’s independent registered public accounting firm for the fiscal year ending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For</w:t>
            </w:r>
          </w:p>
        </w:tc>
        <w:tc>
          <w:tcPr>
            <w:tcW w:w="322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5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3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25,434,465</w:t>
            </w:r>
          </w:p>
        </w:tc>
        <w:tc>
          <w:tcPr>
            <w:tcW w:w="58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303,594</w:t>
            </w:r>
          </w:p>
        </w:tc>
        <w:tc>
          <w:tcPr>
            <w:tcW w:w="6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54,277</w:t>
            </w:r>
          </w:p>
        </w:tc>
        <w:tc>
          <w:tcPr>
            <w:tcW w:w="280" w:type="dxa"/>
            <w:vAlign w:val="bottom"/>
          </w:tcPr>
          <w:p>
            <w:pPr>
              <w:spacing w:after="0"/>
              <w:rPr>
                <w:sz w:val="18"/>
                <w:szCs w:val="18"/>
                <w:color w:val="auto"/>
              </w:rPr>
            </w:pPr>
          </w:p>
        </w:tc>
      </w:tr>
      <w:tr>
        <w:trPr>
          <w:trHeight w:val="1006"/>
        </w:trPr>
        <w:tc>
          <w:tcPr>
            <w:tcW w:w="3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6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2025</w:t>
            </w: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178"/>
        </w:trPr>
        <w:tc>
          <w:tcPr>
            <w:tcW w:w="3440" w:type="dxa"/>
            <w:vAlign w:val="bottom"/>
          </w:tcPr>
          <w:p>
            <w:pPr>
              <w:spacing w:after="0"/>
              <w:rPr>
                <w:sz w:val="15"/>
                <w:szCs w:val="15"/>
                <w:color w:val="auto"/>
              </w:rPr>
            </w:pPr>
          </w:p>
        </w:tc>
        <w:tc>
          <w:tcPr>
            <w:tcW w:w="2260" w:type="dxa"/>
            <w:vAlign w:val="bottom"/>
          </w:tcPr>
          <w:p>
            <w:pPr>
              <w:ind w:left="1800"/>
              <w:spacing w:after="0" w:line="177" w:lineRule="exact"/>
              <w:rPr>
                <w:sz w:val="20"/>
                <w:szCs w:val="20"/>
                <w:color w:val="auto"/>
              </w:rPr>
            </w:pPr>
            <w:r>
              <w:rPr>
                <w:rFonts w:ascii="Times New Roman" w:cs="Times New Roman" w:eastAsia="Times New Roman" w:hAnsi="Times New Roman"/>
                <w:sz w:val="18"/>
                <w:szCs w:val="18"/>
                <w:color w:val="auto"/>
                <w:w w:val="91"/>
              </w:rPr>
              <w:t>Daniel</w:t>
            </w:r>
          </w:p>
        </w:tc>
        <w:tc>
          <w:tcPr>
            <w:tcW w:w="4220" w:type="dxa"/>
            <w:vAlign w:val="bottom"/>
            <w:tcBorders>
              <w:top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E. Bachus</w:t>
            </w:r>
          </w:p>
        </w:tc>
      </w:tr>
      <w:tr>
        <w:trPr>
          <w:trHeight w:val="216"/>
        </w:trPr>
        <w:tc>
          <w:tcPr>
            <w:tcW w:w="3440" w:type="dxa"/>
            <w:vAlign w:val="bottom"/>
          </w:tcPr>
          <w:p>
            <w:pPr>
              <w:spacing w:after="0"/>
              <w:rPr>
                <w:sz w:val="18"/>
                <w:szCs w:val="18"/>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64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006"/>
        </w:trPr>
        <w:tc>
          <w:tcPr>
            <w:tcW w:w="34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2025-06-12T15:30:24Z</dcterms:created>
  <dcterms:modified xsi:type="dcterms:W3CDTF">2025-06-12T15:30:24Z</dcterms:modified>
</cp:coreProperties>
</file>