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2024</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2.02. </w:t>
      </w:r>
      <w:r>
        <w:rPr>
          <w:rFonts w:ascii="Times New Roman" w:cs="Times New Roman" w:eastAsia="Times New Roman" w:hAnsi="Times New Roman"/>
          <w:sz w:val="18"/>
          <w:szCs w:val="18"/>
          <w:b w:val="1"/>
          <w:bCs w:val="1"/>
          <w:u w:val="single" w:color="auto"/>
          <w:color w:val="auto"/>
        </w:rPr>
        <w:t>Results of Operations and Financial Condition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7, 2024, the Company reported its results for the first quarter of 2024. The press release dated May 7, 2024 is furnished as Exhibit 99.1 to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b w:val="1"/>
          <w:bCs w:val="1"/>
          <w:u w:val="single" w:color="auto"/>
          <w:color w:val="auto"/>
        </w:rPr>
        <w:t>Consolidated Financial Statements and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7, 2024</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(imbedded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EXHIBIT INDEX</w:t>
            </w:r>
          </w:p>
        </w:tc>
      </w:tr>
      <w:tr>
        <w:trPr>
          <w:trHeight w:val="37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2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May 7, 2024</w:t>
            </w:r>
          </w:p>
        </w:tc>
        <w:tc>
          <w:tcPr>
            <w:tcW w:w="634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0"/>
                <w:szCs w:val="20"/>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(imbedded within the XBRL document)</w:t>
            </w:r>
          </w:p>
        </w:tc>
      </w:tr>
      <w:tr>
        <w:trPr>
          <w:trHeight w:val="993"/>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6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2024</w:t>
            </w:r>
          </w:p>
        </w:tc>
        <w:tc>
          <w:tcPr>
            <w:tcW w:w="680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602-639-6648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Dan.bachus@gce.com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REPORTS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QUARTER 2024 RESULTS</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PHOENIX, AZ., May 7,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Grand Canyon Education,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LOPE), (“GCE” or the “Company”), is a publicly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education services company that currently provides services to 23 university partners. GCE provides a full array of support services in the post-secondary education sector and has developed significant technological solutions, infrastructure and operational processes to provide superior services in these areas on a large scale. GCE today announced financial results for the quarter ended March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17" w:right="1259" w:bottom="1440" w:gutter="0" w:footer="0" w:header="0"/>
        </w:sectPr>
      </w:pPr>
    </w:p>
    <w:bookmarkStart w:id="5" w:name="page6"/>
    <w:bookmarkEnd w:id="5"/>
    <w:p>
      <w:pPr>
        <w:ind w:right="42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Grand Canyon Education, Inc. Reports First Quarter 2024 Results </w:t>
      </w:r>
      <w:r>
        <w:rPr>
          <w:rFonts w:ascii="Times New Roman" w:cs="Times New Roman" w:eastAsia="Times New Roman" w:hAnsi="Times New Roman"/>
          <w:sz w:val="18"/>
          <w:szCs w:val="18"/>
          <w:color w:val="auto"/>
        </w:rPr>
        <w:t>For the three months ended March 31, 2024:</w:t>
      </w:r>
    </w:p>
    <w:p>
      <w:pPr>
        <w:spacing w:after="0" w:line="11" w:lineRule="exact"/>
        <w:rPr>
          <w:sz w:val="20"/>
          <w:szCs w:val="20"/>
          <w:color w:val="auto"/>
        </w:rPr>
      </w:pPr>
    </w:p>
    <w:p>
      <w:pPr>
        <w:ind w:left="640" w:right="40" w:hanging="323"/>
        <w:spacing w:after="0" w:line="25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for the three months ended March 31, 2024 was $274.7 million, an increase of $24.6 million, or 9.8%, as compared to service revenue of $250.1 million for the three months ended March 31, 2023. The increase year over year in service revenue was primarily due to an increase in GCU enrollments to 116,952 at March 31, 2024, an increase of 7.7% over enrollments at March 31, 2023 and an increase in revenue per student year over year. The increase in revenue per student between years is primarily due to the service revenue impact of the increased room, board and other ancillary revenues at GCU in the first quarter of 2024 as compared to the prior year period. In addition, service revenue per student for Accelerated Bachelor of Science in Nursing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March 31, 2024 was also positively impacted by the timing of the Spring semester for the ground traditional campus. The Spring semester started one day earlier in 2024 than in 2023, which had the effect of shifting $2.1 million in service revenue from the second quarter of 2024 to the first quarter of 2024 in comparison to the prior year. The additional day for leap year in 2024 added additional service revenue of $1.5 million as compared to the prior year.</w:t>
      </w:r>
    </w:p>
    <w:p>
      <w:pPr>
        <w:spacing w:after="0" w:line="195" w:lineRule="exact"/>
        <w:rPr>
          <w:rFonts w:ascii="Times New Roman" w:cs="Times New Roman" w:eastAsia="Times New Roman" w:hAnsi="Times New Roman"/>
          <w:sz w:val="18"/>
          <w:szCs w:val="18"/>
          <w:color w:val="auto"/>
        </w:rPr>
      </w:pPr>
    </w:p>
    <w:p>
      <w:pPr>
        <w:ind w:left="640" w:right="20" w:hanging="323"/>
        <w:spacing w:after="0" w:line="255"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enrollments totaled 120,788 at March 31, 2024 as compared to 112,588 at March 31, 2023. University partner enrollments at our off-campus classroom and laboratory sites were 4,486, an increase of 4.0% over enrollments at March 31, 2023, which includes 650 and 360 GCU students at March 31, 2024 and 2023, respectively. We opened five new off-campus classroom and laboratory sites in the year ended December 31, 2023 and two sites in the three months ended March 31, 2024, increasing the total number of these sites to 42 at March 31, 2024. Enrollments for GCU ground students were 22,965 at March 31, 2024 up from 22,568 at March 31, 2023. GCU online enrollments were 93,987 at March 31, 2024, up from 86,065 at March 31, 2023, an increase of 9.2% between years.</w:t>
      </w:r>
    </w:p>
    <w:p>
      <w:pPr>
        <w:spacing w:after="0" w:line="188" w:lineRule="exact"/>
        <w:rPr>
          <w:rFonts w:ascii="Times New Roman" w:cs="Times New Roman" w:eastAsia="Times New Roman" w:hAnsi="Times New Roman"/>
          <w:sz w:val="18"/>
          <w:szCs w:val="18"/>
          <w:color w:val="auto"/>
        </w:rPr>
      </w:pPr>
    </w:p>
    <w:p>
      <w:pPr>
        <w:ind w:left="640" w:right="340" w:hanging="323"/>
        <w:spacing w:after="0" w:line="258"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for the three months ended March 31, 2024 was $84.5 million, an increase of $10.0 million as compared to $74.5 million for the same period in 2023. The operating margin for the three months ended March 31, 2024 and 2023 was 30.8% and 29.8%, respectively. The first quarter operating margin was positively impacted on a year over year basis by the timing difference between years in the start of the Spring semester for GCU’s ground traditional campus and an extra day in 2024 for leap year.</w:t>
      </w:r>
    </w:p>
    <w:p>
      <w:pPr>
        <w:spacing w:after="0" w:line="183"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March 31, 2024 was $20.2 million, an increase of $3.2 million, or</w:t>
      </w:r>
    </w:p>
    <w:p>
      <w:pPr>
        <w:spacing w:after="0" w:line="27" w:lineRule="exact"/>
        <w:rPr>
          <w:rFonts w:ascii="Times New Roman" w:cs="Times New Roman" w:eastAsia="Times New Roman" w:hAnsi="Times New Roman"/>
          <w:sz w:val="18"/>
          <w:szCs w:val="18"/>
          <w:color w:val="auto"/>
        </w:rPr>
      </w:pPr>
    </w:p>
    <w:p>
      <w:pPr>
        <w:ind w:left="64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 as compared to income tax expense of $17.0 million for the three months ended March 31, 2023. Our effective tax rate was 22.9% during the first quarter of 2024 compared to 22.3% during the first quarter of 2023. In the first quarter of 2024, the effective tax rate was favorably impacted by excess tax benefits of $1.5 million as compared to $0.9 million in the first quarter of 2023. The effective tax rate increased year over year due to higher taxable income and in the first quarter of 2023 the effective tax rate was favorably impacted by state income tax refunds.</w:t>
      </w:r>
    </w:p>
    <w:p>
      <w:pPr>
        <w:spacing w:after="0" w:line="186" w:lineRule="exact"/>
        <w:rPr>
          <w:rFonts w:ascii="Times New Roman" w:cs="Times New Roman" w:eastAsia="Times New Roman" w:hAnsi="Times New Roman"/>
          <w:sz w:val="18"/>
          <w:szCs w:val="18"/>
          <w:color w:val="auto"/>
        </w:rPr>
      </w:pPr>
    </w:p>
    <w:p>
      <w:pPr>
        <w:ind w:left="640" w:hanging="323"/>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14.2% to $68.0 million for the first quarter of 2024, compared to $59.6 million for the same period in 2023. As adjusted net income was $69.6 million and $61.3 million for the first quarters of 2024 and 2023, respectively.</w:t>
      </w:r>
    </w:p>
    <w:p>
      <w:pPr>
        <w:spacing w:after="0" w:line="175" w:lineRule="exact"/>
        <w:rPr>
          <w:rFonts w:ascii="Times New Roman" w:cs="Times New Roman" w:eastAsia="Times New Roman" w:hAnsi="Times New Roman"/>
          <w:sz w:val="18"/>
          <w:szCs w:val="18"/>
          <w:color w:val="auto"/>
        </w:rPr>
      </w:pPr>
    </w:p>
    <w:p>
      <w:pPr>
        <w:ind w:left="640" w:right="40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per share was $2.29 and $1.94 for the first quarters of 2024 and 2023, respectively. As adjusted diluted net income per share was $2.35 and $2.00 for the first quarters of 2024 and 2023, respectively.</w:t>
      </w:r>
    </w:p>
    <w:p>
      <w:pPr>
        <w:spacing w:after="0" w:line="161" w:lineRule="exact"/>
        <w:rPr>
          <w:rFonts w:ascii="Times New Roman" w:cs="Times New Roman" w:eastAsia="Times New Roman" w:hAnsi="Times New Roman"/>
          <w:sz w:val="18"/>
          <w:szCs w:val="18"/>
          <w:color w:val="auto"/>
        </w:rPr>
      </w:pPr>
    </w:p>
    <w:p>
      <w:pPr>
        <w:ind w:left="640" w:right="400" w:hanging="323"/>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13.8% to $98.6 million for the first quarter of 2024, compared to $86.6 million for the same period in 2023.</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liquidity position, as measured by cash and cash equivalents and investments increased by $46.2 million between December 31, 2023 and March 31, 2024, which was largely attributable to cash flows from operations for the three months ended March 31, 2024 exceeding share repurchases, changes in our investment balances and capital expenditures during the three months ended March 31, 2024. Our unrestricted cash and cash equivalents and investments were $290.7 million and $244.5 million at March 31, 2024 and December 31, 2023, respectively.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(more)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20"/>
          </w:cols>
          <w:pgMar w:left="1260" w:top="117"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First Quarter 2024 Results and Full Year Outlook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2024:</w:t>
      </w:r>
    </w:p>
    <w:p>
      <w:pPr>
        <w:spacing w:after="0" w:line="31" w:lineRule="exact"/>
        <w:rPr>
          <w:sz w:val="20"/>
          <w:szCs w:val="20"/>
          <w:color w:val="auto"/>
        </w:rPr>
      </w:pPr>
    </w:p>
    <w:p>
      <w:pPr>
        <w:ind w:left="640" w:hanging="32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$222.0 million and $224.0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16.5% and 17.0%;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$1.02 and $1.06;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 million diluted shares.</w:t>
      </w:r>
    </w:p>
    <w:p>
      <w:pPr>
        <w:spacing w:after="0" w:line="9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$0.05 impact on diluted EPS. Thus, as adjusted, Non-GAAP diluted income per share of between $1.07 and $1.11.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2024:</w:t>
      </w:r>
    </w:p>
    <w:p>
      <w:pPr>
        <w:spacing w:after="0" w:line="31" w:lineRule="exact"/>
        <w:rPr>
          <w:sz w:val="20"/>
          <w:szCs w:val="20"/>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$236.5 million and $244.0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20.4% and 22.2%;</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24.9%;</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$1.30 and $1.46;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29.1 million diluted shares.</w:t>
      </w:r>
    </w:p>
    <w:p>
      <w:pPr>
        <w:spacing w:after="0" w:line="9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$0.05 impact on diluted EPS. Thus, as adjusted, Non-GAAP diluted income per share of between $1.35 and $1.51.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2024:</w:t>
      </w:r>
    </w:p>
    <w:p>
      <w:pPr>
        <w:spacing w:after="0" w:line="31" w:lineRule="exact"/>
        <w:rPr>
          <w:sz w:val="20"/>
          <w:szCs w:val="20"/>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$287.0 million and $299.0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34.9% and 37.0%;</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22.8%;</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$2.75 and $3.03;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 million diluted shares.</w:t>
      </w:r>
    </w:p>
    <w:p>
      <w:pPr>
        <w:spacing w:after="0" w:line="9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$1.6 million, which equates to a $0.06 impact on diluted EPS. Thus, as adjusted, Non-GAAP diluted income per share of between $2.81 and $3.09.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w:t>
      </w:r>
    </w:p>
    <w:p>
      <w:pPr>
        <w:spacing w:after="0" w:line="31" w:lineRule="exact"/>
        <w:rPr>
          <w:sz w:val="20"/>
          <w:szCs w:val="20"/>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of between $1,020.2 million and $1,041.7 million;</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of between 26.4% and 27.6%;</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of 23.5%;</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between $7.35 and $7.82; and</w:t>
      </w:r>
    </w:p>
    <w:p>
      <w:pPr>
        <w:spacing w:after="0" w:line="9"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 million diluted shares.</w:t>
      </w:r>
    </w:p>
    <w:p>
      <w:pPr>
        <w:spacing w:after="0" w:line="9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diluted EPS guidance includes non-cash amortization of intangible assets net of taxes of $6.5 million, which equates to a $0.22 impact on diluted EPS. Thus, as adjusted, Non-GAAP diluted income per share of between $7.57 and $8.04.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8"/>
          <w:szCs w:val="18"/>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whether regulatory, economic, or business developments or other matters may or may not have a material adverse effect on our financial position, results of operations, or liquidity; projections, predictions, expectations, estimates, and forecasts as to our business, financial and operating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22" w:lineRule="exact"/>
        <w:rPr>
          <w:sz w:val="20"/>
          <w:szCs w:val="20"/>
          <w:color w:val="auto"/>
        </w:rPr>
      </w:pPr>
    </w:p>
    <w:p>
      <w:pPr>
        <w:ind w:right="180" w:firstLine="648"/>
        <w:spacing w:after="0" w:line="296" w:lineRule="auto"/>
        <w:rPr>
          <w:sz w:val="20"/>
          <w:szCs w:val="20"/>
          <w:color w:val="auto"/>
        </w:rPr>
      </w:pPr>
      <w:r>
        <w:rPr>
          <w:rFonts w:ascii="Times New Roman" w:cs="Times New Roman" w:eastAsia="Times New Roman" w:hAnsi="Times New Roman"/>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are based on information available at the time those statements are made or management’s good faith belief as of that time with</w:t>
      </w:r>
    </w:p>
    <w:p>
      <w:pPr>
        <w:spacing w:after="0" w:line="1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 legal and regulatory actions taken against our university partners that impact their businesses and that directly or indirectly reduce the service revenue we can earn under our master services agreements; the occurrence of any event, change or other circumstance that could give rise to the termination of any of the key university partner agreements; 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 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 and the results of related legal and regulatory actions that arise from such failures; the harm to our business, results of operations, and financial condition, and harm to our university partners resulting from epidemics, pandemics, or public health crises; the harm to our business and our ability to retract and retain students resulting from capacity constraints, system disruptions, or security breaches in our online computer networks and phone systems; the ability of our university partners’ students to obtain federal Title IV funds, state financial aid, and private financing; potential damage to our reputation or other adverse effects as a result of negative publicity in the media, in the industry or in connection with governmental reports or investigations or otherwise, affecting us or other companies in the education services sector; risks associated with changes in applicable federal and state laws and regulations and accrediting commission standards, including pending rulemaking by the United States Department of Education applicable to us directly or indirectly through our university partners; competition from other education service companies in our geographic region and market sector, including competition for students, qualified executives and other personnel; our expected tax payments and tax rate; our ability to hire and train new, and develop and train existing employees; the pace of growth of our university partners’ enrollment and its effect on the pace of our own growth; fluctuations in our revenues due to seasonality; our ability to, on behalf of our university partners, convert prospective students to enrolled students and to retain active students to graduation; our success in updating and expanding the content of existing programs and developing new programs in a cost-effective manner or on a timely basis for our university partners; risks associated with the competitive environment for marketing the programs of our university partners; failure on our part to keep up with advances in technology that could enhance the experience for our university partners’ students; our ability to manage future growth effectively; the impact of any natural disasters or public health emergencies; general adverse economic conditions or other developments that affect the job prospects of our university partners’ students; and other factors discussed in reports on file with the Securities and Exchange Commission, including as set forth in Part I, Item 1A of our Annual Report on Form 10-K for period ended December 31, 2023, as updated in our subsequent reports filed with the Securities and Exchange Commission on Form 10-Q or Form 8-K.</w:t>
      </w:r>
    </w:p>
    <w:p>
      <w:pPr>
        <w:spacing w:after="0" w:line="208"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First Quarter 2024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Grand Canyon Education, Inc. will discuss its first quarter 2024 results and full year 2024 outlook during a conference call scheduled for today, May 7, 2024 at 4:30 p.m. Eastern time (ET).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Live Conference Dial-In:</w:t>
      </w:r>
    </w:p>
    <w:p>
      <w:pPr>
        <w:spacing w:after="0" w:line="25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333333"/>
        </w:rPr>
        <w:t xml:space="preserve">Those interested in participating in the question-and-answer session should follow the conference dial-in instructions below. Participants may register for the call </w:t>
      </w:r>
      <w:r>
        <w:rPr>
          <w:rFonts w:ascii="Times New Roman" w:cs="Times New Roman" w:eastAsia="Times New Roman" w:hAnsi="Times New Roman"/>
          <w:sz w:val="18"/>
          <w:szCs w:val="18"/>
          <w:color w:val="0000FF"/>
        </w:rPr>
        <w:t>here</w:t>
      </w:r>
      <w:r>
        <w:rPr>
          <w:rFonts w:ascii="Times New Roman" w:cs="Times New Roman" w:eastAsia="Times New Roman" w:hAnsi="Times New Roman"/>
          <w:sz w:val="18"/>
          <w:szCs w:val="18"/>
          <w:color w:val="333333"/>
        </w:rPr>
        <w:t xml:space="preserve"> to receive the dial-in numbers and unique PIN to access the call seamlessly. Please dial in at least ten minutes prior to the start of the call. Journalists are invited to listen only.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333333"/>
        </w:rPr>
        <w:t>Webcast and Replay:</w:t>
      </w:r>
    </w:p>
    <w:p>
      <w:pPr>
        <w:spacing w:after="0" w:line="268"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333333"/>
        </w:rPr>
        <w:t xml:space="preserve">Investors, journalists and the general public may access a live webcast of this event at: </w:t>
      </w:r>
      <w:r>
        <w:rPr>
          <w:rFonts w:ascii="Times New Roman" w:cs="Times New Roman" w:eastAsia="Times New Roman" w:hAnsi="Times New Roman"/>
          <w:sz w:val="18"/>
          <w:szCs w:val="18"/>
          <w:i w:val="1"/>
          <w:iCs w:val="1"/>
          <w:color w:val="337AB7"/>
        </w:rPr>
        <w:t>Q1 2024 Grand Canyon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i w:val="1"/>
          <w:iCs w:val="1"/>
          <w:color w:val="337AB7"/>
        </w:rPr>
        <w:t>Education Inc. Earnings Conference Call</w:t>
      </w:r>
      <w:r>
        <w:rPr>
          <w:rFonts w:ascii="Times New Roman" w:cs="Times New Roman" w:eastAsia="Times New Roman" w:hAnsi="Times New Roman"/>
          <w:sz w:val="18"/>
          <w:szCs w:val="18"/>
          <w:i w:val="1"/>
          <w:iCs w:val="1"/>
          <w:color w:val="333333"/>
        </w:rPr>
        <w:t>.</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A webcast replay will be available approximately two hours following the conclusion</w:t>
      </w:r>
      <w:r>
        <w:rPr>
          <w:rFonts w:ascii="Times New Roman" w:cs="Times New Roman" w:eastAsia="Times New Roman" w:hAnsi="Times New Roman"/>
          <w:sz w:val="18"/>
          <w:szCs w:val="18"/>
          <w:i w:val="1"/>
          <w:iCs w:val="1"/>
          <w:color w:val="337AB7"/>
        </w:rPr>
        <w:t xml:space="preserve"> </w:t>
      </w:r>
      <w:r>
        <w:rPr>
          <w:rFonts w:ascii="Times New Roman" w:cs="Times New Roman" w:eastAsia="Times New Roman" w:hAnsi="Times New Roman"/>
          <w:sz w:val="18"/>
          <w:szCs w:val="18"/>
          <w:color w:val="333333"/>
        </w:rPr>
        <w:t>of the call at the same link.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Grand Canyon Education, Inc.</w:t>
      </w:r>
    </w:p>
    <w:p>
      <w:pPr>
        <w:spacing w:after="0" w:line="32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Grand Canyon Education, Inc. (“GCE”), incorporated in 2008, is a publicly traded education services company that currently provides services to 23 university partners. GCE is uniquely positioned in the education services industry in that its leadership has over 30 years of proven expertise in providing a full array of support services in the post-secondary education sector and has developed significant technological solutions, infrastructure and operational processes to provide superior services in these areas on a large scale. GCE provides services that support students, faculty and staff of partner institutions such as marketing, strategic enrollment management, counseling services, financial services, technology, technical support, compliance, human resources, classroom operations, content development, faculty recruitment and training, among others. For more information about GCE visit the Company's website at www.gce.com.</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Grand Canyon Education, Inc., 2600 W. Camelback Road, Phoenix, AZ 85017, </w:t>
      </w:r>
      <w:r>
        <w:rPr>
          <w:rFonts w:ascii="Times New Roman" w:cs="Times New Roman" w:eastAsia="Times New Roman" w:hAnsi="Times New Roman"/>
          <w:sz w:val="18"/>
          <w:szCs w:val="18"/>
          <w:b w:val="1"/>
          <w:bCs w:val="1"/>
          <w:color w:val="auto"/>
        </w:rPr>
        <w:t>www.gce.com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00"/>
          </w:cols>
          <w:pgMar w:left="1260" w:top="117" w:right="1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First Quarter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600" w:type="dxa"/>
            <w:vAlign w:val="bottom"/>
            <w:gridSpan w:val="3"/>
          </w:tcPr>
          <w:p>
            <w:pPr>
              <w:jc w:val="right"/>
              <w:ind w:right="23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40" w:type="dxa"/>
            <w:vAlign w:val="bottom"/>
            <w:gridSpan w:val="5"/>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02"/>
        </w:trPr>
        <w:tc>
          <w:tcPr>
            <w:tcW w:w="39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3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250,125</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and academic services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37,512</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Counseling services and support</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communication</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175,648</w:t>
            </w: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74,477</w:t>
            </w:r>
          </w:p>
        </w:tc>
        <w:tc>
          <w:tcPr>
            <w:tcW w:w="0" w:type="dxa"/>
            <w:vAlign w:val="bottom"/>
          </w:tcPr>
          <w:p>
            <w:pPr>
              <w:spacing w:after="0"/>
              <w:rPr>
                <w:sz w:val="1"/>
                <w:szCs w:val="1"/>
                <w:color w:val="auto"/>
              </w:rPr>
            </w:pPr>
          </w:p>
        </w:tc>
      </w:tr>
      <w:tr>
        <w:trPr>
          <w:trHeight w:val="21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interest and other</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76,611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3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Basic income per share</w:t>
            </w:r>
          </w:p>
        </w:tc>
        <w:tc>
          <w:tcPr>
            <w:tcW w:w="36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 income per share</w:t>
            </w:r>
          </w:p>
        </w:tc>
        <w:tc>
          <w:tcPr>
            <w:tcW w:w="3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tcBorders>
              <w:bottom w:val="single" w:sz="8" w:color="CCEEFF"/>
            </w:tcBorders>
            <w:vMerge w:val="continue"/>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29,459</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30,461</w:t>
            </w: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Diluted weighted average shares outstanding</w:t>
            </w:r>
          </w:p>
        </w:tc>
        <w:tc>
          <w:tcPr>
            <w:tcW w:w="3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29,639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30,638</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First Quarter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tc>
        <w:tc>
          <w:tcPr>
            <w:tcW w:w="252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196,208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 receivable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337,522</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92,454</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160,766</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1,035,571</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140" w:type="dxa"/>
            <w:vAlign w:val="bottom"/>
          </w:tcPr>
          <w:p>
            <w:pPr>
              <w:spacing w:after="0"/>
              <w:rPr>
                <w:sz w:val="18"/>
                <w:szCs w:val="18"/>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0" w:type="dxa"/>
            <w:vAlign w:val="bottom"/>
          </w:tcPr>
          <w:p>
            <w:pPr>
              <w:spacing w:after="0"/>
              <w:rPr>
                <w:sz w:val="1"/>
                <w:szCs w:val="1"/>
                <w:color w:val="auto"/>
              </w:rPr>
            </w:pPr>
          </w:p>
        </w:tc>
      </w:tr>
      <w:tr>
        <w:trPr>
          <w:trHeight w:val="216"/>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portion of lease liability</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88,257</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276,124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 shares authorized; 0 shares issued and outstanding at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 shares authorized; 54,087 and 53,970 shares issued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and 29,839 and 29,953 shares outstanding at March 31, 2024 and December 31, 2023,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24,248 and 24,017 shares of common stock at March 31, 2024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(1,879,697)</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(1,849,693)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322,512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2,312,722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2,244,712</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718,014</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1,035,571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p>
      <w:pPr>
        <w:sectPr>
          <w:pgSz w:w="11900" w:h="16838" w:orient="portrait"/>
          <w:cols w:equalWidth="0" w:num="1">
            <w:col w:w="9360"/>
          </w:cols>
          <w:pgMar w:left="1260" w:top="117"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First Quarter 2024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60" w:type="dxa"/>
            <w:vAlign w:val="bottom"/>
          </w:tcPr>
          <w:p>
            <w:pPr>
              <w:jc w:val="center"/>
              <w:ind w:left="219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including fixed asset disposals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from university partners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of amortizable content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Repurchase of common shares and shares withheld in lieu of income taxes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beginning of period</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period</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196,208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Insurance receivable for litigation settlement to be paid by insurance</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Excise tax on treasury stock repurchases</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7080" w:type="dxa"/>
            <w:vAlign w:val="bottom"/>
            <w:gridSpan w:val="2"/>
          </w:tcPr>
          <w:p>
            <w:pPr>
              <w:jc w:val="right"/>
              <w:ind w:right="227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17" w:right="1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Grand Canyon Education, Inc. Reports First Quarter 2024 Results</w:t>
      </w:r>
    </w:p>
    <w:p>
      <w:pPr>
        <w:spacing w:after="0" w:line="2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 Financial Measure)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Adjusted EBITDA is defined as net income plus interest expense, less interest income and other gain (loss) recognized on investments, plus income tax expense, and plus depreciation and amortization (EBITDA), as adjusted for (i) contributions to private Arizona school tuition organizations in lieu of the payment of state income taxes; (ii) share-based compensation, and (iii) unusual charges or gains, such as litigation and regulatory reserves, impairment charges and asset write-offs, and exit or lease termination costs. 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9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0" w:lineRule="exact"/>
        <w:rPr>
          <w:sz w:val="20"/>
          <w:szCs w:val="20"/>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cash requirements for, our working capital requirements;</w:t>
      </w:r>
    </w:p>
    <w:p>
      <w:pPr>
        <w:spacing w:after="0" w:line="225" w:lineRule="exact"/>
        <w:rPr>
          <w:rFonts w:ascii="Times New Roman" w:cs="Times New Roman" w:eastAsia="Times New Roman" w:hAnsi="Times New Roman"/>
          <w:sz w:val="18"/>
          <w:szCs w:val="18"/>
          <w:color w:val="auto"/>
        </w:rPr>
      </w:pPr>
    </w:p>
    <w:p>
      <w:pPr>
        <w:ind w:left="640" w:hanging="323"/>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or the cash required to replace assets that are being depreciated or amortized; and</w:t>
      </w:r>
    </w:p>
    <w:p>
      <w:pPr>
        <w:spacing w:after="0" w:line="225" w:lineRule="exact"/>
        <w:rPr>
          <w:rFonts w:ascii="Times New Roman" w:cs="Times New Roman" w:eastAsia="Times New Roman" w:hAnsi="Times New Roman"/>
          <w:sz w:val="18"/>
          <w:szCs w:val="18"/>
          <w:color w:val="auto"/>
        </w:rPr>
      </w:pPr>
    </w:p>
    <w:p>
      <w:pPr>
        <w:ind w:left="640" w:right="60" w:hanging="323"/>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reported results of earnings or charges resulting from the items for which we make adjustments to our EBITDA, as described above and set forth in the table below.</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and reported under GAAP, or as an alternative to cash flow from operating activities or as a measure of our liquidity. We compensate for these limitations by relying primarily on our GAAP results and only use Adjusted EBITDA as a supplemental performance measure.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57570" cy="26035"/>
                    </a:xfrm>
                    <a:prstGeom prst="rect">
                      <a:avLst/>
                    </a:prstGeom>
                    <a:noFill/>
                  </pic:spPr>
                </pic:pic>
              </a:graphicData>
            </a:graphic>
          </wp:anchor>
        </w:drawing>
      </w:r>
    </w:p>
    <w:p>
      <w:pPr>
        <w:sectPr>
          <w:pgSz w:w="11900" w:h="16838" w:orient="portrait"/>
          <w:cols w:equalWidth="0" w:num="1">
            <w:col w:w="9340"/>
          </w:cols>
          <w:pgMar w:left="1260" w:top="117" w:right="1299" w:bottom="1440" w:gutter="0" w:footer="0" w:header="0"/>
        </w:sectPr>
      </w:pPr>
    </w:p>
    <w:bookmarkStart w:id="14" w:name="page15"/>
    <w:bookmarkEnd w:id="14"/>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 which is a non-GAAP measure for the periods indicated:</w:t>
      </w:r>
    </w:p>
    <w:p>
      <w:pPr>
        <w:spacing w:after="0" w:line="16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8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9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vMerge w:val="continue"/>
          </w:tcPr>
          <w:p>
            <w:pPr>
              <w:spacing w:after="0"/>
              <w:rPr>
                <w:sz w:val="11"/>
                <w:szCs w:val="11"/>
                <w:color w:val="auto"/>
              </w:rPr>
            </w:pPr>
          </w:p>
        </w:tc>
        <w:tc>
          <w:tcPr>
            <w:tcW w:w="900" w:type="dxa"/>
            <w:vAlign w:val="bottom"/>
            <w:gridSpan w:val="2"/>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4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Plus: interest expense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investment interest and other</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amortization of intangible assets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EBITDA</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Plus: loss on fixed asset disposal</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litigation and regulatory reserves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Plus: share-based compensation</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and Non-GAAP Diluted Income Per Share</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the presentation of non-GAAP net income and non-GAAP diluted income per share information that excludes amortization of intangible assets and loss on disposal of fixed assets allows investors to develop a more meaningful understanding of the Company’s performance over time. Accordingly, for the three-months ended March 31, 2024 and 2023, the table below provides reconciliations of these non-GAAP items to GAAP net income and GAAP diluted income per share, respectively:</w:t>
      </w:r>
    </w:p>
    <w:p>
      <w:pPr>
        <w:spacing w:after="0" w:line="19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960" w:type="dxa"/>
            <w:vAlign w:val="bottom"/>
            <w:gridSpan w:val="5"/>
          </w:tcPr>
          <w:p>
            <w:pPr>
              <w:ind w:left="1360"/>
              <w:spacing w:after="0" w:line="129"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134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9"/>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8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68,010</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effects of adjustments(1)</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Adjusted, Non-GAAP Net income</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69,633</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61,264</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income per share</w:t>
            </w:r>
          </w:p>
        </w:tc>
        <w:tc>
          <w:tcPr>
            <w:tcW w:w="18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 (2)</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fixed assets (3)</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Non-GAAP Diluted income per share</w:t>
            </w:r>
          </w:p>
        </w:tc>
        <w:tc>
          <w:tcPr>
            <w:tcW w:w="16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40" w:right="3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effects of adjustments are based on the effective income tax rate applicable to adjusted (non-GAAP) results.</w:t>
      </w:r>
    </w:p>
    <w:p>
      <w:pPr>
        <w:spacing w:after="0" w:line="134" w:lineRule="exact"/>
        <w:rPr>
          <w:rFonts w:ascii="Times New Roman" w:cs="Times New Roman" w:eastAsia="Times New Roman" w:hAnsi="Times New Roman"/>
          <w:sz w:val="18"/>
          <w:szCs w:val="18"/>
          <w:color w:val="auto"/>
        </w:rPr>
      </w:pPr>
    </w:p>
    <w:p>
      <w:pPr>
        <w:ind w:left="64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acquired intangible assets per diluted share is net of an income tax benefit of $0.02 and $0.02 for the three months ended March 31, 2024 and 2023, respectively.</w:t>
      </w:r>
    </w:p>
    <w:p>
      <w:pPr>
        <w:spacing w:after="0" w:line="121" w:lineRule="exact"/>
        <w:rPr>
          <w:rFonts w:ascii="Times New Roman" w:cs="Times New Roman" w:eastAsia="Times New Roman" w:hAnsi="Times New Roman"/>
          <w:sz w:val="18"/>
          <w:szCs w:val="18"/>
          <w:color w:val="auto"/>
        </w:rPr>
      </w:pPr>
    </w:p>
    <w:p>
      <w:pPr>
        <w:ind w:left="640" w:right="100" w:hanging="32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disposal of fixed assets per diluted share is net of an income tax benefit of $0.00 for the three months ended March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59575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57570" cy="25400"/>
                    </a:xfrm>
                    <a:prstGeom prst="rect">
                      <a:avLst/>
                    </a:prstGeom>
                    <a:noFill/>
                  </pic:spPr>
                </pic:pic>
              </a:graphicData>
            </a:graphic>
          </wp:anchor>
        </w:drawing>
      </w:r>
    </w:p>
    <w:sectPr>
      <w:pgSz w:w="11900" w:h="16838" w:orient="portrait"/>
      <w:cols w:equalWidth="0" w:num="1">
        <w:col w:w="9360"/>
      </w:cols>
      <w:pgMar w:left="1260" w:top="121"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2024-05-07T15:23:50Z</dcterms:created>
  <dcterms:modified xsi:type="dcterms:W3CDTF">2024-05-07T15:23:50Z</dcterms:modified>
</cp:coreProperties>
</file>