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6"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November 9, 2010</w:t>
      </w:r>
    </w:p>
    <w:p>
      <w:pPr>
        <w:spacing w:after="0" w:line="173"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Delaware</w:t>
            </w:r>
          </w:p>
        </w:tc>
        <w:tc>
          <w:tcPr>
            <w:tcW w:w="256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001-34211</w:t>
            </w:r>
          </w:p>
        </w:tc>
        <w:tc>
          <w:tcPr>
            <w:tcW w:w="336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3"/>
              </w:rPr>
              <w:t>(Commission File Number)</w:t>
            </w:r>
          </w:p>
        </w:tc>
        <w:tc>
          <w:tcPr>
            <w:tcW w:w="300" w:type="dxa"/>
            <w:vAlign w:val="bottom"/>
          </w:tcPr>
          <w:p>
            <w:pPr>
              <w:spacing w:after="0"/>
              <w:rPr>
                <w:sz w:val="18"/>
                <w:szCs w:val="18"/>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00" w:type="dxa"/>
            <w:vAlign w:val="bottom"/>
            <w:gridSpan w:val="3"/>
          </w:tcPr>
          <w:p>
            <w:pPr>
              <w:jc w:val="center"/>
              <w:ind w:right="760"/>
              <w:spacing w:after="0"/>
              <w:rPr>
                <w:sz w:val="20"/>
                <w:szCs w:val="20"/>
                <w:color w:val="auto"/>
              </w:rPr>
            </w:pPr>
            <w:r>
              <w:rPr>
                <w:rFonts w:ascii="Arial" w:cs="Arial" w:eastAsia="Arial" w:hAnsi="Arial"/>
                <w:sz w:val="18"/>
                <w:szCs w:val="18"/>
                <w:color w:val="auto"/>
                <w:w w:val="93"/>
              </w:rPr>
              <w:t>Incorporation)</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4"/>
        </w:trPr>
        <w:tc>
          <w:tcPr>
            <w:tcW w:w="38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3300 W. Camelback Road</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4"/>
        </w:trPr>
        <w:tc>
          <w:tcPr>
            <w:tcW w:w="38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1"/>
              </w:rPr>
              <w:t>Phoenix, Arizona</w:t>
            </w:r>
          </w:p>
        </w:tc>
        <w:tc>
          <w:tcPr>
            <w:tcW w:w="8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jc w:val="right"/>
              <w:ind w:right="2010"/>
              <w:spacing w:after="0"/>
              <w:rPr>
                <w:sz w:val="20"/>
                <w:szCs w:val="20"/>
                <w:color w:val="auto"/>
              </w:rPr>
            </w:pPr>
            <w:r>
              <w:rPr>
                <w:rFonts w:ascii="Arial" w:cs="Arial" w:eastAsia="Arial" w:hAnsi="Arial"/>
                <w:sz w:val="18"/>
                <w:szCs w:val="18"/>
                <w:b w:val="1"/>
                <w:bCs w:val="1"/>
                <w:color w:val="auto"/>
              </w:rPr>
              <w:t>85017</w:t>
            </w:r>
          </w:p>
        </w:tc>
      </w:tr>
      <w:tr>
        <w:trPr>
          <w:trHeight w:val="224"/>
        </w:trPr>
        <w:tc>
          <w:tcPr>
            <w:tcW w:w="380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490"/>
              <w:spacing w:after="0"/>
              <w:rPr>
                <w:sz w:val="20"/>
                <w:szCs w:val="20"/>
                <w:color w:val="auto"/>
              </w:rPr>
            </w:pPr>
            <w:r>
              <w:rPr>
                <w:rFonts w:ascii="Arial" w:cs="Arial" w:eastAsia="Arial" w:hAnsi="Arial"/>
                <w:sz w:val="18"/>
                <w:szCs w:val="18"/>
                <w:color w:val="auto"/>
                <w:w w:val="94"/>
              </w:rPr>
              <w:t>(Zip Code)</w:t>
            </w:r>
          </w:p>
        </w:tc>
      </w:tr>
    </w:tbl>
    <w:p>
      <w:pPr>
        <w:spacing w:after="0" w:line="156"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16"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78" w:lineRule="exact"/>
        <w:rPr>
          <w:sz w:val="24"/>
          <w:szCs w:val="24"/>
          <w:color w:val="auto"/>
        </w:rPr>
      </w:pPr>
    </w:p>
    <w:p>
      <w:pPr>
        <w:jc w:val="both"/>
        <w:ind w:left="8" w:right="1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08" w:hanging="308"/>
        <w:spacing w:after="0"/>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08" w:hanging="308"/>
        <w:spacing w:after="0"/>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308" w:hanging="308"/>
        <w:spacing w:after="0"/>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08" w:hanging="308"/>
        <w:spacing w:after="0"/>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819150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481"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On November 9, 2010, Grand Canyon Education, Inc. (the “Company”) reported its results for the third quarter of 2010. The press release dated November 9, 2010 is furnished as Exhibit 99.1 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500" w:type="dxa"/>
            <w:vAlign w:val="bottom"/>
            <w:gridSpan w:val="2"/>
          </w:tcPr>
          <w:p>
            <w:pPr>
              <w:ind w:left="1180"/>
              <w:spacing w:after="0"/>
              <w:rPr>
                <w:sz w:val="20"/>
                <w:szCs w:val="20"/>
                <w:color w:val="auto"/>
              </w:rPr>
            </w:pPr>
            <w:r>
              <w:rPr>
                <w:rFonts w:ascii="Arial" w:cs="Arial" w:eastAsia="Arial" w:hAnsi="Arial"/>
                <w:sz w:val="18"/>
                <w:szCs w:val="18"/>
                <w:color w:val="auto"/>
              </w:rPr>
              <w:t>GRAND CANYON EDUCATION, INC.</w:t>
            </w:r>
          </w:p>
        </w:tc>
        <w:tc>
          <w:tcPr>
            <w:tcW w:w="2640" w:type="dxa"/>
            <w:vAlign w:val="bottom"/>
          </w:tcPr>
          <w:p>
            <w:pPr>
              <w:spacing w:after="0"/>
              <w:rPr>
                <w:sz w:val="20"/>
                <w:szCs w:val="20"/>
                <w:color w:val="auto"/>
              </w:rPr>
            </w:pPr>
          </w:p>
        </w:tc>
      </w:tr>
      <w:tr>
        <w:trPr>
          <w:trHeight w:val="432"/>
        </w:trPr>
        <w:tc>
          <w:tcPr>
            <w:tcW w:w="3280" w:type="dxa"/>
            <w:vAlign w:val="bottom"/>
          </w:tcPr>
          <w:p>
            <w:pPr>
              <w:ind w:left="340"/>
              <w:spacing w:after="0"/>
              <w:rPr>
                <w:sz w:val="20"/>
                <w:szCs w:val="20"/>
                <w:color w:val="auto"/>
              </w:rPr>
            </w:pPr>
            <w:r>
              <w:rPr>
                <w:rFonts w:ascii="Arial" w:cs="Arial" w:eastAsia="Arial" w:hAnsi="Arial"/>
                <w:sz w:val="18"/>
                <w:szCs w:val="18"/>
                <w:color w:val="auto"/>
              </w:rPr>
              <w:t>Date: November 9, 2010</w:t>
            </w:r>
          </w:p>
        </w:tc>
        <w:tc>
          <w:tcPr>
            <w:tcW w:w="5500" w:type="dxa"/>
            <w:vAlign w:val="bottom"/>
            <w:gridSpan w:val="2"/>
          </w:tcPr>
          <w:p>
            <w:pPr>
              <w:ind w:left="1180"/>
              <w:spacing w:after="0"/>
              <w:rPr>
                <w:sz w:val="20"/>
                <w:szCs w:val="20"/>
                <w:color w:val="auto"/>
              </w:rPr>
            </w:pPr>
            <w:r>
              <w:rPr>
                <w:rFonts w:ascii="Arial" w:cs="Arial" w:eastAsia="Arial" w:hAnsi="Arial"/>
                <w:sz w:val="18"/>
                <w:szCs w:val="18"/>
                <w:color w:val="auto"/>
              </w:rPr>
              <w:t>By: /s/ Daniel E. Bachus</w:t>
            </w:r>
          </w:p>
        </w:tc>
        <w:tc>
          <w:tcPr>
            <w:tcW w:w="264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64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4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3"/>
              </w:rPr>
              <w:t>(Principal Financial and Principal Accounting Officer)</w:t>
            </w:r>
          </w:p>
        </w:tc>
        <w:tc>
          <w:tcPr>
            <w:tcW w:w="2640" w:type="dxa"/>
            <w:vAlign w:val="bottom"/>
          </w:tcPr>
          <w:p>
            <w:pPr>
              <w:spacing w:after="0"/>
              <w:rPr>
                <w:sz w:val="20"/>
                <w:szCs w:val="20"/>
                <w:color w:val="auto"/>
              </w:rPr>
            </w:pPr>
          </w:p>
        </w:tc>
      </w:tr>
      <w:tr>
        <w:trPr>
          <w:trHeight w:val="1023"/>
        </w:trPr>
        <w:tc>
          <w:tcPr>
            <w:tcW w:w="32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60" w:type="dxa"/>
            <w:vAlign w:val="bottom"/>
          </w:tcPr>
          <w:p>
            <w:pPr>
              <w:ind w:left="3240"/>
              <w:spacing w:after="0"/>
              <w:rPr>
                <w:sz w:val="20"/>
                <w:szCs w:val="20"/>
                <w:color w:val="auto"/>
              </w:rPr>
            </w:pPr>
            <w:r>
              <w:rPr>
                <w:rFonts w:ascii="Arial" w:cs="Arial" w:eastAsia="Arial" w:hAnsi="Arial"/>
                <w:sz w:val="18"/>
                <w:szCs w:val="18"/>
                <w:color w:val="auto"/>
              </w:rPr>
              <w:t>EXHIBIT INDEX</w:t>
            </w:r>
          </w:p>
        </w:tc>
      </w:tr>
      <w:tr>
        <w:trPr>
          <w:trHeight w:val="414"/>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4"/>
                <w:szCs w:val="24"/>
                <w:color w:val="auto"/>
              </w:rPr>
            </w:pPr>
          </w:p>
        </w:tc>
        <w:tc>
          <w:tcPr>
            <w:tcW w:w="8760" w:type="dxa"/>
            <w:vAlign w:val="bottom"/>
          </w:tcPr>
          <w:p>
            <w:pPr>
              <w:spacing w:after="0"/>
              <w:rPr>
                <w:sz w:val="24"/>
                <w:szCs w:val="24"/>
                <w:color w:val="auto"/>
              </w:rPr>
            </w:pPr>
          </w:p>
        </w:tc>
      </w:tr>
      <w:tr>
        <w:trPr>
          <w:trHeight w:val="234"/>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80" w:type="dxa"/>
            <w:vAlign w:val="bottom"/>
          </w:tcPr>
          <w:p>
            <w:pPr>
              <w:spacing w:after="0"/>
              <w:rPr>
                <w:sz w:val="20"/>
                <w:szCs w:val="20"/>
                <w:color w:val="auto"/>
              </w:rPr>
            </w:pPr>
          </w:p>
        </w:tc>
        <w:tc>
          <w:tcPr>
            <w:tcW w:w="8760" w:type="dxa"/>
            <w:vAlign w:val="bottom"/>
            <w:tcBorders>
              <w:bottom w:val="single" w:sz="8" w:color="auto"/>
            </w:tcBorders>
          </w:tcPr>
          <w:p>
            <w:pPr>
              <w:ind w:left="39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Press Release dated November 9, 2010</w:t>
            </w:r>
          </w:p>
        </w:tc>
      </w:tr>
    </w:tbl>
    <w:p>
      <w:pPr>
        <w:sectPr>
          <w:pgSz w:w="11900" w:h="16838" w:orient="portrait"/>
          <w:cols w:equalWidth="0" w:num="1">
            <w:col w:w="9879"/>
          </w:cols>
          <w:pgMar w:left="580" w:top="1341"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THIRD QUARTER 2010 RESULTS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Education’s Third Quarter Net Revenue up 49.7 Percent; Enrollment up 23.6 Percent;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Operating Income up 231 Percent; Net Income up 270 Percent</w:t>
      </w:r>
    </w:p>
    <w:p>
      <w:pPr>
        <w:spacing w:after="0" w:line="166" w:lineRule="exact"/>
        <w:rPr>
          <w:sz w:val="20"/>
          <w:szCs w:val="20"/>
          <w:color w:val="auto"/>
        </w:rPr>
      </w:pPr>
    </w:p>
    <w:p>
      <w:pPr>
        <w:ind w:right="179"/>
        <w:spacing w:after="0" w:line="347" w:lineRule="auto"/>
        <w:rPr>
          <w:sz w:val="20"/>
          <w:szCs w:val="20"/>
          <w:color w:val="auto"/>
        </w:rPr>
      </w:pPr>
      <w:r>
        <w:rPr>
          <w:rFonts w:ascii="Arial" w:cs="Arial" w:eastAsia="Arial" w:hAnsi="Arial"/>
          <w:sz w:val="16"/>
          <w:szCs w:val="16"/>
          <w:b w:val="1"/>
          <w:bCs w:val="1"/>
          <w:color w:val="auto"/>
        </w:rPr>
        <w:t>ARIZONA, November 9, 2010</w:t>
      </w:r>
      <w:r>
        <w:rPr>
          <w:rFonts w:ascii="Arial" w:cs="Arial" w:eastAsia="Arial" w:hAnsi="Arial"/>
          <w:sz w:val="16"/>
          <w:szCs w:val="16"/>
          <w:color w:val="auto"/>
        </w:rPr>
        <w:t>—</w:t>
      </w:r>
      <w:r>
        <w:rPr>
          <w:rFonts w:ascii="Arial" w:cs="Arial" w:eastAsia="Arial" w:hAnsi="Arial"/>
          <w:sz w:val="16"/>
          <w:szCs w:val="16"/>
          <w:b w:val="1"/>
          <w:bCs w:val="1"/>
          <w:u w:val="single" w:color="auto"/>
          <w:color w:val="auto"/>
        </w:rPr>
        <w:t>Grand Canyon Education,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LOPE), a regionally accredited provider of online and</w:t>
      </w:r>
      <w:r>
        <w:rPr>
          <w:rFonts w:ascii="Arial" w:cs="Arial" w:eastAsia="Arial" w:hAnsi="Arial"/>
          <w:sz w:val="16"/>
          <w:szCs w:val="16"/>
          <w:b w:val="1"/>
          <w:bCs w:val="1"/>
          <w:color w:val="auto"/>
        </w:rPr>
        <w:t xml:space="preserve"> </w:t>
      </w:r>
      <w:r>
        <w:rPr>
          <w:rFonts w:ascii="Arial" w:cs="Arial" w:eastAsia="Arial" w:hAnsi="Arial"/>
          <w:sz w:val="16"/>
          <w:szCs w:val="16"/>
          <w:color w:val="auto"/>
        </w:rPr>
        <w:t>campus-based post-secondary education services, today announced financial results for the quarter ended September 30, 2010.</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Third Quarter 2010 Results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September 30, 2010:</w:t>
      </w:r>
    </w:p>
    <w:p>
      <w:pPr>
        <w:spacing w:after="0" w:line="185" w:lineRule="exact"/>
        <w:rPr>
          <w:sz w:val="20"/>
          <w:szCs w:val="20"/>
          <w:color w:val="auto"/>
        </w:rPr>
      </w:pPr>
    </w:p>
    <w:p>
      <w:pPr>
        <w:ind w:left="188" w:hanging="188"/>
        <w:spacing w:after="0"/>
        <w:tabs>
          <w:tab w:leader="none" w:pos="188"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Net revenue increased 49.7% to $98.9 million for the third quarter of 2010, compared to $66.1 million for the third quarter of 2009.</w:t>
      </w:r>
    </w:p>
    <w:p>
      <w:pPr>
        <w:spacing w:after="0" w:line="180" w:lineRule="exact"/>
        <w:rPr>
          <w:rFonts w:ascii="Arial" w:cs="Arial" w:eastAsia="Arial" w:hAnsi="Arial"/>
          <w:sz w:val="16"/>
          <w:szCs w:val="16"/>
          <w:b w:val="1"/>
          <w:bCs w:val="1"/>
          <w:color w:val="auto"/>
        </w:rPr>
      </w:pPr>
    </w:p>
    <w:p>
      <w:pPr>
        <w:ind w:left="188" w:right="179" w:hanging="188"/>
        <w:spacing w:after="0" w:line="277"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September 30, 2010, our enrollment was approximately 42,300, an increase of 23.6% from our enrollment of approximately 34,200 at September 30, 2009.</w:t>
      </w:r>
    </w:p>
    <w:p>
      <w:pPr>
        <w:spacing w:after="0" w:line="102" w:lineRule="exact"/>
        <w:rPr>
          <w:rFonts w:ascii="Arial" w:cs="Arial" w:eastAsia="Arial" w:hAnsi="Arial"/>
          <w:sz w:val="18"/>
          <w:szCs w:val="18"/>
          <w:b w:val="1"/>
          <w:bCs w:val="1"/>
          <w:color w:val="auto"/>
        </w:rPr>
      </w:pPr>
    </w:p>
    <w:p>
      <w:pPr>
        <w:jc w:val="both"/>
        <w:ind w:left="188" w:right="159" w:hanging="188"/>
        <w:spacing w:after="0" w:line="259"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the third quarter of 2010 was $22.1 million, an increase of 231% as compared to $6.7 million for the same period in 2009. The operating margin for the third quarter of 2010 was 22.4%, compared to 10.1% for the same period in 2009. Excluding the estimated litigation loss, operating income was $11.9 million and operating margin was 18.0% for the three months ended September 30, 2009.</w:t>
      </w:r>
    </w:p>
    <w:p>
      <w:pPr>
        <w:spacing w:after="0" w:line="119" w:lineRule="exact"/>
        <w:rPr>
          <w:rFonts w:ascii="Arial" w:cs="Arial" w:eastAsia="Arial" w:hAnsi="Arial"/>
          <w:sz w:val="18"/>
          <w:szCs w:val="18"/>
          <w:b w:val="1"/>
          <w:bCs w:val="1"/>
          <w:color w:val="auto"/>
        </w:rPr>
      </w:pPr>
    </w:p>
    <w:p>
      <w:pPr>
        <w:jc w:val="both"/>
        <w:ind w:left="188" w:right="159" w:hanging="188"/>
        <w:spacing w:after="0" w:line="264"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During the third quarter of 2009, an estimated litigation loss of $5.2 million was recorded for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In the third quarter of 2010, the settlement was approved by the United States District Court for the District of Arizona, but that decision is currently subject to appeal.</w:t>
      </w:r>
    </w:p>
    <w:p>
      <w:pPr>
        <w:spacing w:after="0" w:line="113" w:lineRule="exact"/>
        <w:rPr>
          <w:rFonts w:ascii="Arial" w:cs="Arial" w:eastAsia="Arial" w:hAnsi="Arial"/>
          <w:sz w:val="18"/>
          <w:szCs w:val="18"/>
          <w:b w:val="1"/>
          <w:bCs w:val="1"/>
          <w:color w:val="auto"/>
        </w:rPr>
      </w:pPr>
    </w:p>
    <w:p>
      <w:pPr>
        <w:ind w:left="188" w:right="179" w:hanging="188"/>
        <w:spacing w:after="0" w:line="277"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76.6% to $26.8 million for the third quarter of 2010, compared to $15.1 million for the same period in 2009.</w:t>
      </w:r>
    </w:p>
    <w:p>
      <w:pPr>
        <w:spacing w:after="0" w:line="102" w:lineRule="exact"/>
        <w:rPr>
          <w:rFonts w:ascii="Arial" w:cs="Arial" w:eastAsia="Arial" w:hAnsi="Arial"/>
          <w:sz w:val="18"/>
          <w:szCs w:val="18"/>
          <w:b w:val="1"/>
          <w:bCs w:val="1"/>
          <w:color w:val="auto"/>
        </w:rPr>
      </w:pPr>
    </w:p>
    <w:p>
      <w:pPr>
        <w:jc w:val="both"/>
        <w:ind w:left="188" w:right="159" w:hanging="188"/>
        <w:spacing w:after="0" w:line="264"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The tax rate in the third quarter of 2010 was 41.3% compared to 46.0% in the third quarter of 2009. The higher effective tax rate in the third quarter of 2009 was primarily attributable to the potential impact of the estimated litigation loss for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settlement, which may not be fully deductible.</w:t>
      </w:r>
    </w:p>
    <w:p>
      <w:pPr>
        <w:spacing w:after="0" w:line="113" w:lineRule="exact"/>
        <w:rPr>
          <w:rFonts w:ascii="Arial" w:cs="Arial" w:eastAsia="Arial" w:hAnsi="Arial"/>
          <w:sz w:val="18"/>
          <w:szCs w:val="18"/>
          <w:b w:val="1"/>
          <w:bCs w:val="1"/>
          <w:color w:val="auto"/>
        </w:rPr>
      </w:pPr>
    </w:p>
    <w:p>
      <w:pPr>
        <w:ind w:left="188" w:hanging="188"/>
        <w:spacing w:after="0"/>
        <w:tabs>
          <w:tab w:leader="none" w:pos="188"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Net income increased 270% to $12.9 million for the third quarter of 2010, compared to $3.5 million for the same period in 2009.</w:t>
      </w:r>
    </w:p>
    <w:p>
      <w:pPr>
        <w:spacing w:after="0" w:line="169" w:lineRule="exact"/>
        <w:rPr>
          <w:rFonts w:ascii="Arial" w:cs="Arial" w:eastAsia="Arial" w:hAnsi="Arial"/>
          <w:sz w:val="17"/>
          <w:szCs w:val="17"/>
          <w:b w:val="1"/>
          <w:bCs w:val="1"/>
          <w:color w:val="auto"/>
        </w:rPr>
      </w:pPr>
    </w:p>
    <w:p>
      <w:pPr>
        <w:jc w:val="both"/>
        <w:ind w:left="188" w:right="179" w:hanging="188"/>
        <w:spacing w:after="0" w:line="264" w:lineRule="auto"/>
        <w:tabs>
          <w:tab w:leader="none" w:pos="18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$0.28 for the third quarter of 2010, compared to $0.08 for the same period in 2009. Excluding the estimated litigation loss of $5.2 million, net of taxes of $1.7 million, diluted net income per share was $0.15 for the third quarter of 2009.</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nine months ended September 30, 2010:</w:t>
      </w:r>
    </w:p>
    <w:p>
      <w:pPr>
        <w:spacing w:after="0" w:line="198" w:lineRule="exact"/>
        <w:rPr>
          <w:sz w:val="20"/>
          <w:szCs w:val="20"/>
          <w:color w:val="auto"/>
        </w:rPr>
      </w:pPr>
    </w:p>
    <w:p>
      <w:pPr>
        <w:ind w:left="188" w:hanging="188"/>
        <w:spacing w:after="0"/>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revenue increased 54.9% to $285.8 million, compared to $184.4 million for the same period in 2009.</w:t>
      </w:r>
    </w:p>
    <w:p>
      <w:pPr>
        <w:spacing w:after="0" w:line="157" w:lineRule="exact"/>
        <w:rPr>
          <w:rFonts w:ascii="Arial" w:cs="Arial" w:eastAsia="Arial" w:hAnsi="Arial"/>
          <w:sz w:val="18"/>
          <w:szCs w:val="18"/>
          <w:b w:val="1"/>
          <w:bCs w:val="1"/>
          <w:color w:val="auto"/>
        </w:rPr>
      </w:pPr>
    </w:p>
    <w:p>
      <w:pPr>
        <w:jc w:val="both"/>
        <w:ind w:left="188" w:right="159" w:hanging="188"/>
        <w:spacing w:after="0" w:line="259"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income for the nine months ended September 30, 2010 was $62.2 million, an increase of 117% as compared to $28.7 million for the same period in 2009. The operating margin for the nine months ended September 30, 2010 was 21.8%, compared to 15.6% for the same period in 2009. Excluding the estimated litigation loss, operating income was $33.9 million and operating margin was 18.4% for the nine months ended September 30, 2009.</w:t>
      </w:r>
    </w:p>
    <w:p>
      <w:pPr>
        <w:spacing w:after="0" w:line="119" w:lineRule="exact"/>
        <w:rPr>
          <w:rFonts w:ascii="Arial" w:cs="Arial" w:eastAsia="Arial" w:hAnsi="Arial"/>
          <w:sz w:val="18"/>
          <w:szCs w:val="18"/>
          <w:b w:val="1"/>
          <w:bCs w:val="1"/>
          <w:color w:val="auto"/>
        </w:rPr>
      </w:pPr>
    </w:p>
    <w:p>
      <w:pPr>
        <w:jc w:val="both"/>
        <w:ind w:left="188" w:right="159" w:hanging="188"/>
        <w:spacing w:after="0" w:line="264"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During the nine months ended September 30, 2009, an estimated litigation loss of $5.2 million was recorded for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In the third quarter of 2010, the settlement was approved by the United States District Court for the District of Arizona, but that decision is currently subject to appeal.</w:t>
      </w:r>
    </w:p>
    <w:p>
      <w:pPr>
        <w:spacing w:after="0" w:line="113" w:lineRule="exact"/>
        <w:rPr>
          <w:rFonts w:ascii="Arial" w:cs="Arial" w:eastAsia="Arial" w:hAnsi="Arial"/>
          <w:sz w:val="18"/>
          <w:szCs w:val="18"/>
          <w:b w:val="1"/>
          <w:bCs w:val="1"/>
          <w:color w:val="auto"/>
        </w:rPr>
      </w:pPr>
    </w:p>
    <w:p>
      <w:pPr>
        <w:ind w:left="188" w:right="179" w:hanging="188"/>
        <w:spacing w:after="0" w:line="277"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EBITDA increased 77.3% to $74.7 million for the nine months ended September 30, 2010, compared to $42.1 million for the same period in 2009.</w:t>
      </w:r>
    </w:p>
    <w:p>
      <w:pPr>
        <w:spacing w:after="0" w:line="102" w:lineRule="exact"/>
        <w:rPr>
          <w:rFonts w:ascii="Arial" w:cs="Arial" w:eastAsia="Arial" w:hAnsi="Arial"/>
          <w:sz w:val="18"/>
          <w:szCs w:val="18"/>
          <w:b w:val="1"/>
          <w:bCs w:val="1"/>
          <w:color w:val="auto"/>
        </w:rPr>
      </w:pPr>
    </w:p>
    <w:p>
      <w:pPr>
        <w:ind w:left="188" w:hanging="188"/>
        <w:spacing w:after="0"/>
        <w:tabs>
          <w:tab w:leader="none" w:pos="188"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tax rate for the nine months ended September 30, 2010 was 40.4% compared to 41.3% for the same period in 2009.</w:t>
      </w:r>
    </w:p>
    <w:p>
      <w:pPr>
        <w:spacing w:after="0" w:line="169" w:lineRule="exact"/>
        <w:rPr>
          <w:rFonts w:ascii="Arial" w:cs="Arial" w:eastAsia="Arial" w:hAnsi="Arial"/>
          <w:sz w:val="17"/>
          <w:szCs w:val="17"/>
          <w:b w:val="1"/>
          <w:bCs w:val="1"/>
          <w:color w:val="auto"/>
        </w:rPr>
      </w:pPr>
    </w:p>
    <w:p>
      <w:pPr>
        <w:ind w:left="188" w:right="179" w:hanging="188"/>
        <w:spacing w:after="0" w:line="277"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increased 127% to $36.8 million for the nine months ended September 30, 2010, compared to $16.2 million for the same period in 2009.</w:t>
      </w:r>
    </w:p>
    <w:p>
      <w:pPr>
        <w:spacing w:after="0" w:line="102" w:lineRule="exact"/>
        <w:rPr>
          <w:rFonts w:ascii="Arial" w:cs="Arial" w:eastAsia="Arial" w:hAnsi="Arial"/>
          <w:sz w:val="18"/>
          <w:szCs w:val="18"/>
          <w:b w:val="1"/>
          <w:bCs w:val="1"/>
          <w:color w:val="auto"/>
        </w:rPr>
      </w:pPr>
    </w:p>
    <w:p>
      <w:pPr>
        <w:jc w:val="both"/>
        <w:ind w:left="188" w:right="159" w:hanging="188"/>
        <w:spacing w:after="0" w:line="264"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$0.79 for the nine months ended September 30, 2010, compared to $0.36 for the same period in 2009. Excluding the estimated litigation loss, net of taxes, diluted net income per share was $0.43 for the nine months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619760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As of September 30, 2010, the Company had unrestricted cash, cash equivalents and marketable securities of $50.5 million compared to $63.1 million as of December 31, 2009 and restricted cash, cash equivalents and investments at September 30, 2010 and December 31, 2009 of $55.9 million and $3.2 million, respectively.</w:t>
      </w:r>
    </w:p>
    <w:p>
      <w:pPr>
        <w:spacing w:after="0" w:line="14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Company generated $80.5 million in cash from operating activities in the nine months ended September 30, 2010 compared to $66.8 million in the same period of 2009. Cash provided by operating activities in the nine months ended September 30, 2010 resulted from our net income plus non cash charges for bad debts, depreciation and amortization and improvement in our working capital management.</w:t>
      </w:r>
    </w:p>
    <w:p>
      <w:pPr>
        <w:spacing w:after="0" w:line="160" w:lineRule="exact"/>
        <w:rPr>
          <w:sz w:val="20"/>
          <w:szCs w:val="20"/>
          <w:color w:val="auto"/>
        </w:rPr>
      </w:pPr>
    </w:p>
    <w:p>
      <w:pPr>
        <w:jc w:val="both"/>
        <w:ind w:right="159"/>
        <w:spacing w:after="0" w:line="268" w:lineRule="auto"/>
        <w:rPr>
          <w:sz w:val="20"/>
          <w:szCs w:val="20"/>
          <w:color w:val="auto"/>
        </w:rPr>
      </w:pPr>
      <w:r>
        <w:rPr>
          <w:rFonts w:ascii="Arial" w:cs="Arial" w:eastAsia="Arial" w:hAnsi="Arial"/>
          <w:sz w:val="17"/>
          <w:szCs w:val="17"/>
          <w:color w:val="auto"/>
        </w:rPr>
        <w:t>A significant portion of our net revenue is derived from tuition financed by the Title IV programs. Federal regulations dictate the timing of disbursements under the Title IV programs. 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up to 33% of a student’s academic year financial aid at the start of each term, with the majority of such amounts being treated as unrestricted cash and deferred revenue (or a student deposit liability depending on if the course had begun or not) until the revenue is recognized. In a non-term, borrower-based environment,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caused a significant increase in the restricted cash amount between December 31, 2009 and September 30, 2010.</w:t>
      </w:r>
    </w:p>
    <w:p>
      <w:pPr>
        <w:spacing w:after="0" w:line="140"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Cash used in investing activities was $91.7 million and $53.0 million for the nine months ended September 30, 2010 and 2009, respectively. Cash used in investing activities in 2010 is primarily due to an increase in restricted cash during the second and third quarters of 2010 as a result of our transition from a term-based financial aid system to a non-term borrower based system (“BBAY”) in April 2010. Other capital expenditures of $39.6 million in 2010 primarily consisted of purchases of computer equipment and software costs to complete our transition from Datatel to CampusVue and Great Plains, other internal use software projects, furniture and equipment to support our increasing employee base and headcount and ground campus building projects to support our increasing traditional ground student enrollment. In 2009, cash used in investing activities was primarily the result of our acquisition on April 28, 2009 of the land and buildings that comprise our ground campus for $35.5 million, in addition to the $18.9 million of capital expenditures which primarily consisted of computer equipment, leasehold improvements, and office furniture and fixtures to support our increasing employee headcounts.</w:t>
      </w:r>
    </w:p>
    <w:p>
      <w:pPr>
        <w:spacing w:after="0" w:line="137" w:lineRule="exact"/>
        <w:rPr>
          <w:sz w:val="20"/>
          <w:szCs w:val="20"/>
          <w:color w:val="auto"/>
        </w:rPr>
      </w:pPr>
    </w:p>
    <w:p>
      <w:pPr>
        <w:jc w:val="both"/>
        <w:ind w:right="179"/>
        <w:spacing w:after="0" w:line="257" w:lineRule="auto"/>
        <w:rPr>
          <w:sz w:val="20"/>
          <w:szCs w:val="20"/>
          <w:color w:val="auto"/>
        </w:rPr>
      </w:pPr>
      <w:r>
        <w:rPr>
          <w:rFonts w:ascii="Arial" w:cs="Arial" w:eastAsia="Arial" w:hAnsi="Arial"/>
          <w:sz w:val="18"/>
          <w:szCs w:val="18"/>
          <w:color w:val="auto"/>
        </w:rPr>
        <w:t>Cash used in financing activities was $0.9 million and cash provided by financing activities was $24.7 million for the nine months ended September 30, 2009. During 2010 principal payments on notes payable and capital lease obligations and the repurchase of our common stock were offset by proceeds from the exercise of stock options and the excess tax benefits from share-based compensation. During 2009, the proceeds from our loan agreement were partially offset by the repurchase of shares of our common stock in connection with the campus repurchase.</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7" w:name="page8"/>
    <w:bookmarkEnd w:id="7"/>
    <w:p>
      <w:pPr>
        <w:ind w:left="8"/>
        <w:spacing w:after="0"/>
        <w:rPr>
          <w:sz w:val="20"/>
          <w:szCs w:val="20"/>
          <w:color w:val="auto"/>
        </w:rPr>
      </w:pPr>
      <w:r>
        <w:rPr>
          <w:rFonts w:ascii="Arial" w:cs="Arial" w:eastAsia="Arial" w:hAnsi="Arial"/>
          <w:sz w:val="18"/>
          <w:szCs w:val="18"/>
          <w:b w:val="1"/>
          <w:bCs w:val="1"/>
          <w:color w:val="auto"/>
        </w:rPr>
        <w:t>Grand Canyon Education, Inc. Reports Third Quarter 2009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Fourth Quarter 2010 Outlook</w:t>
      </w:r>
    </w:p>
    <w:p>
      <w:pPr>
        <w:spacing w:after="0" w:line="189" w:lineRule="exact"/>
        <w:rPr>
          <w:sz w:val="20"/>
          <w:szCs w:val="20"/>
          <w:color w:val="auto"/>
        </w:rPr>
      </w:pPr>
    </w:p>
    <w:p>
      <w:pPr>
        <w:ind w:left="188" w:hanging="188"/>
        <w:spacing w:after="0"/>
        <w:tabs>
          <w:tab w:leader="none" w:pos="18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expect enrollment to be between 43,000 and 45,000 students at December 31, 2010.</w:t>
      </w:r>
    </w:p>
    <w:p>
      <w:pPr>
        <w:spacing w:after="0" w:line="157" w:lineRule="exact"/>
        <w:rPr>
          <w:rFonts w:ascii="Arial" w:cs="Arial" w:eastAsia="Arial" w:hAnsi="Arial"/>
          <w:sz w:val="18"/>
          <w:szCs w:val="18"/>
          <w:b w:val="1"/>
          <w:bCs w:val="1"/>
          <w:color w:val="auto"/>
        </w:rPr>
      </w:pPr>
    </w:p>
    <w:p>
      <w:pPr>
        <w:ind w:left="188" w:hanging="188"/>
        <w:spacing w:after="0"/>
        <w:tabs>
          <w:tab w:leader="none" w:pos="18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expect net revenue growth of approximately 34% to 37%, to be between $104 million and $106 million.</w:t>
      </w:r>
    </w:p>
    <w:p>
      <w:pPr>
        <w:spacing w:after="0" w:line="157" w:lineRule="exact"/>
        <w:rPr>
          <w:rFonts w:ascii="Arial" w:cs="Arial" w:eastAsia="Arial" w:hAnsi="Arial"/>
          <w:sz w:val="18"/>
          <w:szCs w:val="18"/>
          <w:b w:val="1"/>
          <w:bCs w:val="1"/>
          <w:color w:val="auto"/>
        </w:rPr>
      </w:pPr>
    </w:p>
    <w:p>
      <w:pPr>
        <w:ind w:left="188" w:hanging="188"/>
        <w:spacing w:after="0"/>
        <w:tabs>
          <w:tab w:leader="none" w:pos="18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expect diluted net income per share will be between $0.31 and $0.33 per share.</w:t>
      </w:r>
    </w:p>
    <w:p>
      <w:pPr>
        <w:spacing w:after="0" w:line="200" w:lineRule="exact"/>
        <w:rPr>
          <w:sz w:val="20"/>
          <w:szCs w:val="20"/>
          <w:color w:val="auto"/>
        </w:rPr>
      </w:pPr>
    </w:p>
    <w:p>
      <w:pPr>
        <w:spacing w:after="0" w:line="390" w:lineRule="exact"/>
        <w:rPr>
          <w:sz w:val="20"/>
          <w:szCs w:val="20"/>
          <w:color w:val="auto"/>
        </w:rPr>
      </w:pPr>
    </w:p>
    <w:p>
      <w:pPr>
        <w:ind w:left="188" w:hanging="188"/>
        <w:spacing w:after="0"/>
        <w:tabs>
          <w:tab w:leader="none" w:pos="18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expect enrollment to be between 51,600 and 54,000 students at December 31, 2011.</w:t>
      </w:r>
    </w:p>
    <w:p>
      <w:pPr>
        <w:spacing w:after="0" w:line="157" w:lineRule="exact"/>
        <w:rPr>
          <w:rFonts w:ascii="Arial" w:cs="Arial" w:eastAsia="Arial" w:hAnsi="Arial"/>
          <w:sz w:val="18"/>
          <w:szCs w:val="18"/>
          <w:b w:val="1"/>
          <w:bCs w:val="1"/>
          <w:color w:val="auto"/>
        </w:rPr>
      </w:pPr>
    </w:p>
    <w:p>
      <w:pPr>
        <w:ind w:left="188" w:hanging="188"/>
        <w:spacing w:after="0"/>
        <w:tabs>
          <w:tab w:leader="none" w:pos="18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expect net revenues to be between $500 million and $510 million.</w:t>
      </w:r>
    </w:p>
    <w:p>
      <w:pPr>
        <w:spacing w:after="0" w:line="157" w:lineRule="exact"/>
        <w:rPr>
          <w:rFonts w:ascii="Arial" w:cs="Arial" w:eastAsia="Arial" w:hAnsi="Arial"/>
          <w:sz w:val="18"/>
          <w:szCs w:val="18"/>
          <w:b w:val="1"/>
          <w:bCs w:val="1"/>
          <w:color w:val="auto"/>
        </w:rPr>
      </w:pPr>
    </w:p>
    <w:p>
      <w:pPr>
        <w:ind w:left="188" w:hanging="188"/>
        <w:spacing w:after="0"/>
        <w:tabs>
          <w:tab w:leader="none" w:pos="18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expect diluted net income per share will be in the range of $1.30 to $1.50 per share.</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8" w:right="159"/>
        <w:spacing w:after="0" w:line="253" w:lineRule="auto"/>
        <w:rPr>
          <w:sz w:val="20"/>
          <w:szCs w:val="20"/>
          <w:color w:val="auto"/>
        </w:rPr>
      </w:pPr>
      <w:r>
        <w:rPr>
          <w:rFonts w:ascii="Arial" w:cs="Arial" w:eastAsia="Arial" w:hAnsi="Arial"/>
          <w:sz w:val="18"/>
          <w:szCs w:val="18"/>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70" w:lineRule="exact"/>
        <w:rPr>
          <w:sz w:val="20"/>
          <w:szCs w:val="20"/>
          <w:color w:val="auto"/>
        </w:rPr>
      </w:pPr>
    </w:p>
    <w:p>
      <w:pPr>
        <w:jc w:val="both"/>
        <w:ind w:left="8" w:right="159"/>
        <w:spacing w:after="0" w:line="284" w:lineRule="auto"/>
        <w:rPr>
          <w:sz w:val="20"/>
          <w:szCs w:val="20"/>
          <w:color w:val="auto"/>
        </w:rPr>
      </w:pPr>
      <w:r>
        <w:rPr>
          <w:rFonts w:ascii="Arial" w:cs="Arial" w:eastAsia="Arial" w:hAnsi="Arial"/>
          <w:sz w:val="16"/>
          <w:szCs w:val="16"/>
          <w:color w:val="auto"/>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any adverse results arising from the investigation by the Department of Educations’ Office of Inspector General that was originally initiated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the outcome of the pending appeal of the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and possible remedial actions or other liability in excess of the settlement amount resulting therefrom; the results of the ongoing program review being conducted by the Department of Education of our compliance with Title IV program requirements, and possible fines or other administrative sanctions resulting therefrom; the ability of our students to obtain federal Title IV funds, state financial aid, and private financing; potential damage to our reputation or other adverse effects as a result of negative publicity in the media, in the industry or in connection with governmental reports or investigations or otherwise, affecting us or other companies in the for-profit postsecondary education sector; risks associated with changes in applicable federal and state laws and regulations and accrediting commission standards including pending rulemaking by the Department of Education;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the extent to which obligations under our loan agreement, including the need to comply with restrictive and financial covenants and to pay principal and interest payments, limits our ability to conduct our operations or seek new business opportunities; potential decreases in enrollment, the payment of refunds or other negative impacts on our operating results as a result of our change from a “term-based” financial aid system to a “borrower-based, non-term” or “BBAY” financial aid system;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349"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 w:name="page9"/>
    <w:bookmarkEnd w:id="8"/>
    <w:p>
      <w:pPr>
        <w:ind w:left="8"/>
        <w:spacing w:after="0"/>
        <w:rPr>
          <w:sz w:val="20"/>
          <w:szCs w:val="20"/>
          <w:color w:val="auto"/>
        </w:rPr>
      </w:pPr>
      <w:r>
        <w:rPr>
          <w:rFonts w:ascii="Arial" w:cs="Arial" w:eastAsia="Arial" w:hAnsi="Arial"/>
          <w:sz w:val="18"/>
          <w:szCs w:val="18"/>
          <w:b w:val="1"/>
          <w:bCs w:val="1"/>
          <w:color w:val="auto"/>
        </w:rPr>
        <w:t>Grand Canyon Education, Inc. Reports Third Quarter 2010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 xml:space="preserve">Grand Canyon Education, Inc. will discuss its third quarter 2010 results and 2010 outlook during a conference call scheduled for today, November 9, 2010 at 5:00 p.m. Eastern time (ET). To participate in the live call, investors should dial 877-815-5362 (domestic and Canada) or 706-679-7806 (international), passcode 19879121 at 4:50 p.m. (ET). The Webcast will be available on the Grand Canyon Education, Inc. Web site at </w:t>
      </w:r>
      <w:r>
        <w:rPr>
          <w:rFonts w:ascii="Arial" w:cs="Arial" w:eastAsia="Arial" w:hAnsi="Arial"/>
          <w:sz w:val="18"/>
          <w:szCs w:val="18"/>
          <w:u w:val="single" w:color="auto"/>
          <w:color w:val="auto"/>
        </w:rPr>
        <w:t>www.gcu.edu</w:t>
      </w:r>
      <w:r>
        <w:rPr>
          <w:rFonts w:ascii="Arial" w:cs="Arial" w:eastAsia="Arial" w:hAnsi="Arial"/>
          <w:sz w:val="18"/>
          <w:szCs w:val="18"/>
          <w:color w:val="auto"/>
        </w:rPr>
        <w:t>.</w:t>
      </w:r>
    </w:p>
    <w:p>
      <w:pPr>
        <w:spacing w:after="0" w:line="146"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November 8, 2011, at 800-642-1687 (domestic) or 706-645-9291 (international), passcode 19879121.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159"/>
        <w:spacing w:after="0" w:line="302" w:lineRule="auto"/>
        <w:rPr>
          <w:sz w:val="20"/>
          <w:szCs w:val="20"/>
          <w:color w:val="auto"/>
        </w:rPr>
      </w:pPr>
      <w:r>
        <w:rPr>
          <w:rFonts w:ascii="Arial" w:cs="Arial" w:eastAsia="Arial" w:hAnsi="Arial"/>
          <w:sz w:val="16"/>
          <w:szCs w:val="16"/>
          <w:color w:val="auto"/>
        </w:rPr>
        <w:t xml:space="preserve">Grand Canyon Education, Inc. is a regionally accredited provider of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42,300 students were enrolled as of September 30, 2010. For more information about Grand Canyon Education, Inc., please visit </w:t>
      </w:r>
      <w:r>
        <w:rPr>
          <w:rFonts w:ascii="Arial" w:cs="Arial" w:eastAsia="Arial" w:hAnsi="Arial"/>
          <w:sz w:val="16"/>
          <w:szCs w:val="16"/>
          <w:u w:val="single" w:color="auto"/>
          <w:color w:val="auto"/>
        </w:rPr>
        <w:t>http://www.gcu.edu</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115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96" w:lineRule="exact"/>
        <w:rPr>
          <w:sz w:val="20"/>
          <w:szCs w:val="20"/>
          <w:color w:val="auto"/>
        </w:rPr>
      </w:pPr>
    </w:p>
    <w:p>
      <w:pPr>
        <w:jc w:val="both"/>
        <w:ind w:left="388" w:right="159" w:hanging="388"/>
        <w:spacing w:after="0" w:line="264" w:lineRule="auto"/>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28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Grand Canyon Education, Inc. Reports Third Quarter 2010 Results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320" w:type="dxa"/>
            <w:vAlign w:val="bottom"/>
            <w:gridSpan w:val="9"/>
          </w:tcPr>
          <w:p>
            <w:pPr>
              <w:jc w:val="center"/>
              <w:ind w:left="229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80" w:type="dxa"/>
            <w:vAlign w:val="bottom"/>
            <w:gridSpan w:val="5"/>
          </w:tcPr>
          <w:p>
            <w:pPr>
              <w:jc w:val="center"/>
              <w:ind w:left="3830"/>
              <w:spacing w:after="0"/>
              <w:rPr>
                <w:sz w:val="20"/>
                <w:szCs w:val="20"/>
                <w:color w:val="auto"/>
              </w:rPr>
            </w:pPr>
            <w:r>
              <w:rPr>
                <w:rFonts w:ascii="Arial" w:cs="Arial" w:eastAsia="Arial" w:hAnsi="Arial"/>
                <w:sz w:val="18"/>
                <w:szCs w:val="18"/>
                <w:b w:val="1"/>
                <w:bCs w:val="1"/>
                <w:color w:val="auto"/>
                <w:w w:val="88"/>
              </w:rPr>
              <w:t>Income Statements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98,946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103,904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w w:val="94"/>
              </w:rPr>
              <w:t>Selling and promotional, including $2,702 and $1,928 for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1"/>
              </w:rPr>
              <w:t>the three months ended September 30, 2010 and 2009,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0"/>
              </w:rPr>
              <w:t>respectively, and $7,694 and $5,319 for the nine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4"/>
              </w:rPr>
              <w:t>ended September 30, 2010 and 2009, respectively, to</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related parties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28,103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22,095</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83,955</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62,396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Estimated litigation loss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Royalty to former owner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223,547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62,247</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6,460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61,696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2,969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24,902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Shares used in computing net income per common</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45,746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44,783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45,715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8"/>
        <w:spacing w:after="0"/>
        <w:rPr>
          <w:sz w:val="20"/>
          <w:szCs w:val="20"/>
          <w:color w:val="auto"/>
        </w:rPr>
      </w:pPr>
      <w:r>
        <w:rPr>
          <w:rFonts w:ascii="Arial" w:cs="Arial" w:eastAsia="Arial" w:hAnsi="Arial"/>
          <w:sz w:val="18"/>
          <w:szCs w:val="18"/>
          <w:b w:val="1"/>
          <w:bCs w:val="1"/>
          <w:color w:val="auto"/>
        </w:rPr>
        <w:t>Grand Canyon Education, Inc. Reports Third Quarter 2010 Results</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left="8" w:right="159"/>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44"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We define Adjusted EBITDA as net income plus interest expense net of interest income, plus income tax expense, and plus depreciation and amortization (EBITDA), as adjusted for (i) royalty payments incurred pursuant to an agreement with our former owner that has been terminated as of April 15, 2008; (ii) contributions made to Arizona school tuition organizations in lieu of the payment of state income taxes, which we typically make in the fourth quarter of a fiscal year; (iii) estimated litigation losses, if any; (iv) exit costs, if any; (v) and share-based compensation.</w:t>
      </w:r>
    </w:p>
    <w:p>
      <w:pPr>
        <w:spacing w:after="0" w:line="148" w:lineRule="exact"/>
        <w:rPr>
          <w:sz w:val="20"/>
          <w:szCs w:val="20"/>
          <w:color w:val="auto"/>
        </w:rPr>
      </w:pPr>
    </w:p>
    <w:p>
      <w:pPr>
        <w:jc w:val="both"/>
        <w:ind w:left="8" w:right="159"/>
        <w:spacing w:after="0" w:line="268" w:lineRule="auto"/>
        <w:rPr>
          <w:sz w:val="20"/>
          <w:szCs w:val="20"/>
          <w:color w:val="auto"/>
        </w:rPr>
      </w:pPr>
      <w:r>
        <w:rPr>
          <w:rFonts w:ascii="Arial" w:cs="Arial" w:eastAsia="Arial" w:hAnsi="Arial"/>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40"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61" w:lineRule="exact"/>
        <w:rPr>
          <w:sz w:val="20"/>
          <w:szCs w:val="20"/>
          <w:color w:val="auto"/>
        </w:rPr>
      </w:pPr>
    </w:p>
    <w:p>
      <w:pPr>
        <w:ind w:left="388" w:hanging="388"/>
        <w:spacing w:after="0"/>
        <w:tabs>
          <w:tab w:leader="none" w:pos="38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388" w:hanging="388"/>
        <w:spacing w:after="0"/>
        <w:tabs>
          <w:tab w:leader="none" w:pos="38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57" w:lineRule="exact"/>
        <w:rPr>
          <w:rFonts w:ascii="Arial" w:cs="Arial" w:eastAsia="Arial" w:hAnsi="Arial"/>
          <w:sz w:val="18"/>
          <w:szCs w:val="18"/>
          <w:b w:val="1"/>
          <w:bCs w:val="1"/>
          <w:color w:val="auto"/>
        </w:rPr>
      </w:pPr>
    </w:p>
    <w:p>
      <w:pPr>
        <w:ind w:left="388" w:hanging="388"/>
        <w:spacing w:after="0"/>
        <w:tabs>
          <w:tab w:leader="none" w:pos="38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interest expense, or the cash requirements necessary to service interest or principal payments on our indebtedness;</w:t>
      </w:r>
    </w:p>
    <w:p>
      <w:pPr>
        <w:spacing w:after="0" w:line="157" w:lineRule="exact"/>
        <w:rPr>
          <w:rFonts w:ascii="Arial" w:cs="Arial" w:eastAsia="Arial" w:hAnsi="Arial"/>
          <w:sz w:val="18"/>
          <w:szCs w:val="18"/>
          <w:b w:val="1"/>
          <w:bCs w:val="1"/>
          <w:color w:val="auto"/>
        </w:rPr>
      </w:pPr>
    </w:p>
    <w:p>
      <w:pPr>
        <w:ind w:left="388" w:hanging="388"/>
        <w:spacing w:after="0"/>
        <w:tabs>
          <w:tab w:leader="none" w:pos="38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30" w:lineRule="exact"/>
        <w:rPr>
          <w:sz w:val="20"/>
          <w:szCs w:val="20"/>
          <w:color w:val="auto"/>
        </w:rPr>
      </w:pPr>
    </w:p>
    <w:p>
      <w:pPr>
        <w:jc w:val="both"/>
        <w:ind w:left="8" w:right="179"/>
        <w:spacing w:after="0" w:line="276" w:lineRule="auto"/>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622300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1" w:name="page12"/>
    <w:bookmarkEnd w:id="11"/>
    <w:p>
      <w:pPr>
        <w:ind w:left="340" w:right="13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9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8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3,491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8,329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9,015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Plus: estimated litigation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Plus: exit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42,129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7"/>
        </w:trPr>
        <w:tc>
          <w:tcPr>
            <w:tcW w:w="3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Grand Canyon Education, Inc. Reports Third Quarter 2010 Results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10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rPr>
              <w:t>GRAND CANYON EDUCATION, INC.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10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5"/>
              </w:rPr>
              <w:t>Balance Sheets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par value)</w:t>
            </w:r>
          </w:p>
        </w:tc>
        <w:tc>
          <w:tcPr>
            <w:tcW w:w="2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8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100" w:type="dxa"/>
            <w:vAlign w:val="bottom"/>
            <w:gridSpan w:val="2"/>
            <w:shd w:val="clear" w:color="auto" w:fill="CCEEFF"/>
          </w:tcPr>
          <w:p>
            <w:pPr>
              <w:jc w:val="center"/>
              <w:ind w:left="251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50,471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Restricted cash, cash equivalents and investments (of which $170 is unrestricted at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December 31, 2009)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55,875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$11,412 and $7,553 at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September 30, 2010 and December 31, 2009, respectively</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32,722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153,074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90,246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281,542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gridSpan w:val="2"/>
            <w:vMerge w:val="restart"/>
          </w:tcPr>
          <w:p>
            <w:pPr>
              <w:jc w:val="center"/>
              <w:ind w:left="253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21,659</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11,062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estimated litigation loss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Student deposits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52,823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$0.01 par value, 10,000 shares authorized; 0 shares issued and outstanding at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September 30, 2010 and December 31, 2009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$0.01 par value, 100,000 shares authorized; 45,782 and 45,658 shares issued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w w:val="93"/>
              </w:rPr>
              <w:t>and 45,732 and 45,658 shares outstanding at September 30, 2010 and December 31, 2009,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Treasury stock, at cost, 50 and 0 shares of common stock at September 30, 2010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 respectively</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75,607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70,100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Accumulated earnings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52,409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281,542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Grand Canyon Education, Inc. Reports Third Quarter 2010 Results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w w:val="88"/>
              </w:rPr>
              <w:t>Statements of Cash Flows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36,794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3,685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8,551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(4,163)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(3,578)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5,317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 benefits and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(39,595)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(18,881)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campus land and buildings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(52,603)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(91,711)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(2,209)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shares and treasury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14,888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38,518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7,580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5"/>
        </w:trPr>
        <w:tc>
          <w:tcPr>
            <w:tcW w:w="340" w:type="dxa"/>
            <w:vAlign w:val="bottom"/>
            <w:tcBorders>
              <w:bottom w:val="single" w:sz="8" w:color="808080"/>
            </w:tcBorders>
          </w:tcPr>
          <w:p>
            <w:pPr>
              <w:spacing w:after="0"/>
              <w:rPr>
                <w:sz w:val="24"/>
                <w:szCs w:val="24"/>
                <w:color w:val="auto"/>
              </w:rPr>
            </w:pPr>
          </w:p>
        </w:tc>
        <w:tc>
          <w:tcPr>
            <w:tcW w:w="7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left="8"/>
        <w:spacing w:after="0"/>
        <w:rPr>
          <w:sz w:val="20"/>
          <w:szCs w:val="20"/>
          <w:color w:val="auto"/>
        </w:rPr>
      </w:pPr>
      <w:r>
        <w:rPr>
          <w:rFonts w:ascii="Arial" w:cs="Arial" w:eastAsia="Arial" w:hAnsi="Arial"/>
          <w:sz w:val="18"/>
          <w:szCs w:val="18"/>
          <w:b w:val="1"/>
          <w:bCs w:val="1"/>
          <w:color w:val="auto"/>
        </w:rPr>
        <w:t>Grand Canyon Education, Inc. Reports Third Quarter 2010 Results</w:t>
      </w:r>
    </w:p>
    <w:p>
      <w:pPr>
        <w:spacing w:after="0" w:line="202" w:lineRule="exact"/>
        <w:rPr>
          <w:sz w:val="20"/>
          <w:szCs w:val="20"/>
          <w:color w:val="auto"/>
        </w:rPr>
      </w:pPr>
    </w:p>
    <w:p>
      <w:pPr>
        <w:ind w:left="8" w:right="159" w:firstLine="389"/>
        <w:spacing w:after="0" w:line="277" w:lineRule="auto"/>
        <w:rPr>
          <w:sz w:val="20"/>
          <w:szCs w:val="20"/>
          <w:color w:val="auto"/>
        </w:rPr>
      </w:pPr>
      <w:r>
        <w:rPr>
          <w:rFonts w:ascii="Arial" w:cs="Arial" w:eastAsia="Arial" w:hAnsi="Arial"/>
          <w:sz w:val="18"/>
          <w:szCs w:val="18"/>
          <w:color w:val="auto"/>
        </w:rPr>
        <w:t>The following is a summary of our student enrollment at September 30, 2010 and 2009 (which included less than 300 students pursuing non-degree certificates) by degree type and by instructional delivery method: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6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September 30, 2010</w:t>
            </w:r>
          </w:p>
        </w:tc>
        <w:tc>
          <w:tcPr>
            <w:tcW w:w="160" w:type="dxa"/>
            <w:vAlign w:val="bottom"/>
          </w:tcPr>
          <w:p>
            <w:pPr>
              <w:spacing w:after="0"/>
              <w:rPr>
                <w:sz w:val="20"/>
                <w:szCs w:val="20"/>
                <w:color w:val="auto"/>
              </w:rPr>
            </w:pPr>
          </w:p>
        </w:tc>
        <w:tc>
          <w:tcPr>
            <w:tcW w:w="25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September 30, 2009</w:t>
            </w: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 (1)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18,128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15,202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24,158</w:t>
            </w: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19,016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34,218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September 30, 2010</w:t>
            </w:r>
          </w:p>
        </w:tc>
        <w:tc>
          <w:tcPr>
            <w:tcW w:w="160" w:type="dxa"/>
            <w:vAlign w:val="bottom"/>
          </w:tcPr>
          <w:p>
            <w:pPr>
              <w:spacing w:after="0"/>
              <w:rPr>
                <w:sz w:val="20"/>
                <w:szCs w:val="20"/>
                <w:color w:val="auto"/>
              </w:rPr>
            </w:pPr>
          </w:p>
        </w:tc>
        <w:tc>
          <w:tcPr>
            <w:tcW w:w="25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September 30, 2009</w:t>
            </w:r>
          </w:p>
        </w:tc>
      </w:tr>
      <w:tr>
        <w:trPr>
          <w:trHeight w:val="210"/>
        </w:trPr>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 (2)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38,593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31,160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Ground (3)</w:t>
            </w:r>
          </w:p>
        </w:tc>
        <w:tc>
          <w:tcPr>
            <w:tcW w:w="1000" w:type="dxa"/>
            <w:vAlign w:val="bottom"/>
          </w:tcPr>
          <w:p>
            <w:pPr>
              <w:jc w:val="right"/>
              <w:spacing w:after="0"/>
              <w:rPr>
                <w:sz w:val="20"/>
                <w:szCs w:val="20"/>
                <w:color w:val="auto"/>
              </w:rPr>
            </w:pPr>
            <w:r>
              <w:rPr>
                <w:rFonts w:ascii="Arial" w:cs="Arial" w:eastAsia="Arial" w:hAnsi="Arial"/>
                <w:sz w:val="18"/>
                <w:szCs w:val="18"/>
                <w:color w:val="auto"/>
              </w:rPr>
              <w:t>3,693</w:t>
            </w: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3,058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7"/>
        </w:trPr>
        <w:tc>
          <w:tcPr>
            <w:tcW w:w="1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34,218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1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175" w:lineRule="exact"/>
        <w:rPr>
          <w:sz w:val="20"/>
          <w:szCs w:val="20"/>
          <w:color w:val="auto"/>
        </w:rPr>
      </w:pPr>
    </w:p>
    <w:p>
      <w:pPr>
        <w:ind w:left="388" w:hanging="388"/>
        <w:spacing w:after="0"/>
        <w:tabs>
          <w:tab w:leader="none" w:pos="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977 and 315 students pursuing doctoral degrees at September 30, 2010 and 2009, respectively.</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September 30, 2010 and 2009, 45.5% and 46.6%, respectively, of our Online students are pursuing graduate degrees.</w:t>
      </w:r>
    </w:p>
    <w:p>
      <w:pPr>
        <w:spacing w:after="0" w:line="88" w:lineRule="exact"/>
        <w:rPr>
          <w:rFonts w:ascii="Arial" w:cs="Arial" w:eastAsia="Arial" w:hAnsi="Arial"/>
          <w:sz w:val="17"/>
          <w:szCs w:val="17"/>
          <w:color w:val="auto"/>
        </w:rPr>
      </w:pPr>
    </w:p>
    <w:p>
      <w:pPr>
        <w:ind w:left="388" w:hanging="388"/>
        <w:spacing w:after="0"/>
        <w:tabs>
          <w:tab w:leader="none" w:pos="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both our traditional on-campus students, as well as our professional studies students.</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2019-12-11T06:31:06Z</dcterms:created>
  <dcterms:modified xsi:type="dcterms:W3CDTF">2019-12-11T06:31:06Z</dcterms:modified>
</cp:coreProperties>
</file>