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July 25, 2014, was 46,697,959.</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4 Controls and Procedures</w:t>
              </w:r>
            </w:hyperlink>
          </w:p>
        </w:tc>
        <w:tc>
          <w:tcPr>
            <w:tcW w:w="8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6"/>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80" w:type="dxa"/>
            <w:vAlign w:val="bottom"/>
            <w:gridSpan w:val="13"/>
          </w:tcPr>
          <w:p>
            <w:pPr>
              <w:jc w:val="right"/>
              <w:ind w:right="1220"/>
              <w:spacing w:after="0"/>
              <w:rPr>
                <w:sz w:val="20"/>
                <w:szCs w:val="20"/>
                <w:color w:val="auto"/>
              </w:rPr>
            </w:pPr>
            <w:r>
              <w:rPr>
                <w:rFonts w:ascii="Arial" w:cs="Arial" w:eastAsia="Arial" w:hAnsi="Arial"/>
                <w:sz w:val="18"/>
                <w:szCs w:val="18"/>
                <w:color w:val="auto"/>
              </w:rPr>
              <w:t>2</w:t>
            </w: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6880" w:type="dxa"/>
            <w:vAlign w:val="bottom"/>
            <w:gridSpan w:val="3"/>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jc w:val="center"/>
              <w:ind w:left="1610"/>
              <w:spacing w:after="0"/>
              <w:rPr>
                <w:sz w:val="20"/>
                <w:szCs w:val="20"/>
                <w:color w:val="auto"/>
              </w:rPr>
            </w:pPr>
            <w:r>
              <w:rPr>
                <w:rFonts w:ascii="Arial" w:cs="Arial" w:eastAsia="Arial" w:hAnsi="Arial"/>
                <w:sz w:val="18"/>
                <w:szCs w:val="18"/>
                <w:b w:val="1"/>
                <w:bCs w:val="1"/>
                <w:color w:val="auto"/>
              </w:rPr>
              <w:t>GRAND CANYON EDUCATION,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20" w:type="dxa"/>
            <w:vAlign w:val="bottom"/>
          </w:tcPr>
          <w:p>
            <w:pPr>
              <w:jc w:val="center"/>
              <w:ind w:left="1630"/>
              <w:spacing w:after="0"/>
              <w:rPr>
                <w:sz w:val="20"/>
                <w:szCs w:val="20"/>
                <w:color w:val="auto"/>
              </w:rPr>
            </w:pPr>
            <w:r>
              <w:rPr>
                <w:rFonts w:ascii="Arial" w:cs="Arial" w:eastAsia="Arial" w:hAnsi="Arial"/>
                <w:sz w:val="18"/>
                <w:szCs w:val="18"/>
                <w:b w:val="1"/>
                <w:bCs w:val="1"/>
                <w:color w:val="auto"/>
                <w:w w:val="88"/>
              </w:rPr>
              <w:t>Consolidated Income Statements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158,594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141,463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326,026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138,525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2"/>
              </w:rPr>
              <w:t>Admissions advisory and related, including $806 and $867 for the three months ended June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w w:val="92"/>
              </w:rPr>
              <w:t>2014 and 2013, respectively, and $1,611 and $1,621 for the six months ended June 30, 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and 2013, respectively, to related parties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26,208</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23,346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52,469</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30"/>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120,707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109,974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244,703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218,379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23"/>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80,778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26,255</w:t>
            </w:r>
          </w:p>
        </w:tc>
        <w:tc>
          <w:tcPr>
            <w:tcW w:w="0" w:type="dxa"/>
            <w:vAlign w:val="bottom"/>
          </w:tcPr>
          <w:p>
            <w:pPr>
              <w:spacing w:after="0"/>
              <w:rPr>
                <w:sz w:val="1"/>
                <w:szCs w:val="1"/>
                <w:color w:val="auto"/>
              </w:rPr>
            </w:pPr>
          </w:p>
        </w:tc>
      </w:tr>
      <w:tr>
        <w:trPr>
          <w:trHeight w:val="223"/>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$23,069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$19,064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$49,357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Unrealized losses on available-for-sale securities, net of taxes of $8 and $0 for the three months ended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June 30, 2014 and 2013, respectively, and $18 and $0 for the six months ended June 30, 2014 and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Unrealized (losses) gains on hedging derivatives, net of taxes of $95 and $335 for the three months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520"/>
              <w:spacing w:after="0"/>
              <w:rPr>
                <w:sz w:val="20"/>
                <w:szCs w:val="20"/>
                <w:color w:val="auto"/>
              </w:rPr>
            </w:pPr>
            <w:r>
              <w:rPr>
                <w:rFonts w:ascii="Arial" w:cs="Arial" w:eastAsia="Arial" w:hAnsi="Arial"/>
                <w:sz w:val="18"/>
                <w:szCs w:val="18"/>
                <w:color w:val="auto"/>
                <w:w w:val="91"/>
              </w:rPr>
              <w:t>ended June 30, 2014 and 2013, respectively, and $113 and $366 for the six months ended June 30,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Arial" w:cs="Arial" w:eastAsia="Arial" w:hAnsi="Arial"/>
                <w:sz w:val="18"/>
                <w:szCs w:val="18"/>
                <w:color w:val="auto"/>
              </w:rPr>
              <w:t>2014 and 2013, respectively</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22,909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19,544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49,155</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w w:val="92"/>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53,233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261,134</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416,242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688,544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vMerge w:val="restart"/>
          </w:tcPr>
          <w:p>
            <w:pPr>
              <w:jc w:val="center"/>
              <w:ind w:right="221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33,290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15,604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54,867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6,611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179,870</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83,187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86,493</w:t>
            </w: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281,251</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June 30, 2014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49,666 and 48,890 shares issued and 46,691 and 46,045 shares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outstanding at June 30, 2014 and December 31, 2013, respectively</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Treasury stock, at cost, 2,975 and 2,845 shares of common stock at June 30, 2014 and December 31, 2013, respectively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151,528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308,882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407,293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688,544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72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10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48,890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489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2,845</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$(48,432)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$132,904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6"/>
              </w:rPr>
              <w:t>358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$259,525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49,357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470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6,629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Excess tax benefits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7,201</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306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4,794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49,666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497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2,975</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(53,770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151,528</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6"/>
              </w:rPr>
              <w:t>156</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308,882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49,357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4,837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Prepaid royalty impairment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proceeds received from note receivable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and cash equivalents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(11,905)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44,036</w:t>
            </w:r>
          </w:p>
        </w:tc>
        <w:tc>
          <w:tcPr>
            <w:tcW w:w="0" w:type="dxa"/>
            <w:vAlign w:val="bottom"/>
          </w:tcPr>
          <w:p>
            <w:pPr>
              <w:spacing w:after="0"/>
              <w:rPr>
                <w:sz w:val="1"/>
                <w:szCs w:val="1"/>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funds held for derivative collateral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(130,085)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(64,056)</w:t>
            </w:r>
          </w:p>
        </w:tc>
        <w:tc>
          <w:tcPr>
            <w:tcW w:w="0" w:type="dxa"/>
            <w:vAlign w:val="bottom"/>
          </w:tcPr>
          <w:p>
            <w:pPr>
              <w:spacing w:after="0"/>
              <w:rPr>
                <w:sz w:val="1"/>
                <w:szCs w:val="1"/>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(35,610)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105,111</w:t>
            </w:r>
          </w:p>
        </w:tc>
        <w:tc>
          <w:tcPr>
            <w:tcW w:w="0" w:type="dxa"/>
            <w:vAlign w:val="bottom"/>
          </w:tcPr>
          <w:p>
            <w:pPr>
              <w:spacing w:after="0"/>
              <w:rPr>
                <w:sz w:val="1"/>
                <w:szCs w:val="1"/>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10,210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179 acre traditional ground campus in Phoenix, Arizona and onsite at facilities it leases and at facilities owned by third party employers. The University is accredited by The Higher Learning Commission of the North Central Association of Colleges and Schools. The University’s wholly-owned subsidiaries are primarily used to facilitate expansion of the University campus.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2013.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2013 from which the December 31, 2013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7"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an other asset and interest and other income of $1,459 for the three months ended September 30,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The briefing phase of the appeal has been completed and the matter will be scheduled for oral argument at a date and time to be determined by the appellate court. The remaining default interest and statutory trustee’s fee components of the original disputed amount, plus interest accruing thereon at 11%, continue a resolution process through the court, have been treated as a gain contingency and will not be recorded as a receivable or income until the court makes its ruling.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On February 27, 2013 the University entered into an interest rate corridor to manage its 30 Day LIBOR interest exposure related to its variable rate debt. The fair value of the interest rate corridor instrument as of June 30, 2014 was $1,523,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$174 for the six months ended June 30, 2014 for the effective portion of the loss on the derivatives is included as a component of other comprehensive income, net of taxes.</w:t>
      </w:r>
    </w:p>
    <w:p>
      <w:pPr>
        <w:spacing w:after="0" w:line="173" w:lineRule="exact"/>
        <w:rPr>
          <w:sz w:val="20"/>
          <w:szCs w:val="20"/>
          <w:color w:val="auto"/>
        </w:rPr>
      </w:pPr>
    </w:p>
    <w:p>
      <w:pPr>
        <w:jc w:val="both"/>
        <w:ind w:right="24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$90,000 as of June 30, 2014.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June 30, 2014 no derivative ineffectiveness was identified. Any ineffectiveness in the University’s derivative instrument designated as a hedge is reported in interest expense in the income statement. For the six months ended June 30, 2014, $5 of credit risk was recorded in interest expense for the interest rate corridor. At June 30, 2014, the University does not expect to reclassify gains or losses on derivative instruments from accumulated other comprehensive income (loss) into earnings during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June 30, 2014,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fair value of investments, primarily municipal securities, including municipal bond portfolios, was determined using Level 2 of the hierarchy of valuation inputs, with the use of inputs other than quoted prices that are observable for the assets.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2014 and 2013, the University’s revenue was reduced by approximately $63,632 and $49,559,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w:t>
      </w:r>
    </w:p>
    <w:p>
      <w:pPr>
        <w:spacing w:after="0" w:line="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their financial aid disbursements, the University is required to return the unearned portion of these funds as well and then collect these amounts from the students.</w:t>
      </w:r>
    </w:p>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2014, the Financial Accounting Standards Board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standard is effective for fiscal years, and interim periods within those years, beginning after December 15, 2016, and early adoption is not permitted. Accordingly, the standard is effective for us on January 1, 2017. The University is currently evaluating the impact that the standard will have on our financial condition, results of operations and disclosures.</w:t>
      </w:r>
    </w:p>
    <w:p>
      <w:pPr>
        <w:spacing w:after="0" w:line="15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University has determined no other recent accounting pronouncements apply to its operations or would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following is a summary of amounts included in investments as of June 30, 2014 and December 31, 2013.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As of June 30, 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(Losses)</w:t>
            </w:r>
          </w:p>
        </w:tc>
        <w:tc>
          <w:tcPr>
            <w:tcW w:w="2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156,512</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156,492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As of December 31, 2013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(Losses)</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108,393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June 30, 2014. For the six months ended June 30, 2014, the net unrealized loss on available-for-sale securities was $28,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3540" w:type="dxa"/>
            <w:vAlign w:val="bottom"/>
            <w:gridSpan w:val="3"/>
          </w:tcPr>
          <w:p>
            <w:pPr>
              <w:jc w:val="right"/>
              <w:ind w:right="300"/>
              <w:spacing w:after="0"/>
              <w:rPr>
                <w:sz w:val="20"/>
                <w:szCs w:val="20"/>
                <w:color w:val="auto"/>
              </w:rPr>
            </w:pPr>
            <w:r>
              <w:rPr>
                <w:rFonts w:ascii="Arial" w:cs="Arial" w:eastAsia="Arial" w:hAnsi="Arial"/>
                <w:sz w:val="18"/>
                <w:szCs w:val="18"/>
                <w:color w:val="auto"/>
              </w:rPr>
              <w:t>45,598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44,681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45,403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44,463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3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26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46,990</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45,929</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46,917</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80" w:type="dxa"/>
            <w:vAlign w:val="bottom"/>
            <w:vMerge w:val="restart"/>
          </w:tcPr>
          <w:p>
            <w:pPr>
              <w:jc w:val="right"/>
              <w:ind w:right="1850"/>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six months ended June 30, 2014 and 2013, approximately 117 and 264, respectively, of the University’s stock options and restricted stock awards outstanding were excluded from the calculation of diluted earnings per share as their inclusion would have been anti-dilutive. These options could be dilutive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Balance at</w:t>
            </w:r>
          </w:p>
        </w:tc>
        <w:tc>
          <w:tcPr>
            <w:tcW w:w="13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5"/>
            <w:vMerge w:val="continue"/>
          </w:tcPr>
          <w:p>
            <w:pPr>
              <w:spacing w:after="0"/>
              <w:rPr>
                <w:sz w:val="12"/>
                <w:szCs w:val="12"/>
                <w:color w:val="auto"/>
              </w:rPr>
            </w:pPr>
          </w:p>
        </w:tc>
        <w:tc>
          <w:tcPr>
            <w:tcW w:w="14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Period</w:t>
            </w:r>
          </w:p>
        </w:tc>
        <w:tc>
          <w:tcPr>
            <w:tcW w:w="13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Expense</w:t>
            </w:r>
          </w:p>
        </w:tc>
        <w:tc>
          <w:tcPr>
            <w:tcW w:w="1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2014</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9,678</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w w:val="77"/>
              </w:rPr>
              <w:t>(8,970)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Six months ended June 30, 2013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8,657</w:t>
            </w: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9,485</w:t>
            </w:r>
          </w:p>
        </w:tc>
        <w:tc>
          <w:tcPr>
            <w:tcW w:w="240" w:type="dxa"/>
            <w:vAlign w:val="bottom"/>
          </w:tcPr>
          <w:p>
            <w:pPr>
              <w:spacing w:after="0"/>
              <w:rPr>
                <w:sz w:val="20"/>
                <w:szCs w:val="20"/>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(9,050)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445"/>
        </w:trPr>
        <w:tc>
          <w:tcPr>
            <w:tcW w:w="54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June 30,</w:t>
            </w:r>
          </w:p>
        </w:tc>
        <w:tc>
          <w:tcPr>
            <w:tcW w:w="146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37,599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Land improvements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232,382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222,402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35,274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69,431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34,207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18,143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75,825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514,446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424,479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(98,204)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(84,883)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416,242</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339,596</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June 30,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2014 (remaining six months)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2015</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2014 and 2013 were $3,910 and $3,464,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360"/>
          </w:cols>
          <w:pgMar w:left="240" w:top="459" w:right="299" w:bottom="784" w:gutter="0" w:footer="0" w:header="0"/>
        </w:sectPr>
      </w:pP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459" w:right="299" w:bottom="784"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June 30, 2014 and December 31, 2013, the University reserved approximately $712 and $729, respectively, for tax matters where its ultimate exposure is considered probable and the potential loss can be reasonably estimated.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the second quarter ended June 30, 2014, the Internal Revenue Service (“IRS”) commenced an examination of the University’s 2011 income tax return.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During the six months ended June 30, 2014, the University granted 298 shares of common stock with a service vesting condition to certain of its executives, officers, faculty and employees. The restricted shares have voting rights and vest in five annual installments of 20% starting on March 1, 2015 and each of the four anniversaries of the vesting date following the date of grant. Upon vesting, shares will be held in lieu of taxes equivalent to the minimum statutory tax withholding required to be paid when the restricted stock vests. During the six months ended June 30, 2014, the University withheld 77 shares of common stock in lieu of taxes at a cost of $3,662 on the restricted stock vesting dates. In May 2014, the University granted 8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meeting of stockholders, subject to acceleration in the event of a change in control.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2013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Shares</w:t>
            </w:r>
          </w:p>
        </w:tc>
        <w:tc>
          <w:tcPr>
            <w:tcW w:w="1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2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440" w:type="dxa"/>
            <w:vAlign w:val="bottom"/>
          </w:tcPr>
          <w:p>
            <w:pPr>
              <w:spacing w:after="0"/>
              <w:rPr>
                <w:sz w:val="18"/>
                <w:szCs w:val="18"/>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(219)</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46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2014</w:t>
            </w:r>
          </w:p>
        </w:tc>
        <w:tc>
          <w:tcPr>
            <w:tcW w:w="24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1,055</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vMerge w:val="restart"/>
          </w:tcPr>
          <w:p>
            <w:pPr>
              <w:jc w:val="right"/>
              <w:ind w:right="149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six months ended June 30, 2014, no options were granted. A summary of the activity related to stock options granted under the University’s Incentive Plan since December 31, 2013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17.25</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2,540</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2014 ($45.97)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2014 and 2013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$ 2,546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(1,935)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(1,962)</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$ 2,943</w:t>
            </w:r>
          </w:p>
        </w:tc>
        <w:tc>
          <w:tcPr>
            <w:tcW w:w="12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June 30, 2014,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part of its oversight of the educational institutions participating in the Title IV programs under the Higher Education Act of 1965, as amended, the Department of Education periodically conducts program reviews at selected schools that receive Title IV funds for the purpose of evaluating the school’s compliance with the Title IV requirements, identifying any liabilities to the Department of Education for errors in compliance, and improving future institutional capabilities. On April 13, 2014, the University received official notification from the Department of Education of the Department of Education’s intent to conduct a program review at Grand Canyon University. The program review included the University’s administration of the Title IV programs in which it participates, its administration of the Clery Act and related regulations, and its compliance with the requirements of the Drug-Free Schools and Communities Act for the 2012-2013 and 2013-2014 award years.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June 13, 2014, following completion of the program review, the University received from the Department of Education an expedited final program review determination letter. The final program review determination letter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has been closed with no further action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has authorized the University to repurchase up to $75,000 in aggregate of common stock, from time to time, depending on market conditions and other considerations. The current expiration date on the repurchase authorization is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This includes 38 shares of common stock at an aggregate cost of $1,676 during the six months ended June 30, 2014, which are recorded at cost in the accompanying June 30, 2014 consolidated balance sheet and statement of stockholders’ equity. At June 30, 2014, there remained $25,865 available under its share repurchase authorization. Shares repurchased in lieu of taxes are not included in the repurchase plan totals as they were approved in conjunction with the restricted share awards.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60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76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280" w:hanging="446"/>
        <w:spacing w:after="0" w:line="308"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2013,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179 acre traditional campus in Phoenix, Arizona and onsite at facilities we lease and at facilities owned by third party employers.</w:t>
      </w:r>
    </w:p>
    <w:p>
      <w:pPr>
        <w:spacing w:after="0" w:line="16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At June 30, 2014, we had approximately 57,700 students, an increase of 12.7% over the approximately 51,200 students we had at June 30, 2013. At June 30, 2014, 91.8% of our students were enrolled in our online programs, and of our working adult students (online and professional studies students),</w:t>
      </w:r>
    </w:p>
    <w:p>
      <w:pPr>
        <w:ind w:right="140"/>
        <w:spacing w:after="0" w:line="254" w:lineRule="auto"/>
        <w:rPr>
          <w:sz w:val="20"/>
          <w:szCs w:val="20"/>
          <w:color w:val="auto"/>
        </w:rPr>
      </w:pPr>
      <w:r>
        <w:rPr>
          <w:rFonts w:ascii="Arial" w:cs="Arial" w:eastAsia="Arial" w:hAnsi="Arial"/>
          <w:sz w:val="18"/>
          <w:szCs w:val="18"/>
          <w:color w:val="auto"/>
        </w:rPr>
        <w:t>44.4% were pursuing master’s or doctoral degrees. We did not raise tuition in any of our programs for our 2013-2014 academic year and have not raised our tuition for our traditional ground programs in four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June 30, 2014 and 2013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color w:val="auto"/>
              </w:rPr>
              <w:t>(1)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2013</w:t>
            </w:r>
            <w:r>
              <w:rPr>
                <w:rFonts w:ascii="Arial" w:cs="Arial" w:eastAsia="Arial" w:hAnsi="Arial"/>
                <w:sz w:val="12"/>
                <w:szCs w:val="12"/>
                <w:color w:val="auto"/>
                <w:w w:val="87"/>
              </w:rPr>
              <w:t>(1)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21,208</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33,269</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57.7%</w:t>
            </w:r>
          </w:p>
        </w:tc>
        <w:tc>
          <w:tcPr>
            <w:tcW w:w="820" w:type="dxa"/>
            <w:vAlign w:val="bottom"/>
          </w:tcPr>
          <w:p>
            <w:pPr>
              <w:jc w:val="right"/>
              <w:spacing w:after="0"/>
              <w:rPr>
                <w:sz w:val="20"/>
                <w:szCs w:val="20"/>
                <w:color w:val="auto"/>
              </w:rPr>
            </w:pPr>
            <w:r>
              <w:rPr>
                <w:rFonts w:ascii="Arial" w:cs="Arial" w:eastAsia="Arial" w:hAnsi="Arial"/>
                <w:sz w:val="18"/>
                <w:szCs w:val="18"/>
                <w:color w:val="auto"/>
              </w:rPr>
              <w:t>29,992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color w:val="auto"/>
              </w:rPr>
              <w:t>(1)</w:t>
            </w:r>
          </w:p>
        </w:tc>
        <w:tc>
          <w:tcPr>
            <w:tcW w:w="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2013</w:t>
            </w:r>
            <w:r>
              <w:rPr>
                <w:rFonts w:ascii="Arial" w:cs="Arial" w:eastAsia="Arial" w:hAnsi="Arial"/>
                <w:sz w:val="12"/>
                <w:szCs w:val="12"/>
                <w:color w:val="auto"/>
                <w:w w:val="87"/>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52,969</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47,785</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4,738</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8.2%</w:t>
            </w:r>
          </w:p>
        </w:tc>
        <w:tc>
          <w:tcPr>
            <w:tcW w:w="820" w:type="dxa"/>
            <w:vAlign w:val="bottom"/>
          </w:tcPr>
          <w:p>
            <w:pPr>
              <w:jc w:val="right"/>
              <w:spacing w:after="0"/>
              <w:rPr>
                <w:sz w:val="20"/>
                <w:szCs w:val="20"/>
                <w:color w:val="auto"/>
              </w:rPr>
            </w:pPr>
            <w:r>
              <w:rPr>
                <w:rFonts w:ascii="Arial" w:cs="Arial" w:eastAsia="Arial" w:hAnsi="Arial"/>
                <w:sz w:val="18"/>
                <w:szCs w:val="18"/>
                <w:color w:val="auto"/>
              </w:rPr>
              <w:t>3,415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Enrollment at June 30, 2014 and 2013 represents individual students who attended a course during the last two months of the calendar quarter. Included in enrollment at June 30, 2014 and 2013 are students pursuing non-degree certificates of 795 and 765, respectively. The June 30, 2013 amount also included 197 high school dual credit students. We are no longer including these students in our enrollment.</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4,930 and 3,584 students pursuing doctoral degrees at June 30, 2014 and 2013,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As of June 30, 2014 and 2013, 44.4% and 42.8%, respectively, of our online and professional studies students were pursuing graduate degrees.</w:t>
      </w:r>
    </w:p>
    <w:p>
      <w:pPr>
        <w:spacing w:after="0" w:line="20" w:lineRule="exact"/>
        <w:rPr>
          <w:rFonts w:ascii="Arial" w:cs="Arial" w:eastAsia="Arial" w:hAnsi="Arial"/>
          <w:sz w:val="14"/>
          <w:szCs w:val="14"/>
          <w:color w:val="auto"/>
        </w:rPr>
      </w:pPr>
    </w:p>
    <w:p>
      <w:pPr>
        <w:ind w:left="460" w:hanging="452"/>
        <w:spacing w:after="0" w:line="2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 This amount is lower in the second quarter than in other quarters as it only includes those traditional on-campus students taking summer school.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2013. During the six months ended June 30, 2014,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2013. During the six months ended June 30, 2014, there have been no significant changes in these trends. See Item 7, “Management’s Discussion and Analysis of Financial Condition and Results of Operations – Key Trends, Developments and Challenges” in our Annual Report on Form 10-K for our fiscal year ended December 31, 2013, which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16.5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4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368"/>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three months ended June 30, 2014 was $158.6 million, an increase of $17.1 million, or 12.1%,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$141.5 million for the three months ended June 30, 2013. This increase was primarily due to an increase in enrollment and, to a lesser extent, an increase in room and board and other student fees, partially offset by an increase in institutional scholarships. End-of-period enrollment increased 12.7% between June 30, 2014 and June 30, 2013, as ground enrollment increased 38.7%, and online enrollment increased 10.8% over the prior year. The majority of the ground enrollment growth between years occurred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As the proportion of traditional colleges and universities providing alternative learning modalities increases, we will face increasing competition for working adult students from such institutions, including those with well-established reputations for excellence. Revenue per student was slightly lower in the second quarter of 2014 as compared to the second quarter of 2013 due to differences in the start and end date of our traditional campus for its Spring semester which resulted in approximately $2.3 million of additional revenue earned in the first quarter of 2014 that would have been earned in the second quarter of 2014.</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three months ended June 30, 2014 were $67.8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$6.1 million, or 9.9%, as compared to instructional costs and services expenses of $61.7 million for the three months ended June 30, 2013. This increase was primarily due to increases in employee compensation and related expenses including share based compensation, faculty compensation, depreciation and amortization and occupancy expense, dues, fees and subscriptions and other instructional supplies, and other instructional compensation and related expenses, of $2.9 million, $1.9 million, $1.3 million, $1.0 million, and $0.2 million, respectively. These increases were partially offset by a decrease of $1.2 million in bad debt expense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continue to increase our online full-time faculty and have incurred an increase in benefit costs between years. The increase in depreciation and amortization and occupancy costs is the result of our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revenues decreased 0.8% to 42.8% for the three months ended June 30, 2014, from 43.6% for the three months ended June 30, 2013 primarily due to the decrease in our bad debt expense as a percentage of revenue from 3.2% of revenue in the second quarter of 2013 to 2.1% of revenue in the second quarter of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June 30, 2014 were $26.2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$2.9 million, or 12.3%, as compared to admissions advisory and related expenses of $23.3 million for the three months ended June 30, 2013. This increase is primarily the result of increases in employee compensation and related expenses including share-based compensation and other admissions advisory related expense of $2.8 million and $0.1 million, respectively. The increase in employee compensation and related expenses is primarily due to increased headcount and an increase in benefit costs between years. Our admissions advisory and related expenses as a percentage of net revenue remained flat at 16.5% for both of the three months ended June 30, 2014 and 2013.</w:t>
      </w:r>
    </w:p>
    <w:p>
      <w:pPr>
        <w:spacing w:after="0" w:line="17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June 30, 2014 were $15.8 million, an increase of $1.3 million, or 8.5%,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$14.5 million for the three months ended June 30, 2013. This increase is primarily the result of increased brand advertising focused on the southwestern United States region. Our advertising expenses as a percentage of net revenue decreased by 0.4% to 9.9% for the three months ended June 30, 2014, from 10.3% for the three months ended June 30, 2013 primarily due to our ability to leverage our advertising expenses across an increasing revenue base.</w:t>
      </w:r>
    </w:p>
    <w:p>
      <w:pPr>
        <w:spacing w:after="0" w:line="188"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three months ended June 30, 2014 were $1.9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$0.5 million, or 37.9%, as compared to marketing and promotional expenses of $1.4 million for the three months ended June 30, 2013. This increase is primarily the result of increases in employee compensation and related expenses of $0.5 million. Our marketing and promotional expenses as a percentage of net revenue increased 0.2% to 1.2% for the three months ended June 30, 2014, from 1.0% for the three months ended June 30, 2013.</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three months ended June 30, 2014 and 2013 was $9.0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periods. Our general and administrative expenses as a percentage of net revenue decreased by 0.6% to 5.7% for the three months ended June 30, 2014, from 6.3% for the three months ended June 30, 2013 due to our ability to leverage the fixed costs structure of our general and administrative expenses across an increasing revenue base.</w:t>
      </w:r>
    </w:p>
    <w:p>
      <w:pPr>
        <w:spacing w:after="0" w:line="18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June 30, 2014 and 2013 was $0.4 million for both quarterly periods. Our interest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as a percentage of net revenue by 0.1% to 0.2% for the three months ended June 30, 2014, from 0.3% for the three months ended June 30, 2013.</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2014 was $0.2 million, an increase of $0.1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$0.1 million in the three months ended June 30, 2013. This increase is primarily attributable to higher investment balances in 2014 as compared to invested dollars in the prior year.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June 30, 2014 was $14.7 million, an increase of $2.7 million, or 21.7%,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$12.0 million for the three months ended June 30, 2013. Our effective tax rate was 38.9% during the second quarter of 2014 compared to 38.7% during the second quarter of 2013. The effective tax rate was affected in 2014 by state tax rate changes that began a gradual phase-in process during the first quarter of 2014 and in 2013 by certain non-recurring tax items.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2014 was $23.1 million, an increase of $4.0 million, as compared to $19.1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2013,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2014 was $326.0 million, an increase of $42.5 million, or 15.0%,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$283.5 million for the six months ended June 30, 2013. This increase was primarily due to an increase in enrollment and, to a lesser extent, an increase in room and board and other student fees, partially offset by an increase in institutional scholarships. End-of-period enrollment increased 12.7% between June 30, 2014 and June 30, 2013, as ground enrollment increased 38.7%, and online enrollment increased 10.8% over the prior year. The majority of the ground enrollment growth between years occurred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ground traditional campus enrollment growing at a rate higher than our working adult enrollment. When factoring in room, board and fees, revenue per student is higher for our ground traditional campus students than for our working adult students.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six months ended June 30, 2014 were $138.5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$16.8 million, or 13.8%, as compared to instructional costs and services expenses of $121.7 million for the six months ended June 30, 2013. This increase was primarily due to increases in employee compensation and related expenses including share based compensation, faculty compensation, dues, fees and subscriptions and other instructional supplies, depreciation and amortization and occupancy expense, and other instructional compensation and related expenses, of $5.3 million, $4.4 million, $2.8 million, $3.1 million, and $3.6 million, respectively. These increases were partially offset by a decrease of $2.4 million in bad debt expense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continue to increase our online full-time faculty and have incurred an increase in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to support the growing number of ground traditional students in the Fall of 2013 and Spring of 2014. Our instructional costs and services expenses as a percentage of net revenues decreased 0.4% to 42.5% for the six months ended June 30, 2014, from 42.9% for the six months ended June 30, 2013 primarily due to the decrease in bad debt expense as a percentage of revenue from 3.3% in the first six months of 2013 to 2.2% in the first six months of 2014.</w:t>
      </w:r>
    </w:p>
    <w:p>
      <w:pPr>
        <w:spacing w:after="0" w:line="18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six months ended June 30, 2014 were $52.5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$6.2 million, or 13.2%, as compared to admissions advisory and related expenses of $46.3 million for the six months ended June 30, 2013. This increase is primarily the result of increases in employee compensation and related expenses including share based compensation and other advisory related expense of $5.6 million and $0.6 million, respectively. The increase in employee compensation and related expenses is primarily due to increased headcount and an increase in benefit costs between years. Our admissions advisory and related expenses as a percentage of net revenue decreased 0.2% to 16.1% for the six months ended June 30, 2014, from 16.3% for the six months ended June 30, 2013 primarily due to our ability to leverage our admissions advisory personnel across an increasing revenue base.</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2014 were $32.5 million, an increase of $2.1 million, or 6.6%,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$30.4 million for the six months ended June 30, 2013. This increase is primarily the result of increased brand advertising focused on the southwestern United States region. Our advertising expenses as a percentage of net revenue decreased by 0.7% to 10.0% for the six months ended June 30, 2014, from 10.7% for the six months ended June 30, 2013 primarily due to our ability to leverage our advertising expenses across an increasing revenue base.</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six months ended June 30, 2014 were $3.7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$0.9 million, or 31.3%, as compared to marketing and promotional expenses of $2.8 million for the six months ended June 30, 2013. This increase is primarily the result of increases in employee compensation and related expenses of $0.9 million. Our marketing and promotional expenses as a percentage of net revenue increased 0.1% to 1.1% for the six months ended June 30, 2014, from 1.0% for the six months ended June 30, 2013.</w:t>
      </w:r>
    </w:p>
    <w:p>
      <w:pPr>
        <w:spacing w:after="0" w:line="17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2014 was $17.5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$0.5 million, or 3.0%, as compared to general and administrative expenses of $17.0 million for the six months ended June 30, 2013. This increase was primarily due to increases in occupancy costs and other general and administrative expenses of $0.3 million and $0.2 million, respectively. Our general and administrative expenses as a percentage of net revenue decreased by 0.6% to 5.4% for the six months ended June 30, 2014, from 6.0% for the six months ended June 30, 2013 due to our ability to leverage the fixed costs structure of our general and administrative expenses across an increasing revenue base.</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six months ended June 30, 2014 was $0.9 million, a decrease of $0.2 million, as compared to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$1.1 million for the six months ended June 30, 2013. This decrease was primarily due to a decrease in the average balance of our credit facility between periods due to scheduled monthly principal payments. Our interest expense decreased as a percentage of net revenue by 0.1% to 0.3% for the six months ended June 30, 2014, from 0.4% for the six months ended June 30, 2013.</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six months ended June 30, 2014 was $0.3 million, a decrease of $2.0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interest and other income of $2.3 million in the six months ended June 30, 2013. The decrease was primarily due to the proceeds received from a settlement of a note receivable in the first quarter of 2013, which resulted in a $2.2 million gain for that period partially offset by an increase in interest income between periods of $0.2 million due to increases in our investment portfolio.</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six months ended June 30, 2014 was $31.4 million, an increase of $5.1 million, or 19.7%,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tax expense of $26.3 million for the six months ended June 30, 2013. Our effective tax rate was 38.9% during the first six months of 2014 compared to 39.6% during the first six months of 2013. Our effective tax rate in 2014 was lower than the prior year due primarily to state tax rate changes that began a gradual phase-in process during the first quarter of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2014 was $49.4 million, an increase of $9.4 million, as compared to $40.0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2013,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have increased, and over the next few years we intend to continue to increase, our enrollment of ground traditional students. Thus, we expect this summer effect to become more pronounced in 2014 and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six months ended June 30, 2014 and 2013 primarily through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Our unrestricted cash and cash equivalents and investments were $176.7 million and $164.2 million at June 30, 2014 and December 31, 2013, respectively. Our restricted cash and cash equivalents at June 30, 2014 and December 31, 2013 were $53.2 million and $64.4 million, respectively.</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June 30,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$75 million in aggregate of common stock, from time to time, depending on market conditions and other considerations. The current expiration date on the repurchase authorization by our Board of Directors is September 30, 2014. Repurchases occur at the University’s discretion.</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applicable SEC rules. The amount and timing of future share repurchases, if any, will be made as market and business conditions warrant.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2.8 million shares of common shock shares at an aggregate cost of $49.1 million which includes 37,900 shares of common stock during the six months ended June 30, 2014 at an aggregate cost of $1.7 million. At June 30, 2014, there remains $25.9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six months ended June 30, 2014 was $89.4 million as compared to $44.0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2013. The increase in cash generated from operating activities between the six months ended June 30, 2013 and the six months ended June 30, 2014 is primarily due to increased net income and the timing of income tax payments, deferred revenue and student deposits.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$130.1 million and $64.1 million for the six months ended June 30, 2014 and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Purchases of short-term investments net of proceeds of these investments was $48.1 million and $48.4 million during the six months ended June 30, 2014 and 2013, respectively. Capital expenditures were $82.0 million and $38.0 million for the six months ended June 30, 2014 and 2013, respectively. In 2014, capital expenditures primarily consisted of ground campus building projects such as the construction of an additional classroom building, additional residence halls that will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 In 2013, capital expenditures primarily consisted of ground campus building projects such as the construction costs for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addition, during the first six months of 2013 we spent $6.9 million to purchase and refurbish a building that is located less than two miles from our Phoenix, Arizona campus. Investing activities were reduced in the first six months of 2013 by proceeds in the amount of $29.2 million received on a note receivable.</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provided by financing activities was $5.0 million and $5.7 million for the six months ended June 30, 2014 and 2013,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the first six months of 2014, proceeds from the exercise of stock options of $6.6 million and excess tax benefits from share-based compensation of $7.1 million were partially offset by $5.3 million used to purchase treasury stock in accordance with the University’s share repurchase program and principal payments on notes payable and capital leases which totaled $3.3 million. During the first six months of 2013, proceeds from the exercise of stock options of $14.1 million and excess tax benefits from share-based compensation of $3.5 million were partially offset by $8.5 million used to purchase treasury stock in accordance with the University’s share repurchase program and principal payments on notes payable and capital leases which totaled $3.3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as of June 30, 2014,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7"/>
              </w:rPr>
              <w:t>Payments Due by Period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8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2-3</w:t>
            </w:r>
          </w:p>
        </w:tc>
        <w:tc>
          <w:tcPr>
            <w:tcW w:w="200" w:type="dxa"/>
            <w:vAlign w:val="bottom"/>
          </w:tcPr>
          <w:p>
            <w:pPr>
              <w:spacing w:after="0"/>
              <w:rPr>
                <w:sz w:val="10"/>
                <w:szCs w:val="10"/>
                <w:color w:val="auto"/>
              </w:rPr>
            </w:pPr>
          </w:p>
        </w:tc>
        <w:tc>
          <w:tcPr>
            <w:tcW w:w="62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4-5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1 Year </w:t>
            </w: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165.2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July 1, 2014 through December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June 30, 2014 or</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There can be no assurance that future inflation will not have an adverse impact on our operating results and financial condition.</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$90.0 million as of June 30, 2014,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municipal bond portfolios, or municipal mutual funds at multiple financial institutions.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 rated municipal bonds and municipal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variable interest rates, which are tied to various market indices or individual bond coupon rates. Our future investment income may fall short of expectations due to changes in interest rates or we may suffer losses in principal if we are forced to sell bonds that have declined in market value due to changes in interest rates. At June 30, 2014, a 10% increase or decrease in interest rates would not have a material impact on our future earnings, fair values, or cash flows. For information regarding our variable rate debt, see “Market risk” above.</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2014, in ensuring that material information relating to us required to be disclosed by us in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Board of Directors has authorized the University to repurchase up to $75.0 million in aggregate of common stock, from time to time, depending on market conditions and other considerations. The repurchase authorization was first announced on August 16, 2010, and was extended on July 28, 2011 and April 25, 2013. The current expiration date on the repurchase authorization is September 30, 2014. Repurchases occur at the University’s discretion. Repurchases may be made in the open market or in privately negotiated transactions, pursuant to applicable SEC rules. The amount and timing of future share repurchases, if any, will be made as market and business conditions warrant. During the three months ended June 30, 2014, we repurchased 23,900 shares of our common stock at an aggregate cost of $1.0 million. At June 30, 2014, there remains $25.9 million available under our share repurchase authorization, which totaled $75.0 million at June 30,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second quarter of fiscal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vMerge w:val="continue"/>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39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960" w:type="dxa"/>
            <w:vAlign w:val="bottom"/>
            <w:gridSpan w:val="3"/>
            <w:vMerge w:val="continue"/>
          </w:tcPr>
          <w:p>
            <w:pPr>
              <w:spacing w:after="0"/>
              <w:rPr>
                <w:sz w:val="14"/>
                <w:szCs w:val="14"/>
                <w:color w:val="auto"/>
              </w:rPr>
            </w:pPr>
          </w:p>
        </w:tc>
        <w:tc>
          <w:tcPr>
            <w:tcW w:w="3900" w:type="dxa"/>
            <w:vAlign w:val="bottom"/>
          </w:tcPr>
          <w:p>
            <w:pPr>
              <w:spacing w:after="0"/>
              <w:rPr>
                <w:sz w:val="14"/>
                <w:szCs w:val="14"/>
                <w:color w:val="auto"/>
              </w:rPr>
            </w:pPr>
          </w:p>
        </w:tc>
        <w:tc>
          <w:tcPr>
            <w:tcW w:w="17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Shares Purchased</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Program</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 2014 – April 30, 2014</w:t>
            </w:r>
          </w:p>
        </w:tc>
        <w:tc>
          <w:tcPr>
            <w:tcW w:w="1100" w:type="dxa"/>
            <w:vAlign w:val="bottom"/>
            <w:tcBorders>
              <w:top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23,900</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May 1, 2014 – May 31, 2014</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2014 – June 30, 2014</w:t>
            </w:r>
          </w:p>
        </w:tc>
        <w:tc>
          <w:tcPr>
            <w:tcW w:w="17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23"/>
        </w:trPr>
        <w:tc>
          <w:tcPr>
            <w:tcW w:w="96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c>
          <w:tcPr>
            <w:tcW w:w="39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ind w:left="515"/>
              <w:spacing w:after="0"/>
              <w:rPr>
                <w:sz w:val="20"/>
                <w:szCs w:val="20"/>
                <w:color w:val="auto"/>
              </w:rPr>
            </w:pPr>
            <w:r>
              <w:rPr>
                <w:rFonts w:ascii="Arial" w:cs="Arial" w:eastAsia="Arial" w:hAnsi="Arial"/>
                <w:sz w:val="18"/>
                <w:szCs w:val="18"/>
                <w:color w:val="auto"/>
                <w:w w:val="90"/>
              </w:rPr>
              <w:t>23,900</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6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tcPr>
          <w:p>
            <w:pPr>
              <w:jc w:val="center"/>
              <w:ind w:left="515"/>
              <w:spacing w:after="0"/>
              <w:rPr>
                <w:sz w:val="20"/>
                <w:szCs w:val="20"/>
                <w:color w:val="auto"/>
              </w:rPr>
            </w:pPr>
            <w:r>
              <w:rPr>
                <w:rFonts w:ascii="Arial" w:cs="Arial" w:eastAsia="Arial" w:hAnsi="Arial"/>
                <w:sz w:val="18"/>
                <w:szCs w:val="18"/>
                <w:color w:val="auto"/>
                <w:w w:val="89"/>
              </w:rPr>
              <w:t>26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2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180" w:type="dxa"/>
            <w:vAlign w:val="bottom"/>
            <w:gridSpan w:val="4"/>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242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3.1</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3.2</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4.1</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31.1</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8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8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Sarbanes-Oxley Act of 2002.</w:t>
            </w:r>
          </w:p>
        </w:tc>
      </w:tr>
      <w:tr>
        <w:trPr>
          <w:trHeight w:val="310"/>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31.2</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Oxley Act of 2002.</w:t>
            </w:r>
          </w:p>
        </w:tc>
      </w:tr>
      <w:tr>
        <w:trPr>
          <w:trHeight w:val="310"/>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32.1</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Oxley Act of 2002. ††</w:t>
            </w:r>
          </w:p>
        </w:tc>
      </w:tr>
      <w:tr>
        <w:trPr>
          <w:trHeight w:val="310"/>
        </w:trPr>
        <w:tc>
          <w:tcPr>
            <w:tcW w:w="860" w:type="dxa"/>
            <w:vAlign w:val="bottom"/>
          </w:tcPr>
          <w:p>
            <w:pPr>
              <w:jc w:val="right"/>
              <w:ind w:right="351"/>
              <w:spacing w:after="0"/>
              <w:rPr>
                <w:sz w:val="20"/>
                <w:szCs w:val="20"/>
                <w:color w:val="auto"/>
              </w:rPr>
            </w:pPr>
            <w:r>
              <w:rPr>
                <w:rFonts w:ascii="Arial" w:cs="Arial" w:eastAsia="Arial" w:hAnsi="Arial"/>
                <w:sz w:val="18"/>
                <w:szCs w:val="18"/>
                <w:color w:val="auto"/>
              </w:rPr>
              <w:t>32.2</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3.1 to Amendment No. 6 to the University’s Registration Statement on Form S-1 (SEC file number 333-150876) filed with the SEC on November 12, 2008.</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4.1 to Amendment No. 2 to the University’s Registration Statement on Form S-1 (SEC file number 333-150876) filed with the SEC on September 29, 2008.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180" w:space="220"/>
            <w:col w:w="4920"/>
          </w:cols>
          <w:pgMar w:left="240" w:top="459" w:right="339" w:bottom="1440" w:gutter="0" w:footer="0" w:header="0"/>
          <w:type w:val="continuous"/>
        </w:sectPr>
      </w:pPr>
    </w:p>
    <w:p>
      <w:pPr>
        <w:spacing w:after="0" w:line="29" w:lineRule="exact"/>
        <w:rPr>
          <w:sz w:val="20"/>
          <w:szCs w:val="20"/>
          <w:color w:val="auto"/>
        </w:rPr>
      </w:pPr>
    </w:p>
    <w:p>
      <w:pPr>
        <w:ind w:left="460" w:right="32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234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31, 2014</w:t>
            </w:r>
          </w:p>
        </w:tc>
        <w:tc>
          <w:tcPr>
            <w:tcW w:w="7900" w:type="dxa"/>
            <w:vAlign w:val="bottom"/>
            <w:gridSpan w:val="2"/>
          </w:tcPr>
          <w:p>
            <w:pPr>
              <w:ind w:left="2520"/>
              <w:spacing w:after="0"/>
              <w:rPr>
                <w:sz w:val="20"/>
                <w:szCs w:val="20"/>
                <w:color w:val="auto"/>
              </w:rPr>
            </w:pPr>
            <w:r>
              <w:rPr>
                <w:rFonts w:ascii="Arial" w:cs="Arial" w:eastAsia="Arial" w:hAnsi="Arial"/>
                <w:sz w:val="18"/>
                <w:szCs w:val="18"/>
                <w:color w:val="auto"/>
              </w:rPr>
              <w:t>By:  /s/ Daniel E. Bachus</w:t>
            </w:r>
          </w:p>
        </w:tc>
      </w:tr>
      <w:tr>
        <w:trPr>
          <w:trHeight w:val="20"/>
        </w:trPr>
        <w:tc>
          <w:tcPr>
            <w:tcW w:w="3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82"/>
        </w:trPr>
        <w:tc>
          <w:tcPr>
            <w:tcW w:w="3520" w:type="dxa"/>
            <w:vAlign w:val="bottom"/>
          </w:tcPr>
          <w:p>
            <w:pPr>
              <w:spacing w:after="0"/>
              <w:rPr>
                <w:sz w:val="15"/>
                <w:szCs w:val="15"/>
                <w:color w:val="auto"/>
              </w:rPr>
            </w:pPr>
          </w:p>
        </w:tc>
        <w:tc>
          <w:tcPr>
            <w:tcW w:w="7900" w:type="dxa"/>
            <w:vAlign w:val="bottom"/>
            <w:gridSpan w:val="2"/>
          </w:tcPr>
          <w:p>
            <w:pPr>
              <w:ind w:left="252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520" w:type="dxa"/>
            <w:vAlign w:val="bottom"/>
          </w:tcPr>
          <w:p>
            <w:pPr>
              <w:spacing w:after="0"/>
              <w:rPr>
                <w:sz w:val="18"/>
                <w:szCs w:val="18"/>
                <w:color w:val="auto"/>
              </w:rPr>
            </w:pPr>
          </w:p>
        </w:tc>
        <w:tc>
          <w:tcPr>
            <w:tcW w:w="7900" w:type="dxa"/>
            <w:vAlign w:val="bottom"/>
            <w:gridSpan w:val="2"/>
          </w:tcPr>
          <w:p>
            <w:pPr>
              <w:ind w:left="2520"/>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5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52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28</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320"/>
          </w:cols>
          <w:pgMar w:left="240" w:top="459"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jc w:val="right"/>
              <w:ind w:right="171"/>
              <w:spacing w:after="0"/>
              <w:rPr>
                <w:sz w:val="20"/>
                <w:szCs w:val="20"/>
                <w:color w:val="auto"/>
              </w:rPr>
            </w:pPr>
            <w:r>
              <w:rPr>
                <w:rFonts w:ascii="Arial" w:cs="Arial" w:eastAsia="Arial" w:hAnsi="Arial"/>
                <w:sz w:val="14"/>
                <w:szCs w:val="14"/>
                <w:b w:val="1"/>
                <w:bCs w:val="1"/>
                <w:color w:val="auto"/>
              </w:rPr>
              <w:t>Number</w:t>
            </w:r>
          </w:p>
        </w:tc>
        <w:tc>
          <w:tcPr>
            <w:tcW w:w="240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3.1</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3.2</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4.1</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31.1</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88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88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Sarbanes-Oxley Act of 2002.</w:t>
            </w:r>
          </w:p>
        </w:tc>
      </w:tr>
      <w:tr>
        <w:trPr>
          <w:trHeight w:val="31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31.2</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8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8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32.1</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8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Oxley Act of 2002. ††</w:t>
            </w:r>
          </w:p>
        </w:tc>
      </w:tr>
      <w:tr>
        <w:trPr>
          <w:trHeight w:val="31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32.2</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8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Oxley Act of 2002.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3.1 to Amendment No. 6 to the University’s Registration Statement on Form S-1 (SEC file number 333-150876) filed with the SEC on November 12, 2008.</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4.1 to Amendment No. 2 to the University’s Registration Statement on Form S-1 (SEC file number 333-150876) filed with the SEC on September 29, 2008.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180" w:space="220"/>
            <w:col w:w="4920"/>
          </w:cols>
          <w:pgMar w:left="240" w:top="459" w:right="339" w:bottom="1440" w:gutter="0" w:footer="0" w:header="0"/>
          <w:type w:val="continuous"/>
        </w:sectPr>
      </w:pPr>
    </w:p>
    <w:p>
      <w:pPr>
        <w:spacing w:after="0" w:line="29" w:lineRule="exact"/>
        <w:rPr>
          <w:sz w:val="20"/>
          <w:szCs w:val="20"/>
          <w:color w:val="auto"/>
        </w:rPr>
      </w:pPr>
    </w:p>
    <w:p>
      <w:pPr>
        <w:ind w:left="460" w:right="3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 w:firstLine="464"/>
        <w:spacing w:after="0" w:line="264" w:lineRule="auto"/>
        <w:tabs>
          <w:tab w:leader="none" w:pos="6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464"/>
        <w:spacing w:after="0" w:line="277" w:lineRule="auto"/>
        <w:tabs>
          <w:tab w:leader="none" w:pos="6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00" w:firstLine="464"/>
        <w:spacing w:after="0" w:line="264"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464"/>
        <w:spacing w:after="0" w:line="277"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64"/>
        <w:spacing w:after="0" w:line="277"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July 31,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 w:firstLine="464"/>
        <w:spacing w:after="0" w:line="264"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6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464"/>
        <w:spacing w:after="0" w:line="277"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00" w:firstLine="464"/>
        <w:spacing w:after="0" w:line="264" w:lineRule="auto"/>
        <w:tabs>
          <w:tab w:leader="none" w:pos="6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464"/>
        <w:spacing w:after="0" w:line="277" w:lineRule="auto"/>
        <w:tabs>
          <w:tab w:leader="none" w:pos="6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July 31,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2014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2014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2019-12-07T18:37:44Z</dcterms:created>
  <dcterms:modified xsi:type="dcterms:W3CDTF">2019-12-07T18:37:44Z</dcterms:modified>
</cp:coreProperties>
</file>