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6, 2025</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920"/>
          </w:cols>
          <w:pgMar w:left="980" w:top="840" w:right="999" w:bottom="1440" w:gutter="0" w:footer="0" w:header="0"/>
        </w:sectPr>
      </w:pPr>
    </w:p>
    <w:p>
      <w:pPr>
        <w:spacing w:after="0" w:line="17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001-34211</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20-3356009</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120" w:space="720"/>
            <w:col w:w="2480" w:space="720"/>
            <w:col w:w="2880"/>
          </w:cols>
          <w:pgMar w:left="980" w:top="840" w:right="99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2600 W. Camelback Road</w:t>
      </w:r>
    </w:p>
    <w:p>
      <w:pPr>
        <w:spacing w:after="0" w:line="31" w:lineRule="exact"/>
        <w:rPr>
          <w:sz w:val="24"/>
          <w:szCs w:val="24"/>
          <w:color w:val="auto"/>
        </w:rPr>
      </w:pPr>
    </w:p>
    <w:p>
      <w:pPr>
        <w:ind w:left="188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Phoenix, Arizona</w:t>
      </w:r>
      <w:r>
        <w:rPr>
          <w:sz w:val="20"/>
          <w:szCs w:val="20"/>
          <w:color w:val="auto"/>
        </w:rPr>
        <w:tab/>
      </w:r>
      <w:r>
        <w:rPr>
          <w:rFonts w:ascii="Times New Roman" w:cs="Times New Roman" w:eastAsia="Times New Roman" w:hAnsi="Times New Roman"/>
          <w:sz w:val="17"/>
          <w:szCs w:val="17"/>
          <w:b w:val="1"/>
          <w:bCs w:val="1"/>
          <w:color w:val="auto"/>
        </w:rPr>
        <w:t>85017</w:t>
      </w:r>
    </w:p>
    <w:p>
      <w:pPr>
        <w:spacing w:after="0" w:line="9" w:lineRule="exact"/>
        <w:rPr>
          <w:sz w:val="24"/>
          <w:szCs w:val="24"/>
          <w:color w:val="auto"/>
        </w:rPr>
      </w:pPr>
    </w:p>
    <w:p>
      <w:pPr>
        <w:ind w:left="1080"/>
        <w:spacing w:after="0"/>
        <w:tabs>
          <w:tab w:leader="none" w:pos="708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9920"/>
          </w:cols>
          <w:pgMar w:left="980" w:top="840" w:right="99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-127635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6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0" w:lineRule="exact"/>
        <w:rPr>
          <w:sz w:val="24"/>
          <w:szCs w:val="24"/>
          <w:color w:val="auto"/>
        </w:rPr>
      </w:pPr>
    </w:p>
    <w:p>
      <w:pPr>
        <w:spacing w:after="0" w:line="214" w:lineRule="exact"/>
        <w:rPr>
          <w:sz w:val="24"/>
          <w:szCs w:val="24"/>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1122680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565785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Item 2.02. </w:t>
      </w:r>
      <w:r>
        <w:rPr>
          <w:rFonts w:ascii="Times New Roman" w:cs="Times New Roman" w:eastAsia="Times New Roman" w:hAnsi="Times New Roman"/>
          <w:sz w:val="18"/>
          <w:szCs w:val="18"/>
          <w:b w:val="1"/>
          <w:bCs w:val="1"/>
          <w:u w:val="single" w:color="auto"/>
          <w:color w:val="auto"/>
        </w:rPr>
        <w:t>Results of Operations and Financial Condition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August 6, 2025, the Company reported its results for the quarter ended June 30, 2025. The press release dated August 6, 2025 is furnished as Exhibit 99.1 to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9.01. </w:t>
      </w:r>
      <w:r>
        <w:rPr>
          <w:rFonts w:ascii="Times New Roman" w:cs="Times New Roman" w:eastAsia="Times New Roman" w:hAnsi="Times New Roman"/>
          <w:sz w:val="18"/>
          <w:szCs w:val="18"/>
          <w:b w:val="1"/>
          <w:bCs w:val="1"/>
          <w:u w:val="single" w:color="auto"/>
          <w:color w:val="auto"/>
        </w:rPr>
        <w:t>Consolidated Financial Statements and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August 6, 2025</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Date File (imbedded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EXHIBIT INDEX</w:t>
            </w:r>
          </w:p>
        </w:tc>
      </w:tr>
      <w:tr>
        <w:trPr>
          <w:trHeight w:val="378"/>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80" w:type="dxa"/>
            <w:vAlign w:val="bottom"/>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4"/>
                <w:szCs w:val="24"/>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August 6, 2025</w:t>
            </w:r>
          </w:p>
        </w:tc>
      </w:tr>
      <w:tr>
        <w:trPr>
          <w:trHeight w:val="20"/>
        </w:trPr>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0"/>
                <w:szCs w:val="20"/>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Date File (imbedded within the XBRL document)</w:t>
            </w:r>
          </w:p>
        </w:tc>
      </w:tr>
      <w:tr>
        <w:trPr>
          <w:trHeight w:val="993"/>
        </w:trPr>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67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GRAND CANYON EDUCATION, INC.</w:t>
            </w:r>
          </w:p>
        </w:tc>
      </w:tr>
      <w:tr>
        <w:trPr>
          <w:trHeight w:val="46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67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By: /s/ Daniel E. Bachus</w:t>
            </w:r>
          </w:p>
        </w:tc>
      </w:tr>
      <w:tr>
        <w:trPr>
          <w:trHeight w:val="211"/>
        </w:trPr>
        <w:tc>
          <w:tcPr>
            <w:tcW w:w="3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Daniel E. Bachus</w:t>
            </w:r>
          </w:p>
        </w:tc>
      </w:tr>
      <w:tr>
        <w:trPr>
          <w:trHeight w:val="230"/>
        </w:trPr>
        <w:tc>
          <w:tcPr>
            <w:tcW w:w="32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222"/>
        </w:trPr>
        <w:tc>
          <w:tcPr>
            <w:tcW w:w="3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E. Bachus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602-639-6648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Dan.bachus@gce.com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 REPORTS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QUARTER 2025 RESULTS</w:t>
      </w:r>
    </w:p>
    <w:p>
      <w:pPr>
        <w:spacing w:after="0" w:line="20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PHOENIX, AZ., August 6, 2025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Grand Canyon Education,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LOPE), (“GCE” or the “Company”),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publicly traded education services company that currently provides services to 20 university partners. GCE provides a full array of support services in the post-secondary education sector and has developed significant technological solutions, infrastructure and operational processes to provide superior services in these areas on a large scale. GCE today announced financial results for the quarter ended June 30,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260" w:top="117" w:right="1259" w:bottom="1440" w:gutter="0" w:footer="0" w:header="0"/>
        </w:sectPr>
      </w:pPr>
    </w:p>
    <w:bookmarkStart w:id="5" w:name="page6"/>
    <w:bookmarkEnd w:id="5"/>
    <w:p>
      <w:pPr>
        <w:ind w:right="40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Grand Canyon Education, Inc. Reports Second Quarter 2025 Results </w:t>
      </w:r>
      <w:r>
        <w:rPr>
          <w:rFonts w:ascii="Times New Roman" w:cs="Times New Roman" w:eastAsia="Times New Roman" w:hAnsi="Times New Roman"/>
          <w:sz w:val="18"/>
          <w:szCs w:val="18"/>
          <w:color w:val="auto"/>
        </w:rPr>
        <w:t>For the three months ended June 30, 2025:</w:t>
      </w:r>
    </w:p>
    <w:p>
      <w:pPr>
        <w:ind w:left="640" w:right="20" w:hanging="323"/>
        <w:spacing w:after="0" w:line="253"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for the three months ended June 30, 2025 was $247.5 million, an increase of $20.0 million, or 8.8%, as compared to service revenue of $227.5 million for the three months ended June 30, 2024. The increase year over year in service revenue was primarily due to an increase in partner enrollments of 10.3% to 117,283 at June 30, 2025 as compared to 106,307 at June 30, 2024. Revenue per student decreased slightly between years primarily due to contract modifications for some of our university partners in which the revenue share percentage was reduced in exchange for us no longer reimbursing these partners for certain faculty costs both of which had the effect of reducing revenue per student and a slight decline year over year in revenue per student for online students due to the continued mix shift to students that have a slightly lower net tuition rate. These decreases were partially offset by the service revenue per student for accelerated Bachelor of Science in Nursing (“ABSN”) students at off-campus classroom and laboratory sites generating a significantly higher revenue per student than we earn under our agreement with Grand Canyon University (“GCU”), our most significant partner, as these agreements generally provide us with a higher revenue share percentage, the partners have higher tuition rates than GCU and the majority of our partners’ students take more credits on average per semester.</w:t>
      </w:r>
    </w:p>
    <w:p>
      <w:pPr>
        <w:spacing w:after="0" w:line="79" w:lineRule="exact"/>
        <w:rPr>
          <w:rFonts w:ascii="Times New Roman" w:cs="Times New Roman" w:eastAsia="Times New Roman" w:hAnsi="Times New Roman"/>
          <w:sz w:val="18"/>
          <w:szCs w:val="18"/>
          <w:color w:val="auto"/>
        </w:rPr>
      </w:pPr>
    </w:p>
    <w:p>
      <w:pPr>
        <w:ind w:left="640" w:hanging="323"/>
        <w:spacing w:after="0" w:line="253"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GCU enrollments increased to 113,435 at June 30, 2025, an increase of 10.5% over enrollments at June 30, 2024. University partner enrollments at our off-campus classroom and laboratory sites were 4,990, an increase of 14.0% over enrollments at June 30, 2024, which includes 1,142 and 746 GCU students at June 30, 2025 and 2024, respectively. Excluding sites closing in 2024 to new enrollments, total enrollments at our off-campus classroom and laboratory sites increased 15.4% between years. We opened six sites in the year ended December 31, 2024 and opened two new sites in the six months ended June 30, 2025 while closing two sites in which we stopped recruiting new students in 2024 bringing the total number of these sites to 45 at June 30, 2025, which has also positively impacted the enrollment growth. Enrollments for GCU ground students were 8,579 at June 30, 2025 up from 7,397 at June 30, 2024. GCU online enrollments were 104,856 at June 30, 2025, up from 95,279 at June 30, 2024, an increase of 10.1% between years. GCU enrollment declines between March 31 and June 30 of each year as ground traditional enrollment at GCU at June 30 of each year only includes traditional-aged students taking summer school classes, which is a small percentage GCU’s traditional-aged student body.</w:t>
      </w:r>
    </w:p>
    <w:p>
      <w:pPr>
        <w:spacing w:after="0" w:line="81" w:lineRule="exact"/>
        <w:rPr>
          <w:rFonts w:ascii="Times New Roman" w:cs="Times New Roman" w:eastAsia="Times New Roman" w:hAnsi="Times New Roman"/>
          <w:sz w:val="18"/>
          <w:szCs w:val="18"/>
          <w:color w:val="auto"/>
        </w:rPr>
      </w:pPr>
    </w:p>
    <w:p>
      <w:pPr>
        <w:ind w:left="640" w:right="40" w:hanging="323"/>
        <w:spacing w:after="0" w:line="255"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three months ended June 30, 2025 was $51.8 million, an increase of $9.1 million, or 21.2%, as compared to $42.7 million for the same period in 2024. The operating margin for the three months ended June 30, 2025 and 2024 was 20.9% and 18.8%, respectively. The second quarter operating income and operating margin was positively impacted on a year over year basis by contract modifications for some of our university partners in which the revenue share percentage was reduced in exchange for us no longer reimbursing the partner for certain faculty costs which had the effect of reducing operating expenses and revenue per student and $1.1 million in severance costs recorded in the second quarter of 2024 related to an executive officer that resigned effective June 30, 2024.</w:t>
      </w:r>
    </w:p>
    <w:p>
      <w:pPr>
        <w:spacing w:after="0" w:line="80" w:lineRule="exact"/>
        <w:rPr>
          <w:rFonts w:ascii="Times New Roman" w:cs="Times New Roman" w:eastAsia="Times New Roman" w:hAnsi="Times New Roman"/>
          <w:sz w:val="18"/>
          <w:szCs w:val="18"/>
          <w:color w:val="auto"/>
        </w:rPr>
      </w:pPr>
    </w:p>
    <w:p>
      <w:pPr>
        <w:ind w:left="640" w:right="100" w:hanging="323"/>
        <w:spacing w:after="0" w:line="261"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for the three months ended June 30, 2025 was $13.5 million, an increase of $1.5 million, or 12.7%, as compared to income tax expense of $12.0 million for the three months ended June 30, 2024. Our effective tax rate was 24.5% during the second quarter of 2025 compared to 25.5% during the second quarter of 2024. The effective tax rate decreased year over year primarily due to changes in state income taxes.</w:t>
      </w:r>
    </w:p>
    <w:p>
      <w:pPr>
        <w:spacing w:after="0" w:line="71" w:lineRule="exact"/>
        <w:rPr>
          <w:rFonts w:ascii="Times New Roman" w:cs="Times New Roman" w:eastAsia="Times New Roman" w:hAnsi="Times New Roman"/>
          <w:sz w:val="18"/>
          <w:szCs w:val="18"/>
          <w:color w:val="auto"/>
        </w:rPr>
      </w:pPr>
    </w:p>
    <w:p>
      <w:pPr>
        <w:ind w:left="640" w:right="20" w:hanging="323"/>
        <w:spacing w:after="0" w:line="26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three months ended June 30, 2025 was $41.5 million, an increase of $6.6 million, or 19.1% as compared to $34.9 million for the same period in 2024. As adjusted net income was $43.2 million and $37.3 million for the second quarters of 2025 and 2024, respectively.</w:t>
      </w:r>
    </w:p>
    <w:p>
      <w:pPr>
        <w:spacing w:after="0" w:line="67" w:lineRule="exact"/>
        <w:rPr>
          <w:rFonts w:ascii="Times New Roman" w:cs="Times New Roman" w:eastAsia="Times New Roman" w:hAnsi="Times New Roman"/>
          <w:sz w:val="18"/>
          <w:szCs w:val="18"/>
          <w:color w:val="auto"/>
        </w:rPr>
      </w:pPr>
    </w:p>
    <w:p>
      <w:pPr>
        <w:ind w:left="640" w:right="160" w:hanging="323"/>
        <w:spacing w:after="0" w:line="28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per share was $1.48 and $1.19 for the second quarters of 2025 and 2024, respectively. As adjusted diluted net income per share was $1.53 and $1.27 for the second quarters of 2025 and 2024, respectively.</w:t>
      </w:r>
    </w:p>
    <w:p>
      <w:pPr>
        <w:spacing w:after="0" w:line="53" w:lineRule="exact"/>
        <w:rPr>
          <w:rFonts w:ascii="Times New Roman" w:cs="Times New Roman" w:eastAsia="Times New Roman" w:hAnsi="Times New Roman"/>
          <w:sz w:val="18"/>
          <w:szCs w:val="18"/>
          <w:color w:val="auto"/>
        </w:rPr>
      </w:pPr>
    </w:p>
    <w:p>
      <w:pPr>
        <w:ind w:left="640" w:right="180" w:hanging="323"/>
        <w:spacing w:after="0" w:line="28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15.2% to $67.4 million for the second quarter of 2025, compared to $58.5 million for the same period in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2025:</w:t>
      </w:r>
    </w:p>
    <w:p>
      <w:pPr>
        <w:spacing w:after="0" w:line="117" w:lineRule="exact"/>
        <w:rPr>
          <w:sz w:val="20"/>
          <w:szCs w:val="20"/>
          <w:color w:val="auto"/>
        </w:rPr>
      </w:pPr>
    </w:p>
    <w:p>
      <w:pPr>
        <w:ind w:left="640" w:right="160" w:hanging="323"/>
        <w:spacing w:after="0" w:line="258"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for the six months ended June 30, 2025 was $536.8 million, an increase of $34.7 million, or 6.9%, as compared to service revenue of $502.1 million for the six months ended June 30, 2024. The increase year over year in service revenue was primarily due to an increase in partner enrollments of 10.3% to 117,283 at June 30, 2025 as compared to 106,307 at June 30, 2024. Revenue per student decreased slightly between years primarily due to the additional day for leap year in 2024 which added additional service revenue of $1.5 million as compared to the current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40"/>
          </w:cols>
          <w:pgMar w:left="1260" w:top="117" w:right="1299" w:bottom="1440" w:gutter="0" w:footer="0" w:header="0"/>
        </w:sectPr>
      </w:pPr>
    </w:p>
    <w:bookmarkStart w:id="6" w:name="page7"/>
    <w:bookmarkEnd w:id="6"/>
    <w:p>
      <w:pPr>
        <w:ind w:left="640" w:right="80"/>
        <w:spacing w:after="0" w:line="254" w:lineRule="auto"/>
        <w:rPr>
          <w:sz w:val="20"/>
          <w:szCs w:val="20"/>
          <w:color w:val="auto"/>
        </w:rPr>
      </w:pPr>
      <w:r>
        <w:rPr>
          <w:rFonts w:ascii="Times New Roman" w:cs="Times New Roman" w:eastAsia="Times New Roman" w:hAnsi="Times New Roman"/>
          <w:sz w:val="18"/>
          <w:szCs w:val="18"/>
          <w:color w:val="auto"/>
        </w:rPr>
        <w:t>year and contract modifications for some of our university partners in which the revenue share percentage was reduced in exchange for us no longer reimbursing these partners for certain faculty costs, both of which had the effect of reducing revenue per student and a slight decline year over year in revenue per student for online students due to the continued mix shift to students that have a slightly lower net tuition rate. These decreases were partially offset by the service revenue per student for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w:t>
      </w:r>
    </w:p>
    <w:p>
      <w:pPr>
        <w:spacing w:after="0" w:line="84" w:lineRule="exact"/>
        <w:rPr>
          <w:sz w:val="20"/>
          <w:szCs w:val="20"/>
          <w:color w:val="auto"/>
        </w:rPr>
      </w:pPr>
    </w:p>
    <w:p>
      <w:pPr>
        <w:ind w:left="640" w:hanging="323"/>
        <w:spacing w:after="0" w:line="254"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six months ended June 30, 2025 was $139.8 million, an increase of $12.6 million, or 9.9%, as compared to $127.2 million for the same period in 2024. The operating margin for the six months ended June 30, 2025 and 2024 was 26.0% and 25.3%, respectively. The operating income and operating margin for the six months ended June 30, 2025 were positively impacted by contract modifications for some of our university partners in which the revenue share percentage was reduced in exchange for us no longer reimbursing the partner for certain faculty costs which had the effect of reducing operating expenses and revenue per student and $1.1 million recorded in the second quarter related to an executive officer that resigned effective June 30, 2024, partially offset by the additional day for leap year in 2024 which added additional service revenue of $1.5 million as compared to the current year.</w:t>
      </w:r>
    </w:p>
    <w:p>
      <w:pPr>
        <w:spacing w:after="0" w:line="83" w:lineRule="exact"/>
        <w:rPr>
          <w:rFonts w:ascii="Times New Roman" w:cs="Times New Roman" w:eastAsia="Times New Roman" w:hAnsi="Times New Roman"/>
          <w:sz w:val="18"/>
          <w:szCs w:val="18"/>
          <w:color w:val="auto"/>
        </w:rPr>
      </w:pPr>
    </w:p>
    <w:p>
      <w:pPr>
        <w:ind w:left="640" w:right="120" w:hanging="323"/>
        <w:spacing w:after="0" w:line="261"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for the six months ended June 30, 2025 was $33.3 million, an increase of $1.2 million, or 3.5%, as compared to income tax expense of $32.1 million for the six months ended June 30, 2024. Our effective tax rate was</w:t>
      </w:r>
    </w:p>
    <w:p>
      <w:pPr>
        <w:ind w:left="640"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22.7% during the six months ended June 30, 2025 compared to 23.8% during the six months ended June 30, 2024. The effective tax rate decreased year over year primarily due to an increase in excess tax benefits to $2.7 million as compared to $1.5 million in the six months ended June 30, 2025 and 2024, respectively and changes in state income taxes.</w:t>
      </w:r>
    </w:p>
    <w:p>
      <w:pPr>
        <w:spacing w:after="0" w:line="80" w:lineRule="exact"/>
        <w:rPr>
          <w:rFonts w:ascii="Times New Roman" w:cs="Times New Roman" w:eastAsia="Times New Roman" w:hAnsi="Times New Roman"/>
          <w:sz w:val="18"/>
          <w:szCs w:val="18"/>
          <w:color w:val="auto"/>
        </w:rPr>
      </w:pPr>
    </w:p>
    <w:p>
      <w:pPr>
        <w:ind w:left="640" w:hanging="323"/>
        <w:spacing w:after="0" w:line="26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six months ended June 30, 2025 was $113.2 million, an increase of $10.3 million, or 10.0% as compared to $102.9 million for the same period in 2024. As adjusted net income was $116.5 million and $107.0 million for the six months ended June 30, 2025 and 2024, respectively.</w:t>
      </w:r>
    </w:p>
    <w:p>
      <w:pPr>
        <w:spacing w:after="0" w:line="67" w:lineRule="exact"/>
        <w:rPr>
          <w:rFonts w:ascii="Times New Roman" w:cs="Times New Roman" w:eastAsia="Times New Roman" w:hAnsi="Times New Roman"/>
          <w:sz w:val="18"/>
          <w:szCs w:val="18"/>
          <w:color w:val="auto"/>
        </w:rPr>
      </w:pPr>
    </w:p>
    <w:p>
      <w:pPr>
        <w:ind w:left="640" w:right="200" w:hanging="323"/>
        <w:spacing w:after="0" w:line="26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per share was $4.00 and $3.48 for the six months ended June 30, 2025 and 2024, respectively. As adjusted diluted net income per share was $4.12 and $3.62 for the six months ended June 30, 2025 and 2024, respectively.</w:t>
      </w:r>
    </w:p>
    <w:p>
      <w:pPr>
        <w:spacing w:after="0" w:line="67" w:lineRule="exact"/>
        <w:rPr>
          <w:rFonts w:ascii="Times New Roman" w:cs="Times New Roman" w:eastAsia="Times New Roman" w:hAnsi="Times New Roman"/>
          <w:sz w:val="18"/>
          <w:szCs w:val="18"/>
          <w:color w:val="auto"/>
        </w:rPr>
      </w:pPr>
    </w:p>
    <w:p>
      <w:pPr>
        <w:ind w:left="640" w:right="500" w:hanging="323"/>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7.8% to $169.4 million for the six months ended June 30, 2025, compared to $157.1 million for the same period in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liquidity position, as measured by cash and cash equivalents and investments increased by $49.3 million between December 31, 2024 and June 30, 2025, which was largely attributable to cash provided by operations exceeding our share repurchases and capital expenditures during the six months ended June 30, 2025. Our unrestricted cash and cash equivalents and investments were $373.9 million and $324.6 million at June 30, 2025 and December 31, 2024, respectively.</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20"/>
          </w:cols>
          <w:pgMar w:left="1260" w:top="121" w:right="1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Second Quarter 2025 Results and Full Year Outlook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Outlook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Q3 2025:</w:t>
      </w:r>
    </w:p>
    <w:p>
      <w:pPr>
        <w:spacing w:after="0" w:line="31" w:lineRule="exact"/>
        <w:rPr>
          <w:sz w:val="20"/>
          <w:szCs w:val="20"/>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of between $258.5 million and $260.5 million;</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of between 21.8% and 22.2%;</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of 20.6%;</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of between $1.69 and $1.74; and</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27.9 million diluted shares.</w:t>
      </w:r>
    </w:p>
    <w:p>
      <w:pPr>
        <w:spacing w:after="0" w:line="9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diluted EPS guidance includes non-cash amortization of intangible assets net of taxes of $1.7 million, which equates to a $0.06 impact on diluted EPS. Thus, as adjusted, non-GAAP diluted income per share of between $1.75 and $1.80.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2025:</w:t>
      </w:r>
    </w:p>
    <w:p>
      <w:pPr>
        <w:spacing w:after="0" w:line="31" w:lineRule="exact"/>
        <w:rPr>
          <w:sz w:val="20"/>
          <w:szCs w:val="20"/>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of between $305.0 million and $310.0 million;</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of between 35.1% and 35.8%;</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of 22.8%;</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of between $3.07 and $3.18; and</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 million diluted shares.</w:t>
      </w:r>
    </w:p>
    <w:p>
      <w:pPr>
        <w:spacing w:after="0" w:line="9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diluted EPS guidance includes non-cash amortization of intangible assets net of taxes of $1.6 million, which equates to a $0.06 impact on diluted EPS. Thus, as adjusted, non-GAAP diluted income per share of between $3.13 and $3.24.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w:t>
      </w:r>
    </w:p>
    <w:p>
      <w:pPr>
        <w:spacing w:after="0" w:line="31" w:lineRule="exact"/>
        <w:rPr>
          <w:sz w:val="20"/>
          <w:szCs w:val="20"/>
          <w:color w:val="auto"/>
        </w:rPr>
      </w:pPr>
    </w:p>
    <w:p>
      <w:pPr>
        <w:ind w:left="640" w:hanging="32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of between $1,100.3 million and $1,107.3 million;</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of between 27.5% and 27.9%;</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of 22.3%;</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between $8.75 and $8.90; and</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28.0 million diluted shares.</w:t>
      </w:r>
    </w:p>
    <w:p>
      <w:pPr>
        <w:spacing w:after="0" w:line="9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diluted EPS guidance includes non-cash amortization of intangible assets net of taxes of $6.5 million, which equates to a $0.24 impact on diluted EPS. Thus, as adjusted, non-GAAP diluted income per share of between $8.98 and $9.14.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48" w:lineRule="exact"/>
        <w:rPr>
          <w:sz w:val="20"/>
          <w:szCs w:val="20"/>
          <w:color w:val="auto"/>
        </w:rPr>
      </w:pPr>
    </w:p>
    <w:p>
      <w:pPr>
        <w:ind w:right="80" w:firstLine="648"/>
        <w:spacing w:after="0" w:line="233"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Federal securities laws which includes information relating to future events, future financial performance, strategies expectations, competitive environment, regulation, and availability of resources. These forward-looking statements include, without limitation, statements regarding: proposed new programs; whether regulatory, economic, or business developments or other matters may or may not have a material adverse effect on our financial position, results of operations, or liquidity; projections, predictions, expectations, estimates, and forecasts as to our business, financial and operating results, and future economic performance; and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w:t>
      </w:r>
    </w:p>
    <w:p>
      <w:pPr>
        <w:spacing w:after="0" w:line="81"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 (i) legal and regulatory actions taken against us related to our services business, or against our university partners that impact their businesses and that directly or indirectly reduce the service revenue we can earn under our master services agreements; (ii) the occurrence of any event, change or other circumstance that could give rise to the termination of any of the key university partner agreements; (iii) 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 (iv) our ability to comply with the extensive regulatory framework applicable to us either directly as a third-party service provider or indirectly through our university partners; (v) our ability to manage risks associated with epidemics, pandemics, or public</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260" w:top="117" w:right="1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health crises; (vi) our ability to manage risks resulting from system disruptions, interruptions, or outages associated with our</w:t>
      </w:r>
    </w:p>
    <w:p>
      <w:pPr>
        <w:spacing w:after="0" w:line="1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7"/>
          <w:szCs w:val="17"/>
          <w:color w:val="auto"/>
        </w:rPr>
        <w:t>technology platforms or those of third-party service providers; (vii) the ability of our university partners’ students to obtain federal Title IV funds, state financial aid, and private financing; (viii) potential damage to our reputation or other adverse effects as a result of negative publicity in the media, in the industry or in connection with governmental reports or investigations or otherwise; (ix) risks associated with changes in applicable federal and state laws and regulations and accrediting commission standards; (x) competition from other education service companies in our geographic region and market sector; (xi) our ability to hire and train new, and develop and train existing employees; (xii) the pace of growth of our university partners’ enrollment and its effect on the pace of our own growth; (xiii) fluctuations in our revenues due to seasonality; (xiv) our ability to, on behalf of our university partners, convert prospective students to enrolled students and to retain active students to graduation; and (xv) other risks and uncertainties identified from time to time in documents filed with the Securities and Exchange Commission (the “SEC”) by us, including our Annual Report on Form 10-K for the fiscal year ended December 31, 2024, filed on February 19, 2025.</w:t>
      </w:r>
    </w:p>
    <w:p>
      <w:pPr>
        <w:spacing w:after="0" w:line="6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 This press release should be read in conjunction with the information included in our other press releases, reports and other filings with the SEC. Understanding the information contained in these filings is important in order to fully understand GCE’s reported financial results and our business outlook for future periods.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Second Quarter 2025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21"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Grand Canyon Education, Inc. will discuss its second quarter 2025 results and full year 2025 outlook during a conference call scheduled for today, August 6, 2025 at 4:30 p.m. Eastern time (ET).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333333"/>
        </w:rPr>
        <w:t>Live Conference Dial-In:</w:t>
      </w:r>
    </w:p>
    <w:p>
      <w:pPr>
        <w:spacing w:after="0" w:line="121"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333333"/>
        </w:rPr>
        <w:t xml:space="preserve">Those interested in participating in the question-and-answer session should follow the conference dial-in instructions below. Participants may register for the call </w:t>
      </w:r>
      <w:r>
        <w:rPr>
          <w:rFonts w:ascii="Times New Roman" w:cs="Times New Roman" w:eastAsia="Times New Roman" w:hAnsi="Times New Roman"/>
          <w:sz w:val="18"/>
          <w:szCs w:val="18"/>
          <w:color w:val="0000FF"/>
        </w:rPr>
        <w:t>here</w:t>
      </w:r>
      <w:r>
        <w:rPr>
          <w:rFonts w:ascii="Times New Roman" w:cs="Times New Roman" w:eastAsia="Times New Roman" w:hAnsi="Times New Roman"/>
          <w:sz w:val="18"/>
          <w:szCs w:val="18"/>
          <w:color w:val="333333"/>
        </w:rPr>
        <w:t xml:space="preserve"> to receive the dial-in numbers and unique PIN to access the call seamlessly. Please dial in at least ten minutes prior to the start of the call. Journalists are invited to listen only.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333333"/>
        </w:rPr>
        <w:t>Webcast and Replay:</w:t>
      </w:r>
    </w:p>
    <w:p>
      <w:pPr>
        <w:spacing w:after="0" w:line="119"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color w:val="333333"/>
        </w:rPr>
        <w:t xml:space="preserve">Investors, journalists and the general public may access a live webcast of this event at: </w:t>
      </w:r>
      <w:r>
        <w:rPr>
          <w:rFonts w:ascii="Times New Roman" w:cs="Times New Roman" w:eastAsia="Times New Roman" w:hAnsi="Times New Roman"/>
          <w:sz w:val="18"/>
          <w:szCs w:val="18"/>
          <w:i w:val="1"/>
          <w:iCs w:val="1"/>
          <w:color w:val="337AB7"/>
        </w:rPr>
        <w:t>Q2 2025 Grand Canyon</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i w:val="1"/>
          <w:iCs w:val="1"/>
          <w:color w:val="337AB7"/>
        </w:rPr>
        <w:t>Education Inc. Earnings Conference Call</w:t>
      </w:r>
      <w:r>
        <w:rPr>
          <w:rFonts w:ascii="Times New Roman" w:cs="Times New Roman" w:eastAsia="Times New Roman" w:hAnsi="Times New Roman"/>
          <w:sz w:val="18"/>
          <w:szCs w:val="18"/>
          <w:i w:val="1"/>
          <w:iCs w:val="1"/>
          <w:color w:val="333333"/>
        </w:rPr>
        <w:t>.</w:t>
      </w:r>
      <w:r>
        <w:rPr>
          <w:rFonts w:ascii="Times New Roman" w:cs="Times New Roman" w:eastAsia="Times New Roman" w:hAnsi="Times New Roman"/>
          <w:sz w:val="18"/>
          <w:szCs w:val="18"/>
          <w:i w:val="1"/>
          <w:iCs w:val="1"/>
          <w:color w:val="337AB7"/>
        </w:rPr>
        <w:t xml:space="preserve"> </w:t>
      </w:r>
      <w:r>
        <w:rPr>
          <w:rFonts w:ascii="Times New Roman" w:cs="Times New Roman" w:eastAsia="Times New Roman" w:hAnsi="Times New Roman"/>
          <w:sz w:val="18"/>
          <w:szCs w:val="18"/>
          <w:color w:val="333333"/>
        </w:rPr>
        <w:t>A webcast replay will be available approximately two hours following the conclusion</w:t>
      </w:r>
      <w:r>
        <w:rPr>
          <w:rFonts w:ascii="Times New Roman" w:cs="Times New Roman" w:eastAsia="Times New Roman" w:hAnsi="Times New Roman"/>
          <w:sz w:val="18"/>
          <w:szCs w:val="18"/>
          <w:i w:val="1"/>
          <w:iCs w:val="1"/>
          <w:color w:val="337AB7"/>
        </w:rPr>
        <w:t xml:space="preserve"> </w:t>
      </w:r>
      <w:r>
        <w:rPr>
          <w:rFonts w:ascii="Times New Roman" w:cs="Times New Roman" w:eastAsia="Times New Roman" w:hAnsi="Times New Roman"/>
          <w:sz w:val="18"/>
          <w:szCs w:val="18"/>
          <w:color w:val="333333"/>
        </w:rPr>
        <w:t>of the call at the same link.</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Grand Canyon Education, Inc.</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Grand Canyon Education, Inc. (“GCE”), incorporated in 2008, is a publicly traded education services company that currently provides services to 20 university partners. GCE is uniquely positioned in the education services industry in that its leadership has over 30 years of proven expertise in providing a full array of support services in the post-secondary education sector and has developed significant technological solutions, infrastructure and operational processes to provide superior services in these areas on a large scale. GCE provides services that support students, faculty and staff of partner institutions such as marketing, strategic enrollment management, counseling services, financial services, technology, technical support, compliance, human resources, classroom operations, content development, faculty recruitment and training, among others. For more information about GCE visit the Company's website at www.gce.com.</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Grand Canyon Education, Inc., 2600 W. Camelback Road, Phoenix, AZ 85017, </w:t>
      </w:r>
      <w:r>
        <w:rPr>
          <w:rFonts w:ascii="Times New Roman" w:cs="Times New Roman" w:eastAsia="Times New Roman" w:hAnsi="Times New Roman"/>
          <w:sz w:val="18"/>
          <w:szCs w:val="18"/>
          <w:b w:val="1"/>
          <w:bCs w:val="1"/>
          <w:color w:val="auto"/>
        </w:rPr>
        <w:t>www.gce.com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00"/>
          </w:cols>
          <w:pgMar w:left="1260" w:top="117" w:right="1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Second Quarter 2025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940" w:type="dxa"/>
            <w:vAlign w:val="bottom"/>
            <w:gridSpan w:val="3"/>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20" w:type="dxa"/>
            <w:vAlign w:val="bottom"/>
            <w:gridSpan w:val="4"/>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4"/>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02"/>
        </w:trPr>
        <w:tc>
          <w:tcPr>
            <w:tcW w:w="39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1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247,499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227,463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536,809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502,138</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Technology and academic services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80,126</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Counseling services and support</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160,991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Marketing and communication</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108,248</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195,710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184,744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396,997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374,941</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127,197</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interest and other</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135,034</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32,146</w:t>
            </w:r>
          </w:p>
        </w:tc>
        <w:tc>
          <w:tcPr>
            <w:tcW w:w="0" w:type="dxa"/>
            <w:vAlign w:val="bottom"/>
          </w:tcPr>
          <w:p>
            <w:pPr>
              <w:spacing w:after="0"/>
              <w:rPr>
                <w:sz w:val="1"/>
                <w:szCs w:val="1"/>
                <w:color w:val="auto"/>
              </w:rPr>
            </w:pPr>
          </w:p>
        </w:tc>
      </w:tr>
      <w:tr>
        <w:trPr>
          <w:trHeight w:val="249"/>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41,546</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113,164</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102,888</w:t>
            </w:r>
          </w:p>
        </w:tc>
        <w:tc>
          <w:tcPr>
            <w:tcW w:w="0" w:type="dxa"/>
            <w:vAlign w:val="bottom"/>
          </w:tcPr>
          <w:p>
            <w:pPr>
              <w:spacing w:after="0"/>
              <w:rPr>
                <w:sz w:val="1"/>
                <w:szCs w:val="1"/>
                <w:color w:val="auto"/>
              </w:rPr>
            </w:pPr>
          </w:p>
        </w:tc>
      </w:tr>
      <w:tr>
        <w:trPr>
          <w:trHeight w:val="197"/>
        </w:trPr>
        <w:tc>
          <w:tcPr>
            <w:tcW w:w="3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Basic income per share</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197"/>
        </w:trPr>
        <w:tc>
          <w:tcPr>
            <w:tcW w:w="392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Diluted income per share</w:t>
            </w:r>
          </w:p>
        </w:tc>
        <w:tc>
          <w:tcPr>
            <w:tcW w:w="16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Basic weighted average shares outstanding</w:t>
            </w: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vMerge w:val="continue"/>
          </w:tcPr>
          <w:p>
            <w:pPr>
              <w:spacing w:after="0"/>
              <w:rPr>
                <w:sz w:val="20"/>
                <w:szCs w:val="20"/>
                <w:color w:val="auto"/>
              </w:rPr>
            </w:pPr>
          </w:p>
        </w:tc>
        <w:tc>
          <w:tcPr>
            <w:tcW w:w="16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27,996</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29,285</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28,136</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29,372</w:t>
            </w:r>
          </w:p>
        </w:tc>
        <w:tc>
          <w:tcPr>
            <w:tcW w:w="0" w:type="dxa"/>
            <w:vAlign w:val="bottom"/>
          </w:tcPr>
          <w:p>
            <w:pPr>
              <w:spacing w:after="0"/>
              <w:rPr>
                <w:sz w:val="1"/>
                <w:szCs w:val="1"/>
                <w:color w:val="auto"/>
              </w:rPr>
            </w:pPr>
          </w:p>
        </w:tc>
      </w:tr>
      <w:tr>
        <w:trPr>
          <w:trHeight w:val="197"/>
        </w:trPr>
        <w:tc>
          <w:tcPr>
            <w:tcW w:w="3920" w:type="dxa"/>
            <w:vAlign w:val="bottom"/>
            <w:tcBorders>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Diluted weighted average shares outstanding</w:t>
            </w:r>
          </w:p>
        </w:tc>
        <w:tc>
          <w:tcPr>
            <w:tcW w:w="1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28,134</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29,415</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28,301</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29,527</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17" w:right="12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Second Quarter 2025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par value)</w:t>
            </w:r>
          </w:p>
        </w:tc>
        <w:tc>
          <w:tcPr>
            <w:tcW w:w="160" w:type="dxa"/>
            <w:vAlign w:val="bottom"/>
          </w:tcPr>
          <w:p>
            <w:pPr>
              <w:spacing w:after="0"/>
              <w:rPr>
                <w:sz w:val="15"/>
                <w:szCs w:val="15"/>
                <w:color w:val="auto"/>
              </w:rPr>
            </w:pPr>
          </w:p>
        </w:tc>
        <w:tc>
          <w:tcPr>
            <w:tcW w:w="23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As of December 31,</w:t>
            </w:r>
          </w:p>
        </w:tc>
        <w:tc>
          <w:tcPr>
            <w:tcW w:w="0" w:type="dxa"/>
            <w:vAlign w:val="bottom"/>
          </w:tcPr>
          <w:p>
            <w:pPr>
              <w:spacing w:after="0"/>
              <w:rPr>
                <w:sz w:val="1"/>
                <w:szCs w:val="1"/>
                <w:color w:val="auto"/>
              </w:rPr>
            </w:pPr>
          </w:p>
        </w:tc>
      </w:tr>
      <w:tr>
        <w:trPr>
          <w:trHeight w:val="142"/>
        </w:trPr>
        <w:tc>
          <w:tcPr>
            <w:tcW w:w="68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30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192,278</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324,623</w:t>
            </w:r>
          </w:p>
        </w:tc>
        <w:tc>
          <w:tcPr>
            <w:tcW w:w="0" w:type="dxa"/>
            <w:vAlign w:val="bottom"/>
          </w:tcPr>
          <w:p>
            <w:pPr>
              <w:spacing w:after="0"/>
              <w:rPr>
                <w:sz w:val="1"/>
                <w:szCs w:val="1"/>
                <w:color w:val="auto"/>
              </w:rPr>
            </w:pPr>
          </w:p>
        </w:tc>
      </w:tr>
      <w:tr>
        <w:trPr>
          <w:trHeight w:val="216"/>
        </w:trPr>
        <w:tc>
          <w:tcPr>
            <w:tcW w:w="6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181,621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82,948</w:t>
            </w:r>
          </w:p>
        </w:tc>
        <w:tc>
          <w:tcPr>
            <w:tcW w:w="0" w:type="dxa"/>
            <w:vAlign w:val="bottom"/>
          </w:tcPr>
          <w:p>
            <w:pPr>
              <w:spacing w:after="0"/>
              <w:rPr>
                <w:sz w:val="1"/>
                <w:szCs w:val="1"/>
                <w:color w:val="auto"/>
              </w:rPr>
            </w:pPr>
          </w:p>
        </w:tc>
      </w:tr>
      <w:tr>
        <w:trPr>
          <w:trHeight w:val="216"/>
        </w:trPr>
        <w:tc>
          <w:tcPr>
            <w:tcW w:w="6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0" w:type="dxa"/>
            <w:vAlign w:val="bottom"/>
          </w:tcPr>
          <w:p>
            <w:pPr>
              <w:spacing w:after="0"/>
              <w:rPr>
                <w:sz w:val="1"/>
                <w:szCs w:val="1"/>
                <w:color w:val="auto"/>
              </w:rPr>
            </w:pPr>
          </w:p>
        </w:tc>
      </w:tr>
      <w:tr>
        <w:trPr>
          <w:trHeight w:val="209"/>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422,481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419,976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179,384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176,823</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98,477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99,541</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155,752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159,962</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160,766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160,766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49"/>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1,021,007</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1,018,425</w:t>
            </w:r>
          </w:p>
        </w:tc>
        <w:tc>
          <w:tcPr>
            <w:tcW w:w="0" w:type="dxa"/>
            <w:vAlign w:val="bottom"/>
          </w:tcPr>
          <w:p>
            <w:pPr>
              <w:spacing w:after="0"/>
              <w:rPr>
                <w:sz w:val="1"/>
                <w:szCs w:val="1"/>
                <w:color w:val="auto"/>
              </w:rPr>
            </w:pPr>
          </w:p>
        </w:tc>
      </w:tr>
      <w:tr>
        <w:trPr>
          <w:trHeight w:val="197"/>
        </w:trPr>
        <w:tc>
          <w:tcPr>
            <w:tcW w:w="6880" w:type="dxa"/>
            <w:vAlign w:val="bottom"/>
            <w:shd w:val="clear" w:color="auto" w:fill="CCEEFF"/>
          </w:tcPr>
          <w:p>
            <w:pPr>
              <w:ind w:left="14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24,353</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26,721</w:t>
            </w:r>
          </w:p>
        </w:tc>
        <w:tc>
          <w:tcPr>
            <w:tcW w:w="0" w:type="dxa"/>
            <w:vAlign w:val="bottom"/>
          </w:tcPr>
          <w:p>
            <w:pPr>
              <w:spacing w:after="0"/>
              <w:rPr>
                <w:sz w:val="1"/>
                <w:szCs w:val="1"/>
                <w:color w:val="auto"/>
              </w:rPr>
            </w:pPr>
          </w:p>
        </w:tc>
      </w:tr>
      <w:tr>
        <w:trPr>
          <w:trHeight w:val="216"/>
        </w:trPr>
        <w:tc>
          <w:tcPr>
            <w:tcW w:w="6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33,183</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29,620</w:t>
            </w:r>
          </w:p>
        </w:tc>
        <w:tc>
          <w:tcPr>
            <w:tcW w:w="0" w:type="dxa"/>
            <w:vAlign w:val="bottom"/>
          </w:tcPr>
          <w:p>
            <w:pPr>
              <w:spacing w:after="0"/>
              <w:rPr>
                <w:sz w:val="1"/>
                <w:szCs w:val="1"/>
                <w:color w:val="auto"/>
              </w:rPr>
            </w:pPr>
          </w:p>
        </w:tc>
      </w:tr>
      <w:tr>
        <w:trPr>
          <w:trHeight w:val="216"/>
        </w:trPr>
        <w:tc>
          <w:tcPr>
            <w:tcW w:w="6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13,577</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12,883</w:t>
            </w: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110,966</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26,527</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94,256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95,635</w:t>
            </w: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243,031</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234,572</w:t>
            </w:r>
          </w:p>
        </w:tc>
        <w:tc>
          <w:tcPr>
            <w:tcW w:w="0" w:type="dxa"/>
            <w:vAlign w:val="bottom"/>
          </w:tcPr>
          <w:p>
            <w:pPr>
              <w:spacing w:after="0"/>
              <w:rPr>
                <w:sz w:val="1"/>
                <w:szCs w:val="1"/>
                <w:color w:val="auto"/>
              </w:rPr>
            </w:pPr>
          </w:p>
        </w:tc>
      </w:tr>
      <w:tr>
        <w:trPr>
          <w:trHeight w:val="21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 10,000 shares authorized; 0 shares issued and outstanding at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June 30, 2025 and December 31, 2024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 shares authorized; 54,178 and 54,090 shares issued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28,234 and 28,858 shares outstanding at June 30, 2025 and December 31, 2024,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198"/>
        </w:trPr>
        <w:tc>
          <w:tcPr>
            <w:tcW w:w="6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25,944 and 25,232 shares of common stock at June 30, 2025 and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(2,150,693)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(2,024,370)</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343,852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336,736</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2,584,110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2,470,946</w:t>
            </w:r>
          </w:p>
        </w:tc>
        <w:tc>
          <w:tcPr>
            <w:tcW w:w="0" w:type="dxa"/>
            <w:vAlign w:val="bottom"/>
          </w:tcPr>
          <w:p>
            <w:pPr>
              <w:spacing w:after="0"/>
              <w:rPr>
                <w:sz w:val="1"/>
                <w:szCs w:val="1"/>
                <w:color w:val="auto"/>
              </w:rPr>
            </w:pPr>
          </w:p>
        </w:tc>
      </w:tr>
      <w:tr>
        <w:trPr>
          <w:trHeight w:val="210"/>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777,976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783,853</w:t>
            </w:r>
          </w:p>
        </w:tc>
        <w:tc>
          <w:tcPr>
            <w:tcW w:w="0" w:type="dxa"/>
            <w:vAlign w:val="bottom"/>
          </w:tcPr>
          <w:p>
            <w:pPr>
              <w:spacing w:after="0"/>
              <w:rPr>
                <w:sz w:val="1"/>
                <w:szCs w:val="1"/>
                <w:color w:val="auto"/>
              </w:rPr>
            </w:pPr>
          </w:p>
        </w:tc>
      </w:tr>
      <w:tr>
        <w:trPr>
          <w:trHeight w:val="209"/>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1,021,007</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1,018,425</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60"/>
          </w:cols>
          <w:pgMar w:left="1260" w:top="117" w:right="12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Second Quarter 2025 Results</w:t>
      </w:r>
    </w:p>
    <w:p>
      <w:pPr>
        <w:spacing w:after="0" w:line="22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060" w:type="dxa"/>
            <w:vAlign w:val="bottom"/>
          </w:tcPr>
          <w:p>
            <w:pPr>
              <w:jc w:val="center"/>
              <w:ind w:left="219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9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7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operating activities: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113,164</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including fixed asset disposals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from university partners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and lease 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receivable/payable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191,639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Additions of amortizable content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 of equity investment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 on equity investment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(191,666)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Proceeds from sale or maturity of investments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(198,748)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Repurchase of common shares and shares withheld in lieu of income taxes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(125,236)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 and restricted cash</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beginning of period</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324,623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end of period</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192,278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paid for interest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44,476</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ROU Asset and Liability recognition</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Excise tax on treasury stock repurchases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7080" w:type="dxa"/>
            <w:vAlign w:val="bottom"/>
            <w:gridSpan w:val="2"/>
          </w:tcPr>
          <w:p>
            <w:pPr>
              <w:jc w:val="right"/>
              <w:ind w:right="227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80"/>
          </w:cols>
          <w:pgMar w:left="1260" w:top="117" w:right="1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Second Quarter 2025 Results</w:t>
      </w:r>
    </w:p>
    <w:p>
      <w:pPr>
        <w:spacing w:after="0" w:line="22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 (Non-GAAP Financial Measure)</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Adjusted EBITDA is defined as net income plus interest expense, less interest income and other gain (loss) recognized on investments, plus income tax expense, and plus depreciation and amortization (EBITDA), as adjusted for (i) contributions to private Arizona school tuition organizations in lieu of the payment of state income taxes; (ii) share-based compensation; and (iii) unusual charges or gains, such as litigation and regulatory reserves, impairment charges and asset write-offs, severance costs, and exit or lease termination costs. 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spacing w:after="0" w:line="84"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84"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p>
      <w:pPr>
        <w:spacing w:after="0" w:line="72" w:lineRule="exact"/>
        <w:rPr>
          <w:sz w:val="20"/>
          <w:szCs w:val="20"/>
          <w:color w:val="auto"/>
        </w:rPr>
      </w:pPr>
    </w:p>
    <w:p>
      <w:pPr>
        <w:ind w:left="640" w:hanging="32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expenditures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cash requirements for, our working capital requirements;</w:t>
      </w:r>
    </w:p>
    <w:p>
      <w:pPr>
        <w:spacing w:after="0" w:line="117"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or the cash required to replace assets that are being depreciated or amortized; and</w:t>
      </w:r>
    </w:p>
    <w:p>
      <w:pPr>
        <w:spacing w:after="0" w:line="117" w:lineRule="exact"/>
        <w:rPr>
          <w:rFonts w:ascii="Times New Roman" w:cs="Times New Roman" w:eastAsia="Times New Roman" w:hAnsi="Times New Roman"/>
          <w:sz w:val="18"/>
          <w:szCs w:val="18"/>
          <w:color w:val="auto"/>
        </w:rPr>
      </w:pPr>
    </w:p>
    <w:p>
      <w:pPr>
        <w:ind w:left="640" w:right="60" w:hanging="323"/>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reported results of earnings or charges resulting from the items for which we make adjustments to our EBITDA, as described above and set forth in the table below.</w:t>
      </w:r>
    </w:p>
    <w:p>
      <w:pPr>
        <w:spacing w:after="0" w:line="5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and reported under GAAP, or as an alternative to cash flow from operating activities or as a measure of our liquidity. We compensate for these limitations by relying primarily on our GAAP results and only use Adjusted EBITDA as a supplemental performance measure.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40"/>
          </w:cols>
          <w:pgMar w:left="1260" w:top="117" w:right="1299" w:bottom="1440" w:gutter="0" w:footer="0" w:header="0"/>
        </w:sectPr>
      </w:pPr>
    </w:p>
    <w:bookmarkStart w:id="14" w:name="page15"/>
    <w:bookmarkEnd w:id="14"/>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to Adjusted EBITDA, which is a non-GAAP measure for the periods indicated: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0" w:type="dxa"/>
            <w:vAlign w:val="bottom"/>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760" w:type="dxa"/>
            <w:vAlign w:val="bottom"/>
            <w:gridSpan w:val="5"/>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0" w:type="dxa"/>
            <w:vAlign w:val="bottom"/>
            <w:tcBorders>
              <w:bottom w:val="single" w:sz="8" w:color="auto"/>
            </w:tcBorders>
            <w:gridSpan w:val="3"/>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720" w:type="dxa"/>
            <w:vAlign w:val="bottom"/>
          </w:tcPr>
          <w:p>
            <w:pPr>
              <w:jc w:val="right"/>
              <w:ind w:right="139"/>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880" w:type="dxa"/>
            <w:vAlign w:val="bottom"/>
            <w:gridSpan w:val="2"/>
          </w:tcPr>
          <w:p>
            <w:pPr>
              <w:jc w:val="right"/>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0"/>
                <w:szCs w:val="10"/>
                <w:color w:val="auto"/>
              </w:rPr>
            </w:pPr>
          </w:p>
        </w:tc>
        <w:tc>
          <w:tcPr>
            <w:tcW w:w="800" w:type="dxa"/>
            <w:vAlign w:val="bottom"/>
          </w:tcPr>
          <w:p>
            <w:pPr>
              <w:jc w:val="right"/>
              <w:ind w:right="179"/>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ind w:right="172"/>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25"/>
        </w:trPr>
        <w:tc>
          <w:tcPr>
            <w:tcW w:w="4300" w:type="dxa"/>
            <w:vAlign w:val="bottom"/>
          </w:tcPr>
          <w:p>
            <w:pPr>
              <w:spacing w:after="0"/>
              <w:rPr>
                <w:sz w:val="2"/>
                <w:szCs w:val="2"/>
                <w:color w:val="auto"/>
              </w:rPr>
            </w:pPr>
          </w:p>
        </w:tc>
        <w:tc>
          <w:tcPr>
            <w:tcW w:w="1560" w:type="dxa"/>
            <w:vAlign w:val="bottom"/>
            <w:vMerge w:val="restart"/>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3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8"/>
              </w:rPr>
              <w:t>(Unaudited,</w:t>
            </w:r>
          </w:p>
        </w:tc>
        <w:tc>
          <w:tcPr>
            <w:tcW w:w="160" w:type="dxa"/>
            <w:vAlign w:val="bottom"/>
            <w:vMerge w:val="continue"/>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1"/>
                <w:szCs w:val="11"/>
                <w:color w:val="auto"/>
              </w:rPr>
            </w:pPr>
          </w:p>
        </w:tc>
        <w:tc>
          <w:tcPr>
            <w:tcW w:w="1760" w:type="dxa"/>
            <w:vAlign w:val="bottom"/>
            <w:gridSpan w:val="5"/>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 in thousands)</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$ 41,546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$ 34,878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$ 113,164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102,888</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Plus: interest expense</w:t>
            </w:r>
          </w:p>
        </w:tc>
        <w:tc>
          <w:tcPr>
            <w:tcW w:w="1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investment interest and other</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Plus: income tax expense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13,469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33,255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amortization of intangible assets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Plus: depreciation and amortization</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13,581</w:t>
            </w:r>
          </w:p>
        </w:tc>
        <w:tc>
          <w:tcPr>
            <w:tcW w:w="0" w:type="dxa"/>
            <w:vAlign w:val="bottom"/>
          </w:tcPr>
          <w:p>
            <w:pPr>
              <w:spacing w:after="0"/>
              <w:rPr>
                <w:sz w:val="1"/>
                <w:szCs w:val="1"/>
                <w:color w:val="auto"/>
              </w:rPr>
            </w:pPr>
          </w:p>
        </w:tc>
      </w:tr>
      <w:tr>
        <w:trPr>
          <w:trHeight w:val="209"/>
        </w:trPr>
        <w:tc>
          <w:tcPr>
            <w:tcW w:w="43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EBITDA</w:t>
            </w:r>
          </w:p>
        </w:tc>
        <w:tc>
          <w:tcPr>
            <w:tcW w:w="1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61,703</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51,752</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144,988</w:t>
            </w:r>
          </w:p>
        </w:tc>
        <w:tc>
          <w:tcPr>
            <w:tcW w:w="0" w:type="dxa"/>
            <w:vAlign w:val="bottom"/>
          </w:tcPr>
          <w:p>
            <w:pPr>
              <w:spacing w:after="0"/>
              <w:rPr>
                <w:sz w:val="1"/>
                <w:szCs w:val="1"/>
                <w:color w:val="auto"/>
              </w:rPr>
            </w:pPr>
          </w:p>
        </w:tc>
      </w:tr>
      <w:tr>
        <w:trPr>
          <w:trHeight w:val="20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Plus: share-based compensation</w:t>
            </w:r>
          </w:p>
        </w:tc>
        <w:tc>
          <w:tcPr>
            <w:tcW w:w="1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litigation and regulatory costs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Plus: severance costs</w:t>
            </w:r>
          </w:p>
        </w:tc>
        <w:tc>
          <w:tcPr>
            <w:tcW w:w="1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loss on fixed asset disposal</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5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$ 67,411</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$ 58,526</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$ 169,379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157,115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 and Non-GAAP Diluted Income Per Share</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believes the presentation of non-GAAP net income and non-GAAP diluted income per share information that excludes amortization of intangible assets, severance costs and loss on disposal of fixed assets allows investors to develop a more meaningful understanding of the Company’s performance over time. Accordingly, for the three and six months ended June 30, 2025 and 2024, the table below provides reconciliations of these non-GAAP items to GAAP net income and GAAP diluted income per share, respectively:</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140" w:type="dxa"/>
            <w:vAlign w:val="bottom"/>
            <w:gridSpan w:val="4"/>
          </w:tcPr>
          <w:p>
            <w:pPr>
              <w:ind w:left="540"/>
              <w:spacing w:after="0" w:line="129" w:lineRule="exact"/>
              <w:rPr>
                <w:sz w:val="20"/>
                <w:szCs w:val="20"/>
                <w:color w:val="auto"/>
              </w:rPr>
            </w:pPr>
            <w:r>
              <w:rPr>
                <w:rFonts w:ascii="Times New Roman" w:cs="Times New Roman" w:eastAsia="Times New Roman" w:hAnsi="Times New Roman"/>
                <w:sz w:val="14"/>
                <w:szCs w:val="14"/>
                <w:b w:val="1"/>
                <w:bCs w:val="1"/>
                <w:color w:val="auto"/>
              </w:rPr>
              <w:t>(Unaudited, in thousands</w:t>
            </w:r>
          </w:p>
        </w:tc>
        <w:tc>
          <w:tcPr>
            <w:tcW w:w="136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except per share data)</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10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41,546</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34,878</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113,164</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costs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effects of adjustments(1)</w:t>
            </w:r>
          </w:p>
        </w:tc>
        <w:tc>
          <w:tcPr>
            <w:tcW w:w="7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50"/>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Adjusted, Non-GAAP Net income</w:t>
            </w:r>
          </w:p>
        </w:tc>
        <w:tc>
          <w:tcPr>
            <w:tcW w:w="78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43,182</w:t>
            </w:r>
          </w:p>
        </w:tc>
        <w:tc>
          <w:tcPr>
            <w:tcW w:w="240" w:type="dxa"/>
            <w:vAlign w:val="bottom"/>
          </w:tcPr>
          <w:p>
            <w:pPr>
              <w:spacing w:after="0"/>
              <w:rPr>
                <w:sz w:val="21"/>
                <w:szCs w:val="21"/>
                <w:color w:val="auto"/>
              </w:rPr>
            </w:pPr>
          </w:p>
        </w:tc>
        <w:tc>
          <w:tcPr>
            <w:tcW w:w="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37,323</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116,478</w:t>
            </w: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106,993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 Diluted income per share</w:t>
            </w: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(2)</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costs (3)</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fixed assets (4)</w:t>
            </w:r>
          </w:p>
        </w:tc>
        <w:tc>
          <w:tcPr>
            <w:tcW w:w="7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Adjusted, Non-GAAP Diluted income per share</w:t>
            </w:r>
          </w:p>
        </w:tc>
        <w:tc>
          <w:tcPr>
            <w:tcW w:w="7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40" w:right="340" w:hanging="323"/>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tax effects of adjustments are based on the effective income tax rate applicable to adjusted (non-GAAP) results.</w:t>
      </w:r>
    </w:p>
    <w:p>
      <w:pPr>
        <w:spacing w:after="0" w:line="53" w:lineRule="exact"/>
        <w:rPr>
          <w:rFonts w:ascii="Times New Roman" w:cs="Times New Roman" w:eastAsia="Times New Roman" w:hAnsi="Times New Roman"/>
          <w:sz w:val="18"/>
          <w:szCs w:val="18"/>
          <w:color w:val="auto"/>
        </w:rPr>
      </w:pPr>
    </w:p>
    <w:p>
      <w:pPr>
        <w:ind w:left="640" w:right="120" w:hanging="323"/>
        <w:spacing w:after="0" w:line="266"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acquired intangible assets per diluted share is net of an income tax benefit of $0.02 for both of the three months ended June 30, 2025 and 2024, and net of an income tax benefit of $0.03 for both of the six months ended June 30, 2025 and 2024.</w:t>
      </w:r>
    </w:p>
    <w:p>
      <w:pPr>
        <w:spacing w:after="0" w:line="67" w:lineRule="exact"/>
        <w:rPr>
          <w:rFonts w:ascii="Times New Roman" w:cs="Times New Roman" w:eastAsia="Times New Roman" w:hAnsi="Times New Roman"/>
          <w:sz w:val="18"/>
          <w:szCs w:val="18"/>
          <w:color w:val="auto"/>
        </w:rPr>
      </w:pPr>
    </w:p>
    <w:p>
      <w:pPr>
        <w:ind w:left="640" w:right="140" w:hanging="323"/>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severance costs per diluted share is net of an income tax benefit of $0.01 for the three months ended June 30, 2024 and net of an income tax benefit of $0.01 for the six months ended June 30, 2024.</w:t>
      </w:r>
    </w:p>
    <w:p>
      <w:pPr>
        <w:spacing w:after="0" w:line="53" w:lineRule="exact"/>
        <w:rPr>
          <w:rFonts w:ascii="Times New Roman" w:cs="Times New Roman" w:eastAsia="Times New Roman" w:hAnsi="Times New Roman"/>
          <w:sz w:val="18"/>
          <w:szCs w:val="18"/>
          <w:color w:val="auto"/>
        </w:rPr>
      </w:pPr>
    </w:p>
    <w:p>
      <w:pPr>
        <w:ind w:left="640" w:right="220" w:hanging="323"/>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on disposal of fixed assets per diluted share is net of an income tax benefit of nil for both of the three months ended June 30, 2025 and 2024 and nil for both of the six months ended June 30, 2025 and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sectPr>
      <w:pgSz w:w="11900" w:h="16838" w:orient="portrait"/>
      <w:cols w:equalWidth="0" w:num="1">
        <w:col w:w="9360"/>
      </w:cols>
      <w:pgMar w:left="1260" w:top="121"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2025-08-06T15:14:42Z</dcterms:created>
  <dcterms:modified xsi:type="dcterms:W3CDTF">2025-08-06T15:14:42Z</dcterms:modified>
</cp:coreProperties>
</file>