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54590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459095"/>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Meyer William Stan</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2600 W. CAMELBACK ROAD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Grand Canyon Education,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LOPE</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4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11/12/2018</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6" w:right="640" w:hanging="6"/>
        <w:spacing w:after="0" w:line="255"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6"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7"/>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806"/>
        <w:spacing w:after="0"/>
        <w:rPr>
          <w:sz w:val="20"/>
          <w:szCs w:val="20"/>
          <w:color w:val="auto"/>
        </w:rPr>
      </w:pPr>
      <w:r>
        <w:rPr>
          <w:rFonts w:ascii="Arial" w:cs="Arial" w:eastAsia="Arial" w:hAnsi="Arial"/>
          <w:sz w:val="17"/>
          <w:szCs w:val="17"/>
          <w:color w:val="0000FF"/>
        </w:rPr>
        <w:t>Chief Operating Officer</w:t>
      </w:r>
    </w:p>
    <w:p>
      <w:pPr>
        <w:spacing w:after="0" w:line="333" w:lineRule="exact"/>
        <w:rPr>
          <w:sz w:val="24"/>
          <w:szCs w:val="24"/>
          <w:color w:val="auto"/>
        </w:rPr>
      </w:pPr>
    </w:p>
    <w:p>
      <w:pPr>
        <w:sectPr>
          <w:pgSz w:w="11900" w:h="16838" w:orient="portrait"/>
          <w:cols w:equalWidth="0" w:num="3">
            <w:col w:w="3360" w:space="720"/>
            <w:col w:w="3340" w:space="634"/>
            <w:col w:w="3466"/>
          </w:cols>
          <w:pgMar w:left="240" w:top="225" w:right="139" w:bottom="1440"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0"/>
        </w:trPr>
        <w:tc>
          <w:tcPr>
            <w:tcW w:w="4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Arial" w:cs="Arial" w:eastAsia="Arial" w:hAnsi="Arial"/>
                <w:sz w:val="17"/>
                <w:szCs w:val="17"/>
                <w:color w:val="0000FF"/>
              </w:rPr>
              <w:t>PHOENIX</w:t>
            </w:r>
          </w:p>
        </w:tc>
        <w:tc>
          <w:tcPr>
            <w:tcW w:w="1100" w:type="dxa"/>
            <w:vAlign w:val="bottom"/>
          </w:tcPr>
          <w:p>
            <w:pPr>
              <w:ind w:left="260"/>
              <w:spacing w:after="0"/>
              <w:rPr>
                <w:sz w:val="20"/>
                <w:szCs w:val="20"/>
                <w:color w:val="auto"/>
              </w:rPr>
            </w:pPr>
            <w:r>
              <w:rPr>
                <w:rFonts w:ascii="Arial" w:cs="Arial" w:eastAsia="Arial" w:hAnsi="Arial"/>
                <w:sz w:val="17"/>
                <w:szCs w:val="17"/>
                <w:color w:val="0000FF"/>
              </w:rPr>
              <w:t>AZ</w:t>
            </w:r>
          </w:p>
        </w:tc>
        <w:tc>
          <w:tcPr>
            <w:tcW w:w="1680" w:type="dxa"/>
            <w:vAlign w:val="bottom"/>
          </w:tcPr>
          <w:p>
            <w:pPr>
              <w:ind w:left="440"/>
              <w:spacing w:after="0"/>
              <w:rPr>
                <w:sz w:val="20"/>
                <w:szCs w:val="20"/>
                <w:color w:val="auto"/>
              </w:rPr>
            </w:pPr>
            <w:r>
              <w:rPr>
                <w:rFonts w:ascii="Arial" w:cs="Arial" w:eastAsia="Arial" w:hAnsi="Arial"/>
                <w:sz w:val="17"/>
                <w:szCs w:val="17"/>
                <w:color w:val="0000FF"/>
              </w:rPr>
              <w:t>85017</w:t>
            </w:r>
          </w:p>
        </w:tc>
      </w:tr>
      <w:tr>
        <w:trPr>
          <w:trHeight w:val="156"/>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8"/>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(City)</w:t>
            </w:r>
          </w:p>
        </w:tc>
        <w:tc>
          <w:tcPr>
            <w:tcW w:w="1100" w:type="dxa"/>
            <w:vAlign w:val="bottom"/>
          </w:tcPr>
          <w:p>
            <w:pPr>
              <w:ind w:left="26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35" w:lineRule="auto"/>
        <w:tabs>
          <w:tab w:leader="none" w:pos="45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3"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Form filed by More than One Reporting</w:t>
      </w:r>
    </w:p>
    <w:p>
      <w:pPr>
        <w:ind w:left="4520"/>
        <w:spacing w:after="0"/>
        <w:rPr>
          <w:sz w:val="20"/>
          <w:szCs w:val="20"/>
          <w:color w:val="auto"/>
        </w:rPr>
      </w:pPr>
      <w:r>
        <w:rPr>
          <w:rFonts w:ascii="Arial" w:cs="Arial" w:eastAsia="Arial" w:hAnsi="Arial"/>
          <w:sz w:val="13"/>
          <w:szCs w:val="13"/>
          <w:color w:val="auto"/>
        </w:rPr>
        <w:t>Person</w:t>
      </w:r>
    </w:p>
    <w:p>
      <w:pPr>
        <w:spacing w:after="0" w:line="314" w:lineRule="exact"/>
        <w:rPr>
          <w:sz w:val="24"/>
          <w:szCs w:val="24"/>
          <w:color w:val="auto"/>
        </w:rPr>
      </w:pPr>
    </w:p>
    <w:p>
      <w:pPr>
        <w:sectPr>
          <w:pgSz w:w="11900" w:h="16838" w:orient="portrait"/>
          <w:cols w:equalWidth="0" w:num="2">
            <w:col w:w="3920" w:space="160"/>
            <w:col w:w="7440"/>
          </w:cols>
          <w:pgMar w:left="240" w:top="225"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40" w:type="dxa"/>
            <w:vAlign w:val="bottom"/>
            <w:gridSpan w:val="2"/>
          </w:tcPr>
          <w:p>
            <w:pPr>
              <w:ind w:left="82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tcPr>
          <w:p>
            <w:pPr>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3"/>
                <w:szCs w:val="13"/>
                <w:color w:val="auto"/>
              </w:rPr>
            </w:pPr>
          </w:p>
        </w:tc>
        <w:tc>
          <w:tcPr>
            <w:tcW w:w="188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820"/>
              <w:spacing w:after="0" w:line="132"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spacing w:after="0"/>
              <w:rPr>
                <w:sz w:val="11"/>
                <w:szCs w:val="11"/>
                <w:color w:val="auto"/>
              </w:rPr>
            </w:pPr>
          </w:p>
        </w:tc>
        <w:tc>
          <w:tcPr>
            <w:tcW w:w="940" w:type="dxa"/>
            <w:vAlign w:val="bottom"/>
          </w:tcPr>
          <w:p>
            <w:pPr>
              <w:spacing w:after="0" w:line="132" w:lineRule="exact"/>
              <w:rPr>
                <w:sz w:val="20"/>
                <w:szCs w:val="20"/>
                <w:color w:val="auto"/>
              </w:rPr>
            </w:pPr>
            <w:r>
              <w:rPr>
                <w:rFonts w:ascii="Arial" w:cs="Arial" w:eastAsia="Arial" w:hAnsi="Arial"/>
                <w:sz w:val="12"/>
                <w:szCs w:val="12"/>
                <w:b w:val="1"/>
                <w:bCs w:val="1"/>
                <w:color w:val="auto"/>
              </w:rPr>
              <w:t>Execution Date,</w:t>
            </w:r>
          </w:p>
        </w:tc>
        <w:tc>
          <w:tcPr>
            <w:tcW w:w="120" w:type="dxa"/>
            <w:vAlign w:val="bottom"/>
          </w:tcPr>
          <w:p>
            <w:pPr>
              <w:spacing w:after="0"/>
              <w:rPr>
                <w:sz w:val="11"/>
                <w:szCs w:val="11"/>
                <w:color w:val="auto"/>
              </w:rPr>
            </w:pPr>
          </w:p>
        </w:tc>
        <w:tc>
          <w:tcPr>
            <w:tcW w:w="84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Transaction</w:t>
            </w:r>
          </w:p>
        </w:tc>
        <w:tc>
          <w:tcPr>
            <w:tcW w:w="1880" w:type="dxa"/>
            <w:vAlign w:val="bottom"/>
            <w:gridSpan w:val="4"/>
          </w:tcPr>
          <w:p>
            <w:pPr>
              <w:ind w:left="4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120" w:type="dxa"/>
            <w:vAlign w:val="bottom"/>
          </w:tcPr>
          <w:p>
            <w:pPr>
              <w:spacing w:after="0"/>
              <w:rPr>
                <w:sz w:val="11"/>
                <w:szCs w:val="11"/>
                <w:color w:val="auto"/>
              </w:rPr>
            </w:pPr>
          </w:p>
        </w:tc>
        <w:tc>
          <w:tcPr>
            <w:tcW w:w="12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940" w:type="dxa"/>
            <w:vAlign w:val="bottom"/>
            <w:gridSpan w:val="2"/>
          </w:tcPr>
          <w:p>
            <w:pPr>
              <w:jc w:val="center"/>
              <w:ind w:left="608"/>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940" w:type="dxa"/>
            <w:vAlign w:val="bottom"/>
          </w:tcPr>
          <w:p>
            <w:pPr>
              <w:spacing w:after="0" w:line="134"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Code (Instr.</w:t>
            </w:r>
          </w:p>
        </w:tc>
        <w:tc>
          <w:tcPr>
            <w:tcW w:w="64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7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760" w:type="dxa"/>
            <w:vAlign w:val="bottom"/>
          </w:tcPr>
          <w:p>
            <w:pPr>
              <w:spacing w:after="0"/>
              <w:rPr>
                <w:sz w:val="6"/>
                <w:szCs w:val="6"/>
                <w:color w:val="auto"/>
              </w:rPr>
            </w:pPr>
          </w:p>
        </w:tc>
        <w:tc>
          <w:tcPr>
            <w:tcW w:w="9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76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6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40"/>
              <w:spacing w:after="0" w:line="134"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760" w:type="dxa"/>
            <w:vAlign w:val="bottom"/>
          </w:tcPr>
          <w:p>
            <w:pPr>
              <w:spacing w:after="0"/>
              <w:rPr>
                <w:sz w:val="8"/>
                <w:szCs w:val="8"/>
                <w:color w:val="auto"/>
              </w:rPr>
            </w:pPr>
          </w:p>
        </w:tc>
        <w:tc>
          <w:tcPr>
            <w:tcW w:w="9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640" w:type="dxa"/>
            <w:vAlign w:val="bottom"/>
            <w:vMerge w:val="restart"/>
          </w:tcPr>
          <w:p>
            <w:pPr>
              <w:jc w:val="right"/>
              <w:ind w:right="153"/>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760" w:type="dxa"/>
            <w:vAlign w:val="bottom"/>
          </w:tcPr>
          <w:p>
            <w:pPr>
              <w:spacing w:after="0"/>
              <w:rPr>
                <w:sz w:val="5"/>
                <w:szCs w:val="5"/>
                <w:color w:val="auto"/>
              </w:rPr>
            </w:pPr>
          </w:p>
        </w:tc>
        <w:tc>
          <w:tcPr>
            <w:tcW w:w="9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4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94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3"/>
                <w:szCs w:val="23"/>
                <w:color w:val="auto"/>
              </w:rPr>
            </w:pPr>
          </w:p>
        </w:tc>
        <w:tc>
          <w:tcPr>
            <w:tcW w:w="1940" w:type="dxa"/>
            <w:vAlign w:val="bottom"/>
            <w:gridSpan w:val="2"/>
          </w:tcPr>
          <w:p>
            <w:pPr>
              <w:jc w:val="center"/>
              <w:ind w:left="628"/>
              <w:spacing w:after="0"/>
              <w:rPr>
                <w:sz w:val="20"/>
                <w:szCs w:val="20"/>
                <w:color w:val="auto"/>
              </w:rPr>
            </w:pPr>
            <w:r>
              <w:rPr>
                <w:rFonts w:ascii="Arial" w:cs="Arial" w:eastAsia="Arial" w:hAnsi="Arial"/>
                <w:sz w:val="17"/>
                <w:szCs w:val="17"/>
                <w:color w:val="0000FF"/>
                <w:w w:val="93"/>
              </w:rPr>
              <w:t>11/12/2018</w:t>
            </w:r>
          </w:p>
        </w:tc>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tcPr>
          <w:p>
            <w:pPr>
              <w:jc w:val="center"/>
              <w:ind w:right="138"/>
              <w:spacing w:after="0"/>
              <w:rPr>
                <w:sz w:val="20"/>
                <w:szCs w:val="20"/>
                <w:color w:val="auto"/>
              </w:rPr>
            </w:pPr>
            <w:r>
              <w:rPr>
                <w:rFonts w:ascii="Arial" w:cs="Arial" w:eastAsia="Arial" w:hAnsi="Arial"/>
                <w:sz w:val="13"/>
                <w:szCs w:val="13"/>
                <w:color w:val="0000FF"/>
              </w:rPr>
              <w:t>M</w:t>
            </w:r>
          </w:p>
        </w:tc>
        <w:tc>
          <w:tcPr>
            <w:tcW w:w="160" w:type="dxa"/>
            <w:vAlign w:val="bottom"/>
          </w:tcPr>
          <w:p>
            <w:pPr>
              <w:spacing w:after="0"/>
              <w:rPr>
                <w:sz w:val="23"/>
                <w:szCs w:val="23"/>
                <w:color w:val="auto"/>
              </w:rPr>
            </w:pPr>
          </w:p>
        </w:tc>
        <w:tc>
          <w:tcPr>
            <w:tcW w:w="640" w:type="dxa"/>
            <w:vAlign w:val="bottom"/>
          </w:tcPr>
          <w:p>
            <w:pPr>
              <w:jc w:val="center"/>
              <w:ind w:left="88"/>
              <w:spacing w:after="0"/>
              <w:rPr>
                <w:sz w:val="20"/>
                <w:szCs w:val="20"/>
                <w:color w:val="auto"/>
              </w:rPr>
            </w:pPr>
            <w:r>
              <w:rPr>
                <w:rFonts w:ascii="Arial" w:cs="Arial" w:eastAsia="Arial" w:hAnsi="Arial"/>
                <w:sz w:val="17"/>
                <w:szCs w:val="17"/>
                <w:color w:val="0000FF"/>
                <w:w w:val="92"/>
              </w:rPr>
              <w:t>15,000</w:t>
            </w:r>
          </w:p>
        </w:tc>
        <w:tc>
          <w:tcPr>
            <w:tcW w:w="640" w:type="dxa"/>
            <w:vAlign w:val="bottom"/>
          </w:tcPr>
          <w:p>
            <w:pPr>
              <w:ind w:left="360"/>
              <w:spacing w:after="0"/>
              <w:rPr>
                <w:sz w:val="20"/>
                <w:szCs w:val="20"/>
                <w:color w:val="auto"/>
              </w:rPr>
            </w:pPr>
            <w:r>
              <w:rPr>
                <w:rFonts w:ascii="Arial" w:cs="Arial" w:eastAsia="Arial" w:hAnsi="Arial"/>
                <w:sz w:val="17"/>
                <w:szCs w:val="17"/>
                <w:color w:val="0000FF"/>
              </w:rPr>
              <w:t>A</w:t>
            </w:r>
          </w:p>
        </w:tc>
        <w:tc>
          <w:tcPr>
            <w:tcW w:w="600" w:type="dxa"/>
            <w:vAlign w:val="bottom"/>
            <w:gridSpan w:val="2"/>
          </w:tcPr>
          <w:p>
            <w:pPr>
              <w:jc w:val="center"/>
              <w:ind w:left="89"/>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21.1</w:t>
            </w:r>
          </w:p>
        </w:tc>
        <w:tc>
          <w:tcPr>
            <w:tcW w:w="120" w:type="dxa"/>
            <w:vAlign w:val="bottom"/>
          </w:tcPr>
          <w:p>
            <w:pPr>
              <w:spacing w:after="0"/>
              <w:rPr>
                <w:sz w:val="23"/>
                <w:szCs w:val="23"/>
                <w:color w:val="auto"/>
              </w:rPr>
            </w:pPr>
          </w:p>
        </w:tc>
        <w:tc>
          <w:tcPr>
            <w:tcW w:w="1240" w:type="dxa"/>
            <w:vAlign w:val="bottom"/>
            <w:gridSpan w:val="2"/>
          </w:tcPr>
          <w:p>
            <w:pPr>
              <w:jc w:val="center"/>
              <w:spacing w:after="0"/>
              <w:rPr>
                <w:sz w:val="20"/>
                <w:szCs w:val="20"/>
                <w:color w:val="auto"/>
              </w:rPr>
            </w:pPr>
            <w:r>
              <w:rPr>
                <w:rFonts w:ascii="Arial" w:cs="Arial" w:eastAsia="Arial" w:hAnsi="Arial"/>
                <w:sz w:val="17"/>
                <w:szCs w:val="17"/>
                <w:color w:val="0000FF"/>
                <w:w w:val="91"/>
              </w:rPr>
              <w:t>112,261</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52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940" w:type="dxa"/>
            <w:vAlign w:val="bottom"/>
            <w:tcBorders>
              <w:bottom w:val="single" w:sz="8" w:color="2C2C2C"/>
            </w:tcBorders>
            <w:gridSpan w:val="2"/>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gridSpan w:val="2"/>
          </w:tcPr>
          <w:p>
            <w:pPr>
              <w:spacing w:after="0"/>
              <w:rPr>
                <w:sz w:val="5"/>
                <w:szCs w:val="5"/>
                <w:color w:val="auto"/>
              </w:rPr>
            </w:pPr>
          </w:p>
        </w:tc>
        <w:tc>
          <w:tcPr>
            <w:tcW w:w="124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940" w:type="dxa"/>
            <w:vAlign w:val="bottom"/>
            <w:tcBorders>
              <w:bottom w:val="single" w:sz="8" w:color="2C2C2C"/>
            </w:tcBorders>
            <w:gridSpan w:val="2"/>
          </w:tcPr>
          <w:p>
            <w:pPr>
              <w:jc w:val="center"/>
              <w:ind w:left="628"/>
              <w:spacing w:after="0"/>
              <w:rPr>
                <w:sz w:val="20"/>
                <w:szCs w:val="20"/>
                <w:color w:val="auto"/>
              </w:rPr>
            </w:pPr>
            <w:r>
              <w:rPr>
                <w:rFonts w:ascii="Arial" w:cs="Arial" w:eastAsia="Arial" w:hAnsi="Arial"/>
                <w:sz w:val="17"/>
                <w:szCs w:val="17"/>
                <w:color w:val="0000FF"/>
                <w:w w:val="93"/>
              </w:rPr>
              <w:t>11/12/2018</w:t>
            </w:r>
          </w:p>
        </w:tc>
        <w:tc>
          <w:tcPr>
            <w:tcW w:w="9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138"/>
              <w:spacing w:after="0"/>
              <w:rPr>
                <w:sz w:val="20"/>
                <w:szCs w:val="20"/>
                <w:color w:val="auto"/>
              </w:rPr>
            </w:pPr>
            <w:r>
              <w:rPr>
                <w:rFonts w:ascii="Arial" w:cs="Arial" w:eastAsia="Arial" w:hAnsi="Arial"/>
                <w:sz w:val="26"/>
                <w:szCs w:val="26"/>
                <w:color w:val="0000FF"/>
                <w:w w:val="79"/>
                <w:vertAlign w:val="subscript"/>
              </w:rPr>
              <w:t>S</w:t>
            </w:r>
            <w:r>
              <w:rPr>
                <w:rFonts w:ascii="Arial" w:cs="Arial" w:eastAsia="Arial" w:hAnsi="Arial"/>
                <w:sz w:val="11"/>
                <w:szCs w:val="11"/>
                <w:color w:val="008000"/>
                <w:w w:val="79"/>
              </w:rPr>
              <w:t>(1)</w:t>
            </w:r>
          </w:p>
        </w:tc>
        <w:tc>
          <w:tcPr>
            <w:tcW w:w="16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left="88"/>
              <w:spacing w:after="0"/>
              <w:rPr>
                <w:sz w:val="20"/>
                <w:szCs w:val="20"/>
                <w:color w:val="auto"/>
              </w:rPr>
            </w:pPr>
            <w:r>
              <w:rPr>
                <w:rFonts w:ascii="Arial" w:cs="Arial" w:eastAsia="Arial" w:hAnsi="Arial"/>
                <w:sz w:val="17"/>
                <w:szCs w:val="17"/>
                <w:color w:val="0000FF"/>
                <w:w w:val="92"/>
              </w:rPr>
              <w:t>15,000</w:t>
            </w:r>
          </w:p>
        </w:tc>
        <w:tc>
          <w:tcPr>
            <w:tcW w:w="6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127</w:t>
            </w:r>
            <w:r>
              <w:rPr>
                <w:rFonts w:ascii="Arial" w:cs="Arial" w:eastAsia="Arial" w:hAnsi="Arial"/>
                <w:sz w:val="22"/>
                <w:szCs w:val="22"/>
                <w:color w:val="008000"/>
                <w:w w:val="86"/>
                <w:vertAlign w:val="superscript"/>
              </w:rPr>
              <w:t>(2)</w:t>
            </w:r>
          </w:p>
        </w:tc>
        <w:tc>
          <w:tcPr>
            <w:tcW w:w="12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2"/>
              </w:rPr>
              <w:t>97,261</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3"/>
                <w:szCs w:val="23"/>
                <w:color w:val="auto"/>
              </w:rPr>
            </w:pPr>
          </w:p>
        </w:tc>
        <w:tc>
          <w:tcPr>
            <w:tcW w:w="1940" w:type="dxa"/>
            <w:vAlign w:val="bottom"/>
            <w:gridSpan w:val="2"/>
          </w:tcPr>
          <w:p>
            <w:pPr>
              <w:jc w:val="center"/>
              <w:ind w:left="628"/>
              <w:spacing w:after="0"/>
              <w:rPr>
                <w:sz w:val="20"/>
                <w:szCs w:val="20"/>
                <w:color w:val="auto"/>
              </w:rPr>
            </w:pPr>
            <w:r>
              <w:rPr>
                <w:rFonts w:ascii="Arial" w:cs="Arial" w:eastAsia="Arial" w:hAnsi="Arial"/>
                <w:sz w:val="17"/>
                <w:szCs w:val="17"/>
                <w:color w:val="0000FF"/>
                <w:w w:val="93"/>
              </w:rPr>
              <w:t>11/13/2018</w:t>
            </w:r>
          </w:p>
        </w:tc>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tcPr>
          <w:p>
            <w:pPr>
              <w:jc w:val="center"/>
              <w:ind w:right="158"/>
              <w:spacing w:after="0"/>
              <w:rPr>
                <w:sz w:val="20"/>
                <w:szCs w:val="20"/>
                <w:color w:val="auto"/>
              </w:rPr>
            </w:pPr>
            <w:r>
              <w:rPr>
                <w:rFonts w:ascii="Arial" w:cs="Arial" w:eastAsia="Arial" w:hAnsi="Arial"/>
                <w:sz w:val="13"/>
                <w:szCs w:val="13"/>
                <w:color w:val="0000FF"/>
                <w:w w:val="98"/>
              </w:rPr>
              <w:t>G</w:t>
            </w:r>
          </w:p>
        </w:tc>
        <w:tc>
          <w:tcPr>
            <w:tcW w:w="160" w:type="dxa"/>
            <w:vAlign w:val="bottom"/>
          </w:tcPr>
          <w:p>
            <w:pPr>
              <w:spacing w:after="0"/>
              <w:rPr>
                <w:sz w:val="23"/>
                <w:szCs w:val="23"/>
                <w:color w:val="auto"/>
              </w:rPr>
            </w:pPr>
          </w:p>
        </w:tc>
        <w:tc>
          <w:tcPr>
            <w:tcW w:w="640" w:type="dxa"/>
            <w:vAlign w:val="bottom"/>
          </w:tcPr>
          <w:p>
            <w:pPr>
              <w:jc w:val="center"/>
              <w:ind w:left="68"/>
              <w:spacing w:after="0"/>
              <w:rPr>
                <w:sz w:val="20"/>
                <w:szCs w:val="20"/>
                <w:color w:val="auto"/>
              </w:rPr>
            </w:pPr>
            <w:r>
              <w:rPr>
                <w:rFonts w:ascii="Arial" w:cs="Arial" w:eastAsia="Arial" w:hAnsi="Arial"/>
                <w:sz w:val="17"/>
                <w:szCs w:val="17"/>
                <w:color w:val="0000FF"/>
                <w:w w:val="91"/>
              </w:rPr>
              <w:t>650</w:t>
            </w:r>
          </w:p>
        </w:tc>
        <w:tc>
          <w:tcPr>
            <w:tcW w:w="640" w:type="dxa"/>
            <w:vAlign w:val="bottom"/>
          </w:tcPr>
          <w:p>
            <w:pPr>
              <w:ind w:left="360"/>
              <w:spacing w:after="0"/>
              <w:rPr>
                <w:sz w:val="20"/>
                <w:szCs w:val="20"/>
                <w:color w:val="auto"/>
              </w:rPr>
            </w:pPr>
            <w:r>
              <w:rPr>
                <w:rFonts w:ascii="Arial" w:cs="Arial" w:eastAsia="Arial" w:hAnsi="Arial"/>
                <w:sz w:val="17"/>
                <w:szCs w:val="17"/>
                <w:color w:val="0000FF"/>
              </w:rPr>
              <w:t>D</w:t>
            </w:r>
          </w:p>
        </w:tc>
        <w:tc>
          <w:tcPr>
            <w:tcW w:w="600" w:type="dxa"/>
            <w:vAlign w:val="bottom"/>
            <w:gridSpan w:val="2"/>
          </w:tcPr>
          <w:p>
            <w:pPr>
              <w:jc w:val="center"/>
              <w:ind w:left="89"/>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0.00</w:t>
            </w:r>
          </w:p>
        </w:tc>
        <w:tc>
          <w:tcPr>
            <w:tcW w:w="120" w:type="dxa"/>
            <w:vAlign w:val="bottom"/>
          </w:tcPr>
          <w:p>
            <w:pPr>
              <w:spacing w:after="0"/>
              <w:rPr>
                <w:sz w:val="23"/>
                <w:szCs w:val="23"/>
                <w:color w:val="auto"/>
              </w:rPr>
            </w:pPr>
          </w:p>
        </w:tc>
        <w:tc>
          <w:tcPr>
            <w:tcW w:w="1240" w:type="dxa"/>
            <w:vAlign w:val="bottom"/>
            <w:gridSpan w:val="2"/>
          </w:tcPr>
          <w:p>
            <w:pPr>
              <w:jc w:val="center"/>
              <w:spacing w:after="0"/>
              <w:rPr>
                <w:sz w:val="20"/>
                <w:szCs w:val="20"/>
                <w:color w:val="auto"/>
              </w:rPr>
            </w:pPr>
            <w:r>
              <w:rPr>
                <w:rFonts w:ascii="Arial" w:cs="Arial" w:eastAsia="Arial" w:hAnsi="Arial"/>
                <w:sz w:val="17"/>
                <w:szCs w:val="17"/>
                <w:color w:val="0000FF"/>
                <w:w w:val="92"/>
              </w:rPr>
              <w:t>96,611</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1080" w:type="dxa"/>
            <w:vAlign w:val="bottom"/>
            <w:tcBorders>
              <w:bottom w:val="single" w:sz="8" w:color="2C2C2C"/>
            </w:tcBorders>
          </w:tcPr>
          <w:p>
            <w:pPr>
              <w:spacing w:after="0"/>
              <w:rPr>
                <w:sz w:val="8"/>
                <w:szCs w:val="8"/>
                <w:color w:val="auto"/>
              </w:rPr>
            </w:pPr>
          </w:p>
        </w:tc>
        <w:tc>
          <w:tcPr>
            <w:tcW w:w="3000" w:type="dxa"/>
            <w:vAlign w:val="bottom"/>
            <w:tcBorders>
              <w:bottom w:val="single" w:sz="8" w:color="2C2C2C"/>
            </w:tcBorders>
            <w:gridSpan w:val="4"/>
          </w:tcPr>
          <w:p>
            <w:pPr>
              <w:spacing w:after="0"/>
              <w:rPr>
                <w:sz w:val="8"/>
                <w:szCs w:val="8"/>
                <w:color w:val="auto"/>
              </w:rPr>
            </w:pPr>
          </w:p>
        </w:tc>
        <w:tc>
          <w:tcPr>
            <w:tcW w:w="2680" w:type="dxa"/>
            <w:vAlign w:val="bottom"/>
            <w:tcBorders>
              <w:bottom w:val="single" w:sz="8" w:color="2C2C2C"/>
            </w:tcBorders>
            <w:gridSpan w:val="5"/>
          </w:tcPr>
          <w:p>
            <w:pPr>
              <w:spacing w:after="0"/>
              <w:rPr>
                <w:sz w:val="8"/>
                <w:szCs w:val="8"/>
                <w:color w:val="auto"/>
              </w:rPr>
            </w:pPr>
          </w:p>
        </w:tc>
        <w:tc>
          <w:tcPr>
            <w:tcW w:w="780" w:type="dxa"/>
            <w:vAlign w:val="bottom"/>
            <w:tcBorders>
              <w:bottom w:val="single" w:sz="8" w:color="2C2C2C"/>
            </w:tcBorders>
            <w:gridSpan w:val="3"/>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2"/>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72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4"/>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jc w:val="center"/>
              <w:ind w:right="459"/>
              <w:spacing w:after="0"/>
              <w:rPr>
                <w:sz w:val="20"/>
                <w:szCs w:val="20"/>
                <w:color w:val="auto"/>
              </w:rPr>
            </w:pPr>
            <w:r>
              <w:rPr>
                <w:rFonts w:ascii="Arial" w:cs="Arial" w:eastAsia="Arial" w:hAnsi="Arial"/>
                <w:sz w:val="12"/>
                <w:szCs w:val="12"/>
                <w:b w:val="1"/>
                <w:bCs w:val="1"/>
                <w:color w:val="auto"/>
              </w:rPr>
              <w:t>4.</w:t>
            </w:r>
          </w:p>
        </w:tc>
        <w:tc>
          <w:tcPr>
            <w:tcW w:w="94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240" w:type="dxa"/>
            <w:vAlign w:val="bottom"/>
            <w:gridSpan w:val="3"/>
          </w:tcPr>
          <w:p>
            <w:pPr>
              <w:spacing w:after="0"/>
              <w:rPr>
                <w:sz w:val="20"/>
                <w:szCs w:val="20"/>
                <w:color w:val="auto"/>
              </w:rPr>
            </w:pPr>
            <w:r>
              <w:rPr>
                <w:rFonts w:ascii="Arial" w:cs="Arial" w:eastAsia="Arial" w:hAnsi="Arial"/>
                <w:sz w:val="12"/>
                <w:szCs w:val="12"/>
                <w:b w:val="1"/>
                <w:bCs w:val="1"/>
                <w:color w:val="auto"/>
              </w:rPr>
              <w:t>7. Title and Amount</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9"/>
              </w:rPr>
              <w:t>Transaction</w:t>
            </w: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w:t>
            </w:r>
          </w:p>
        </w:tc>
        <w:tc>
          <w:tcPr>
            <w:tcW w:w="96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spacing w:after="0"/>
              <w:rPr>
                <w:sz w:val="11"/>
                <w:szCs w:val="11"/>
                <w:color w:val="auto"/>
              </w:rPr>
            </w:pPr>
          </w:p>
        </w:tc>
        <w:tc>
          <w:tcPr>
            <w:tcW w:w="12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of Securities</w:t>
            </w: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jc w:val="center"/>
              <w:ind w:right="459"/>
              <w:spacing w:after="0" w:line="134" w:lineRule="exact"/>
              <w:rPr>
                <w:sz w:val="20"/>
                <w:szCs w:val="20"/>
                <w:color w:val="auto"/>
              </w:rPr>
            </w:pPr>
            <w:r>
              <w:rPr>
                <w:rFonts w:ascii="Arial" w:cs="Arial" w:eastAsia="Arial" w:hAnsi="Arial"/>
                <w:sz w:val="12"/>
                <w:szCs w:val="12"/>
                <w:b w:val="1"/>
                <w:bCs w:val="1"/>
                <w:color w:val="auto"/>
              </w:rPr>
              <w:t>8)</w:t>
            </w: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Derivative Security</w:t>
            </w: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40" w:type="dxa"/>
            <w:vAlign w:val="bottom"/>
          </w:tcPr>
          <w:p>
            <w:pPr>
              <w:ind w:left="16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8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94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Option</w:t>
            </w:r>
          </w:p>
        </w:tc>
        <w:tc>
          <w:tcPr>
            <w:tcW w:w="800" w:type="dxa"/>
            <w:vAlign w:val="bottom"/>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21.1</w:t>
            </w:r>
          </w:p>
        </w:tc>
        <w:tc>
          <w:tcPr>
            <w:tcW w:w="1080" w:type="dxa"/>
            <w:vAlign w:val="bottom"/>
          </w:tcPr>
          <w:p>
            <w:pPr>
              <w:jc w:val="right"/>
              <w:ind w:right="138"/>
              <w:spacing w:after="0"/>
              <w:rPr>
                <w:sz w:val="20"/>
                <w:szCs w:val="20"/>
                <w:color w:val="auto"/>
              </w:rPr>
            </w:pPr>
            <w:r>
              <w:rPr>
                <w:rFonts w:ascii="Arial" w:cs="Arial" w:eastAsia="Arial" w:hAnsi="Arial"/>
                <w:sz w:val="13"/>
                <w:szCs w:val="13"/>
                <w:color w:val="0000FF"/>
              </w:rPr>
              <w:t>11/12/2018</w:t>
            </w:r>
          </w:p>
        </w:tc>
        <w:tc>
          <w:tcPr>
            <w:tcW w:w="1180" w:type="dxa"/>
            <w:vAlign w:val="bottom"/>
          </w:tcPr>
          <w:p>
            <w:pPr>
              <w:spacing w:after="0"/>
              <w:rPr>
                <w:sz w:val="17"/>
                <w:szCs w:val="17"/>
                <w:color w:val="auto"/>
              </w:rPr>
            </w:pPr>
          </w:p>
        </w:tc>
        <w:tc>
          <w:tcPr>
            <w:tcW w:w="760" w:type="dxa"/>
            <w:vAlign w:val="bottom"/>
          </w:tcPr>
          <w:p>
            <w:pPr>
              <w:ind w:left="160"/>
              <w:spacing w:after="0"/>
              <w:rPr>
                <w:sz w:val="20"/>
                <w:szCs w:val="20"/>
                <w:color w:val="auto"/>
              </w:rPr>
            </w:pPr>
            <w:r>
              <w:rPr>
                <w:rFonts w:ascii="Arial" w:cs="Arial" w:eastAsia="Arial" w:hAnsi="Arial"/>
                <w:sz w:val="13"/>
                <w:szCs w:val="13"/>
                <w:color w:val="0000FF"/>
              </w:rPr>
              <w:t>M</w:t>
            </w:r>
          </w:p>
        </w:tc>
        <w:tc>
          <w:tcPr>
            <w:tcW w:w="940" w:type="dxa"/>
            <w:vAlign w:val="bottom"/>
          </w:tcPr>
          <w:p>
            <w:pPr>
              <w:ind w:left="460"/>
              <w:spacing w:after="0"/>
              <w:rPr>
                <w:sz w:val="20"/>
                <w:szCs w:val="20"/>
                <w:color w:val="auto"/>
              </w:rPr>
            </w:pPr>
            <w:r>
              <w:rPr>
                <w:rFonts w:ascii="Arial" w:cs="Arial" w:eastAsia="Arial" w:hAnsi="Arial"/>
                <w:sz w:val="13"/>
                <w:szCs w:val="13"/>
                <w:color w:val="0000FF"/>
              </w:rPr>
              <w:t>15,000</w:t>
            </w:r>
          </w:p>
        </w:tc>
        <w:tc>
          <w:tcPr>
            <w:tcW w:w="800" w:type="dxa"/>
            <w:vAlign w:val="bottom"/>
            <w:gridSpan w:val="2"/>
          </w:tcPr>
          <w:p>
            <w:pPr>
              <w:ind w:left="60"/>
              <w:spacing w:after="0"/>
              <w:rPr>
                <w:sz w:val="20"/>
                <w:szCs w:val="20"/>
                <w:color w:val="auto"/>
              </w:rPr>
            </w:pPr>
            <w:r>
              <w:rPr>
                <w:rFonts w:ascii="Arial" w:cs="Arial" w:eastAsia="Arial" w:hAnsi="Arial"/>
                <w:sz w:val="13"/>
                <w:szCs w:val="13"/>
                <w:color w:val="0000FF"/>
              </w:rPr>
              <w:t>02/25/2015</w:t>
            </w:r>
          </w:p>
        </w:tc>
        <w:tc>
          <w:tcPr>
            <w:tcW w:w="800" w:type="dxa"/>
            <w:vAlign w:val="bottom"/>
            <w:gridSpan w:val="2"/>
          </w:tcPr>
          <w:p>
            <w:pPr>
              <w:ind w:left="60"/>
              <w:spacing w:after="0"/>
              <w:rPr>
                <w:sz w:val="20"/>
                <w:szCs w:val="20"/>
                <w:color w:val="auto"/>
              </w:rPr>
            </w:pPr>
            <w:r>
              <w:rPr>
                <w:rFonts w:ascii="Arial" w:cs="Arial" w:eastAsia="Arial" w:hAnsi="Arial"/>
                <w:sz w:val="13"/>
                <w:szCs w:val="13"/>
                <w:color w:val="0000FF"/>
              </w:rPr>
              <w:t>02/24/2020</w:t>
            </w:r>
          </w:p>
        </w:tc>
        <w:tc>
          <w:tcPr>
            <w:tcW w:w="640" w:type="dxa"/>
            <w:vAlign w:val="bottom"/>
          </w:tcPr>
          <w:p>
            <w:pPr>
              <w:spacing w:after="0"/>
              <w:rPr>
                <w:sz w:val="20"/>
                <w:szCs w:val="20"/>
                <w:color w:val="auto"/>
              </w:rPr>
            </w:pPr>
            <w:r>
              <w:rPr>
                <w:rFonts w:ascii="Arial" w:cs="Arial" w:eastAsia="Arial" w:hAnsi="Arial"/>
                <w:sz w:val="13"/>
                <w:szCs w:val="13"/>
                <w:color w:val="0000FF"/>
              </w:rPr>
              <w:t>Common</w:t>
            </w:r>
          </w:p>
        </w:tc>
        <w:tc>
          <w:tcPr>
            <w:tcW w:w="560" w:type="dxa"/>
            <w:vAlign w:val="bottom"/>
          </w:tcPr>
          <w:p>
            <w:pPr>
              <w:spacing w:after="0"/>
              <w:rPr>
                <w:sz w:val="20"/>
                <w:szCs w:val="20"/>
                <w:color w:val="auto"/>
              </w:rPr>
            </w:pPr>
            <w:r>
              <w:rPr>
                <w:rFonts w:ascii="Arial" w:cs="Arial" w:eastAsia="Arial" w:hAnsi="Arial"/>
                <w:sz w:val="17"/>
                <w:szCs w:val="17"/>
                <w:color w:val="0000FF"/>
              </w:rPr>
              <w:t>15,000</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ind w:left="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w:t>
            </w:r>
          </w:p>
        </w:tc>
        <w:tc>
          <w:tcPr>
            <w:tcW w:w="620" w:type="dxa"/>
            <w:vAlign w:val="bottom"/>
          </w:tcPr>
          <w:p>
            <w:pPr>
              <w:ind w:left="240"/>
              <w:spacing w:after="0"/>
              <w:rPr>
                <w:sz w:val="20"/>
                <w:szCs w:val="20"/>
                <w:color w:val="auto"/>
              </w:rPr>
            </w:pPr>
            <w:r>
              <w:rPr>
                <w:rFonts w:ascii="Arial" w:cs="Arial" w:eastAsia="Arial" w:hAnsi="Arial"/>
                <w:sz w:val="13"/>
                <w:szCs w:val="13"/>
                <w:color w:val="0000FF"/>
                <w:w w:val="90"/>
              </w:rPr>
              <w:t>25,000</w:t>
            </w:r>
          </w:p>
        </w:tc>
        <w:tc>
          <w:tcPr>
            <w:tcW w:w="280" w:type="dxa"/>
            <w:vAlign w:val="bottom"/>
          </w:tcPr>
          <w:p>
            <w:pPr>
              <w:spacing w:after="0"/>
              <w:rPr>
                <w:sz w:val="17"/>
                <w:szCs w:val="17"/>
                <w:color w:val="auto"/>
              </w:rPr>
            </w:pPr>
          </w:p>
        </w:tc>
        <w:tc>
          <w:tcPr>
            <w:tcW w:w="70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tcPr>
          <w:p>
            <w:pPr>
              <w:ind w:left="60"/>
              <w:spacing w:after="0" w:line="109" w:lineRule="exact"/>
              <w:rPr>
                <w:sz w:val="20"/>
                <w:szCs w:val="20"/>
                <w:color w:val="auto"/>
              </w:rPr>
            </w:pPr>
            <w:r>
              <w:rPr>
                <w:rFonts w:ascii="Arial" w:cs="Arial" w:eastAsia="Arial" w:hAnsi="Arial"/>
                <w:sz w:val="12"/>
                <w:szCs w:val="12"/>
                <w:color w:val="0000FF"/>
              </w:rPr>
              <w:t>(Right to</w:t>
            </w:r>
          </w:p>
        </w:tc>
        <w:tc>
          <w:tcPr>
            <w:tcW w:w="8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76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640" w:type="dxa"/>
            <w:vAlign w:val="bottom"/>
          </w:tcPr>
          <w:p>
            <w:pPr>
              <w:jc w:val="right"/>
              <w:ind w:right="173"/>
              <w:spacing w:after="0" w:line="109" w:lineRule="exact"/>
              <w:rPr>
                <w:sz w:val="20"/>
                <w:szCs w:val="20"/>
                <w:color w:val="auto"/>
              </w:rPr>
            </w:pPr>
            <w:r>
              <w:rPr>
                <w:rFonts w:ascii="Arial" w:cs="Arial" w:eastAsia="Arial" w:hAnsi="Arial"/>
                <w:sz w:val="12"/>
                <w:szCs w:val="12"/>
                <w:color w:val="0000FF"/>
              </w:rPr>
              <w:t>Stock</w:t>
            </w: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10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These sales were effected pursuant to a 10b5-1 plan adopted by the reporting person dated September 10, 2018.</w:t>
      </w:r>
    </w:p>
    <w:p>
      <w:pPr>
        <w:spacing w:after="0" w:line="51" w:lineRule="exact"/>
        <w:rPr>
          <w:rFonts w:ascii="Arial" w:cs="Arial" w:eastAsia="Arial" w:hAnsi="Arial"/>
          <w:sz w:val="13"/>
          <w:szCs w:val="13"/>
          <w:color w:val="008000"/>
        </w:rPr>
      </w:pPr>
    </w:p>
    <w:p>
      <w:pPr>
        <w:ind w:left="40" w:right="180" w:firstLine="8"/>
        <w:spacing w:after="0" w:line="254"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$125.82 to $127.99, inclusive. The reporting person undertakes to provide to Grand Canyon Education, Inc., any security holder of Grand Canyon Education, Inc., or the staff of the Securities and Exchange Commission, upon request, full information regarding the number of shares sold at each separate price within the ranges set forth in this Form 4.</w:t>
      </w:r>
    </w:p>
    <w:p>
      <w:pPr>
        <w:spacing w:after="0" w:line="1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50" w:lineRule="exact"/>
        <w:rPr>
          <w:sz w:val="24"/>
          <w:szCs w:val="24"/>
          <w:color w:val="auto"/>
        </w:rPr>
      </w:pPr>
    </w:p>
    <w:p>
      <w:pPr>
        <w:ind w:left="6860"/>
        <w:spacing w:after="0"/>
        <w:rPr>
          <w:sz w:val="20"/>
          <w:szCs w:val="20"/>
          <w:color w:val="auto"/>
        </w:rPr>
      </w:pPr>
      <w:r>
        <w:rPr>
          <w:rFonts w:ascii="Arial" w:cs="Arial" w:eastAsia="Arial" w:hAnsi="Arial"/>
          <w:sz w:val="17"/>
          <w:szCs w:val="17"/>
          <w:color w:val="0000FF"/>
        </w:rPr>
        <w:t>/s/ Lyn Bickle, Attorney-in-fact 11/14/2018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4356735</wp:posOffset>
            </wp:positionH>
            <wp:positionV relativeFrom="paragraph">
              <wp:posOffset>-7620</wp:posOffset>
            </wp:positionV>
            <wp:extent cx="19564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956435" cy="8255"/>
                    </a:xfrm>
                    <a:prstGeom prst="rect">
                      <a:avLst/>
                    </a:prstGeom>
                    <a:noFill/>
                  </pic:spPr>
                </pic:pic>
              </a:graphicData>
            </a:graphic>
          </wp:anchor>
        </w:drawing>
      </w:r>
    </w:p>
    <w:p>
      <w:pPr>
        <w:spacing w:after="0" w:line="60"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2"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4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520"/>
          </w:cols>
          <w:pgMar w:left="240" w:top="225" w:right="1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LIMITED POWER OF ATTORNEY</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FOR SECTION 16(a) REPORTING</w:t>
      </w:r>
    </w:p>
    <w:p>
      <w:pPr>
        <w:spacing w:after="0" w:line="210" w:lineRule="exact"/>
        <w:rPr>
          <w:sz w:val="20"/>
          <w:szCs w:val="20"/>
          <w:color w:val="auto"/>
        </w:rPr>
      </w:pPr>
    </w:p>
    <w:p>
      <w:pPr>
        <w:jc w:val="both"/>
        <w:ind w:right="1839" w:firstLine="837"/>
        <w:spacing w:after="0" w:line="251" w:lineRule="auto"/>
        <w:rPr>
          <w:sz w:val="20"/>
          <w:szCs w:val="20"/>
          <w:color w:val="auto"/>
        </w:rPr>
      </w:pPr>
      <w:r>
        <w:rPr>
          <w:rFonts w:ascii="Courier New" w:cs="Courier New" w:eastAsia="Courier New" w:hAnsi="Courier New"/>
          <w:sz w:val="17"/>
          <w:szCs w:val="17"/>
          <w:color w:val="auto"/>
        </w:rPr>
        <w:t>KNOW ALL PERSONS BY THESE PRESENTS, that the undersigned hereby makes, constitutes and appoints Daniel E. Bachus, Dan Steimel and Lyn Bickle, and each of them, as the undersigned's true and lawful attorney-in-fact (the "Attorney-in Fact"), with full power of substitution and resubstitution, each with the power to act alone for the undersigned and in the undersigned's name, place and stead, in any and all capacities to:</w:t>
      </w:r>
    </w:p>
    <w:p>
      <w:pPr>
        <w:spacing w:after="0" w:line="200" w:lineRule="exact"/>
        <w:rPr>
          <w:sz w:val="20"/>
          <w:szCs w:val="20"/>
          <w:color w:val="auto"/>
        </w:rPr>
      </w:pPr>
    </w:p>
    <w:p>
      <w:pPr>
        <w:ind w:right="799" w:firstLine="844"/>
        <w:spacing w:after="0" w:line="250" w:lineRule="auto"/>
        <w:tabs>
          <w:tab w:leader="none" w:pos="1674"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prepare, execute and file with the Securities and Exchange Commission, any national securities exchange or securities quotation system and Grand Canyon</w:t>
      </w:r>
    </w:p>
    <w:p>
      <w:pPr>
        <w:spacing w:after="0" w:line="1" w:lineRule="exact"/>
        <w:rPr>
          <w:rFonts w:ascii="Courier New" w:cs="Courier New" w:eastAsia="Courier New" w:hAnsi="Courier New"/>
          <w:sz w:val="17"/>
          <w:szCs w:val="17"/>
          <w:color w:val="auto"/>
        </w:rPr>
      </w:pPr>
    </w:p>
    <w:p>
      <w:pPr>
        <w:ind w:right="1839"/>
        <w:spacing w:after="0" w:line="252"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Education, Inc. (the "Company") any and all reports (including any amendment thereto) of the undersigned required or considered advisable under Section 16(a) of the Securities Exchange Act of 1934, as amended (the "Exchange Act"), and the rules and regulations thereunder, with respect to the equity securities of the Company, including Forms 3, 4 and 5; and</w:t>
      </w:r>
    </w:p>
    <w:p>
      <w:pPr>
        <w:spacing w:after="0" w:line="196" w:lineRule="exact"/>
        <w:rPr>
          <w:rFonts w:ascii="Courier New" w:cs="Courier New" w:eastAsia="Courier New" w:hAnsi="Courier New"/>
          <w:sz w:val="17"/>
          <w:szCs w:val="17"/>
          <w:color w:val="auto"/>
        </w:rPr>
      </w:pPr>
    </w:p>
    <w:p>
      <w:pPr>
        <w:ind w:right="579" w:firstLine="844"/>
        <w:spacing w:after="0" w:line="250" w:lineRule="auto"/>
        <w:tabs>
          <w:tab w:leader="none" w:pos="1674"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obtain, as the undersigned's representative and on the undersigned's behalf, information regarding transactions in the Company's equity securities from any</w:t>
      </w:r>
    </w:p>
    <w:p>
      <w:pPr>
        <w:spacing w:after="0" w:line="1" w:lineRule="exact"/>
        <w:rPr>
          <w:rFonts w:ascii="Courier New" w:cs="Courier New" w:eastAsia="Courier New" w:hAnsi="Courier New"/>
          <w:sz w:val="17"/>
          <w:szCs w:val="17"/>
          <w:color w:val="auto"/>
        </w:rPr>
      </w:pPr>
    </w:p>
    <w:p>
      <w:pPr>
        <w:ind w:right="1839"/>
        <w:spacing w:after="0" w:line="253"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third party, including the Company and any brokers, dealers, employee benefit plan administrators and trustees, and the undersigned hereby authorizes any such third party to release any such information to the Attorney-in-Fact.</w:t>
      </w:r>
    </w:p>
    <w:p>
      <w:pPr>
        <w:spacing w:after="0" w:line="196" w:lineRule="exact"/>
        <w:rPr>
          <w:sz w:val="20"/>
          <w:szCs w:val="20"/>
          <w:color w:val="auto"/>
        </w:rPr>
      </w:pPr>
    </w:p>
    <w:p>
      <w:pPr>
        <w:ind w:left="840"/>
        <w:spacing w:after="0"/>
        <w:rPr>
          <w:sz w:val="20"/>
          <w:szCs w:val="20"/>
          <w:color w:val="auto"/>
        </w:rPr>
      </w:pPr>
      <w:r>
        <w:rPr>
          <w:rFonts w:ascii="Courier New" w:cs="Courier New" w:eastAsia="Courier New" w:hAnsi="Courier New"/>
          <w:sz w:val="17"/>
          <w:szCs w:val="17"/>
          <w:color w:val="auto"/>
        </w:rPr>
        <w:t>The undersigned acknowledges that:</w:t>
      </w:r>
    </w:p>
    <w:p>
      <w:pPr>
        <w:spacing w:after="0" w:line="210" w:lineRule="exact"/>
        <w:rPr>
          <w:sz w:val="20"/>
          <w:szCs w:val="20"/>
          <w:color w:val="auto"/>
        </w:rPr>
      </w:pPr>
    </w:p>
    <w:p>
      <w:pPr>
        <w:ind w:right="1419" w:firstLine="844"/>
        <w:spacing w:after="0" w:line="253" w:lineRule="auto"/>
        <w:tabs>
          <w:tab w:leader="none" w:pos="1674"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this Limited Power of Attorney authorizes, but does not require, the Attorney-in-Fact to act at his or her discretion on information provided to such Attorney-in-Fact without independent verification of such information;</w:t>
      </w:r>
    </w:p>
    <w:p>
      <w:pPr>
        <w:spacing w:after="0" w:line="195" w:lineRule="exact"/>
        <w:rPr>
          <w:rFonts w:ascii="Courier New" w:cs="Courier New" w:eastAsia="Courier New" w:hAnsi="Courier New"/>
          <w:sz w:val="17"/>
          <w:szCs w:val="17"/>
          <w:color w:val="auto"/>
        </w:rPr>
      </w:pPr>
    </w:p>
    <w:p>
      <w:pPr>
        <w:ind w:right="699" w:firstLine="844"/>
        <w:spacing w:after="0" w:line="250" w:lineRule="auto"/>
        <w:tabs>
          <w:tab w:leader="none" w:pos="1674"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documents prepared or executed by the Attorney-in-Fact on behalf of the undersigned pursuant to this Limited Power of Attorney will be in such form and</w:t>
      </w:r>
    </w:p>
    <w:p>
      <w:pPr>
        <w:spacing w:after="0" w:line="1" w:lineRule="exact"/>
        <w:rPr>
          <w:rFonts w:ascii="Courier New" w:cs="Courier New" w:eastAsia="Courier New" w:hAnsi="Courier New"/>
          <w:sz w:val="17"/>
          <w:szCs w:val="17"/>
          <w:color w:val="auto"/>
        </w:rPr>
      </w:pPr>
    </w:p>
    <w:p>
      <w:pPr>
        <w:ind w:right="1839"/>
        <w:spacing w:after="0" w:line="25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will contain such information as the Attorney-in-Fact, in his or her discretion, deems necessary or desirable;</w:t>
      </w:r>
    </w:p>
    <w:p>
      <w:pPr>
        <w:spacing w:after="0" w:line="192" w:lineRule="exact"/>
        <w:rPr>
          <w:rFonts w:ascii="Courier New" w:cs="Courier New" w:eastAsia="Courier New" w:hAnsi="Courier New"/>
          <w:sz w:val="17"/>
          <w:szCs w:val="17"/>
          <w:color w:val="auto"/>
        </w:rPr>
      </w:pPr>
    </w:p>
    <w:p>
      <w:pPr>
        <w:ind w:right="799" w:firstLine="844"/>
        <w:spacing w:after="0" w:line="250" w:lineRule="auto"/>
        <w:tabs>
          <w:tab w:leader="none" w:pos="1674"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neither the Company nor the Attorney-in-Fact assumes any liability for the undersigned's responsibility to comply with the requirements of Section 16 of</w:t>
      </w:r>
    </w:p>
    <w:p>
      <w:pPr>
        <w:spacing w:after="0" w:line="1" w:lineRule="exact"/>
        <w:rPr>
          <w:rFonts w:ascii="Courier New" w:cs="Courier New" w:eastAsia="Courier New" w:hAnsi="Courier New"/>
          <w:sz w:val="17"/>
          <w:szCs w:val="17"/>
          <w:color w:val="auto"/>
        </w:rPr>
      </w:pPr>
    </w:p>
    <w:p>
      <w:pPr>
        <w:ind w:right="1939"/>
        <w:spacing w:after="0" w:line="253"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the Exchange Act, any liability of the undersigned for any failure to comply with such requirements, or any liability of the undersigned for disgorgement of profits under Section 16(b) of the Exchange Act; and</w:t>
      </w:r>
    </w:p>
    <w:p>
      <w:pPr>
        <w:spacing w:after="0" w:line="195" w:lineRule="exact"/>
        <w:rPr>
          <w:rFonts w:ascii="Courier New" w:cs="Courier New" w:eastAsia="Courier New" w:hAnsi="Courier New"/>
          <w:sz w:val="17"/>
          <w:szCs w:val="17"/>
          <w:color w:val="auto"/>
        </w:rPr>
      </w:pPr>
    </w:p>
    <w:p>
      <w:pPr>
        <w:ind w:right="1419" w:firstLine="844"/>
        <w:spacing w:after="0" w:line="250" w:lineRule="auto"/>
        <w:tabs>
          <w:tab w:leader="none" w:pos="1674"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this Limited Power of Attorney does not relieve the undersigned from responsibility for compliance with the undersigned's obligations under Section</w:t>
      </w:r>
    </w:p>
    <w:p>
      <w:pPr>
        <w:spacing w:after="0" w:line="1" w:lineRule="exact"/>
        <w:rPr>
          <w:rFonts w:ascii="Courier New" w:cs="Courier New" w:eastAsia="Courier New" w:hAnsi="Courier New"/>
          <w:sz w:val="17"/>
          <w:szCs w:val="17"/>
          <w:color w:val="auto"/>
        </w:rPr>
      </w:pPr>
    </w:p>
    <w:p>
      <w:pPr>
        <w:ind w:right="2999"/>
        <w:spacing w:after="0" w:line="25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16 of the Exchange Act, including, without, limitation, the reporting requirements under Section 16(a) of the Exchange Act.</w:t>
      </w:r>
    </w:p>
    <w:p>
      <w:pPr>
        <w:spacing w:after="0" w:line="193" w:lineRule="exact"/>
        <w:rPr>
          <w:sz w:val="20"/>
          <w:szCs w:val="20"/>
          <w:color w:val="auto"/>
        </w:rPr>
      </w:pPr>
    </w:p>
    <w:p>
      <w:pPr>
        <w:ind w:right="1219" w:firstLine="837"/>
        <w:spacing w:after="0" w:line="250" w:lineRule="auto"/>
        <w:rPr>
          <w:sz w:val="20"/>
          <w:szCs w:val="20"/>
          <w:color w:val="auto"/>
        </w:rPr>
      </w:pPr>
      <w:r>
        <w:rPr>
          <w:rFonts w:ascii="Courier New" w:cs="Courier New" w:eastAsia="Courier New" w:hAnsi="Courier New"/>
          <w:sz w:val="17"/>
          <w:szCs w:val="17"/>
          <w:color w:val="auto"/>
        </w:rPr>
        <w:t>The undersigned hereby grants to the Attorney-in-Fact full power and authority to do and perform each and every act and thing requisite, necessary or</w:t>
      </w:r>
    </w:p>
    <w:p>
      <w:pPr>
        <w:spacing w:after="0" w:line="1" w:lineRule="exact"/>
        <w:rPr>
          <w:sz w:val="20"/>
          <w:szCs w:val="20"/>
          <w:color w:val="auto"/>
        </w:rPr>
      </w:pPr>
    </w:p>
    <w:p>
      <w:pPr>
        <w:ind w:right="1839"/>
        <w:spacing w:after="0" w:line="252" w:lineRule="auto"/>
        <w:rPr>
          <w:sz w:val="20"/>
          <w:szCs w:val="20"/>
          <w:color w:val="auto"/>
        </w:rPr>
      </w:pPr>
      <w:r>
        <w:rPr>
          <w:rFonts w:ascii="Courier New" w:cs="Courier New" w:eastAsia="Courier New" w:hAnsi="Courier New"/>
          <w:sz w:val="17"/>
          <w:szCs w:val="17"/>
          <w:color w:val="auto"/>
        </w:rPr>
        <w:t>convenient to be done in connection with the foregoing, as fully, to all intents and purposes, as the undersigned might or could do in person, hereby ratifying and confirming all that the Attorney-in-Fact, or his or her substitute or substitutes, shall lawfully do or cause to be done by authority of this Limited Power of Attorney.</w:t>
      </w:r>
    </w:p>
    <w:p>
      <w:pPr>
        <w:spacing w:after="0" w:line="196" w:lineRule="exact"/>
        <w:rPr>
          <w:sz w:val="20"/>
          <w:szCs w:val="20"/>
          <w:color w:val="auto"/>
        </w:rPr>
      </w:pPr>
    </w:p>
    <w:p>
      <w:pPr>
        <w:ind w:right="1219" w:firstLine="837"/>
        <w:spacing w:after="0" w:line="252" w:lineRule="auto"/>
        <w:rPr>
          <w:sz w:val="20"/>
          <w:szCs w:val="20"/>
          <w:color w:val="auto"/>
        </w:rPr>
      </w:pPr>
      <w:r>
        <w:rPr>
          <w:rFonts w:ascii="Courier New" w:cs="Courier New" w:eastAsia="Courier New" w:hAnsi="Courier New"/>
          <w:sz w:val="17"/>
          <w:szCs w:val="17"/>
          <w:color w:val="auto"/>
        </w:rPr>
        <w:t>This Limited Power of Attorney shall remain in full force and effect until the undersigned is no longer required to file Forms 4 or 5 with respect to the undersigned's transactions in equity securities of the Company, unless earlier revoked by the undersigned in a signed writing delivered to the Attorney-in-Fact.</w:t>
      </w:r>
    </w:p>
    <w:p>
      <w:pPr>
        <w:spacing w:after="0" w:line="398" w:lineRule="exact"/>
        <w:rPr>
          <w:sz w:val="20"/>
          <w:szCs w:val="20"/>
          <w:color w:val="auto"/>
        </w:rPr>
      </w:pPr>
    </w:p>
    <w:p>
      <w:pPr>
        <w:ind w:right="1419" w:firstLine="837"/>
        <w:spacing w:after="0" w:line="256" w:lineRule="auto"/>
        <w:rPr>
          <w:sz w:val="20"/>
          <w:szCs w:val="20"/>
          <w:color w:val="auto"/>
        </w:rPr>
      </w:pPr>
      <w:r>
        <w:rPr>
          <w:rFonts w:ascii="Courier New" w:cs="Courier New" w:eastAsia="Courier New" w:hAnsi="Courier New"/>
          <w:sz w:val="17"/>
          <w:szCs w:val="17"/>
          <w:color w:val="auto"/>
        </w:rPr>
        <w:t>This Limited Power of Attorney shall be governed and construed in accordance the laws of the State of Arizona without regard to conflict-of-law principles.</w:t>
      </w:r>
    </w:p>
    <w:p>
      <w:pPr>
        <w:spacing w:after="0" w:line="193" w:lineRule="exact"/>
        <w:rPr>
          <w:sz w:val="20"/>
          <w:szCs w:val="20"/>
          <w:color w:val="auto"/>
        </w:rPr>
      </w:pPr>
    </w:p>
    <w:p>
      <w:pPr>
        <w:ind w:right="1119" w:firstLine="837"/>
        <w:spacing w:after="0" w:line="256" w:lineRule="auto"/>
        <w:rPr>
          <w:sz w:val="20"/>
          <w:szCs w:val="20"/>
          <w:color w:val="auto"/>
        </w:rPr>
      </w:pPr>
      <w:r>
        <w:rPr>
          <w:rFonts w:ascii="Courier New" w:cs="Courier New" w:eastAsia="Courier New" w:hAnsi="Courier New"/>
          <w:sz w:val="17"/>
          <w:szCs w:val="17"/>
          <w:color w:val="auto"/>
        </w:rPr>
        <w:t>IN WITNESS WHEREOF, the undersigned has executed this Limited Power of Attorney as of November 12, 2018.</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Signature: /s/ W. Stan Meyer</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Print Name: W. Stan Meyer</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5"/>
    </w:lvl>
  </w:abstractNum>
  <w:abstractNum w:abstractNumId="1">
    <w:nsid w:val="2AE8944A"/>
    <w:multiLevelType w:val="hybridMultilevel"/>
    <w:lvl w:ilvl="0">
      <w:lvlJc w:val="left"/>
      <w:lvlText w:val="%1."/>
      <w:numFmt w:val="decimal"/>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366176" TargetMode="External"/><Relationship Id="rId13" Type="http://schemas.openxmlformats.org/officeDocument/2006/relationships/hyperlink" Target="http://www.sec.gov/cgi-bin/browse-edgar?action=getcompany&amp;CIK=000143458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2019-12-24T04:11:02Z</dcterms:created>
  <dcterms:modified xsi:type="dcterms:W3CDTF">2019-12-24T04:11:02Z</dcterms:modified>
</cp:coreProperties>
</file>