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60430x8k.htm"/>
      <w:bookmarkStart w:id="1" w:name="kslope20260430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74b61b38_3f1b_4a13_9495_43ae19f950d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April 30,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wHWKfEFVJkOe2XzjXLodLg_3_0"/>
      <w:bookmarkStart w:id="4" w:name="Tc_4uAVGdxYuU2CKRvTdH24eA_2_4"/>
      <w:bookmarkStart w:id="5" w:name="Tc_-U6itsgDski3KFSjoKralA_2_2"/>
      <w:bookmarkStart w:id="6" w:name="Tc_VxruQmcUG0Kf3Fr53v1YNA_2_0"/>
      <w:bookmarkStart w:id="7" w:name="_7fa0ebfc_0c79_4dbe_87e0_6617c5cbb49e"/>
      <w:bookmarkStart w:id="8" w:name="Tc_wHWKfEFVJkOe2XzjXLodLg_3_0"/>
      <w:bookmarkStart w:id="9" w:name="Tc_4uAVGdxYuU2CKRvTdH24eA_2_4"/>
      <w:bookmarkStart w:id="10" w:name="Tc_-U6itsgDski3KFSjoKralA_2_2"/>
      <w:bookmarkStart w:id="11" w:name="Tc_VxruQmcUG0Kf3Fr53v1YNA_2_0"/>
      <w:bookmarkStart w:id="12" w:name="_7fa0ebfc_0c79_4dbe_87e0_6617c5cbb49e"/>
      <w:bookmarkEnd w:id="8"/>
      <w:bookmarkEnd w:id="9"/>
      <w:bookmarkEnd w:id="10"/>
      <w:bookmarkEnd w:id="11"/>
      <w:bookmarkEnd w:id="12"/>
    </w:p>
    <w:tbl>
      <w:tblPr>
        <w:tblW w:w="8360" w:type="dxa"/>
        <w:jc w:val="left"/>
        <w:tblInd w:w="0" w:type="dxa"/>
        <w:tblLayout w:type="fixed"/>
        <w:tblCellMar>
          <w:top w:w="0" w:type="dxa"/>
          <w:left w:w="0" w:type="dxa"/>
          <w:bottom w:w="0" w:type="dxa"/>
          <w:right w:w="0" w:type="dxa"/>
        </w:tblCellMar>
      </w:tblPr>
      <w:tblGrid>
        <w:gridCol w:w="2476"/>
        <w:gridCol w:w="346"/>
        <w:gridCol w:w="2296"/>
        <w:gridCol w:w="34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46" w:type="dxa"/>
            <w:tcBorders/>
            <w:vAlign w:val="center"/>
          </w:tcPr>
          <w:p>
            <w:pPr>
              <w:pStyle w:val="TableContents"/>
              <w:bidi w:val="0"/>
              <w:spacing w:before="0" w:after="0"/>
              <w:ind w:left="0" w:right="0" w:hanging="0"/>
              <w:jc w:val="center"/>
              <w:rPr/>
            </w:pPr>
            <w:r>
              <w:rPr/>
              <w:t>  ​ ​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PwrywILfTEGJEVwYCIApcg_3_1"/>
      <w:bookmarkStart w:id="14" w:name="Tc_i85tbaaumUO0vwoqNH6xDg_3_0"/>
      <w:bookmarkStart w:id="15" w:name="Tc_P6fYCQbTLky1_BrC5ajL4A_2_0"/>
      <w:bookmarkStart w:id="16" w:name="_9a323b27_c53c_42df_98ef_985e5341818d"/>
      <w:bookmarkStart w:id="17" w:name="Tc_PwrywILfTEGJEVwYCIApcg_3_1"/>
      <w:bookmarkStart w:id="18" w:name="Tc_i85tbaaumUO0vwoqNH6xDg_3_0"/>
      <w:bookmarkStart w:id="19" w:name="Tc_P6fYCQbTLky1_BrC5ajL4A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tAmje7OLSky5307FkZr8LQ_0_2"/>
      <w:bookmarkStart w:id="22" w:name="Tc_SY7hkwC2FUqT5UeAZIckCw_0_1"/>
      <w:bookmarkStart w:id="23" w:name="Tc_ssHQ228DmEGOtuqVl0uN1Q_0_0"/>
      <w:bookmarkStart w:id="24" w:name="_2f4b5bca_6f5b_4b11_908f_f1dd216d9493"/>
      <w:bookmarkStart w:id="25" w:name="Tc_tAmje7OLSky5307FkZr8LQ_0_2"/>
      <w:bookmarkStart w:id="26" w:name="Tc_SY7hkwC2FUqT5UeAZIckCw_0_1"/>
      <w:bookmarkStart w:id="27" w:name="Tc_ssHQ228DmEGOtuqVl0uN1Q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30, 2026, Grand Canyon Education, Inc. reported its results for the quarter ended March 31, 2026.  The press release dated April 30, 2026 is furnished as Exhibit 99.1 to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both"/>
        <w:rPr/>
      </w:pPr>
      <w:r>
        <w:rPr>
          <w:rFonts w:ascii="Times New Roman;Times;serif" w:hAnsi="Times New Roman;Times;serif"/>
          <w:sz w:val="20"/>
        </w:rPr>
        <w:t>99.1       </w:t>
      </w:r>
      <w:hyperlink w:anchor="lope-20260430xex99d1.htm">
        <w:r>
          <w:rPr>
            <w:rStyle w:val="InternetLink"/>
            <w:rFonts w:ascii="Times New Roman;Times;serif" w:hAnsi="Times New Roman;Times;serif"/>
            <w:b w:val="false"/>
            <w:i w:val="false"/>
            <w:caps w:val="false"/>
            <w:smallCaps w:val="false"/>
            <w:sz w:val="20"/>
          </w:rPr>
          <w:t>Press Release dated April 30, 2026</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Data File (embedded within the Inline XBRL document)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893" w:type="dxa"/>
        <w:jc w:val="left"/>
        <w:tblInd w:w="0" w:type="dxa"/>
        <w:tblLayout w:type="fixed"/>
        <w:tblCellMar>
          <w:top w:w="0" w:type="dxa"/>
          <w:left w:w="0" w:type="dxa"/>
          <w:bottom w:w="0" w:type="dxa"/>
          <w:right w:w="0" w:type="dxa"/>
        </w:tblCellMar>
      </w:tblPr>
      <w:tblGrid>
        <w:gridCol w:w="946"/>
        <w:gridCol w:w="346"/>
        <w:gridCol w:w="660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bottom w:val="single" w:sz="2" w:space="0" w:color="000000"/>
            </w:tcBorders>
            <w:tcMar>
              <w:bottom w:w="28" w:type="dxa"/>
            </w:tcMar>
            <w:vAlign w:val="center"/>
          </w:tcPr>
          <w:p>
            <w:pPr>
              <w:pStyle w:val="TableContents"/>
              <w:pBdr/>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240"/>
              <w:ind w:left="0" w:right="0" w:hanging="0"/>
              <w:jc w:val="left"/>
              <w:rPr/>
            </w:pPr>
            <w:r>
              <w:rPr/>
              <w:t>​</w:t>
            </w:r>
          </w:p>
        </w:tc>
        <w:tc>
          <w:tcPr>
            <w:tcW w:w="6601" w:type="dxa"/>
            <w:tcBorders/>
            <w:vAlign w:val="center"/>
          </w:tcPr>
          <w:p>
            <w:pPr>
              <w:pStyle w:val="TableContents"/>
              <w:bidi w:val="0"/>
              <w:spacing w:before="0" w:after="0"/>
              <w:ind w:left="0" w:right="0" w:hanging="0"/>
              <w:jc w:val="both"/>
              <w:rPr/>
            </w:pPr>
            <w:hyperlink w:anchor="lope-20260430xex99d1.htm">
              <w:r>
                <w:rPr>
                  <w:rStyle w:val="InternetLink"/>
                  <w:rFonts w:ascii="Times New Roman;Times;serif" w:hAnsi="Times New Roman;Times;serif"/>
                  <w:b w:val="false"/>
                  <w:i w:val="false"/>
                  <w:caps w:val="false"/>
                  <w:smallCaps w:val="false"/>
                  <w:sz w:val="20"/>
                </w:rPr>
                <w:t>Press Release dated April 30, 2026</w:t>
              </w:r>
            </w:hyperlink>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240"/>
              <w:ind w:left="0" w:right="0" w:hanging="0"/>
              <w:jc w:val="left"/>
              <w:rPr/>
            </w:pPr>
            <w:r>
              <w:rPr/>
              <w:t>​</w:t>
            </w:r>
          </w:p>
        </w:tc>
        <w:tc>
          <w:tcPr>
            <w:tcW w:w="6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087" w:type="dxa"/>
        <w:jc w:val="left"/>
        <w:tblInd w:w="0" w:type="dxa"/>
        <w:tblLayout w:type="fixed"/>
        <w:tblCellMar>
          <w:top w:w="0" w:type="dxa"/>
          <w:left w:w="0" w:type="dxa"/>
          <w:bottom w:w="0" w:type="dxa"/>
          <w:right w:w="0" w:type="dxa"/>
        </w:tblCellMar>
      </w:tblPr>
      <w:tblGrid>
        <w:gridCol w:w="1786"/>
        <w:gridCol w:w="422"/>
        <w:gridCol w:w="2879"/>
      </w:tblGrid>
      <w:tr>
        <w:trPr/>
        <w:tc>
          <w:tcPr>
            <w:tcW w:w="178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786"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78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78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April 30, 2026</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78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78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9" w:name="lope-20260430xex99d1.htm"/>
      <w:bookmarkStart w:id="30" w:name="kslope20260430xex99d1"/>
      <w:bookmarkEnd w:id="29"/>
      <w:bookmarkEnd w:id="30"/>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NEWS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Daniel E. Bachus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Grand Canyon Education,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602-639-6648</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Dan.bachus@gce.com</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 REPORTS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 2026 RESULTS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PHOENIX, AZ., April 30, 2026</w:t>
      </w:r>
      <w:r>
        <w:rPr>
          <w:rFonts w:ascii="Times New Roman;Times;serif" w:hAnsi="Times New Roman;Times;serif"/>
          <w:sz w:val="20"/>
        </w:rPr>
        <w:t>—</w:t>
      </w:r>
      <w:r>
        <w:rPr>
          <w:rFonts w:ascii="Times New Roman;Times;serif" w:hAnsi="Times New Roman;Times;serif"/>
          <w:b/>
          <w:sz w:val="20"/>
        </w:rPr>
        <w:t>Grand Canyon Education, Inc.</w:t>
      </w:r>
      <w:r>
        <w:rPr>
          <w:rFonts w:ascii="Times New Roman;Times;serif" w:hAnsi="Times New Roman;Times;serif"/>
          <w:sz w:val="20"/>
        </w:rPr>
        <w:t xml:space="preserve"> (NASDAQ: LOPE), (“GCE” or the “Company”), is a publicly traded education services company that currently provides services to 20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March 31, 2026.</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2026 Results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the three months ended March 31, 2026:</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for the three months ended March 31, 2026 was $308.8 million, an increase of $19.5 million, or 6.7%, as compared to service revenue of $289.3 million for the three months ended March 31, 2025. The increase year over year in service revenue was primarily due to an increase in university partner enrollments of 7.1% to 136,884 at March 31, 2026 as compared to 127,779 at March 31, 2025. Revenue per student decreased slightly between years primarily due to contract modifications with some of our university partners in which our revenue share percentage was reduced in exchange for us no longer reimbursing these partners for certain faculty costs which had the effect of reducing revenue per student and a slight decline year over year in revenue per student for online students due to the continued mix shift to students that have a slightly lower net tuition rate and a slight decline year over year in ground students which generate a higher revenue per student than online students. These decreases were partially offset by an additional day of revenue for the ground campus due to the start date shifting one day of revenue from the second quarter to the first quarter in 2026 which had a $1.0 million impact and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GCU enrollments increased to 132,354 at March 31, 2026, an increase of 6.9% over enrollments at March 31, 2025.</w:t>
            </w:r>
            <w:r>
              <w:rPr>
                <w:caps w:val="false"/>
                <w:smallCaps w:val="false"/>
              </w:rPr>
              <w:t xml:space="preserve"> </w:t>
            </w:r>
            <w:r>
              <w:rPr>
                <w:rFonts w:ascii="Times New Roman;Times;serif" w:hAnsi="Times New Roman;Times;serif"/>
                <w:b w:val="false"/>
                <w:i w:val="false"/>
                <w:caps w:val="false"/>
                <w:smallCaps w:val="false"/>
                <w:sz w:val="20"/>
              </w:rPr>
              <w:t>University partner enrollments at our off-campus classroom and laboratory sites were 5,961, an increase of 18.6% over enrollments at March 31, 2025, which includes 1,431 and 1,021 GCU students at March 31, 2026 and 2025, respectively. Excluding sites that have been closed or are in teach out, total enrollments at our off-campus classroom and laboratory sites increased 20.3% between years. We opened five new sites in the year ended December 31, 2025 closed two sites in which we stopped recruiting new students in 2024 and merged two sites that were located in the same market bringing the total number of these sites to 47 at December 31, 2025, which has also positively impacted the enrollment growth. We plan to open one to two additional sites in the second half of 2026 while mutually agreeing with one partner to stop the recruiting of new students and begin teach outs at its three sites during the first quarter of 2026. Enrollments for GCU ground students were 21,948 at March 31, 2026, down slightly from 22,330 at March 31, 2025. The number of ground students has historically declined between the Fall and Spring semesters due to graduations significantly exceeding Spring new enrollments. GCU online enrollments were 110,406 at March 31, 2026, up from 101,443 at March 31, 2025, an increase of 8.8% between years.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income for the three months ended March 31, 2026 was $95.5 million, an increase of $7.5 million, or 8.5%, as compared to $88.0 million for the same period in 2025. The operating margin for the three months ended March 31, 2026 and 2025 was 30.9% and 30.4%, respectively.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three months ended March 31, 2026 was $23.1 million, an increase of $3.3 million, or 16.9%, as compared to income tax expense of $19.8 million for the three months ended March 31, 2025. Our effective tax rate was 23.5% during the three months ended March 31, 2026 compared to 21.6% during the three months ended March 31, 2025. The effective tax rate increased year over year due to higher state income taxes and a decrease in excess tax benefits to $1.4 million as compared to $2.7 million in the three months ended March 31, 2026 and 2025, respectively.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three months ended March 31, 2026 was $75.3 million, an increase of $3.7 million, or 5.2% as compared to $71.6 million for the same period in 2025. As adjusted net income was $77.0 million and $73.3 million for the first quarters of 2026 and 2025,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$2.80 and $2.52 for the first quarters of 2026 and 2025, respectively. As adjusted diluted net income per share was $2.86 and $2.57 for the first quarters of 2026 and 2025,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8.5% to $110.7 million for the first quarter of 2026, compared to $102.0 million for the same period in 2025.</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$48.4 million between December 31, 2025 and March 31, 2026, which was largely attributable to cash expended for share repurchases and capital expenditures exceeding our cash provided by operations during the three months ended March 31, 2026. Our unrestricted cash and cash equivalents and investments were $251.7 million and $300.1 million at March 31, 2026 and December 31,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 Reports First Quarter 2026 Results and Full Year Outlook 2026</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2026 Outlook</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Q2 2026:</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$260.0 million and $264.0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20.1% and 21.3%;</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24.9%;</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$1.57 and $1.68;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$1.63 and $1.74.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Q3 2026:</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$271.5 million and $278.5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21.0% and 23.0%;</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24.9%;</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$1.72 and $1.91;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$1.78 and $1.97.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Q4 2026:</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$329.0 million and $338.5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36.4% and 38.2%;</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24.3%;</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$3.59 and $3.87;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$3.65 and $3.93. </w:t>
      </w:r>
    </w:p>
    <w:p>
      <w:pPr>
        <w:pStyle w:val="TextBody"/>
        <w:pBdr/>
        <w:bidi w:val="0"/>
        <w:spacing w:before="0" w:after="0"/>
        <w:ind w:left="0" w:right="0" w:hanging="2160"/>
        <w:jc w:val="left"/>
        <w:rPr>
          <w:rFonts w:ascii="Times New Roman;Times;serif" w:hAnsi="Times New Roman;Times;serif"/>
          <w:b/>
          <w:sz w:val="20"/>
        </w:rPr>
      </w:pPr>
      <w:r>
        <w:rPr>
          <w:rFonts w:ascii="Times New Roman;Times;serif" w:hAnsi="Times New Roman;Times;serif"/>
          <w:b/>
          <w:sz w:val="20"/>
        </w:rPr>
        <w:t>Full Year 2026:</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$1,169.3 million and $1,189.8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27.8% and 29.0%;</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24.3%;</w:t>
            </w:r>
          </w:p>
        </w:tc>
      </w:tr>
    </w:tbl>
    <w:tbl>
      <w:tblPr>
        <w:tblW w:w="3798" w:type="dxa"/>
        <w:jc w:val="left"/>
        <w:tblInd w:w="0" w:type="dxa"/>
        <w:tblLayout w:type="fixed"/>
        <w:tblCellMar>
          <w:top w:w="0" w:type="dxa"/>
          <w:left w:w="0" w:type="dxa"/>
          <w:bottom w:w="0" w:type="dxa"/>
          <w:right w:w="0" w:type="dxa"/>
        </w:tblCellMar>
      </w:tblPr>
      <w:tblGrid>
        <w:gridCol w:w="23"/>
        <w:gridCol w:w="170"/>
        <w:gridCol w:w="3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between $9.69 and $10.26;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$6.4 million, which equates to a $0.24 impact on diluted EPS. Thus, as adjusted, non-GAAP diluted income per share of between $9.93 and $10.50.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This news release contains “forward-looking statements” within the meaning of federal securities laws including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tLeast" w:line="220" w:before="0" w:after="120"/>
        <w:ind w:left="0" w:right="0" w:hanging="0"/>
        <w:jc w:val="left"/>
        <w:rPr>
          <w:rFonts w:ascii="Times New Roman;Times;serif" w:hAnsi="Times New Roman;Times;serif"/>
          <w:sz w:val="20"/>
        </w:rPr>
      </w:pPr>
      <w:r>
        <w:rPr>
          <w:rFonts w:ascii="Times New Roman;Times;serif" w:hAnsi="Times New Roman;Times;serif"/>
          <w:sz w:val="20"/>
        </w:rPr>
        <w:t>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indirectly through our university partners; (v) our ability to manage risks associated with epidemics, pandemics, or public health crises; (vi) our ability to manage risks resulting from system disruptions, interruptions, or outages associated with our 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 the Securities and Exchange Commission (the “SEC”) by us, including our Annual Report on Form 10-K for the fiscal year ended December 31, 2025, filed on February 18, 2026.</w:t>
      </w:r>
    </w:p>
    <w:p>
      <w:pPr>
        <w:pStyle w:val="TextBody"/>
        <w:bidi w:val="0"/>
        <w:spacing w:lineRule="atLeast" w:line="220" w:before="0" w:after="120"/>
        <w:ind w:left="0" w:right="0" w:firstLine="720"/>
        <w:jc w:val="both"/>
        <w:rPr>
          <w:rFonts w:ascii="Times New Roman;Times;serif" w:hAnsi="Times New Roman;Times;serif"/>
          <w:sz w:val="20"/>
        </w:rPr>
      </w:pPr>
      <w:r>
        <w:rPr>
          <w:rFonts w:ascii="Times New Roman;Times;serif" w:hAnsi="Times New Roman;Times;serif"/>
          <w:sz w:val="20"/>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2026 Results</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Grand Canyon Education, Inc. will discuss its first quarter 2026 results and full year 2026 outlook during a conference call scheduled for today, April 30, 2026 at 4:30 p.m. Eastern time (ET).</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Live Conference Dial-In: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 xml:space="preserve">Those interested in participating in the question-and-answer session should follow the conference dial-in instructions below. Participants may register for the call </w:t>
      </w:r>
      <w:r>
        <w:rPr>
          <w:rFonts w:ascii="Times New Roman;Times;serif" w:hAnsi="Times New Roman;Times;serif"/>
          <w:color w:val="0000FF"/>
          <w:sz w:val="20"/>
        </w:rPr>
        <w:t>here</w:t>
      </w:r>
      <w:r>
        <w:rPr>
          <w:rFonts w:ascii="Times New Roman;Times;serif" w:hAnsi="Times New Roman;Times;serif"/>
          <w:color w:val="333333"/>
          <w:sz w:val="20"/>
        </w:rPr>
        <w:t xml:space="preserve"> to receive the dial-in numbers and unique PIN to access the call seamlessly. Please dial in at least ten minutes prior to the start of the call.  Journalists are invited to listen only.</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Webcast and Replay: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Investors, journalists and the general public may access a live webcast of this event at: </w:t>
      </w:r>
      <w:r>
        <w:rPr>
          <w:rFonts w:ascii="Times New Roman;Times;serif" w:hAnsi="Times New Roman;Times;serif"/>
          <w:i/>
          <w:color w:val="337AB7"/>
          <w:sz w:val="20"/>
        </w:rPr>
        <w:t>Q1 2026 Grand Canyon Education Inc. Earnings Conference Call</w:t>
      </w:r>
      <w:r>
        <w:rPr>
          <w:rFonts w:ascii="Times New Roman;Times;serif" w:hAnsi="Times New Roman;Times;serif"/>
          <w:i/>
          <w:color w:val="333333"/>
          <w:sz w:val="20"/>
        </w:rPr>
        <w:t>. </w:t>
      </w:r>
      <w:r>
        <w:rPr>
          <w:rFonts w:ascii="Times New Roman;Times;serif" w:hAnsi="Times New Roman;Times;serif"/>
          <w:color w:val="333333"/>
          <w:sz w:val="20"/>
        </w:rPr>
        <w:t>A webcast replay will be available approximately two hours following the conclusion of the call at the same link.</w:t>
      </w:r>
    </w:p>
    <w:p>
      <w:pPr>
        <w:pStyle w:val="TextBody"/>
        <w:shd w:fill="FFFFFF" w:val="clear"/>
        <w:bidi w:val="0"/>
        <w:spacing w:before="0" w:after="120"/>
        <w:ind w:left="0" w:right="0" w:firstLine="72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About Grand Canyon Education, Inc.</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(“GCE”), incorporated in 2008, is a publicly traded education services company that currently provides services to 20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Grand Canyon Education, Inc., 2600 W. Camelback Road, Phoenix, AZ 85017, </w:t>
      </w:r>
      <w:r>
        <w:rPr>
          <w:rFonts w:ascii="Times New Roman;Times;serif" w:hAnsi="Times New Roman;Times;serif"/>
          <w:b/>
          <w:sz w:val="20"/>
        </w:rPr>
        <w:t>www.gce.com</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2026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6953" w:type="dxa"/>
        <w:jc w:val="left"/>
        <w:tblInd w:w="0" w:type="dxa"/>
        <w:tblLayout w:type="fixed"/>
        <w:tblCellMar>
          <w:top w:w="0" w:type="dxa"/>
          <w:left w:w="0" w:type="dxa"/>
          <w:bottom w:w="0" w:type="dxa"/>
          <w:right w:w="0" w:type="dxa"/>
        </w:tblCellMar>
      </w:tblPr>
      <w:tblGrid>
        <w:gridCol w:w="3886"/>
        <w:gridCol w:w="346"/>
        <w:gridCol w:w="211"/>
        <w:gridCol w:w="781"/>
        <w:gridCol w:w="346"/>
        <w:gridCol w:w="211"/>
        <w:gridCol w:w="781"/>
        <w:gridCol w:w="39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67610" cy="175260"/>
                      <wp:effectExtent l="0" t="0" r="0" b="0"/>
                      <wp:wrapNone/>
                      <wp:docPr id="3" name="Frame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8285" cy="175260"/>
                      <wp:effectExtent l="0" t="0" r="0" b="0"/>
                      <wp:wrapNone/>
                      <wp:docPr id="10" name="Frame1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 except per share data)</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289,310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86,822</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60,330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10,366</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201,287</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88,023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19,786</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91"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28,469</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2026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905"/>
        <w:gridCol w:w="346"/>
        <w:gridCol w:w="214"/>
        <w:gridCol w:w="1031"/>
        <w:gridCol w:w="346"/>
        <w:gridCol w:w="226"/>
        <w:gridCol w:w="1137"/>
      </w:tblGrid>
      <w:tr>
        <w:trPr/>
        <w:tc>
          <w:tcPr>
            <w:tcW w:w="6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384675" cy="175260"/>
                      <wp:effectExtent l="0" t="0" r="0" b="0"/>
                      <wp:wrapNone/>
                      <wp:docPr id="11" name="Frame11"/>
                      <a:graphic xmlns:a="http://schemas.openxmlformats.org/drawingml/2006/main">
                        <a:graphicData uri="http://schemas.microsoft.com/office/word/2010/wordprocessingShape">
                          <wps:wsp>
                            <wps:cNvSpPr txBox="1"/>
                            <wps:spPr>
                              <a:xfrm>
                                <a:off x="0" y="0"/>
                                <a:ext cx="438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4685" cy="175260"/>
                      <wp:effectExtent l="0" t="0" r="0" b="0"/>
                      <wp:wrapNone/>
                      <wp:docPr id="14" name="Frame14"/>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1995" cy="175260"/>
                      <wp:effectExtent l="0" t="0" r="0" b="0"/>
                      <wp:wrapNone/>
                      <wp:docPr id="17" name="Frame17"/>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9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0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pPr>
            <w:r>
              <w:rPr/>
              <w:t>​</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pPr>
            <w:r>
              <w:rPr/>
              <w:t>  ​</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96,145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111,762</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155,555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188,317</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84,278</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379,975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400,179</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179,656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178,957</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96,571</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149,438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151,543</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967,894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992,305</w:t>
            </w:r>
          </w:p>
        </w:tc>
      </w:tr>
      <w:tr>
        <w:trPr/>
        <w:tc>
          <w:tcPr>
            <w:tcW w:w="690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pPr>
            <w:r>
              <w:rPr/>
              <w:t>  ​</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pPr>
            <w:r>
              <w:rPr/>
              <w:t>  ​</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24,347</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35,199</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32,283</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pPr>
            <w:r>
              <w:rPr/>
              <w:t>—</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14,568</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138,419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109,752</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41,426</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89,126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92,755</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271,704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245,372</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pPr>
            <w:r>
              <w:rPr/>
              <w:t>  ​</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pPr>
            <w:r>
              <w:rPr/>
              <w:t>  ​</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March 31, 2026 and December 31, 2025</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pPr>
            <w:r>
              <w:rPr/>
              <w:t>—</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54,263 and 54,178 shares issued and 26,705 and 27,393 shares outstanding at March 31,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27,558 and 26,785 shares of common stock at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(2,420,603)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(2,291,610)</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353,971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350,374</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gain</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2,762,464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2,687,116</w:t>
            </w:r>
          </w:p>
        </w:tc>
      </w:tr>
      <w:tr>
        <w:trPr/>
        <w:tc>
          <w:tcPr>
            <w:tcW w:w="6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696,190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746,933</w:t>
            </w:r>
          </w:p>
        </w:tc>
      </w:tr>
      <w:tr>
        <w:trPr/>
        <w:tc>
          <w:tcPr>
            <w:tcW w:w="69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967,894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992,305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2026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682" w:type="dxa"/>
        <w:jc w:val="left"/>
        <w:tblInd w:w="0" w:type="dxa"/>
        <w:tblLayout w:type="fixed"/>
        <w:tblCellMar>
          <w:top w:w="0" w:type="dxa"/>
          <w:left w:w="0" w:type="dxa"/>
          <w:bottom w:w="0" w:type="dxa"/>
          <w:right w:w="0" w:type="dxa"/>
        </w:tblCellMar>
      </w:tblPr>
      <w:tblGrid>
        <w:gridCol w:w="6721"/>
        <w:gridCol w:w="346"/>
        <w:gridCol w:w="211"/>
        <w:gridCol w:w="901"/>
        <w:gridCol w:w="34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67835" cy="175260"/>
                      <wp:effectExtent l="0" t="0" r="0" b="0"/>
                      <wp:wrapNone/>
                      <wp:docPr id="18" name="Frame18"/>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72135" cy="175260"/>
                      <wp:effectExtent l="0" t="0" r="0" b="0"/>
                      <wp:wrapNone/>
                      <wp:docPr id="21" name="Frame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00710" cy="175260"/>
                      <wp:effectExtent l="0" t="0" r="0" b="0"/>
                      <wp:wrapNone/>
                      <wp:docPr id="24" name="Frame2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75,348</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2,446</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including fixed asset disposals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and lease liabilities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67,631</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of amortizable content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equity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equity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(159,920)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or maturity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(169,888)</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shares and shares withheld in lieu of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(77,857)</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(77,857)</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decrease in cash and cash equivalents and restricted cash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(180,114)</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144,509</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included in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treasury stock repurchases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First Quarter 2026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Adjusted EBITDA  (Non-GAAP Financial Measure)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costs,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expenditures for capital expenditures or contractual commitments;</w:t>
            </w:r>
          </w:p>
        </w:tc>
      </w:tr>
    </w:tbl>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cash requirements for, our working capital requirements;</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or the cash required to replace assets that are being depreciated or amortized;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reported results of earnings or charges resulting from the items for which we make adjustments to our EBITDA, as described above and set forth in the table below.</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net income to Adjusted EBITDA, which is a non-GAAP measure for the periods indicated:</w:t>
      </w:r>
    </w:p>
    <w:tbl>
      <w:tblPr>
        <w:tblW w:w="6278" w:type="dxa"/>
        <w:jc w:val="center"/>
        <w:tblInd w:w="0" w:type="dxa"/>
        <w:tblLayout w:type="fixed"/>
        <w:tblCellMar>
          <w:top w:w="0" w:type="dxa"/>
          <w:left w:w="0" w:type="dxa"/>
          <w:bottom w:w="0" w:type="dxa"/>
          <w:right w:w="0" w:type="dxa"/>
        </w:tblCellMar>
      </w:tblPr>
      <w:tblGrid>
        <w:gridCol w:w="3211"/>
        <w:gridCol w:w="346"/>
        <w:gridCol w:w="211"/>
        <w:gridCol w:w="781"/>
        <w:gridCol w:w="346"/>
        <w:gridCol w:w="211"/>
        <w:gridCol w:w="781"/>
        <w:gridCol w:w="39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38985" cy="175260"/>
                      <wp:effectExtent l="0" t="0" r="0" b="0"/>
                      <wp:wrapNone/>
                      <wp:docPr id="25" name="Frame2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5935" cy="175260"/>
                      <wp:effectExtent l="0" t="0" r="0" b="0"/>
                      <wp:wrapNone/>
                      <wp:docPr id="28" name="Frame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95935" cy="175260"/>
                      <wp:effectExtent l="0" t="0" r="0" b="0"/>
                      <wp:wrapNone/>
                      <wp:docPr id="31" name="Frame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8920" cy="175260"/>
                      <wp:effectExtent l="0" t="0" r="0" b="0"/>
                      <wp:wrapNone/>
                      <wp:docPr id="32" name="Frame3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627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c>
          <w:tcPr>
            <w:tcW w:w="39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investment 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9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9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97,579</w:t>
            </w:r>
          </w:p>
        </w:tc>
        <w:tc>
          <w:tcPr>
            <w:tcW w:w="39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litigation and regulatory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9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fixed asset disposal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101,968</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Non-GAAP Net Income and Non-GAAP Diluted Income Per Share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 months ended March 31, 2026 and 2025, the table below provides reconciliations of these non-GAAP items to GAAP net income and GAAP diluted income per share, respectively:</w:t>
      </w:r>
    </w:p>
    <w:tbl>
      <w:tblPr>
        <w:tblW w:w="7798" w:type="dxa"/>
        <w:jc w:val="center"/>
        <w:tblInd w:w="0" w:type="dxa"/>
        <w:tblLayout w:type="fixed"/>
        <w:tblCellMar>
          <w:top w:w="0" w:type="dxa"/>
          <w:left w:w="0" w:type="dxa"/>
          <w:bottom w:w="0" w:type="dxa"/>
          <w:right w:w="0" w:type="dxa"/>
        </w:tblCellMar>
      </w:tblPr>
      <w:tblGrid>
        <w:gridCol w:w="4186"/>
        <w:gridCol w:w="477"/>
        <w:gridCol w:w="291"/>
        <w:gridCol w:w="932"/>
        <w:gridCol w:w="150"/>
        <w:gridCol w:w="291"/>
        <w:gridCol w:w="932"/>
        <w:gridCol w:w="539"/>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58110" cy="175260"/>
                      <wp:effectExtent l="0" t="0" r="0" b="0"/>
                      <wp:wrapNone/>
                      <wp:docPr id="33" name="Frame3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2895" cy="175260"/>
                      <wp:effectExtent l="0" t="0" r="0" b="0"/>
                      <wp:wrapNone/>
                      <wp:docPr id="34" name="Frame34"/>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84785" cy="175260"/>
                      <wp:effectExtent l="0" t="0" r="0" b="0"/>
                      <wp:wrapNone/>
                      <wp:docPr id="35" name="Frame3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1820" cy="175260"/>
                      <wp:effectExtent l="0" t="0" r="0" b="0"/>
                      <wp:wrapNone/>
                      <wp:docPr id="36" name="Frame36"/>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5250" cy="175260"/>
                      <wp:effectExtent l="0" t="0" r="0" b="0"/>
                      <wp:wrapNone/>
                      <wp:docPr id="37" name="Frame37"/>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4785" cy="175260"/>
                      <wp:effectExtent l="0" t="0" r="0" b="0"/>
                      <wp:wrapNone/>
                      <wp:docPr id="38" name="Frame3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91820" cy="175260"/>
                      <wp:effectExtent l="0" t="0" r="0" b="0"/>
                      <wp:wrapNone/>
                      <wp:docPr id="39" name="Frame39"/>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2900" cy="175260"/>
                      <wp:effectExtent l="0" t="0" r="0" b="0"/>
                      <wp:wrapNone/>
                      <wp:docPr id="40" name="Frame4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25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539"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25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539"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  ​ ​ ​</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0" w:type="dxa"/>
            <w:tcBorders/>
            <w:vAlign w:val="center"/>
          </w:tcPr>
          <w:p>
            <w:pPr>
              <w:pStyle w:val="TableContents"/>
              <w:bidi w:val="0"/>
              <w:spacing w:before="0" w:after="0"/>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39" w:type="dxa"/>
            <w:tcBorders/>
            <w:vAlign w:val="center"/>
          </w:tcPr>
          <w:p>
            <w:pPr>
              <w:pStyle w:val="TableContents"/>
              <w:bidi w:val="0"/>
              <w:spacing w:before="0" w:after="0"/>
              <w:ind w:left="0" w:right="0" w:hanging="0"/>
              <w:jc w:val="left"/>
              <w:rPr/>
            </w:pPr>
            <w:r>
              <w:rPr/>
              <w:t>  ​ ​ ​</w:t>
            </w:r>
          </w:p>
        </w:tc>
      </w:tr>
      <w:tr>
        <w:trPr/>
        <w:tc>
          <w:tcPr>
            <w:tcW w:w="779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61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 except per share data)</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75,348</w:t>
            </w:r>
          </w:p>
        </w:tc>
        <w:tc>
          <w:tcPr>
            <w:tcW w:w="150"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53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477"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50"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53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disposal of fixed assets</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50"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53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tax effects of adjustments (1)</w:t>
            </w:r>
          </w:p>
        </w:tc>
        <w:tc>
          <w:tcPr>
            <w:tcW w:w="477"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50"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53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Net income</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76,967</w:t>
            </w:r>
          </w:p>
        </w:tc>
        <w:tc>
          <w:tcPr>
            <w:tcW w:w="150"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73,280</w:t>
            </w:r>
          </w:p>
        </w:tc>
        <w:tc>
          <w:tcPr>
            <w:tcW w:w="53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53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Diluted income per share</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150"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53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 (2)</w:t>
            </w:r>
          </w:p>
        </w:tc>
        <w:tc>
          <w:tcPr>
            <w:tcW w:w="477"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50"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539"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disposal of fixed assets (3)</w:t>
            </w:r>
          </w:p>
        </w:tc>
        <w:tc>
          <w:tcPr>
            <w:tcW w:w="477"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50"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539"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Diluted income per share</w:t>
            </w:r>
          </w:p>
        </w:tc>
        <w:tc>
          <w:tcPr>
            <w:tcW w:w="477"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150"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539"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tax effects of adjustments are based on the effective income tax rate applicable to adjusted (non-GAAP) results. </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acquired intangible assets per diluted share is net of an income tax benefit of $0.02 for both of the three months ended March 31, 2026 and 2025.</w:t>
            </w:r>
          </w:p>
        </w:tc>
      </w:tr>
    </w:tbl>
    <w:tbl>
      <w:tblPr>
        <w:tblW w:w="10205" w:type="dxa"/>
        <w:jc w:val="left"/>
        <w:tblInd w:w="0" w:type="dxa"/>
        <w:tblLayout w:type="fixed"/>
        <w:tblCellMar>
          <w:top w:w="0" w:type="dxa"/>
          <w:left w:w="0" w:type="dxa"/>
          <w:bottom w:w="0" w:type="dxa"/>
          <w:right w:w="0" w:type="dxa"/>
        </w:tblCellMar>
      </w:tblPr>
      <w:tblGrid>
        <w:gridCol w:w="23"/>
        <w:gridCol w:w="233"/>
        <w:gridCol w:w="9949"/>
      </w:tblGrid>
      <w:tr>
        <w:trPr/>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fixed assets per diluted share is net of an income tax benefit of nil for both of the three months ended March 31, 2026 and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4510</Words>
  <Characters>24995</Characters>
  <CharactersWithSpaces>29767</CharactersWithSpaces>
  <Paragraphs>1228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