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Schedule 13G</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(Amendment No.: 2 )*</w:t>
      </w: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Arial" w:cs="Arial" w:eastAsia="Arial" w:hAnsi="Arial"/>
          <w:sz w:val="18"/>
          <w:szCs w:val="18"/>
          <w:color w:val="auto"/>
        </w:rPr>
        <w:t>Name of issuer: Grand Canyon Education Inc</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Title of Class of Securities: Common Stock</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CUSIP Number: 38526M106</w:t>
      </w: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Date of Event Which Requires Filing of this Statement: </w:t>
      </w:r>
      <w:r>
        <w:rPr>
          <w:rFonts w:ascii="Arial" w:cs="Arial" w:eastAsia="Arial" w:hAnsi="Arial"/>
          <w:sz w:val="18"/>
          <w:szCs w:val="18"/>
          <w:b w:val="1"/>
          <w:bCs w:val="1"/>
          <w:color w:val="auto"/>
        </w:rPr>
        <w:t>December 31, 2015</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3" w:lineRule="exact"/>
        <w:rPr>
          <w:sz w:val="24"/>
          <w:szCs w:val="24"/>
          <w:color w:val="auto"/>
        </w:rPr>
      </w:pPr>
    </w:p>
    <w:p>
      <w:pPr>
        <w:jc w:val="both"/>
        <w:ind w:left="100" w:right="9900" w:hanging="2"/>
        <w:spacing w:after="0" w:line="302" w:lineRule="auto"/>
        <w:tabs>
          <w:tab w:leader="none" w:pos="395"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13d-1(b) ( ) Rule 13d-1(c) ( ) Rule 13d-1(d)</w:t>
      </w:r>
    </w:p>
    <w:p>
      <w:pPr>
        <w:spacing w:after="0" w:line="155" w:lineRule="exact"/>
        <w:rPr>
          <w:sz w:val="24"/>
          <w:szCs w:val="24"/>
          <w:color w:val="auto"/>
        </w:rPr>
      </w:pPr>
    </w:p>
    <w:p>
      <w:pPr>
        <w:ind w:right="40" w:firstLine="9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jc w:val="both"/>
        <w:ind w:firstLine="87"/>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0" w:lineRule="exact"/>
        <w:rPr>
          <w:sz w:val="24"/>
          <w:szCs w:val="24"/>
          <w:color w:val="auto"/>
        </w:rPr>
      </w:pPr>
    </w:p>
    <w:p>
      <w:pPr>
        <w:spacing w:after="0"/>
        <w:rPr>
          <w:sz w:val="20"/>
          <w:szCs w:val="20"/>
          <w:color w:val="auto"/>
        </w:rPr>
      </w:pPr>
      <w:r>
        <w:rPr>
          <w:rFonts w:ascii="Arial" w:cs="Arial" w:eastAsia="Arial" w:hAnsi="Arial"/>
          <w:sz w:val="18"/>
          <w:szCs w:val="18"/>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00"/>
          </w:cols>
          <w:pgMar w:left="240" w:top="476" w:right="359" w:bottom="1440" w:gutter="0" w:footer="0" w:header="0"/>
        </w:sectPr>
      </w:pPr>
    </w:p>
    <w:bookmarkStart w:id="1" w:name="page2"/>
    <w:bookmarkEnd w:id="1"/>
    <w:p>
      <w:pPr>
        <w:ind w:left="5560"/>
        <w:spacing w:after="0"/>
        <w:rPr>
          <w:sz w:val="20"/>
          <w:szCs w:val="20"/>
          <w:color w:val="auto"/>
        </w:rPr>
      </w:pPr>
      <w:r>
        <w:rPr>
          <w:rFonts w:ascii="Arial" w:cs="Arial" w:eastAsia="Arial" w:hAnsi="Arial"/>
          <w:sz w:val="18"/>
          <w:szCs w:val="18"/>
          <w:color w:val="auto"/>
        </w:rPr>
        <w:t>13G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CUSIP No.: 38526M106</w:t>
      </w:r>
    </w:p>
    <w:p>
      <w:pPr>
        <w:spacing w:after="0" w:line="200" w:lineRule="exact"/>
        <w:rPr>
          <w:sz w:val="20"/>
          <w:szCs w:val="20"/>
          <w:color w:val="auto"/>
        </w:rPr>
      </w:pPr>
    </w:p>
    <w:p>
      <w:pPr>
        <w:spacing w:after="0" w:line="227" w:lineRule="exact"/>
        <w:rPr>
          <w:sz w:val="20"/>
          <w:szCs w:val="20"/>
          <w:color w:val="auto"/>
        </w:rPr>
      </w:pPr>
    </w:p>
    <w:p>
      <w:pPr>
        <w:ind w:left="240" w:hanging="232"/>
        <w:spacing w:after="0"/>
        <w:tabs>
          <w:tab w:leader="none" w:pos="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3"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[LINE] IF A MEMBER OF A GROUP</w:t>
      </w:r>
    </w:p>
    <w:p>
      <w:pPr>
        <w:spacing w:after="0" w:line="225" w:lineRule="exact"/>
        <w:rPr>
          <w:rFonts w:ascii="Arial" w:cs="Arial" w:eastAsia="Arial" w:hAnsi="Arial"/>
          <w:sz w:val="18"/>
          <w:szCs w:val="18"/>
          <w:color w:val="auto"/>
        </w:rPr>
      </w:pPr>
    </w:p>
    <w:p>
      <w:pPr>
        <w:ind w:left="1900" w:hanging="482"/>
        <w:spacing w:after="0"/>
        <w:tabs>
          <w:tab w:leader="none" w:pos="1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B.</w:t>
      </w:r>
    </w:p>
    <w:p>
      <w:pPr>
        <w:spacing w:after="0" w:line="23" w:lineRule="exact"/>
        <w:rPr>
          <w:rFonts w:ascii="Arial" w:cs="Arial" w:eastAsia="Arial" w:hAnsi="Arial"/>
          <w:sz w:val="18"/>
          <w:szCs w:val="18"/>
          <w:color w:val="auto"/>
        </w:rPr>
      </w:pPr>
    </w:p>
    <w:p>
      <w:pPr>
        <w:ind w:left="1900"/>
        <w:spacing w:after="0"/>
        <w:rPr>
          <w:rFonts w:ascii="Arial" w:cs="Arial" w:eastAsia="Arial" w:hAnsi="Arial"/>
          <w:sz w:val="18"/>
          <w:szCs w:val="18"/>
          <w:color w:val="auto"/>
        </w:rPr>
      </w:pPr>
      <w:r>
        <w:rPr>
          <w:rFonts w:ascii="Arial" w:cs="Arial" w:eastAsia="Arial" w:hAnsi="Arial"/>
          <w:sz w:val="18"/>
          <w:szCs w:val="18"/>
          <w:u w:val="single" w:color="auto"/>
          <w:color w:val="auto"/>
        </w:rPr>
        <w:t>X</w:t>
      </w:r>
    </w:p>
    <w:p>
      <w:pPr>
        <w:spacing w:after="0" w:line="210" w:lineRule="exact"/>
        <w:rPr>
          <w:rFonts w:ascii="Arial" w:cs="Arial" w:eastAsia="Arial" w:hAnsi="Arial"/>
          <w:sz w:val="18"/>
          <w:szCs w:val="18"/>
          <w:color w:val="auto"/>
        </w:rPr>
      </w:pP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OF PLACE OF ORGANIZATION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color w:val="auto"/>
        </w:rPr>
        <w:t>(For questions 5-8, report the number of shares beneficially owned by each reporting person with:)</w:t>
      </w:r>
    </w:p>
    <w:p>
      <w:pPr>
        <w:spacing w:after="0" w:line="237" w:lineRule="exact"/>
        <w:rPr>
          <w:sz w:val="20"/>
          <w:szCs w:val="20"/>
          <w:color w:val="auto"/>
        </w:rPr>
      </w:pPr>
    </w:p>
    <w:p>
      <w:pPr>
        <w:ind w:left="100" w:right="8119" w:hanging="92"/>
        <w:spacing w:after="0" w:line="501" w:lineRule="auto"/>
        <w:tabs>
          <w:tab w:leader="none" w:pos="235"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VOTING POWER 103,467</w:t>
      </w:r>
    </w:p>
    <w:p>
      <w:pPr>
        <w:ind w:left="100" w:right="7859" w:hanging="92"/>
        <w:spacing w:after="0" w:line="501" w:lineRule="auto"/>
        <w:tabs>
          <w:tab w:leader="none" w:pos="235"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VOTING POWER 2,700</w:t>
      </w:r>
    </w:p>
    <w:p>
      <w:pPr>
        <w:ind w:left="100" w:right="7719" w:hanging="92"/>
        <w:spacing w:after="0" w:line="501" w:lineRule="auto"/>
        <w:tabs>
          <w:tab w:leader="none" w:pos="235"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DISPOSITIVE POWER 3,271,050</w:t>
      </w:r>
    </w:p>
    <w:p>
      <w:pPr>
        <w:ind w:left="140" w:right="7459" w:hanging="132"/>
        <w:spacing w:after="0" w:line="501" w:lineRule="auto"/>
        <w:tabs>
          <w:tab w:leader="none" w:pos="23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DISPOSITIVE POWER 103,467</w:t>
      </w:r>
    </w:p>
    <w:p>
      <w:pPr>
        <w:ind w:left="100" w:right="3459" w:hanging="92"/>
        <w:spacing w:after="0" w:line="501" w:lineRule="auto"/>
        <w:tabs>
          <w:tab w:leader="none" w:pos="225"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3,374,517</w:t>
      </w:r>
    </w:p>
    <w:p>
      <w:pPr>
        <w:ind w:left="100" w:right="2819" w:hanging="92"/>
        <w:spacing w:after="0" w:line="501" w:lineRule="auto"/>
        <w:tabs>
          <w:tab w:leader="none" w:pos="325"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N/A</w:t>
      </w: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7.15%</w:t>
      </w:r>
    </w:p>
    <w:p>
      <w:pPr>
        <w:spacing w:after="0" w:line="225"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5"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611"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SCHEDULE 13G</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Under the Securities Act of 1934</w:t>
      </w:r>
    </w:p>
    <w:p>
      <w:pPr>
        <w:spacing w:after="0" w:line="211" w:lineRule="exact"/>
        <w:rPr>
          <w:sz w:val="20"/>
          <w:szCs w:val="20"/>
          <w:color w:val="auto"/>
        </w:rPr>
      </w:pPr>
    </w:p>
    <w:p>
      <w:pPr>
        <w:ind w:right="4939"/>
        <w:spacing w:after="0" w:line="501" w:lineRule="auto"/>
        <w:rPr>
          <w:sz w:val="20"/>
          <w:szCs w:val="20"/>
          <w:color w:val="auto"/>
        </w:rPr>
      </w:pPr>
      <w:r>
        <w:rPr>
          <w:rFonts w:ascii="Arial" w:cs="Arial" w:eastAsia="Arial" w:hAnsi="Arial"/>
          <w:sz w:val="18"/>
          <w:szCs w:val="18"/>
          <w:color w:val="auto"/>
        </w:rPr>
        <w:t xml:space="preserve">Check the following [line] if a fee is being paid with this statement N/A </w:t>
      </w:r>
      <w:r>
        <w:rPr>
          <w:rFonts w:ascii="Arial" w:cs="Arial" w:eastAsia="Arial" w:hAnsi="Arial"/>
          <w:sz w:val="18"/>
          <w:szCs w:val="18"/>
          <w:u w:val="single" w:color="auto"/>
          <w:color w:val="auto"/>
        </w:rPr>
        <w:t>Item 1(a) - Name of Issuer:</w:t>
      </w:r>
    </w:p>
    <w:p>
      <w:pPr>
        <w:ind w:left="100"/>
        <w:spacing w:after="0"/>
        <w:rPr>
          <w:sz w:val="20"/>
          <w:szCs w:val="20"/>
          <w:color w:val="auto"/>
        </w:rPr>
      </w:pPr>
      <w:r>
        <w:rPr>
          <w:rFonts w:ascii="Arial" w:cs="Arial" w:eastAsia="Arial" w:hAnsi="Arial"/>
          <w:sz w:val="18"/>
          <w:szCs w:val="18"/>
          <w:color w:val="auto"/>
        </w:rPr>
        <w:t>Grand Canyon Education Inc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1(b) - Address of Issuer's Principal Executive Offices: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3300 W. Camelback Road</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Phoenix, Arizona 85017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2(a) - Name of Person Filing:</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The Vanguard Group - 23-1945930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2(b) – Address of Principal Business Office or, if none, residence:</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100 Vanguard Blvd.</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Malvern, PA 19355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2(c) – Citizenship:</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Pennsylvania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2(d) - Title of Class of Securities: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2(e) - CUSIP Number</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38526M106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 Type of Filing:</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This statement is being filed pursuant to Rule 13d-1. An investment adviser in accordance with §240.13d-1(b)(1)(ii)(E).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 Ownership:</w:t>
      </w:r>
    </w:p>
    <w:p>
      <w:pPr>
        <w:spacing w:after="0" w:line="225" w:lineRule="exact"/>
        <w:rPr>
          <w:sz w:val="20"/>
          <w:szCs w:val="20"/>
          <w:color w:val="auto"/>
        </w:rPr>
      </w:pPr>
    </w:p>
    <w:p>
      <w:pPr>
        <w:ind w:left="100" w:right="7739" w:hanging="2"/>
        <w:spacing w:after="0" w:line="501" w:lineRule="auto"/>
        <w:tabs>
          <w:tab w:leader="none" w:pos="345"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 Beneficially Owned: 3,374,517</w:t>
      </w:r>
    </w:p>
    <w:p>
      <w:pPr>
        <w:ind w:left="360" w:hanging="262"/>
        <w:spacing w:after="0"/>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7.15%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611" w:right="1440" w:bottom="1440" w:gutter="0" w:footer="0" w:header="0"/>
        </w:sectPr>
      </w:pPr>
    </w:p>
    <w:bookmarkStart w:id="3" w:name="page4"/>
    <w:bookmarkEnd w:id="3"/>
    <w:p>
      <w:pPr>
        <w:ind w:left="380" w:hanging="282"/>
        <w:spacing w:after="0"/>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360" w:hanging="262"/>
        <w:spacing w:after="0"/>
        <w:tabs>
          <w:tab w:leader="none" w:pos="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power to vote or direct to vote: 103,467</w:t>
      </w:r>
    </w:p>
    <w:p>
      <w:pPr>
        <w:spacing w:after="0" w:line="225" w:lineRule="exact"/>
        <w:rPr>
          <w:rFonts w:ascii="Arial" w:cs="Arial" w:eastAsia="Arial" w:hAnsi="Arial"/>
          <w:sz w:val="18"/>
          <w:szCs w:val="18"/>
          <w:color w:val="auto"/>
        </w:rPr>
      </w:pPr>
    </w:p>
    <w:p>
      <w:pPr>
        <w:ind w:left="400" w:hanging="302"/>
        <w:spacing w:after="0"/>
        <w:tabs>
          <w:tab w:leader="none" w:pos="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shared power to vote or direct to vote: 2,700</w:t>
      </w:r>
    </w:p>
    <w:p>
      <w:pPr>
        <w:spacing w:after="0" w:line="225" w:lineRule="exact"/>
        <w:rPr>
          <w:rFonts w:ascii="Arial" w:cs="Arial" w:eastAsia="Arial" w:hAnsi="Arial"/>
          <w:sz w:val="18"/>
          <w:szCs w:val="18"/>
          <w:color w:val="auto"/>
        </w:rPr>
      </w:pPr>
    </w:p>
    <w:p>
      <w:pPr>
        <w:ind w:left="100" w:right="6160" w:hanging="2"/>
        <w:spacing w:after="0" w:line="563"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sole power to dispose of or to direct the disposition of: 3,271,050 (iv) shared power to dispose or to direct the disposition of: 103,467</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 Ownership of Five Percent or Less of a Class: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 Ownership of More Than Five Percent on Behalf of Another Person:</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7 - Identification and Classification of the Subsidiary Which Acquired The Security Being Reported on by the Parent Holding Company</w:t>
      </w:r>
      <w:r>
        <w:rPr>
          <w:rFonts w:ascii="Arial" w:cs="Arial" w:eastAsia="Arial" w:hAnsi="Arial"/>
          <w:sz w:val="18"/>
          <w:szCs w:val="18"/>
          <w:color w:val="auto"/>
        </w:rPr>
        <w:t>:</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See Attached Appendix 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8 - Identification and Classification of Members of Group:</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9 - Notice of Dissolution of Group:</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10 - Certification:</w:t>
      </w:r>
    </w:p>
    <w:p>
      <w:pPr>
        <w:spacing w:after="0" w:line="225" w:lineRule="exact"/>
        <w:rPr>
          <w:sz w:val="20"/>
          <w:szCs w:val="20"/>
          <w:color w:val="auto"/>
        </w:rPr>
      </w:pPr>
    </w:p>
    <w:p>
      <w:pPr>
        <w:jc w:val="both"/>
        <w:ind w:firstLine="90"/>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Signature</w:t>
      </w:r>
    </w:p>
    <w:p>
      <w:pPr>
        <w:spacing w:after="0" w:line="225" w:lineRule="exact"/>
        <w:rPr>
          <w:sz w:val="20"/>
          <w:szCs w:val="20"/>
          <w:color w:val="auto"/>
        </w:rPr>
      </w:pPr>
    </w:p>
    <w:p>
      <w:pPr>
        <w:ind w:left="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Date: 02/10/16</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3058795</wp:posOffset>
            </wp:positionH>
            <wp:positionV relativeFrom="paragraph">
              <wp:posOffset>-10160</wp:posOffset>
            </wp:positionV>
            <wp:extent cx="1273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3175" cy="8890"/>
                    </a:xfrm>
                    <a:prstGeom prst="rect">
                      <a:avLst/>
                    </a:prstGeom>
                    <a:noFill/>
                  </pic:spPr>
                </pic:pic>
              </a:graphicData>
            </a:graphic>
          </wp:anchor>
        </w:drawing>
      </w: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 William McNabb III</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President and 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Glenn Booraem</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Glenn Booraem, pursuant to a Power of Attorney filed September 9, 2013, see File Number 005-56905,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638175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60"/>
          </w:cols>
          <w:pgMar w:left="240" w:top="611" w:right="29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Appendix A</w:t>
      </w:r>
    </w:p>
    <w:p>
      <w:pPr>
        <w:spacing w:after="0" w:line="225" w:lineRule="exact"/>
        <w:rPr>
          <w:sz w:val="20"/>
          <w:szCs w:val="20"/>
          <w:color w:val="auto"/>
        </w:rPr>
      </w:pPr>
    </w:p>
    <w:p>
      <w:pPr>
        <w:ind w:firstLine="42"/>
        <w:spacing w:after="0" w:line="308" w:lineRule="auto"/>
        <w:rPr>
          <w:sz w:val="20"/>
          <w:szCs w:val="20"/>
          <w:color w:val="auto"/>
        </w:rPr>
      </w:pPr>
      <w:r>
        <w:rPr>
          <w:rFonts w:ascii="Arial" w:cs="Arial" w:eastAsia="Arial" w:hAnsi="Arial"/>
          <w:sz w:val="17"/>
          <w:szCs w:val="17"/>
          <w:color w:val="auto"/>
        </w:rPr>
        <w:t>Vanguard Fiduciary Trust Company ("VFTC"), a wholly-owned subsidiary of The Vanguard Group, Inc., is the beneficial owner of 100,767 shares or .21% of the Common Stock outstanding of the Company as a result of its serving as investment manager of collective trust accounts.</w:t>
      </w:r>
    </w:p>
    <w:p>
      <w:pPr>
        <w:spacing w:after="0" w:line="147"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5,400 shares or .01% of the Common Stock outstanding of the Company as a result of its serving as investment manager of Australian investment offerings.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3058795</wp:posOffset>
            </wp:positionH>
            <wp:positionV relativeFrom="paragraph">
              <wp:posOffset>-10160</wp:posOffset>
            </wp:positionV>
            <wp:extent cx="12731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3175" cy="8890"/>
                    </a:xfrm>
                    <a:prstGeom prst="rect">
                      <a:avLst/>
                    </a:prstGeom>
                    <a:noFill/>
                  </pic:spPr>
                </pic:pic>
              </a:graphicData>
            </a:graphic>
          </wp:anchor>
        </w:drawing>
      </w:r>
    </w:p>
    <w:p>
      <w:pPr>
        <w:spacing w:after="0" w:line="2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 William McNabb III</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President and 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Glenn Booraem</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Glenn Booraem, pursuant to a Power of Attorney filed September 9, 2013, see File Number 005-56905, Incorporated by Reference</w:t>
      </w:r>
    </w:p>
    <w:sectPr>
      <w:pgSz w:w="11900" w:h="16838" w:orient="portrait"/>
      <w:cols w:equalWidth="0" w:num="1">
        <w:col w:w="11320"/>
      </w:cols>
      <w:pgMar w:left="240" w:top="104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1"/>
    </w:lvl>
    <w:lvl w:ilvl="1">
      <w:lvlJc w:val="left"/>
      <w:lvlText w:val="%2"/>
      <w:numFmt w:val="upperLetter"/>
      <w:start w:val="1"/>
    </w:lvl>
  </w:abstractNum>
  <w:abstractNum w:abstractNumId="2">
    <w:nsid w:val="2EB141F2"/>
    <w:multiLevelType w:val="hybridMultilevel"/>
    <w:lvl w:ilvl="0">
      <w:lvlJc w:val="left"/>
      <w:lvlText w:val="%1."/>
      <w:numFmt w:val="decimal"/>
      <w:start w:val="2"/>
    </w:lvl>
    <w:lvl w:ilvl="1">
      <w:lvlJc w:val="left"/>
      <w:lvlText w:val="%2."/>
      <w:numFmt w:val="upperLetter"/>
      <w:start w:val="1"/>
    </w:lvl>
  </w:abstractNum>
  <w:abstractNum w:abstractNumId="3">
    <w:nsid w:val="41B71EFB"/>
    <w:multiLevelType w:val="hybridMultilevel"/>
    <w:lvl w:ilvl="0">
      <w:lvlJc w:val="left"/>
      <w:lvlText w:val="%1."/>
      <w:numFmt w:val="decimal"/>
      <w:start w:val="5"/>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3"/>
    </w:lvl>
  </w:abstractNum>
  <w:abstractNum w:abstractNumId="7">
    <w:nsid w:val="5BD062C2"/>
    <w:multiLevelType w:val="hybridMultilevel"/>
    <w:lvl w:ilvl="0">
      <w:lvlJc w:val="left"/>
      <w:lvlText w:val="(%1)"/>
      <w:numFmt w:val="lowerLetter"/>
      <w:start w:val="9"/>
    </w:lvl>
  </w:abstractNum>
  <w:abstractNum w:abstractNumId="8">
    <w:nsid w:val="12200854"/>
    <w:multiLevelType w:val="hybridMultilevel"/>
    <w:lvl w:ilvl="0">
      <w:lvlJc w:val="left"/>
      <w:lvlText w:val="(%1)"/>
      <w:numFmt w:val="lowerLetter"/>
      <w:start w:val="35"/>
    </w:lvl>
  </w:abstractNum>
  <w:abstractNum w:abstractNumId="9">
    <w:nsid w:val="4DB127F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2019-12-16T09:29:28Z</dcterms:created>
  <dcterms:modified xsi:type="dcterms:W3CDTF">2019-12-16T09:29:28Z</dcterms:modified>
</cp:coreProperties>
</file>