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April 25, 2014, was 46,636,172.</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11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6"/>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87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020" w:type="dxa"/>
            <w:vAlign w:val="bottom"/>
            <w:gridSpan w:val="16"/>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5"/>
          </w:tcPr>
          <w:p>
            <w:pPr>
              <w:spacing w:after="0"/>
              <w:rPr>
                <w:sz w:val="24"/>
                <w:szCs w:val="24"/>
                <w:color w:val="auto"/>
              </w:rPr>
            </w:pPr>
          </w:p>
        </w:tc>
        <w:tc>
          <w:tcPr>
            <w:tcW w:w="81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 Risk Factors</w:t>
              </w:r>
            </w:hyperlink>
          </w:p>
        </w:tc>
        <w:tc>
          <w:tcPr>
            <w:tcW w:w="94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3</w:t>
              </w:r>
            </w:hyperlink>
          </w:p>
        </w:tc>
        <w:tc>
          <w:tcPr>
            <w:tcW w:w="4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4</w:t>
              </w:r>
            </w:hyperlink>
          </w:p>
        </w:tc>
        <w:tc>
          <w:tcPr>
            <w:tcW w:w="234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81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99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992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20" w:type="dxa"/>
            <w:vAlign w:val="bottom"/>
            <w:gridSpan w:val="16"/>
          </w:tcPr>
          <w:p>
            <w:pPr>
              <w:spacing w:after="0"/>
              <w:rPr>
                <w:sz w:val="20"/>
                <w:szCs w:val="20"/>
                <w:color w:val="auto"/>
              </w:rPr>
            </w:pPr>
            <w:r>
              <w:rPr>
                <w:rFonts w:ascii="Arial" w:cs="Arial" w:eastAsia="Arial" w:hAnsi="Arial"/>
                <w:sz w:val="18"/>
                <w:szCs w:val="18"/>
                <w:color w:val="auto"/>
              </w:rPr>
              <w:t>101.INS XBRL Instance Document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20" w:type="dxa"/>
            <w:vAlign w:val="bottom"/>
            <w:gridSpan w:val="16"/>
          </w:tcPr>
          <w:p>
            <w:pPr>
              <w:spacing w:after="0"/>
              <w:rPr>
                <w:sz w:val="20"/>
                <w:szCs w:val="20"/>
                <w:color w:val="auto"/>
              </w:rPr>
            </w:pPr>
            <w:r>
              <w:rPr>
                <w:rFonts w:ascii="Arial" w:cs="Arial" w:eastAsia="Arial" w:hAnsi="Arial"/>
                <w:sz w:val="18"/>
                <w:szCs w:val="18"/>
                <w:color w:val="auto"/>
              </w:rPr>
              <w:t>101.SCH XBRL Taxonomy Extension Schema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101.CAL XBRL Taxonomy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8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tcPr>
          <w:p>
            <w:pPr>
              <w:jc w:val="center"/>
              <w:ind w:right="250"/>
              <w:spacing w:after="0"/>
              <w:rPr>
                <w:sz w:val="20"/>
                <w:szCs w:val="20"/>
                <w:color w:val="auto"/>
              </w:rPr>
            </w:pPr>
            <w:r>
              <w:rPr>
                <w:rFonts w:ascii="Arial" w:cs="Arial" w:eastAsia="Arial" w:hAnsi="Arial"/>
                <w:sz w:val="18"/>
                <w:szCs w:val="18"/>
                <w:b w:val="1"/>
                <w:bCs w:val="1"/>
                <w:color w:val="auto"/>
              </w:rPr>
              <w:t>GRAND CANYON EDUCATION, INC.</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Consolidated Income Statements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16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Net revenue</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167,432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70,678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4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1"/>
              </w:rPr>
              <w:t>Admissions advisory and related, including $805 and $753 to related parties for the three months ended March 31, 2014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gridSpan w:val="4"/>
          </w:tcPr>
          <w:p>
            <w:pPr>
              <w:ind w:left="520"/>
              <w:spacing w:after="0"/>
              <w:rPr>
                <w:sz w:val="20"/>
                <w:szCs w:val="20"/>
                <w:color w:val="auto"/>
              </w:rPr>
            </w:pPr>
            <w:r>
              <w:rPr>
                <w:rFonts w:ascii="Arial" w:cs="Arial" w:eastAsia="Arial" w:hAnsi="Arial"/>
                <w:sz w:val="18"/>
                <w:szCs w:val="18"/>
                <w:color w:val="auto"/>
              </w:rPr>
              <w:t>2013, respectively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26,261</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30"/>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123,996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14,207</w:t>
            </w:r>
          </w:p>
        </w:tc>
        <w:tc>
          <w:tcPr>
            <w:tcW w:w="0" w:type="dxa"/>
            <w:vAlign w:val="bottom"/>
          </w:tcPr>
          <w:p>
            <w:pPr>
              <w:spacing w:after="0"/>
              <w:rPr>
                <w:sz w:val="1"/>
                <w:szCs w:val="1"/>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8"/>
              </w:rPr>
              <w:t>Net income</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6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80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8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$26,288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Unrealized losses on available-for-sale securities, net of taxes of $10 and $0 for March 31, 2014 and 2013, respectively</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98"/>
              </w:rPr>
              <w:t>Unrealized (losses) gains on hedging derivatives, net of taxes of $17 and $31 for March 31, 2014 and 2013, respectively</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26,246</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300" w:type="dxa"/>
            <w:vAlign w:val="bottom"/>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w w:val="92"/>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50,834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157,466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7,384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277,939</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365,499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655,252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vMerge w:val="restart"/>
          </w:tcPr>
          <w:p>
            <w:pPr>
              <w:jc w:val="center"/>
              <w:ind w:right="221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27,967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13,235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46,700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169,312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13,179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84,840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86,493</w:t>
            </w: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274,357</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 outstanding at March 31, 2014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2013</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49,582 and 48,890 shares issued and 46,638 and 46,045 shares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outstanding at March 31, 2014 and December 31, 2013, respectively</w:t>
            </w:r>
          </w:p>
        </w:tc>
        <w:tc>
          <w:tcPr>
            <w:tcW w:w="14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Treasury stock, at cost, 2,944 and 2,845 shares of common stock at March 31, 2014 and December 31, 2013, respectively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(52,675)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146,945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285,813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380,895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344,844</w:t>
            </w: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655,252</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72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20" w:type="dxa"/>
            <w:vAlign w:val="bottom"/>
            <w:gridSpan w:val="6"/>
            <w:vMerge w:val="continue"/>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126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48,890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489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2,845</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$(48,432)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$132,904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358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$259,525</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$344,844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(42)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26,288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26,246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396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5,386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Excess tax benefits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6,475</w:t>
            </w:r>
          </w:p>
        </w:tc>
        <w:tc>
          <w:tcPr>
            <w:tcW w:w="18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296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(3,604)</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March 31, 2014</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49,582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496</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2,944</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(52,675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146,945</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6"/>
              </w:rPr>
              <w:t>316</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285,813</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380,895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90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26,288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Gain on proceeds received from note receivable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Prepaid royalty impairment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13,534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15,104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13,884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(12,561)</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53,671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(27,214)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Purchase of land and building related to offsite development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(62,711)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13,665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29,187</w:t>
            </w:r>
          </w:p>
        </w:tc>
        <w:tc>
          <w:tcPr>
            <w:tcW w:w="0" w:type="dxa"/>
            <w:vAlign w:val="bottom"/>
          </w:tcPr>
          <w:p>
            <w:pPr>
              <w:spacing w:after="0"/>
              <w:rPr>
                <w:sz w:val="1"/>
                <w:szCs w:val="1"/>
                <w:color w:val="auto"/>
              </w:rPr>
            </w:pPr>
          </w:p>
        </w:tc>
      </w:tr>
      <w:tr>
        <w:trPr>
          <w:trHeight w:val="230"/>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(76,260)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30"/>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(16,695)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55,824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39,129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127,739</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3"/>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Cash paid for income taxes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received for income tax refunds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on ground at its approximately 160 acre traditional ground campus in Phoenix, Arizona and onsite at facilities it leases and at facilities owned by third party employers. The University is accredited by The Higher Learning Commission of the North Central Association of Colleges and Schools. The University’s wholly-owned subsidiaries are primarily used to facilitate expansion of the University campus.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2013.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2013 from which the December 31, 2013 balance sheet information was derived.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remains as restricted cash and cash equivalents for an average of 60 to 90 days from the date of receipt.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ind w:right="20"/>
        <w:spacing w:after="0" w:line="287" w:lineRule="auto"/>
        <w:rPr>
          <w:sz w:val="20"/>
          <w:szCs w:val="20"/>
          <w:color w:val="auto"/>
        </w:rPr>
      </w:pPr>
      <w:r>
        <w:rPr>
          <w:rFonts w:ascii="Arial" w:cs="Arial" w:eastAsia="Arial" w:hAnsi="Arial"/>
          <w:sz w:val="16"/>
          <w:szCs w:val="16"/>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an other asset and interest and other income of $1,459 for the three months ended September 30, 2013. The court ordered the late penalty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penalty pending an appeal. The remaining default interest and statutory trustee’s fee components of the original disputed amount, plus interest accruing thereon at 11%, continue a resolution process through the court, have been treated as a gain contingency and will not be recorded as a receivable or income until resolution is reached.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30, 2009 and February 27, 2013, respectively, the University entered into an interest rate swap and an interest rate corridor to manage its 30 Day LIBOR interest exposure related to its variable rate debt. The fair value of the interest rate corridor instrument as of March 31, 2014 was $1,802, which is included in other assets. The fair value of the interest rate swap is a liability of $44 as of March 31, 2014, which is included in accrued liabilities. The fair values of each derivative instrument were determined using a hypothetical derivative transaction and Level 2 of the hierarchy of valuation inputs. These derivative instruments were originally designated as cash flow hedges of variable rate debt obligations. The adjustment of ($43) and $71 for the three months ended March 31, 2014 and 2013, respectively, for the effective portion of the gain/(loss) on the derivatives is included as a component of other comprehensive income, net of taxes.</w:t>
      </w:r>
    </w:p>
    <w:p>
      <w:pPr>
        <w:spacing w:after="0" w:line="18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$82,966 as of March 31, 2014.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$8,701 as of March 31, 2014. Under the terms of the agreement, the University received 30 Day LIBOR and paid 3.245% fixed interest on the amortizing notional amount.</w:t>
      </w:r>
    </w:p>
    <w:p>
      <w:pPr>
        <w:spacing w:after="0" w:line="124"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As of March 31, 2014 no derivative ineffectiveness was identified for either instrument. Any ineffectiveness in the University’s derivative instrument designated as a hedge is reported in interest expense in the income statement. For the three months ended March 31, 2014, $3 of credit risk was recorded in interest expense for the interest rate corridor and interest rate swap. At March 31, 2014, the University does not expect to reclassify gains or losses on derivative instruments from accumulated other comprehensive income (loss) into earnings during the next 12 months.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March 31, 2014, the carrying value of cash and cash equivalents, investments, accounts receivable, account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municipal securities are comprised of city and county bonds related to schools, water and sewer, utilities, transportation and housing. Because these securities are held by the University as investments, assessment of non-performance risk is not applicable as such considerations are only applicable in evaluating the fair value measurements for liabilities.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traditional campus in Phoenix, Arizona, and onsite at facilities it leases and at facilities owned by third party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three months ended March 31, 2014 and 2013, the University’s revenue was reduced by approximately $37,719 and $28,255,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their financial aid disbursements, the University is required to return the unearned portion of these funds as well and then collect these amounts from the students.</w:t>
      </w:r>
    </w:p>
    <w:p>
      <w:pPr>
        <w:spacing w:after="0" w:line="16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However, if a student becomes inactive, the University writes off the account 150 days after becoming delinquent.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The University has determined no recent accounting pronouncements apply to its operations or would otherwise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following is a summary of amounts included in investments as of March 31, 2014 and December 31, 2013. The University considered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As of March 31, 2014</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(Losses)</w:t>
            </w:r>
          </w:p>
        </w:tc>
        <w:tc>
          <w:tcPr>
            <w:tcW w:w="2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157,465</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157,466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3"/>
              </w:rPr>
              <w:t>As of December 31, 2013</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(Losses)</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108,393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cash flows of municipal securities are backed by the issuing municipality’s credit worthiness. All municipal securities are due in one year or less as of March 31, 2014. For the three months ended March 31, 2014, the net unrealized loss on available-for-sale securities was $16, net of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14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840" w:type="dxa"/>
            <w:vAlign w:val="bottom"/>
          </w:tcPr>
          <w:p>
            <w:pPr>
              <w:jc w:val="right"/>
              <w:spacing w:after="0"/>
              <w:rPr>
                <w:sz w:val="20"/>
                <w:szCs w:val="20"/>
                <w:color w:val="auto"/>
              </w:rPr>
            </w:pPr>
            <w:r>
              <w:rPr>
                <w:rFonts w:ascii="Arial" w:cs="Arial" w:eastAsia="Arial" w:hAnsi="Arial"/>
                <w:sz w:val="18"/>
                <w:szCs w:val="18"/>
                <w:color w:val="auto"/>
              </w:rPr>
              <w:t>45,205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44,242</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46,841</w:t>
            </w:r>
          </w:p>
        </w:tc>
        <w:tc>
          <w:tcPr>
            <w:tcW w:w="5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45,449</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three months ended March 31, 2014 and 2013, approximately 0 and 350, respectively, of the University’s stock options outstanding were excluded from the calculation of diluted earnings per share as their inclusion would have been anti-dilutive. These options could be dilutive in the future.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13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320" w:type="dxa"/>
            <w:vAlign w:val="bottom"/>
            <w:gridSpan w:val="5"/>
            <w:vMerge w:val="continue"/>
          </w:tcPr>
          <w:p>
            <w:pPr>
              <w:spacing w:after="0"/>
              <w:rPr>
                <w:sz w:val="12"/>
                <w:szCs w:val="12"/>
                <w:color w:val="auto"/>
              </w:rPr>
            </w:pPr>
          </w:p>
        </w:tc>
        <w:tc>
          <w:tcPr>
            <w:tcW w:w="14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Expense</w:t>
            </w:r>
          </w:p>
        </w:tc>
        <w:tc>
          <w:tcPr>
            <w:tcW w:w="14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380"/>
              <w:spacing w:after="0"/>
              <w:rPr>
                <w:sz w:val="20"/>
                <w:szCs w:val="20"/>
                <w:color w:val="auto"/>
              </w:rPr>
            </w:pPr>
            <w:r>
              <w:rPr>
                <w:rFonts w:ascii="Arial" w:cs="Arial" w:eastAsia="Arial" w:hAnsi="Arial"/>
                <w:sz w:val="18"/>
                <w:szCs w:val="18"/>
                <w:color w:val="auto"/>
                <w:w w:val="77"/>
              </w:rPr>
              <w:t>(4,973)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Three months ended March 31, 2013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8,657</w:t>
            </w: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4,941</w:t>
            </w:r>
          </w:p>
        </w:tc>
        <w:tc>
          <w:tcPr>
            <w:tcW w:w="240" w:type="dxa"/>
            <w:vAlign w:val="bottom"/>
          </w:tcPr>
          <w:p>
            <w:pPr>
              <w:spacing w:after="0"/>
              <w:rPr>
                <w:sz w:val="20"/>
                <w:szCs w:val="20"/>
                <w:color w:val="auto"/>
              </w:rPr>
            </w:pPr>
          </w:p>
        </w:tc>
        <w:tc>
          <w:tcPr>
            <w:tcW w:w="1180" w:type="dxa"/>
            <w:vAlign w:val="bottom"/>
            <w:gridSpan w:val="4"/>
          </w:tcPr>
          <w:p>
            <w:pPr>
              <w:ind w:left="380"/>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445"/>
        </w:trPr>
        <w:tc>
          <w:tcPr>
            <w:tcW w:w="606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6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March 31,</w:t>
            </w:r>
          </w:p>
        </w:tc>
        <w:tc>
          <w:tcPr>
            <w:tcW w:w="146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36,703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5,176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225,286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222,402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33,356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67,073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33,460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16,879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32,684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457,026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424,479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(91,527)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(84,883)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365,499</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339,596</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March 31, 2014:</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2014 (remaining nine months)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2015</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2017</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Thereafter</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34,844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2014 and 2013 were $2,090 and $1,784,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ectPr>
          <w:pgSz w:w="11900" w:h="16838" w:orient="portrait"/>
          <w:cols w:equalWidth="0" w:num="1">
            <w:col w:w="11360"/>
          </w:cols>
          <w:pgMar w:left="240" w:top="459" w:right="299" w:bottom="1440" w:gutter="0" w:footer="0" w:header="0"/>
        </w:sectPr>
      </w:pP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March 31, 2014 and December 31, 2013, the University reserved approximately $741 and $729, respectively,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three months ended March 31, 2014, the University granted 296 shares of common stock with a service vesting condition to certain of its executives, officers, faculty and employees. The restricted shares have voting rights and vest in five annual installments of 20% starting on March 1, 2015 and each of the four anniversaries of the vesting date following the date of grant. Upon vesting, shares will be held in lieu of taxes equivalent to the minimum statutory tax withholding required to be paid when the restricted stock vests. During the three months ended March 31, 2014, the University withheld 76 shares of common stock in lieu of taxes at a cost of $3,604 on the restricted stock vesting dates.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2013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March 31, 2014, no options were granted. A summary of the activity related to stock options granted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University’s Incentive Plan since December 31, 2013 is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Weighted</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Term</w:t>
            </w:r>
          </w:p>
        </w:tc>
        <w:tc>
          <w:tcPr>
            <w:tcW w:w="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(Years)</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3,023</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14.80</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13.59</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17.33</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2,623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14.98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5.66</w:t>
            </w:r>
          </w:p>
        </w:tc>
        <w:tc>
          <w:tcPr>
            <w:tcW w:w="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$ 83,192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March 31, 2014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1,997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14.29</w:t>
            </w:r>
          </w:p>
        </w:tc>
        <w:tc>
          <w:tcPr>
            <w:tcW w:w="4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$ 64,731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31, 2014 ($46.70) in excess of the exercise price multiplied by the number of shares underlying options outstanding or exercisable, as applicable.</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2014 and 2013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$1,312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8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(882)</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(868)</w:t>
            </w:r>
          </w:p>
        </w:tc>
      </w:tr>
      <w:tr>
        <w:trPr>
          <w:trHeight w:val="27"/>
        </w:trPr>
        <w:tc>
          <w:tcPr>
            <w:tcW w:w="6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1,302</w:t>
            </w:r>
          </w:p>
        </w:tc>
        <w:tc>
          <w:tcPr>
            <w:tcW w:w="120" w:type="dxa"/>
            <w:vAlign w:val="bottom"/>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March 31, 2014,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5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its oversight of the educational institutions participating in the Title IV programs under the Higher Education Act of 1965, as amended, the Department of Education periodically conducts program reviews at selected schools that receive Title IV funds for the purpose of evaluating the school’s compliance with the Title IV requirements, identifying any liabilities to the Department of Education for errors in compliance, and improving future institutional capabilities. On April 13, 2014, the University received official notification from the Department of Education of the Department of Education’s intent to conduct a program review at Grand Canyon University. The program review will include the University’s administration of the Title IV programs in which it participates, its administration of the Clery Act and related regulations, and its compliance with the requirements of the Drug-Free Schools and Communities Act for the 2012-2013 and 2013-2014 award years.</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University believes that it has effective policies and procedures in place that are planned and implemented to comply with the applicable standards and regulations under Title IV and the other matters being reviewed. If and to the extent the Department of Education’s program review identifies any compliance issues, the University is committed to resolving such issues and ensuring that Grand Canyon University operates in compliance with all legal requirements. Program reviews may be unresolved for several months or years with little or no communication from the Department of Education, and may involve additional exchanges of information following the site visit. The University cannot presently predict the outcome of this program review or when the final program review determination will be issued. If the Department of Education were to make significant findings of non-compliance in the final program review determination, it could have a material adverse effect on the University’s business, results of operations, cash flows, and financial position.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of Directors has authorized the University to repurchase up to $75,000 in aggregate of common stock, from time to time, depending on market conditions and other considerations. The current expiration date on the repurchase authorization is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2,764 shares of common stock at an aggregate cost of $48,098. This includes 14 shares of common stock at an aggregate cost of $639 during the three months ended March 31, 2014, which are recorded at cost in the accompanying March 31, 2014 consolidated balance sheet and statement of stockholders’ equity. At March 31, 2014, there remained $26,902 available under its share repurchase authorization. Shares repurchased in lieu of taxes are not included in the repurchase plan totals as they were approved in conjunction with the restricted share awards.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right="100" w:hanging="446"/>
        <w:spacing w:after="0" w:line="308"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80" w:right="34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80" w:hanging="446"/>
        <w:spacing w:after="0" w:line="34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80" w:right="60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80" w:right="76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80" w:right="280" w:hanging="446"/>
        <w:spacing w:after="0" w:line="308"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2013,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160 acre traditional campus in Phoenix, Arizona and onsite at facilities we lease and at facilities owned by third party employers.</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March 31, 2014, we had approximately 61,600 students, an increase of 15.0% over the approximately 53,600 students we had at March 31, 2013. At March 31, 2014, 84.3% of our students were enrolled in our online programs, and of our working adult students (online and professional studies students),</w:t>
      </w:r>
    </w:p>
    <w:p>
      <w:pPr>
        <w:spacing w:after="0" w:line="252" w:lineRule="auto"/>
        <w:rPr>
          <w:sz w:val="20"/>
          <w:szCs w:val="20"/>
          <w:color w:val="auto"/>
        </w:rPr>
      </w:pPr>
      <w:r>
        <w:rPr>
          <w:rFonts w:ascii="Arial" w:cs="Arial" w:eastAsia="Arial" w:hAnsi="Arial"/>
          <w:sz w:val="18"/>
          <w:szCs w:val="18"/>
          <w:color w:val="auto"/>
        </w:rPr>
        <w:t>44.0% were pursuing master’s or doctoral degrees. Revenue per student for the three months ended March 31, 2014 increased over the three months ended March 31, 2013 as a result of improved retention and the increase in traditional ground students as a percentage of our total enrollment. In addition, revenue per student grew year over year due to differences in the start and end date of our traditional campus’ start and end date for its Spring semester which resulted in approximately $2.3 million of additional revenue to be earned in the first quarter of 2014 that would have been earned in the second quarter of 2014. We did not raise tuition in any of our programs for our 2013-2014 academic year and have not raised our tuition for our traditional ground programs in four years.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March 31, 2014 and 2013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2013</w:t>
            </w:r>
            <w:r>
              <w:rPr>
                <w:rFonts w:ascii="Arial" w:cs="Arial" w:eastAsia="Arial" w:hAnsi="Arial"/>
                <w:sz w:val="12"/>
                <w:szCs w:val="12"/>
                <w:b w:val="1"/>
                <w:bCs w:val="1"/>
                <w:color w:val="auto"/>
                <w:w w:val="87"/>
              </w:rPr>
              <w:t>(1)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Undergraduate degree</w:t>
            </w:r>
          </w:p>
        </w:tc>
        <w:tc>
          <w:tcPr>
            <w:tcW w:w="780" w:type="dxa"/>
            <w:vAlign w:val="bottom"/>
          </w:tcPr>
          <w:p>
            <w:pPr>
              <w:jc w:val="right"/>
              <w:spacing w:after="0"/>
              <w:rPr>
                <w:sz w:val="20"/>
                <w:szCs w:val="20"/>
                <w:color w:val="auto"/>
              </w:rPr>
            </w:pPr>
            <w:r>
              <w:rPr>
                <w:rFonts w:ascii="Arial" w:cs="Arial" w:eastAsia="Arial" w:hAnsi="Arial"/>
                <w:sz w:val="18"/>
                <w:szCs w:val="18"/>
                <w:color w:val="auto"/>
              </w:rPr>
              <w:t>37,831</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61.4%</w:t>
            </w:r>
          </w:p>
        </w:tc>
        <w:tc>
          <w:tcPr>
            <w:tcW w:w="820" w:type="dxa"/>
            <w:vAlign w:val="bottom"/>
          </w:tcPr>
          <w:p>
            <w:pPr>
              <w:jc w:val="right"/>
              <w:spacing w:after="0"/>
              <w:rPr>
                <w:sz w:val="20"/>
                <w:szCs w:val="20"/>
                <w:color w:val="auto"/>
              </w:rPr>
            </w:pPr>
            <w:r>
              <w:rPr>
                <w:rFonts w:ascii="Arial" w:cs="Arial" w:eastAsia="Arial" w:hAnsi="Arial"/>
                <w:sz w:val="18"/>
                <w:szCs w:val="18"/>
                <w:color w:val="auto"/>
              </w:rPr>
              <w:t>33,342</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61,601</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2013</w:t>
            </w:r>
            <w:r>
              <w:rPr>
                <w:rFonts w:ascii="Arial" w:cs="Arial" w:eastAsia="Arial" w:hAnsi="Arial"/>
                <w:sz w:val="12"/>
                <w:szCs w:val="12"/>
                <w:b w:val="1"/>
                <w:bCs w:val="1"/>
                <w:color w:val="auto"/>
                <w:w w:val="87"/>
              </w:rPr>
              <w:t>(1)</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51,944</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46,258</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9,657</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15.7%</w:t>
            </w:r>
          </w:p>
        </w:tc>
        <w:tc>
          <w:tcPr>
            <w:tcW w:w="820" w:type="dxa"/>
            <w:vAlign w:val="bottom"/>
          </w:tcPr>
          <w:p>
            <w:pPr>
              <w:jc w:val="right"/>
              <w:spacing w:after="0"/>
              <w:rPr>
                <w:sz w:val="20"/>
                <w:szCs w:val="20"/>
                <w:color w:val="auto"/>
              </w:rPr>
            </w:pPr>
            <w:r>
              <w:rPr>
                <w:rFonts w:ascii="Arial" w:cs="Arial" w:eastAsia="Arial" w:hAnsi="Arial"/>
                <w:sz w:val="18"/>
                <w:szCs w:val="18"/>
                <w:color w:val="auto"/>
              </w:rPr>
              <w:t>7,301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61,601</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40" w:hanging="452"/>
        <w:spacing w:after="0" w:line="271"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Enrollment at March 31, 2014 and 2013 represents individual students who attended a course during the last two months of the calendar quarter. Included in enrollment at March 31, 2014 and 2013 are students pursuing non-degree certificates of 801 and 567, respectively. The March 31, 2013 amount also included 236 high school dual credit students. We are no longer including these students in our enrollment.</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4,619 and 3,329 students pursuing doctoral degrees at March 31, 2014 and 2013, respectively.</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6"/>
          <w:szCs w:val="16"/>
          <w:color w:val="auto"/>
        </w:rPr>
        <w:t>As of March 31, 2014 and 2013, 44.0% and 42.2%, respectively, of our online and professional studies students were pursuing graduate degrees.</w:t>
      </w:r>
    </w:p>
    <w:p>
      <w:pPr>
        <w:spacing w:after="0" w:line="32" w:lineRule="exact"/>
        <w:rPr>
          <w:rFonts w:ascii="Arial" w:cs="Arial" w:eastAsia="Arial" w:hAnsi="Arial"/>
          <w:sz w:val="14"/>
          <w:szCs w:val="14"/>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2013. During the three months ended March 31, 2014,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2013. During the three months ended March 31, 2014, there have been no significant changes in these trends. See Item 7, “Management’s Discussion and Analysis of Financial Condition and Results of Operations – Key Trends, Developments and Challenges” in our Annual Report on Form 10-K for our fiscal year ended December 31, 2013, which is incorporated herein by reference.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4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w:t>
      </w:r>
    </w:p>
    <w:p>
      <w:pPr>
        <w:jc w:val="center"/>
        <w:ind w:left="67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60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to Three Months Ended March 31, 2013</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March 31, 2014 was $167.4 million, an increase of $25.4 million, or 17.9%,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net revenue of $142.0 million for the three months ended March 31, 2013. This increase was primarily due to an increase in enrollment and, to a lesser extent, an increase in room and board and other student fees, partially offset by an increase in institutional scholarships. In addition, due to differences in the start and end date of our traditional campus’ start and end date for its Spring semester which resulted in approximately $2.3 million of additional revenue to be earned in the first quarter of 2014 that would have been earned in the second quarter of 2014. End-of-period enrollment increased 15.0% between March 31, 2014 and March 31, 2013, as ground enrollment increased 32.3%, and online enrollment increased 12.3% over the prior year. The majority of the ground enrollment growth between years occurred at our ground traditional campus in Phoenix, Arizona in late August 2013.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As the proportion of traditional colleges and universities providing alternative learning modalities increases, we will face increasing competition for working adult students from such institutions, including those with well-established reputations for excellence.</w:t>
      </w:r>
    </w:p>
    <w:p>
      <w:pPr>
        <w:spacing w:after="0" w:line="16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three months ended March 31, 2014 were $70.7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$10.7 million, or 17.8%, as compared to instructional costs and services expenses of $60.0 million for the three months ended March 31, 2013. This increase was primarily due to increases in employee compensation and related expenses including share based compensation, faculty compensation, dues, fees and subscriptions and other instructional supplies, depreciation and amortization and occupancy expense, and other instructional compensation and related expenses, of $2.5 million, $2.5 million, $1.8 million, $2.6 million, and $2.4 million, respectively. These increases were partially offset by a decrease of $1.1 million in bad debt expense which resulted primarily from improved student retention and improved collection efforts. The increase in employee compensation and related expenses and faculty compensation are primarily due to the increase in the number of staff and faculty needed to support the increasing number of students attending the University. In addition, we continue to increase our online full-time faculty and have incurred an increase in benefit costs between years. The increase in dues, fees, subscriptions and other instructional supplies is primarily due to increased licensing fees related to educational resources and increased food costs associated with a higher number of residential students. The increase in depreciation and amortization and occupancy costs is the result of our placing into service additional buildings to support the growing number of ground traditional students in the Fall of 2013. Our instructional costs and services expenses as a percentage of net revenues remained at 42.2% for the three months ended March 31, 2014 and 2013.</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March 31, 2014 were $26.3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$3.3 million, or 14.2%, as compared to admissions advisory and related expenses of $23.0 million for the three months ended March 31, 2013. This increase is primarily the result of increases in employee compensation and related expenses including share based compensation and other advisory related expense of $2.9 million and $0.4 million, respectively. The increase in employee compensation and related expenses is primarily due to increased headcount and an increase in benefit costs between years. Our admissions advisory and related expenses as a percentage of revenue decreased 0.5% to 15.7% for the three months ended March 31, 2014, from 16.2% for the three months ended March 31, 2013 primarily due to our ability to leverage our admissions advisory personnel across an increasing revenue base.</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March 31, 2014 were $16.7 million, an increase of $0.8 million, or 4.9%,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$15.9 million for the three months ended March 31, 2013. This increase is primarily the result of increased branding advertising focused on the southwestern United States region. Our advertising expenses as a percentage of net revenue decreased by 1.2% to 10.0% for the three months ended March 31, 2014, from 11.2% for the three months ended March 31, 2013 primarily due to our ability to leverage our advertising expenses across an increasing revenue base.</w:t>
      </w:r>
    </w:p>
    <w:p>
      <w:pPr>
        <w:spacing w:after="0" w:line="188" w:lineRule="exact"/>
        <w:rPr>
          <w:sz w:val="20"/>
          <w:szCs w:val="20"/>
          <w:color w:val="auto"/>
        </w:rPr>
      </w:pPr>
    </w:p>
    <w:p>
      <w:pPr>
        <w:jc w:val="both"/>
        <w:ind w:right="30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three months ended March 31, 2014 were $1.8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$0.4 million, or 24.9%, as compared to marketing and promotional expenses of $1.4 million for the three months ended March 31, 2013. This increase is primarily the result of increases in employee compensation and related expenses of $0.4 million. Our marketing and promotional expenses as a percentage of net revenue increased 0.1% to 1.1% for the three months ended March 31, 2014, from 1.0% for the three months ended March 31, 2013.</w:t>
      </w:r>
    </w:p>
    <w:p>
      <w:pPr>
        <w:spacing w:after="0" w:line="15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three months ended March 31, 2014 was $8.6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$0.5 million, or 6.3%, as compared to general and administrative expenses of $8.1 million for the three months ended March 31, 2013. This increase was primarily due to increases in employee compensation and related expenses including share based compensation and other general and administrative expenses of $0.1 million and $0.4 million, respectively. Our general and administrative expenses as a percentage of net revenue decreased by 0.6% to 5.1% for the three months ended March 31, 2014, from 5.7% for the three months ended March 31, 2013 due to our ability to leverage the fixed costs structure of our general and administrative expenses across an increasing revenue base.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March 31, 2014 was $0.5 million, a decrease of $0.2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$0.7 million for the three months ended March 31, 2013. This decrease was primarily due to a decrease in the average balance of our credit facility between periods due to scheduled monthly principal payments. Our interest expense decreased as a percentage of net revenue by 0.2% to 0.3% for the three months ended March 31, 2014, from 0.5% for the three months ended March 31, 2013.</w:t>
      </w:r>
    </w:p>
    <w:p>
      <w:pPr>
        <w:spacing w:after="0" w:line="18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 Interest and other income for the three months ended March 31, 2014 was $0.1 million, a decrease of $2.1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interest and other income of $2.2 million in the three months ended March 31, 2013. The decrease was primarily due to the proceeds received from a settlement of a note receivable in the first quarter of 2013, which resulted in a $2.2 million gain for that period.</w:t>
      </w:r>
    </w:p>
    <w:p>
      <w:pPr>
        <w:spacing w:after="0" w:line="166"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March 31, 2014 was $16.8 million, an increase of $2.6 million, or 18.0%,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$14.2 million for the three months ended March 31, 2013. Our effective tax rate was 38.9% during the first quarter of 2014 compared to 40.4% during the first quarter of 2013. Our effective tax rate in the first quarter of 2014 was lower than the prior year due primarily to the phase-in of market sourcing for apportionment of Arizona sales and to a lesser extent state tax rate changes that both phase-in beginning the first quarter of 2014.</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2014 was $26.3 million, an increase of $5.4 million, as compared to $20.9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2013,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prior years, this summer effect lessened. However, during the past year we have increased, and over the next few years we intend to continue to increase, our enrollment of ground traditional students. Thus, we expect this summer effect to become more pronounced in 2014 and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ectPr>
          <w:pgSz w:w="11900" w:h="16838" w:orient="portrait"/>
          <w:cols w:equalWidth="0" w:num="1">
            <w:col w:w="11400"/>
          </w:cols>
          <w:pgMar w:left="240" w:top="459" w:right="259" w:bottom="144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three months ended March 31, 2014 and 2013 primarily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Our unrestricted cash and cash equivalents and investments were $196.6 million and $164.2 million at March 31, 2014 and December 31, 2013, respectively. Our restricted cash and cash equivalents at March 31, 2014 and December 31, 2013 were $50.8 million and $64.4 million, respectively.</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were borrowed on the $50.0 million revolving line of credit as of March 31,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$75 million in aggregate of common stock, from time to time, depending on market conditions and other considerations. The current expiration date on the repurchase authorization by our Board of Directors is September 30, 2014.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2.8 million shares of common shock shares at an aggregate cost of $48.1 million which includes 14,000 shares of common stock during the three months ended March 31, 2014 at an aggregate cost of $0.6 million. At March 31, 2014, there remains $26.9 million available under our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three months ended March 31, 2014 was $53.7 million as compared to</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$31.7 million for the three months ended March 31, 2013. The increase in cash generated from operating activities between the three months ended March 31, 2013 and the three months ended March 31, 2014 is primarily due to increased net income and the timing of income tax related payments and student deposits.</w:t>
      </w:r>
    </w:p>
    <w:p>
      <w:pPr>
        <w:spacing w:after="0" w:line="19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$76.3 million and $10.8 million for the three months ended March 31, 2014 and 2013,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the purchase of short-term investments and capital expenditures. Purchases of short-term investments net of proceeds of these investments was $49.0 million and $23.8 million during the three months ended March 31, 2014 and 2013, respectively. Capital expenditures were $27.2 million and $14.7 million for the three months ended March 31, 2014 and 2013, respectively. In 2014, capital expenditures primarily consisted of ground campus building projects such as the construction of an additional classroom building, additional residence halls that will accommodate another 1,600 students, and the expansion of our arena to support our growing traditional student enrollment as well as purchases of computer equipment, other internal use software projects and furniture and equipment to support our increasing employee headcount. In 2013, capital expenditures primarily consisted of ground campus building projects such as the construction costs for two additional dormitories and an expansion of our food services and library to support our traditional student enrollment as well as purchases of computer equipment, other internal use software projects and furniture and equipment to support our increasing employee headcount. In addition, during the first three months of 2013 we spent $1.4 million to purchase and refurbish a building that is located less than two miles from our Phoenix, Arizona campus. Investing activities were reduced in the first three months of 2013 by proceeds in the amount of $29.2 million received on a note receivable.</w:t>
      </w:r>
    </w:p>
    <w:p>
      <w:pPr>
        <w:spacing w:after="0" w:line="16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$5.9 million and $1.7 million for the three months ended March 31, 2014 and 2013,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During the three-month period for 2014, proceeds from the exercise of stock options of $5.4 million and excess tax benefits from share-based compensation of $6.4 million were partially offset by $4.2 million used to purchase treasury stock in accordance with the University’s share repurchase program and principal payments on notes payable and capital leases totaled $1.7 million. During the three-month period for 2013, proceeds from the exercise of stock options of $5.9 million and excess tax benefits from share-based compensation of $3.5 million were partially offset by $6.0 million used to purchase treasury stock in accordance with the University’s share repurchase program and principal payments on notes payable and capital leases totaled $1.7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as of March 31, 2014,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1 Year (1)</w:t>
            </w:r>
          </w:p>
        </w:tc>
        <w:tc>
          <w:tcPr>
            <w:tcW w:w="96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210.1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April 1, 2014 through December 31,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March 31, 2014.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three months ended March 31, 2014 or</w:t>
      </w:r>
      <w:r>
        <w:rPr>
          <w:rFonts w:ascii="Arial" w:cs="Arial" w:eastAsia="Arial" w:hAnsi="Arial"/>
          <w:sz w:val="17"/>
          <w:szCs w:val="17"/>
          <w:i w:val="1"/>
          <w:iCs w:val="1"/>
          <w:color w:val="auto"/>
        </w:rPr>
        <w:t xml:space="preserve"> </w:t>
      </w:r>
      <w:r>
        <w:rPr>
          <w:rFonts w:ascii="Arial" w:cs="Arial" w:eastAsia="Arial" w:hAnsi="Arial"/>
          <w:sz w:val="17"/>
          <w:szCs w:val="17"/>
          <w:color w:val="auto"/>
        </w:rPr>
        <w:t>2013. There can be no assurance that future inflation will not have an adverse impact on our operating results and financial condition.</w:t>
      </w:r>
    </w:p>
    <w:p>
      <w:pPr>
        <w:spacing w:after="0" w:line="14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On June 30, 2009 and February 27, 2013, respectively, we entered into an interest rate swap and an interest rate corridor to manage our 30</w:t>
      </w:r>
      <w:r>
        <w:rPr>
          <w:rFonts w:ascii="Arial" w:cs="Arial" w:eastAsia="Arial" w:hAnsi="Arial"/>
          <w:sz w:val="17"/>
          <w:szCs w:val="17"/>
          <w:i w:val="1"/>
          <w:iCs w:val="1"/>
          <w:color w:val="auto"/>
        </w:rPr>
        <w:t xml:space="preserve"> </w:t>
      </w:r>
      <w:r>
        <w:rPr>
          <w:rFonts w:ascii="Arial" w:cs="Arial" w:eastAsia="Arial" w:hAnsi="Arial"/>
          <w:sz w:val="17"/>
          <w:szCs w:val="17"/>
          <w:color w:val="auto"/>
        </w:rPr>
        <w:t>Day LIBOR interest exposure from the variable rate debt, which debt matures in December 2019. The corridor instrument, which hedges variable interest rate risk starting March 1, 2013 through December 20, 2019 with a notional amount of $83.0 million as of March 31, 2014,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 The interest rate swap commenced on May 1, 2010, continues each month thereafter until April 30, 2014, and has a notional amount of $8.7 million as of March 31, 2014. Under this arrangement, we received 30 Day LIBOR and paid 3.245% fixed rate on the amortizing notional amount plus the credit spread.</w:t>
      </w:r>
    </w:p>
    <w:p>
      <w:pPr>
        <w:spacing w:after="0" w:line="179"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 rated marketable securities bearing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March 31, 2014, a 10% increase or decrease in interest rates would not have a material impact on our future earnings, fair values, or cash flows. For information regarding our variable rate debt, see “Market risk” above.</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2014,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Board of Directors has authorized the University to repurchase up to $75.0 million in aggregate of common stock, from time to time, depending on market conditions and other considerations. The current expiration date on the repurchase authorization is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2014, we repurchased 14,000 shares of our common stock at an aggregate cost of $0.6 million. At March 31, 2014, there remains $26.9 million available under our share repurchase authorization, which totaled $75.0 million at March 31, 2014.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first quarter of fiscal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8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Number of</w:t>
            </w: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Paid</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Announced</w:t>
            </w:r>
          </w:p>
        </w:tc>
        <w:tc>
          <w:tcPr>
            <w:tcW w:w="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the Program</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2014 – January 31, 2014</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$ 45.97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February 1, 2014 – February 28, 2014</w:t>
            </w:r>
          </w:p>
        </w:tc>
        <w:tc>
          <w:tcPr>
            <w:tcW w:w="3060" w:type="dxa"/>
            <w:vAlign w:val="bottom"/>
            <w:gridSpan w:val="3"/>
          </w:tcPr>
          <w:p>
            <w:pPr>
              <w:jc w:val="right"/>
              <w:ind w:right="180"/>
              <w:spacing w:after="0"/>
              <w:rPr>
                <w:sz w:val="20"/>
                <w:szCs w:val="20"/>
                <w:color w:val="auto"/>
              </w:rPr>
            </w:pPr>
            <w:r>
              <w:rPr>
                <w:rFonts w:ascii="Arial" w:cs="Arial" w:eastAsia="Arial" w:hAnsi="Arial"/>
                <w:sz w:val="18"/>
                <w:szCs w:val="18"/>
                <w:color w:val="auto"/>
              </w:rPr>
              <w:t>1,200</w:t>
            </w: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$ 42.01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26,902,000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2014 – March 31, 2014</w:t>
            </w:r>
          </w:p>
        </w:tc>
        <w:tc>
          <w:tcPr>
            <w:tcW w:w="1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26,902,000</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600" w:type="dxa"/>
            <w:vAlign w:val="bottom"/>
          </w:tcPr>
          <w:p>
            <w:pPr>
              <w:spacing w:after="0"/>
              <w:rPr>
                <w:sz w:val="20"/>
                <w:szCs w:val="20"/>
                <w:color w:val="auto"/>
              </w:rPr>
            </w:pPr>
          </w:p>
        </w:tc>
        <w:tc>
          <w:tcPr>
            <w:tcW w:w="3060" w:type="dxa"/>
            <w:vAlign w:val="bottom"/>
            <w:gridSpan w:val="3"/>
          </w:tcPr>
          <w:p>
            <w:pPr>
              <w:jc w:val="right"/>
              <w:ind w:right="180"/>
              <w:spacing w:after="0"/>
              <w:rPr>
                <w:sz w:val="20"/>
                <w:szCs w:val="20"/>
                <w:color w:val="auto"/>
              </w:rPr>
            </w:pPr>
            <w:r>
              <w:rPr>
                <w:rFonts w:ascii="Arial" w:cs="Arial" w:eastAsia="Arial" w:hAnsi="Arial"/>
                <w:sz w:val="18"/>
                <w:szCs w:val="18"/>
                <w:color w:val="auto"/>
              </w:rPr>
              <w:t>14,000</w:t>
            </w: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$ 45.63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26,902,000</w:t>
            </w:r>
          </w:p>
        </w:tc>
        <w:tc>
          <w:tcPr>
            <w:tcW w:w="0" w:type="dxa"/>
            <w:vAlign w:val="bottom"/>
          </w:tcPr>
          <w:p>
            <w:pPr>
              <w:spacing w:after="0"/>
              <w:rPr>
                <w:sz w:val="1"/>
                <w:szCs w:val="1"/>
                <w:color w:val="auto"/>
              </w:rPr>
            </w:pPr>
          </w:p>
        </w:tc>
      </w:tr>
      <w:tr>
        <w:trPr>
          <w:trHeight w:val="562"/>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360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3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526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5260" w:type="dxa"/>
            <w:vAlign w:val="bottom"/>
          </w:tcPr>
          <w:p>
            <w:pPr>
              <w:spacing w:after="0"/>
              <w:rPr>
                <w:sz w:val="24"/>
                <w:szCs w:val="24"/>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6220" w:type="dxa"/>
            <w:vAlign w:val="bottom"/>
            <w:gridSpan w:val="4"/>
          </w:tcPr>
          <w:p>
            <w:pPr>
              <w:ind w:left="460"/>
              <w:spacing w:after="0"/>
              <w:rPr>
                <w:sz w:val="20"/>
                <w:szCs w:val="20"/>
                <w:color w:val="auto"/>
              </w:rPr>
            </w:pPr>
            <w:r>
              <w:rPr>
                <w:rFonts w:ascii="Arial" w:cs="Arial" w:eastAsia="Arial" w:hAnsi="Arial"/>
                <w:sz w:val="18"/>
                <w:szCs w:val="18"/>
                <w:color w:val="auto"/>
              </w:rPr>
              <w:t>(a) Exhibits</w:t>
            </w:r>
          </w:p>
        </w:tc>
      </w:tr>
      <w:tr>
        <w:trPr>
          <w:trHeight w:val="40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Description</w:t>
            </w:r>
          </w:p>
        </w:tc>
      </w:tr>
    </w:tbl>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00" w:lineRule="exact"/>
        <w:rPr>
          <w:sz w:val="20"/>
          <w:szCs w:val="20"/>
          <w:color w:val="auto"/>
        </w:rPr>
      </w:pPr>
    </w:p>
    <w:p>
      <w:pPr>
        <w:spacing w:after="0" w:line="3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Second Amended and Restated Bylaws.</w:t>
      </w:r>
    </w:p>
    <w:p>
      <w:pPr>
        <w:spacing w:after="0" w:line="3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200" w:lineRule="exact"/>
        <w:rPr>
          <w:sz w:val="20"/>
          <w:szCs w:val="20"/>
          <w:color w:val="auto"/>
        </w:rPr>
      </w:pPr>
    </w:p>
    <w:p>
      <w:pPr>
        <w:spacing w:after="0" w:line="349" w:lineRule="exact"/>
        <w:rPr>
          <w:sz w:val="20"/>
          <w:szCs w:val="20"/>
          <w:color w:val="auto"/>
        </w:rPr>
      </w:pPr>
    </w:p>
    <w:p>
      <w:pPr>
        <w:ind w:left="800" w:right="160" w:hanging="782"/>
        <w:spacing w:after="0" w:line="264" w:lineRule="auto"/>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pursuant to Rules 13a-14(a) and 15d-14(a), as adopted pursuant to Section 302 of the Sarbanes-Oxley Act of 2002.</w:t>
      </w:r>
    </w:p>
    <w:p>
      <w:pPr>
        <w:spacing w:after="0" w:line="73" w:lineRule="exact"/>
        <w:rPr>
          <w:sz w:val="20"/>
          <w:szCs w:val="20"/>
          <w:color w:val="auto"/>
        </w:rPr>
      </w:pPr>
    </w:p>
    <w:p>
      <w:pPr>
        <w:ind w:left="800" w:right="160" w:hanging="782"/>
        <w:spacing w:after="0" w:line="264" w:lineRule="auto"/>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pursuant to Rules 13a-14(a) and 15d-14(a), as adopted pursuant to Section 302 of the Sarbanes-Oxley Act of 2002.</w:t>
      </w:r>
    </w:p>
    <w:p>
      <w:pPr>
        <w:spacing w:after="0" w:line="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1350, as adopted pursuant to Section 906 of the Sarbanes-Oxley Act of</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2002. ††</w:t>
      </w:r>
    </w:p>
    <w:p>
      <w:pPr>
        <w:spacing w:after="0" w:line="1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1350, as adopted pursuant to Section 906 of the Sarbanes-Oxley Act of</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2327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46" w:lineRule="exact"/>
        <w:rPr>
          <w:sz w:val="20"/>
          <w:szCs w:val="20"/>
          <w:color w:val="auto"/>
        </w:rPr>
      </w:pPr>
    </w:p>
    <w:p>
      <w:pPr>
        <w:sectPr>
          <w:pgSz w:w="11900" w:h="16838" w:orient="portrait"/>
          <w:cols w:equalWidth="0" w:num="2">
            <w:col w:w="6220" w:space="100"/>
            <w:col w:w="4920"/>
          </w:cols>
          <w:pgMar w:left="240" w:top="459" w:right="419" w:bottom="1440" w:gutter="0" w:footer="0" w:header="0"/>
        </w:sectPr>
      </w:pPr>
    </w:p>
    <w:p>
      <w:pPr>
        <w:spacing w:after="0" w:line="38" w:lineRule="exact"/>
        <w:rPr>
          <w:sz w:val="20"/>
          <w:szCs w:val="20"/>
          <w:color w:val="auto"/>
        </w:rPr>
      </w:pPr>
    </w:p>
    <w:p>
      <w:pPr>
        <w:ind w:left="460" w:right="24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30, 2014</w:t>
      </w:r>
      <w:r>
        <w:rPr>
          <w:sz w:val="20"/>
          <w:szCs w:val="20"/>
          <w:color w:val="auto"/>
        </w:rPr>
        <w:tab/>
      </w:r>
      <w:r>
        <w:rPr>
          <w:rFonts w:ascii="Arial" w:cs="Arial" w:eastAsia="Arial" w:hAnsi="Arial"/>
          <w:sz w:val="16"/>
          <w:szCs w:val="16"/>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0"/>
          </w:cols>
          <w:pgMar w:left="240" w:top="459" w:right="9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240"/>
          </w:cols>
          <w:pgMar w:left="240" w:top="459" w:right="419" w:bottom="1440" w:gutter="0" w:footer="0" w:header="0"/>
        </w:sectPr>
      </w:pPr>
    </w:p>
    <w:p>
      <w:pPr>
        <w:spacing w:after="0" w:line="244" w:lineRule="exact"/>
        <w:rPr>
          <w:sz w:val="20"/>
          <w:szCs w:val="20"/>
          <w:color w:val="auto"/>
        </w:rPr>
      </w:pPr>
    </w:p>
    <w:p>
      <w:pPr>
        <w:spacing w:after="0"/>
        <w:tabs>
          <w:tab w:leader="none" w:pos="31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15240</wp:posOffset>
            </wp:positionV>
            <wp:extent cx="34474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9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00" w:lineRule="exact"/>
        <w:rPr>
          <w:sz w:val="20"/>
          <w:szCs w:val="20"/>
          <w:color w:val="auto"/>
        </w:rPr>
      </w:pPr>
    </w:p>
    <w:p>
      <w:pPr>
        <w:spacing w:after="0" w:line="3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Second Amended and Restated Bylaws.</w:t>
      </w:r>
    </w:p>
    <w:p>
      <w:pPr>
        <w:spacing w:after="0" w:line="3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200" w:lineRule="exact"/>
        <w:rPr>
          <w:sz w:val="20"/>
          <w:szCs w:val="20"/>
          <w:color w:val="auto"/>
        </w:rPr>
      </w:pPr>
    </w:p>
    <w:p>
      <w:pPr>
        <w:spacing w:after="0" w:line="349" w:lineRule="exact"/>
        <w:rPr>
          <w:sz w:val="20"/>
          <w:szCs w:val="20"/>
          <w:color w:val="auto"/>
        </w:rPr>
      </w:pPr>
    </w:p>
    <w:p>
      <w:pPr>
        <w:ind w:left="800" w:right="40" w:hanging="782"/>
        <w:spacing w:after="0" w:line="264" w:lineRule="auto"/>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pursuant to Rules 13a-14(a) and 15d-14(a), as adopted pursuant to Section 302 of the Sarbanes-Oxley Act of 2002.</w:t>
      </w:r>
    </w:p>
    <w:p>
      <w:pPr>
        <w:spacing w:after="0" w:line="73" w:lineRule="exact"/>
        <w:rPr>
          <w:sz w:val="20"/>
          <w:szCs w:val="20"/>
          <w:color w:val="auto"/>
        </w:rPr>
      </w:pPr>
    </w:p>
    <w:p>
      <w:pPr>
        <w:ind w:left="800" w:right="40" w:hanging="782"/>
        <w:spacing w:after="0" w:line="264" w:lineRule="auto"/>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pursuant to Rules 13a-14(a) and 15d-14(a), as adopted pursuant to Section 302 of the Sarbanes-Oxley Act of 2002.</w:t>
      </w:r>
    </w:p>
    <w:p>
      <w:pPr>
        <w:spacing w:after="0" w:line="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1350, as adopted pursuant to Section 906 of the Sarbanes-Oxley Act of</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2002. ††</w:t>
      </w:r>
    </w:p>
    <w:p>
      <w:pPr>
        <w:spacing w:after="0" w:line="1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1350, as adopted pursuant to Section 906 of the Sarbanes-Oxley Act of</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2002. ††</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2327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46" w:lineRule="exact"/>
        <w:rPr>
          <w:sz w:val="20"/>
          <w:szCs w:val="20"/>
          <w:color w:val="auto"/>
        </w:rPr>
      </w:pPr>
    </w:p>
    <w:p>
      <w:pPr>
        <w:sectPr>
          <w:pgSz w:w="11900" w:h="16838" w:orient="portrait"/>
          <w:cols w:equalWidth="0" w:num="2">
            <w:col w:w="6100" w:space="220"/>
            <w:col w:w="4920"/>
          </w:cols>
          <w:pgMar w:left="240" w:top="459" w:right="419" w:bottom="1440" w:gutter="0" w:footer="0" w:header="0"/>
          <w:type w:val="continuous"/>
        </w:sectPr>
      </w:pPr>
    </w:p>
    <w:p>
      <w:pPr>
        <w:spacing w:after="0" w:line="38" w:lineRule="exact"/>
        <w:rPr>
          <w:sz w:val="20"/>
          <w:szCs w:val="20"/>
          <w:color w:val="auto"/>
        </w:rPr>
      </w:pPr>
    </w:p>
    <w:p>
      <w:pPr>
        <w:ind w:left="460" w:right="24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April 30,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2014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April 30,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2014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2014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2019-12-07T18:16:13Z</dcterms:created>
  <dcterms:modified xsi:type="dcterms:W3CDTF">2019-12-07T18:16:13Z</dcterms:modified>
</cp:coreProperties>
</file>