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203200</wp:posOffset>
            </wp:positionV>
            <wp:extent cx="586168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1685" cy="2413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236220</wp:posOffset>
            </wp:positionV>
            <wp:extent cx="58616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168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Washington, D.C. 20549</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31"/>
          <w:szCs w:val="31"/>
          <w:b w:val="1"/>
          <w:bCs w:val="1"/>
          <w:color w:val="auto"/>
        </w:rPr>
        <w:t>Form 10-K</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(Mark One)</w:t>
      </w:r>
    </w:p>
    <w:p>
      <w:pPr>
        <w:spacing w:after="0" w:line="19" w:lineRule="exact"/>
        <w:rPr>
          <w:sz w:val="20"/>
          <w:szCs w:val="20"/>
          <w:color w:val="auto"/>
        </w:rPr>
      </w:pPr>
    </w:p>
    <w:p>
      <w:pPr>
        <w:ind w:left="1420" w:right="1299" w:hanging="873"/>
        <w:spacing w:after="0" w:line="235" w:lineRule="auto"/>
        <w:tabs>
          <w:tab w:leader="none" w:pos="14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42"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For the fiscal year ended: December 31, 2010</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OR</w:t>
      </w:r>
    </w:p>
    <w:p>
      <w:pPr>
        <w:spacing w:after="0" w:line="206" w:lineRule="exact"/>
        <w:rPr>
          <w:sz w:val="20"/>
          <w:szCs w:val="20"/>
          <w:color w:val="auto"/>
        </w:rPr>
      </w:pPr>
    </w:p>
    <w:p>
      <w:pPr>
        <w:ind w:left="1420" w:right="879" w:hanging="834"/>
        <w:spacing w:after="0" w:line="252" w:lineRule="auto"/>
        <w:tabs>
          <w:tab w:leader="none" w:pos="142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30" w:lineRule="exact"/>
        <w:rPr>
          <w:sz w:val="20"/>
          <w:szCs w:val="20"/>
          <w:color w:val="auto"/>
        </w:rPr>
      </w:pPr>
    </w:p>
    <w:p>
      <w:pPr>
        <w:ind w:left="1420"/>
        <w:spacing w:after="0"/>
        <w:tabs>
          <w:tab w:leader="none" w:pos="4560" w:val="left"/>
          <w:tab w:leader="none" w:pos="5760" w:val="left"/>
        </w:tabs>
        <w:rPr>
          <w:sz w:val="20"/>
          <w:szCs w:val="20"/>
          <w:color w:val="auto"/>
        </w:rPr>
      </w:pPr>
      <w:r>
        <w:rPr>
          <w:rFonts w:ascii="Arial" w:cs="Arial" w:eastAsia="Arial" w:hAnsi="Arial"/>
          <w:sz w:val="17"/>
          <w:szCs w:val="17"/>
          <w:b w:val="1"/>
          <w:bCs w:val="1"/>
          <w:color w:val="auto"/>
        </w:rPr>
        <w:t>For the transition period from [</w:t>
      </w:r>
      <w:r>
        <w:rPr>
          <w:sz w:val="20"/>
          <w:szCs w:val="20"/>
          <w:color w:val="auto"/>
        </w:rPr>
        <w:tab/>
      </w:r>
      <w:r>
        <w:rPr>
          <w:rFonts w:ascii="Arial" w:cs="Arial" w:eastAsia="Arial" w:hAnsi="Arial"/>
          <w:sz w:val="17"/>
          <w:szCs w:val="17"/>
          <w:b w:val="1"/>
          <w:bCs w:val="1"/>
          <w:color w:val="auto"/>
        </w:rPr>
        <w:t>] to [</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-6985</wp:posOffset>
            </wp:positionV>
            <wp:extent cx="130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5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Commission file number: 001-34211</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41"/>
          <w:szCs w:val="41"/>
          <w:b w:val="1"/>
          <w:bCs w:val="1"/>
          <w:color w:val="auto"/>
        </w:rPr>
        <w:t>GRAND CANYON EDUCATION, INC.</w:t>
      </w:r>
    </w:p>
    <w:p>
      <w:pPr>
        <w:spacing w:after="0" w:line="44" w:lineRule="exact"/>
        <w:rPr>
          <w:sz w:val="20"/>
          <w:szCs w:val="20"/>
          <w:color w:val="auto"/>
        </w:rPr>
      </w:pPr>
    </w:p>
    <w:p>
      <w:pPr>
        <w:ind w:left="3140"/>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3700" w:type="dxa"/>
            <w:vAlign w:val="bottom"/>
          </w:tcPr>
          <w:p>
            <w:pPr>
              <w:jc w:val="center"/>
              <w:ind w:right="1495"/>
              <w:spacing w:after="0"/>
              <w:rPr>
                <w:sz w:val="20"/>
                <w:szCs w:val="20"/>
                <w:color w:val="auto"/>
              </w:rPr>
            </w:pPr>
            <w:r>
              <w:rPr>
                <w:rFonts w:ascii="Arial" w:cs="Arial" w:eastAsia="Arial" w:hAnsi="Arial"/>
                <w:sz w:val="17"/>
                <w:szCs w:val="17"/>
                <w:b w:val="1"/>
                <w:bCs w:val="1"/>
                <w:color w:val="auto"/>
                <w:w w:val="97"/>
              </w:rPr>
              <w:t>DELAWARE</w:t>
            </w:r>
          </w:p>
        </w:tc>
        <w:tc>
          <w:tcPr>
            <w:tcW w:w="2840" w:type="dxa"/>
            <w:vAlign w:val="bottom"/>
          </w:tcPr>
          <w:p>
            <w:pPr>
              <w:jc w:val="center"/>
              <w:ind w:left="1475"/>
              <w:spacing w:after="0"/>
              <w:rPr>
                <w:sz w:val="20"/>
                <w:szCs w:val="20"/>
                <w:color w:val="auto"/>
              </w:rPr>
            </w:pPr>
            <w:r>
              <w:rPr>
                <w:rFonts w:ascii="Arial" w:cs="Arial" w:eastAsia="Arial" w:hAnsi="Arial"/>
                <w:sz w:val="17"/>
                <w:szCs w:val="17"/>
                <w:b w:val="1"/>
                <w:bCs w:val="1"/>
                <w:color w:val="auto"/>
                <w:w w:val="92"/>
              </w:rPr>
              <w:t>20-3356009</w:t>
            </w:r>
          </w:p>
        </w:tc>
      </w:tr>
      <w:tr>
        <w:trPr>
          <w:trHeight w:val="205"/>
        </w:trPr>
        <w:tc>
          <w:tcPr>
            <w:tcW w:w="3700" w:type="dxa"/>
            <w:vAlign w:val="bottom"/>
          </w:tcPr>
          <w:p>
            <w:pPr>
              <w:jc w:val="center"/>
              <w:ind w:right="1495"/>
              <w:spacing w:after="0"/>
              <w:rPr>
                <w:sz w:val="20"/>
                <w:szCs w:val="20"/>
                <w:color w:val="auto"/>
              </w:rPr>
            </w:pPr>
            <w:r>
              <w:rPr>
                <w:rFonts w:ascii="Arial" w:cs="Arial" w:eastAsia="Arial" w:hAnsi="Arial"/>
                <w:sz w:val="17"/>
                <w:szCs w:val="17"/>
                <w:i w:val="1"/>
                <w:iCs w:val="1"/>
                <w:color w:val="auto"/>
                <w:w w:val="94"/>
              </w:rPr>
              <w:t>(State or other jurisdiction of</w:t>
            </w:r>
          </w:p>
        </w:tc>
        <w:tc>
          <w:tcPr>
            <w:tcW w:w="2840" w:type="dxa"/>
            <w:vAlign w:val="bottom"/>
          </w:tcPr>
          <w:p>
            <w:pPr>
              <w:jc w:val="center"/>
              <w:ind w:left="1495"/>
              <w:spacing w:after="0"/>
              <w:rPr>
                <w:sz w:val="20"/>
                <w:szCs w:val="20"/>
                <w:color w:val="auto"/>
              </w:rPr>
            </w:pPr>
            <w:r>
              <w:rPr>
                <w:rFonts w:ascii="Arial" w:cs="Arial" w:eastAsia="Arial" w:hAnsi="Arial"/>
                <w:sz w:val="17"/>
                <w:szCs w:val="17"/>
                <w:i w:val="1"/>
                <w:iCs w:val="1"/>
                <w:color w:val="auto"/>
                <w:w w:val="91"/>
              </w:rPr>
              <w:t>(I.R.S. Employer</w:t>
            </w:r>
          </w:p>
        </w:tc>
      </w:tr>
      <w:tr>
        <w:trPr>
          <w:trHeight w:val="216"/>
        </w:trPr>
        <w:tc>
          <w:tcPr>
            <w:tcW w:w="3700" w:type="dxa"/>
            <w:vAlign w:val="bottom"/>
          </w:tcPr>
          <w:p>
            <w:pPr>
              <w:jc w:val="center"/>
              <w:ind w:right="1495"/>
              <w:spacing w:after="0"/>
              <w:rPr>
                <w:sz w:val="20"/>
                <w:szCs w:val="20"/>
                <w:color w:val="auto"/>
              </w:rPr>
            </w:pPr>
            <w:r>
              <w:rPr>
                <w:rFonts w:ascii="Arial" w:cs="Arial" w:eastAsia="Arial" w:hAnsi="Arial"/>
                <w:sz w:val="17"/>
                <w:szCs w:val="17"/>
                <w:i w:val="1"/>
                <w:iCs w:val="1"/>
                <w:color w:val="auto"/>
                <w:w w:val="95"/>
              </w:rPr>
              <w:t>incorporation or organization)</w:t>
            </w:r>
          </w:p>
        </w:tc>
        <w:tc>
          <w:tcPr>
            <w:tcW w:w="2840" w:type="dxa"/>
            <w:vAlign w:val="bottom"/>
          </w:tcPr>
          <w:p>
            <w:pPr>
              <w:jc w:val="center"/>
              <w:ind w:left="1495"/>
              <w:spacing w:after="0"/>
              <w:rPr>
                <w:sz w:val="20"/>
                <w:szCs w:val="20"/>
                <w:color w:val="auto"/>
              </w:rPr>
            </w:pPr>
            <w:r>
              <w:rPr>
                <w:rFonts w:ascii="Arial" w:cs="Arial" w:eastAsia="Arial" w:hAnsi="Arial"/>
                <w:sz w:val="17"/>
                <w:szCs w:val="17"/>
                <w:i w:val="1"/>
                <w:iCs w:val="1"/>
                <w:color w:val="auto"/>
                <w:w w:val="95"/>
              </w:rPr>
              <w:t>Identification No.)</w:t>
            </w:r>
          </w:p>
        </w:tc>
      </w:tr>
    </w:tbl>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3300 W. CAMELBACK ROAD, PHOENIX, ARIZONA 85017</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(Address of principal executive offices, including zip code)</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(602) 639-7500</w:t>
      </w:r>
    </w:p>
    <w:p>
      <w:pPr>
        <w:spacing w:after="0" w:line="174"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(Title of Each Class)</w:t>
            </w:r>
          </w:p>
        </w:tc>
        <w:tc>
          <w:tcPr>
            <w:tcW w:w="460" w:type="dxa"/>
            <w:vAlign w:val="bottom"/>
          </w:tcPr>
          <w:p>
            <w:pPr>
              <w:spacing w:after="0"/>
              <w:rPr>
                <w:sz w:val="19"/>
                <w:szCs w:val="19"/>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195"/>
        </w:trPr>
        <w:tc>
          <w:tcPr>
            <w:tcW w:w="4360" w:type="dxa"/>
            <w:vAlign w:val="bottom"/>
          </w:tcPr>
          <w:p>
            <w:pPr>
              <w:jc w:val="center"/>
              <w:spacing w:after="0"/>
              <w:rPr>
                <w:sz w:val="20"/>
                <w:szCs w:val="20"/>
                <w:color w:val="auto"/>
              </w:rPr>
            </w:pPr>
            <w:r>
              <w:rPr>
                <w:rFonts w:ascii="Arial" w:cs="Arial" w:eastAsia="Arial" w:hAnsi="Arial"/>
                <w:sz w:val="17"/>
                <w:szCs w:val="17"/>
                <w:b w:val="1"/>
                <w:bCs w:val="1"/>
                <w:color w:val="auto"/>
                <w:w w:val="93"/>
              </w:rPr>
              <w:t>Grand Canyon Education, Inc.</w:t>
            </w:r>
          </w:p>
        </w:tc>
        <w:tc>
          <w:tcPr>
            <w:tcW w:w="46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Arial" w:cs="Arial" w:eastAsia="Arial" w:hAnsi="Arial"/>
                <w:sz w:val="17"/>
                <w:szCs w:val="17"/>
                <w:b w:val="1"/>
                <w:bCs w:val="1"/>
                <w:color w:val="auto"/>
                <w:w w:val="96"/>
              </w:rPr>
              <w:t>The NASDAQ Global Market</w:t>
            </w:r>
          </w:p>
        </w:tc>
      </w:tr>
      <w:tr>
        <w:trPr>
          <w:trHeight w:val="220"/>
        </w:trPr>
        <w:tc>
          <w:tcPr>
            <w:tcW w:w="4360" w:type="dxa"/>
            <w:vAlign w:val="bottom"/>
          </w:tcPr>
          <w:p>
            <w:pPr>
              <w:jc w:val="center"/>
              <w:spacing w:after="0"/>
              <w:rPr>
                <w:sz w:val="20"/>
                <w:szCs w:val="20"/>
                <w:color w:val="auto"/>
              </w:rPr>
            </w:pPr>
            <w:r>
              <w:rPr>
                <w:rFonts w:ascii="Arial" w:cs="Arial" w:eastAsia="Arial" w:hAnsi="Arial"/>
                <w:sz w:val="17"/>
                <w:szCs w:val="17"/>
                <w:b w:val="1"/>
                <w:bCs w:val="1"/>
                <w:color w:val="auto"/>
                <w:w w:val="89"/>
              </w:rPr>
              <w:t>Common stock, $.01 par value</w:t>
            </w:r>
          </w:p>
        </w:tc>
        <w:tc>
          <w:tcPr>
            <w:tcW w:w="460" w:type="dxa"/>
            <w:vAlign w:val="bottom"/>
          </w:tcPr>
          <w:p>
            <w:pPr>
              <w:spacing w:after="0"/>
              <w:rPr>
                <w:sz w:val="19"/>
                <w:szCs w:val="19"/>
                <w:color w:val="auto"/>
              </w:rPr>
            </w:pPr>
          </w:p>
        </w:tc>
        <w:tc>
          <w:tcPr>
            <w:tcW w:w="4400" w:type="dxa"/>
            <w:vAlign w:val="bottom"/>
          </w:tcPr>
          <w:p>
            <w:pPr>
              <w:spacing w:after="0"/>
              <w:rPr>
                <w:sz w:val="19"/>
                <w:szCs w:val="19"/>
                <w:color w:val="auto"/>
              </w:rPr>
            </w:pPr>
          </w:p>
        </w:tc>
      </w:tr>
    </w:tbl>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None</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(Title of class)</w:t>
      </w:r>
    </w:p>
    <w:p>
      <w:pPr>
        <w:spacing w:after="0" w:line="165" w:lineRule="exact"/>
        <w:rPr>
          <w:sz w:val="20"/>
          <w:szCs w:val="20"/>
          <w:color w:val="auto"/>
        </w:rPr>
      </w:pPr>
    </w:p>
    <w:p>
      <w:pPr>
        <w:ind w:left="320" w:right="1519" w:firstLine="369"/>
        <w:spacing w:after="0" w:line="220"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o No </w:t>
      </w:r>
      <w:r>
        <w:rPr>
          <w:rFonts w:ascii="MS PGothic" w:cs="MS PGothic" w:eastAsia="MS PGothic" w:hAnsi="MS PGothic"/>
          <w:sz w:val="17"/>
          <w:szCs w:val="17"/>
          <w:color w:val="auto"/>
        </w:rPr>
        <w:t>☑</w:t>
      </w:r>
    </w:p>
    <w:p>
      <w:pPr>
        <w:spacing w:after="0" w:line="150" w:lineRule="exact"/>
        <w:rPr>
          <w:sz w:val="20"/>
          <w:szCs w:val="20"/>
          <w:color w:val="auto"/>
        </w:rPr>
      </w:pPr>
    </w:p>
    <w:p>
      <w:pPr>
        <w:ind w:left="320" w:right="1359" w:firstLine="369"/>
        <w:spacing w:after="0" w:line="220"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o No </w:t>
      </w:r>
      <w:r>
        <w:rPr>
          <w:rFonts w:ascii="MS PGothic" w:cs="MS PGothic" w:eastAsia="MS PGothic" w:hAnsi="MS PGothic"/>
          <w:sz w:val="17"/>
          <w:szCs w:val="17"/>
          <w:color w:val="auto"/>
        </w:rPr>
        <w:t>☑</w:t>
      </w:r>
    </w:p>
    <w:p>
      <w:pPr>
        <w:spacing w:after="0" w:line="137" w:lineRule="exact"/>
        <w:rPr>
          <w:sz w:val="20"/>
          <w:szCs w:val="20"/>
          <w:color w:val="auto"/>
        </w:rPr>
      </w:pPr>
    </w:p>
    <w:p>
      <w:pPr>
        <w:jc w:val="both"/>
        <w:ind w:left="320" w:right="679" w:firstLine="369"/>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37" w:lineRule="exact"/>
        <w:rPr>
          <w:sz w:val="20"/>
          <w:szCs w:val="20"/>
          <w:color w:val="auto"/>
        </w:rPr>
      </w:pPr>
    </w:p>
    <w:p>
      <w:pPr>
        <w:ind w:left="320" w:right="719" w:firstLine="369"/>
        <w:spacing w:after="0" w:line="315"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16"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37"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4" w:right="1440" w:bottom="0" w:gutter="0" w:footer="0" w:header="0"/>
        </w:sectPr>
      </w:pPr>
    </w:p>
    <w:p>
      <w:pPr>
        <w:spacing w:after="0" w:line="143" w:lineRule="exact"/>
        <w:rPr>
          <w:sz w:val="20"/>
          <w:szCs w:val="20"/>
          <w:color w:val="auto"/>
        </w:rPr>
      </w:pPr>
    </w:p>
    <w:p>
      <w:pPr>
        <w:ind w:left="3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Non-accelerated filer 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4" w:lineRule="exact"/>
        <w:rPr>
          <w:sz w:val="20"/>
          <w:szCs w:val="20"/>
          <w:color w:val="auto"/>
        </w:rPr>
      </w:pPr>
    </w:p>
    <w:p>
      <w:pPr>
        <w:sectPr>
          <w:pgSz w:w="11900" w:h="16838" w:orient="portrait"/>
          <w:cols w:equalWidth="0" w:num="4">
            <w:col w:w="2120" w:space="420"/>
            <w:col w:w="1280" w:space="360"/>
            <w:col w:w="3160" w:space="180"/>
            <w:col w:w="2699"/>
          </w:cols>
          <w:pgMar w:left="240" w:top="124" w:right="1440" w:bottom="0" w:gutter="0" w:footer="0" w:header="0"/>
          <w:type w:val="continuous"/>
        </w:sectPr>
      </w:pPr>
    </w:p>
    <w:p>
      <w:pPr>
        <w:ind w:left="320" w:right="1059" w:firstLine="369"/>
        <w:spacing w:after="0" w:line="22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Securities Exchange Act). Yes o No </w:t>
      </w:r>
      <w:r>
        <w:rPr>
          <w:rFonts w:ascii="MS PGothic" w:cs="MS PGothic" w:eastAsia="MS PGothic" w:hAnsi="MS PGothic"/>
          <w:sz w:val="17"/>
          <w:szCs w:val="17"/>
          <w:color w:val="auto"/>
        </w:rPr>
        <w:t>☑</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total number of shares of common stock outstanding as of February 4, 2011, was 45,761,504.</w:t>
      </w:r>
    </w:p>
    <w:p>
      <w:pPr>
        <w:spacing w:after="0" w:line="176" w:lineRule="exact"/>
        <w:rPr>
          <w:sz w:val="20"/>
          <w:szCs w:val="20"/>
          <w:color w:val="auto"/>
        </w:rPr>
      </w:pPr>
    </w:p>
    <w:p>
      <w:pPr>
        <w:ind w:left="320" w:right="1179" w:firstLine="369"/>
        <w:spacing w:after="0" w:line="264" w:lineRule="auto"/>
        <w:rPr>
          <w:sz w:val="20"/>
          <w:szCs w:val="20"/>
          <w:color w:val="auto"/>
        </w:rPr>
      </w:pPr>
      <w:r>
        <w:rPr>
          <w:rFonts w:ascii="Arial" w:cs="Arial" w:eastAsia="Arial" w:hAnsi="Arial"/>
          <w:sz w:val="17"/>
          <w:szCs w:val="17"/>
          <w:color w:val="auto"/>
        </w:rPr>
        <w:t>As of June 30, 2010, the last business day of the registrant’s most recently completed second fiscal quarter, the registrant’s common stock was listed on the NASDAQ Global Market. As of June 30, 2010, the aggregate market value of the registrant’s common stock held by nonaffiliates was approximately $743.1 million.</w:t>
      </w:r>
    </w:p>
    <w:p>
      <w:pPr>
        <w:sectPr>
          <w:pgSz w:w="11900" w:h="16838" w:orient="portrait"/>
          <w:cols w:equalWidth="0" w:num="1">
            <w:col w:w="10219"/>
          </w:cols>
          <w:pgMar w:left="240" w:top="124" w:right="1440" w:bottom="0" w:gutter="0" w:footer="0" w:header="0"/>
          <w:type w:val="continuous"/>
        </w:sectPr>
      </w:pPr>
    </w:p>
    <w:bookmarkStart w:id="2" w:name="page3"/>
    <w:bookmarkEnd w:id="2"/>
    <w:p>
      <w:pPr>
        <w:ind w:left="264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80" w:lineRule="exact"/>
        <w:rPr>
          <w:sz w:val="20"/>
          <w:szCs w:val="20"/>
          <w:color w:val="auto"/>
        </w:rPr>
      </w:pPr>
    </w:p>
    <w:p>
      <w:pPr>
        <w:ind w:right="679" w:firstLine="369"/>
        <w:spacing w:after="0" w:line="264" w:lineRule="auto"/>
        <w:rPr>
          <w:sz w:val="20"/>
          <w:szCs w:val="20"/>
          <w:color w:val="auto"/>
        </w:rPr>
      </w:pPr>
      <w:r>
        <w:rPr>
          <w:rFonts w:ascii="Arial" w:cs="Arial" w:eastAsia="Arial" w:hAnsi="Arial"/>
          <w:sz w:val="17"/>
          <w:szCs w:val="17"/>
          <w:color w:val="auto"/>
        </w:rPr>
        <w:t>Certain portions of the registrant’s Definitive Proxy Statement for its 2011 Annual Meeting of Stockholders (which is expected to be filed with the Commission within 120 days after the end of the registrant’s 2010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5861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16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127635</wp:posOffset>
            </wp:positionV>
            <wp:extent cx="586168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1685" cy="2413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751840</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899"/>
          </w:cols>
          <w:pgMar w:left="560" w:top="12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gridSpan w:val="12"/>
          </w:tcPr>
          <w:p>
            <w:pPr>
              <w:jc w:val="center"/>
              <w:ind w:right="2060"/>
              <w:spacing w:after="0"/>
              <w:rPr>
                <w:sz w:val="20"/>
                <w:szCs w:val="20"/>
                <w:color w:val="auto"/>
              </w:rPr>
            </w:pPr>
            <w:r>
              <w:rPr>
                <w:rFonts w:ascii="Arial" w:cs="Arial" w:eastAsia="Arial" w:hAnsi="Arial"/>
                <w:sz w:val="17"/>
                <w:szCs w:val="17"/>
                <w:color w:val="auto"/>
                <w:w w:val="98"/>
              </w:rPr>
              <w:t>GRAND CANYON EDUCATION, INC.</w:t>
            </w:r>
          </w:p>
        </w:tc>
        <w:tc>
          <w:tcPr>
            <w:tcW w:w="9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8"/>
          </w:tcPr>
          <w:p>
            <w:pPr>
              <w:jc w:val="center"/>
              <w:ind w:right="2880"/>
              <w:spacing w:after="0"/>
              <w:rPr>
                <w:sz w:val="20"/>
                <w:szCs w:val="20"/>
                <w:color w:val="auto"/>
              </w:rPr>
            </w:pPr>
            <w:r>
              <w:rPr>
                <w:rFonts w:ascii="Arial" w:cs="Arial" w:eastAsia="Arial" w:hAnsi="Arial"/>
                <w:sz w:val="17"/>
                <w:szCs w:val="17"/>
                <w:color w:val="auto"/>
                <w:w w:val="96"/>
              </w:rPr>
              <w:t>FORM 10-K</w:t>
            </w: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8"/>
          </w:tcPr>
          <w:p>
            <w:pPr>
              <w:jc w:val="center"/>
              <w:ind w:right="2860"/>
              <w:spacing w:after="0"/>
              <w:rPr>
                <w:sz w:val="20"/>
                <w:szCs w:val="20"/>
                <w:color w:val="auto"/>
              </w:rPr>
            </w:pPr>
            <w:r>
              <w:rPr>
                <w:rFonts w:ascii="Arial" w:cs="Arial" w:eastAsia="Arial" w:hAnsi="Arial"/>
                <w:sz w:val="17"/>
                <w:szCs w:val="17"/>
                <w:color w:val="auto"/>
              </w:rPr>
              <w:t>INDEX</w:t>
            </w: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7"/>
                <w:szCs w:val="17"/>
                <w:b w:val="1"/>
                <w:bCs w:val="1"/>
                <w:color w:val="auto"/>
              </w:rPr>
              <w:t>Page</w:t>
            </w:r>
          </w:p>
        </w:tc>
      </w:tr>
      <w:tr>
        <w:trPr>
          <w:trHeight w:val="366"/>
        </w:trPr>
        <w:tc>
          <w:tcPr>
            <w:tcW w:w="360" w:type="dxa"/>
            <w:vAlign w:val="bottom"/>
          </w:tcPr>
          <w:p>
            <w:pPr>
              <w:spacing w:after="0"/>
              <w:rPr>
                <w:sz w:val="24"/>
                <w:szCs w:val="24"/>
                <w:color w:val="auto"/>
              </w:rPr>
            </w:pPr>
          </w:p>
        </w:tc>
        <w:tc>
          <w:tcPr>
            <w:tcW w:w="640" w:type="dxa"/>
            <w:vAlign w:val="bottom"/>
            <w:gridSpan w:val="7"/>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PART I</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3640" w:type="dxa"/>
            <w:vAlign w:val="bottom"/>
            <w:tcBorders>
              <w:bottom w:val="single" w:sz="8" w:color="0000EE"/>
            </w:tcBorders>
            <w:gridSpan w:val="24"/>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Special Note Regarding Forward-Looking Statements</w:t>
              </w:r>
            </w:hyperlink>
          </w:p>
        </w:tc>
        <w:tc>
          <w:tcPr>
            <w:tcW w:w="4540" w:type="dxa"/>
            <w:vAlign w:val="bottom"/>
            <w:gridSpan w:val="9"/>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3</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7">
              <w:r>
                <w:rPr>
                  <w:rFonts w:ascii="Arial" w:cs="Arial" w:eastAsia="Arial" w:hAnsi="Arial"/>
                  <w:sz w:val="17"/>
                  <w:szCs w:val="17"/>
                  <w:color w:val="0000EE"/>
                  <w:w w:val="92"/>
                </w:rPr>
                <w:t>Item 1.</w:t>
              </w:r>
            </w:hyperlink>
          </w:p>
        </w:tc>
        <w:tc>
          <w:tcPr>
            <w:tcW w:w="640" w:type="dxa"/>
            <w:vAlign w:val="bottom"/>
            <w:tcBorders>
              <w:bottom w:val="single" w:sz="8" w:color="0000EE"/>
            </w:tcBorders>
            <w:gridSpan w:val="5"/>
          </w:tcPr>
          <w:p>
            <w:pPr>
              <w:ind w:left="20"/>
              <w:spacing w:after="0"/>
              <w:rPr>
                <w:rFonts w:ascii="Arial" w:cs="Arial" w:eastAsia="Arial" w:hAnsi="Arial"/>
                <w:sz w:val="17"/>
                <w:szCs w:val="17"/>
                <w:color w:val="0000EE"/>
                <w:w w:val="86"/>
              </w:rPr>
            </w:pPr>
            <w:hyperlink w:anchor="page7">
              <w:r>
                <w:rPr>
                  <w:rFonts w:ascii="Arial" w:cs="Arial" w:eastAsia="Arial" w:hAnsi="Arial"/>
                  <w:sz w:val="17"/>
                  <w:szCs w:val="17"/>
                  <w:color w:val="0000EE"/>
                  <w:w w:val="86"/>
                </w:rPr>
                <w:t>Business</w:t>
              </w:r>
            </w:hyperlink>
          </w:p>
        </w:tc>
        <w:tc>
          <w:tcPr>
            <w:tcW w:w="6900" w:type="dxa"/>
            <w:vAlign w:val="bottom"/>
            <w:gridSpan w:val="21"/>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5</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Borders>
              <w:bottom w:val="single" w:sz="8" w:color="0000EE"/>
            </w:tcBorders>
            <w:gridSpan w:val="13"/>
          </w:tcPr>
          <w:p>
            <w:pPr>
              <w:spacing w:after="0"/>
              <w:rPr>
                <w:rFonts w:ascii="Arial" w:cs="Arial" w:eastAsia="Arial" w:hAnsi="Arial"/>
                <w:sz w:val="17"/>
                <w:szCs w:val="17"/>
                <w:color w:val="0000EE"/>
                <w:w w:val="92"/>
              </w:rPr>
            </w:pPr>
            <w:hyperlink w:anchor="page41">
              <w:r>
                <w:rPr>
                  <w:rFonts w:ascii="Arial" w:cs="Arial" w:eastAsia="Arial" w:hAnsi="Arial"/>
                  <w:sz w:val="17"/>
                  <w:szCs w:val="17"/>
                  <w:color w:val="0000EE"/>
                  <w:w w:val="92"/>
                </w:rPr>
                <w:t>Item 1A. Risk Factors</w:t>
              </w:r>
            </w:hyperlink>
          </w:p>
        </w:tc>
        <w:tc>
          <w:tcPr>
            <w:tcW w:w="6520" w:type="dxa"/>
            <w:vAlign w:val="bottom"/>
            <w:gridSpan w:val="19"/>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39</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Item 1B. Unresolved Staff Comments</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63</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0000EE"/>
            </w:tcBorders>
            <w:gridSpan w:val="6"/>
          </w:tcPr>
          <w:p>
            <w:pPr>
              <w:spacing w:after="0"/>
              <w:rPr>
                <w:rFonts w:ascii="Arial" w:cs="Arial" w:eastAsia="Arial" w:hAnsi="Arial"/>
                <w:sz w:val="17"/>
                <w:szCs w:val="17"/>
                <w:color w:val="0000EE"/>
                <w:w w:val="92"/>
              </w:rPr>
            </w:pPr>
            <w:hyperlink w:anchor="page65">
              <w:r>
                <w:rPr>
                  <w:rFonts w:ascii="Arial" w:cs="Arial" w:eastAsia="Arial" w:hAnsi="Arial"/>
                  <w:sz w:val="17"/>
                  <w:szCs w:val="17"/>
                  <w:color w:val="0000EE"/>
                  <w:w w:val="92"/>
                </w:rPr>
                <w:t>Item 2.</w:t>
              </w:r>
            </w:hyperlink>
          </w:p>
        </w:tc>
        <w:tc>
          <w:tcPr>
            <w:tcW w:w="2080" w:type="dxa"/>
            <w:vAlign w:val="bottom"/>
            <w:tcBorders>
              <w:top w:val="single" w:sz="8" w:color="0000EE"/>
            </w:tcBorders>
            <w:gridSpan w:val="13"/>
          </w:tcPr>
          <w:p>
            <w:pPr>
              <w:ind w:left="20"/>
              <w:spacing w:after="0"/>
              <w:rPr>
                <w:rFonts w:ascii="Arial" w:cs="Arial" w:eastAsia="Arial" w:hAnsi="Arial"/>
                <w:sz w:val="17"/>
                <w:szCs w:val="17"/>
                <w:color w:val="0000EE"/>
              </w:rPr>
            </w:pPr>
            <w:hyperlink w:anchor="page65">
              <w:r>
                <w:rPr>
                  <w:rFonts w:ascii="Arial" w:cs="Arial" w:eastAsia="Arial" w:hAnsi="Arial"/>
                  <w:sz w:val="17"/>
                  <w:szCs w:val="17"/>
                  <w:color w:val="0000EE"/>
                </w:rPr>
                <w:t>Properties</w:t>
              </w:r>
            </w:hyperlink>
          </w:p>
        </w:tc>
        <w:tc>
          <w:tcPr>
            <w:tcW w:w="5460" w:type="dxa"/>
            <w:vAlign w:val="bottom"/>
            <w:gridSpan w:val="13"/>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63</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65">
              <w:r>
                <w:rPr>
                  <w:rFonts w:ascii="Arial" w:cs="Arial" w:eastAsia="Arial" w:hAnsi="Arial"/>
                  <w:sz w:val="17"/>
                  <w:szCs w:val="17"/>
                  <w:color w:val="0000EE"/>
                  <w:w w:val="92"/>
                </w:rPr>
                <w:t>Item 3.</w:t>
              </w:r>
            </w:hyperlink>
          </w:p>
        </w:tc>
        <w:tc>
          <w:tcPr>
            <w:tcW w:w="1300" w:type="dxa"/>
            <w:vAlign w:val="bottom"/>
            <w:tcBorders>
              <w:bottom w:val="single" w:sz="8" w:color="0000EE"/>
            </w:tcBorders>
            <w:gridSpan w:val="8"/>
          </w:tcPr>
          <w:p>
            <w:pPr>
              <w:ind w:left="20"/>
              <w:spacing w:after="0"/>
              <w:rPr>
                <w:rFonts w:ascii="Arial" w:cs="Arial" w:eastAsia="Arial" w:hAnsi="Arial"/>
                <w:sz w:val="17"/>
                <w:szCs w:val="17"/>
                <w:color w:val="0000EE"/>
                <w:w w:val="89"/>
              </w:rPr>
            </w:pPr>
            <w:hyperlink w:anchor="page65">
              <w:r>
                <w:rPr>
                  <w:rFonts w:ascii="Arial" w:cs="Arial" w:eastAsia="Arial" w:hAnsi="Arial"/>
                  <w:sz w:val="17"/>
                  <w:szCs w:val="17"/>
                  <w:color w:val="0000EE"/>
                  <w:w w:val="89"/>
                </w:rPr>
                <w:t>Legal Proceedings</w:t>
              </w:r>
            </w:hyperlink>
          </w:p>
        </w:tc>
        <w:tc>
          <w:tcPr>
            <w:tcW w:w="6240" w:type="dxa"/>
            <w:vAlign w:val="bottom"/>
            <w:gridSpan w:val="18"/>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63</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6"/>
          </w:tcPr>
          <w:p>
            <w:pPr>
              <w:spacing w:after="0"/>
              <w:rPr>
                <w:rFonts w:ascii="Arial" w:cs="Arial" w:eastAsia="Arial" w:hAnsi="Arial"/>
                <w:sz w:val="17"/>
                <w:szCs w:val="17"/>
                <w:color w:val="0000EE"/>
                <w:w w:val="92"/>
              </w:rPr>
            </w:pPr>
            <w:hyperlink w:anchor="page67">
              <w:r>
                <w:rPr>
                  <w:rFonts w:ascii="Arial" w:cs="Arial" w:eastAsia="Arial" w:hAnsi="Arial"/>
                  <w:sz w:val="17"/>
                  <w:szCs w:val="17"/>
                  <w:color w:val="0000EE"/>
                  <w:w w:val="92"/>
                </w:rPr>
                <w:t>Item 4.</w:t>
              </w:r>
            </w:hyperlink>
          </w:p>
        </w:tc>
        <w:tc>
          <w:tcPr>
            <w:tcW w:w="7540" w:type="dxa"/>
            <w:vAlign w:val="bottom"/>
            <w:gridSpan w:val="26"/>
          </w:tcPr>
          <w:p>
            <w:pPr>
              <w:ind w:left="20"/>
              <w:spacing w:after="0"/>
              <w:rPr>
                <w:rFonts w:ascii="Arial" w:cs="Arial" w:eastAsia="Arial" w:hAnsi="Arial"/>
                <w:sz w:val="17"/>
                <w:szCs w:val="17"/>
                <w:color w:val="0000EE"/>
              </w:rPr>
            </w:pPr>
            <w:hyperlink w:anchor="page67">
              <w:r>
                <w:rPr>
                  <w:rFonts w:ascii="Arial" w:cs="Arial" w:eastAsia="Arial" w:hAnsi="Arial"/>
                  <w:sz w:val="17"/>
                  <w:szCs w:val="17"/>
                  <w:color w:val="0000EE"/>
                </w:rPr>
                <w:t>(Removed and Reserved)</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65</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580" w:type="dxa"/>
            <w:vAlign w:val="bottom"/>
            <w:tcBorders>
              <w:bottom w:val="single" w:sz="8" w:color="0000EE"/>
            </w:tcBorders>
            <w:gridSpan w:val="5"/>
          </w:tcPr>
          <w:p>
            <w:pPr>
              <w:spacing w:after="0"/>
              <w:rPr>
                <w:rFonts w:ascii="Arial" w:cs="Arial" w:eastAsia="Arial" w:hAnsi="Arial"/>
                <w:sz w:val="17"/>
                <w:szCs w:val="17"/>
                <w:b w:val="1"/>
                <w:bCs w:val="1"/>
                <w:color w:val="0000EE"/>
                <w:w w:val="92"/>
              </w:rPr>
            </w:pPr>
            <w:hyperlink w:anchor="page68">
              <w:r>
                <w:rPr>
                  <w:rFonts w:ascii="Arial" w:cs="Arial" w:eastAsia="Arial" w:hAnsi="Arial"/>
                  <w:sz w:val="17"/>
                  <w:szCs w:val="17"/>
                  <w:b w:val="1"/>
                  <w:bCs w:val="1"/>
                  <w:color w:val="0000EE"/>
                  <w:w w:val="92"/>
                </w:rPr>
                <w:t>PART II</w:t>
              </w:r>
            </w:hyperlink>
          </w:p>
        </w:tc>
        <w:tc>
          <w:tcPr>
            <w:tcW w:w="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68">
              <w:r>
                <w:rPr>
                  <w:rFonts w:ascii="Arial" w:cs="Arial" w:eastAsia="Arial" w:hAnsi="Arial"/>
                  <w:sz w:val="17"/>
                  <w:szCs w:val="17"/>
                  <w:color w:val="0000EE"/>
                  <w:w w:val="92"/>
                </w:rPr>
                <w:t>Item 5.</w:t>
              </w:r>
            </w:hyperlink>
          </w:p>
        </w:tc>
        <w:tc>
          <w:tcPr>
            <w:tcW w:w="6980" w:type="dxa"/>
            <w:vAlign w:val="bottom"/>
            <w:tcBorders>
              <w:bottom w:val="single" w:sz="8" w:color="0000EE"/>
            </w:tcBorders>
            <w:gridSpan w:val="24"/>
          </w:tcPr>
          <w:p>
            <w:pPr>
              <w:ind w:left="20"/>
              <w:spacing w:after="0"/>
              <w:rPr>
                <w:rFonts w:ascii="Arial" w:cs="Arial" w:eastAsia="Arial" w:hAnsi="Arial"/>
                <w:sz w:val="17"/>
                <w:szCs w:val="17"/>
                <w:color w:val="0000EE"/>
                <w:w w:val="91"/>
              </w:rPr>
            </w:pPr>
            <w:hyperlink w:anchor="page68">
              <w:r>
                <w:rPr>
                  <w:rFonts w:ascii="Arial" w:cs="Arial" w:eastAsia="Arial" w:hAnsi="Arial"/>
                  <w:sz w:val="17"/>
                  <w:szCs w:val="17"/>
                  <w:color w:val="0000EE"/>
                  <w:w w:val="91"/>
                </w:rPr>
                <w:t>Market for Registrant’s Common Equity, Related Stockholder Matters and Issuer Purchases of Equity</w:t>
              </w:r>
            </w:hyperlink>
          </w:p>
        </w:tc>
        <w:tc>
          <w:tcPr>
            <w:tcW w:w="5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5"/>
        </w:trPr>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bottom w:val="single" w:sz="8" w:color="0000EE"/>
            </w:tcBorders>
            <w:gridSpan w:val="9"/>
          </w:tcPr>
          <w:p>
            <w:pPr>
              <w:spacing w:after="0" w:line="185" w:lineRule="exact"/>
              <w:rPr>
                <w:rFonts w:ascii="Arial" w:cs="Arial" w:eastAsia="Arial" w:hAnsi="Arial"/>
                <w:sz w:val="17"/>
                <w:szCs w:val="17"/>
                <w:color w:val="0000EE"/>
                <w:w w:val="88"/>
              </w:rPr>
            </w:pPr>
            <w:hyperlink w:anchor="page68">
              <w:r>
                <w:rPr>
                  <w:rFonts w:ascii="Arial" w:cs="Arial" w:eastAsia="Arial" w:hAnsi="Arial"/>
                  <w:sz w:val="17"/>
                  <w:szCs w:val="17"/>
                  <w:color w:val="0000EE"/>
                  <w:w w:val="88"/>
                </w:rPr>
                <w:t>Securities</w:t>
              </w:r>
            </w:hyperlink>
          </w:p>
        </w:tc>
        <w:tc>
          <w:tcPr>
            <w:tcW w:w="7160" w:type="dxa"/>
            <w:vAlign w:val="bottom"/>
            <w:gridSpan w:val="22"/>
          </w:tcPr>
          <w:p>
            <w:pPr>
              <w:spacing w:after="0"/>
              <w:rPr>
                <w:sz w:val="16"/>
                <w:szCs w:val="16"/>
                <w:color w:val="auto"/>
              </w:rPr>
            </w:pPr>
          </w:p>
        </w:tc>
        <w:tc>
          <w:tcPr>
            <w:tcW w:w="2880" w:type="dxa"/>
            <w:vAlign w:val="bottom"/>
            <w:gridSpan w:val="2"/>
          </w:tcPr>
          <w:p>
            <w:pPr>
              <w:jc w:val="right"/>
              <w:ind w:right="1960"/>
              <w:spacing w:after="0" w:line="185" w:lineRule="exact"/>
              <w:rPr>
                <w:sz w:val="20"/>
                <w:szCs w:val="20"/>
                <w:color w:val="auto"/>
              </w:rPr>
            </w:pPr>
            <w:r>
              <w:rPr>
                <w:rFonts w:ascii="Arial" w:cs="Arial" w:eastAsia="Arial" w:hAnsi="Arial"/>
                <w:sz w:val="17"/>
                <w:szCs w:val="17"/>
                <w:color w:val="auto"/>
              </w:rPr>
              <w:t>66</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72">
              <w:r>
                <w:rPr>
                  <w:rFonts w:ascii="Arial" w:cs="Arial" w:eastAsia="Arial" w:hAnsi="Arial"/>
                  <w:sz w:val="17"/>
                  <w:szCs w:val="17"/>
                  <w:color w:val="0000EE"/>
                  <w:w w:val="92"/>
                </w:rPr>
                <w:t>Item 6.</w:t>
              </w:r>
            </w:hyperlink>
          </w:p>
        </w:tc>
        <w:tc>
          <w:tcPr>
            <w:tcW w:w="2380" w:type="dxa"/>
            <w:vAlign w:val="bottom"/>
            <w:tcBorders>
              <w:bottom w:val="single" w:sz="8" w:color="0000EE"/>
            </w:tcBorders>
            <w:gridSpan w:val="14"/>
          </w:tcPr>
          <w:p>
            <w:pPr>
              <w:ind w:left="20"/>
              <w:spacing w:after="0"/>
              <w:rPr>
                <w:rFonts w:ascii="Arial" w:cs="Arial" w:eastAsia="Arial" w:hAnsi="Arial"/>
                <w:sz w:val="17"/>
                <w:szCs w:val="17"/>
                <w:color w:val="0000EE"/>
                <w:w w:val="90"/>
              </w:rPr>
            </w:pPr>
            <w:hyperlink w:anchor="page72">
              <w:r>
                <w:rPr>
                  <w:rFonts w:ascii="Arial" w:cs="Arial" w:eastAsia="Arial" w:hAnsi="Arial"/>
                  <w:sz w:val="17"/>
                  <w:szCs w:val="17"/>
                  <w:color w:val="0000EE"/>
                  <w:w w:val="90"/>
                </w:rPr>
                <w:t>Selected Financial and Other Data</w:t>
              </w:r>
            </w:hyperlink>
          </w:p>
        </w:tc>
        <w:tc>
          <w:tcPr>
            <w:tcW w:w="5160" w:type="dxa"/>
            <w:vAlign w:val="bottom"/>
            <w:gridSpan w:val="12"/>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70</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6"/>
          </w:tcPr>
          <w:p>
            <w:pPr>
              <w:spacing w:after="0"/>
              <w:rPr>
                <w:rFonts w:ascii="Arial" w:cs="Arial" w:eastAsia="Arial" w:hAnsi="Arial"/>
                <w:sz w:val="17"/>
                <w:szCs w:val="17"/>
                <w:color w:val="0000EE"/>
                <w:w w:val="92"/>
              </w:rPr>
            </w:pPr>
            <w:hyperlink w:anchor="page75">
              <w:r>
                <w:rPr>
                  <w:rFonts w:ascii="Arial" w:cs="Arial" w:eastAsia="Arial" w:hAnsi="Arial"/>
                  <w:sz w:val="17"/>
                  <w:szCs w:val="17"/>
                  <w:color w:val="0000EE"/>
                  <w:w w:val="92"/>
                </w:rPr>
                <w:t>Item 7.</w:t>
              </w:r>
            </w:hyperlink>
          </w:p>
        </w:tc>
        <w:tc>
          <w:tcPr>
            <w:tcW w:w="7540" w:type="dxa"/>
            <w:vAlign w:val="bottom"/>
            <w:gridSpan w:val="26"/>
          </w:tcPr>
          <w:p>
            <w:pPr>
              <w:ind w:left="20"/>
              <w:spacing w:after="0"/>
              <w:rPr>
                <w:rFonts w:ascii="Arial" w:cs="Arial" w:eastAsia="Arial" w:hAnsi="Arial"/>
                <w:sz w:val="17"/>
                <w:szCs w:val="17"/>
                <w:color w:val="0000EE"/>
              </w:rPr>
            </w:pPr>
            <w:hyperlink w:anchor="page75">
              <w:r>
                <w:rPr>
                  <w:rFonts w:ascii="Arial" w:cs="Arial" w:eastAsia="Arial" w:hAnsi="Arial"/>
                  <w:sz w:val="17"/>
                  <w:szCs w:val="17"/>
                  <w:color w:val="0000EE"/>
                </w:rPr>
                <w:t>Management’s Discussion and Analysis of Financial Condition and Results of Operations</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73</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26"/>
          </w:tcPr>
          <w:p>
            <w:pPr>
              <w:spacing w:after="0"/>
              <w:rPr>
                <w:rFonts w:ascii="Arial" w:cs="Arial" w:eastAsia="Arial" w:hAnsi="Arial"/>
                <w:sz w:val="17"/>
                <w:szCs w:val="17"/>
                <w:color w:val="0000EE"/>
                <w:w w:val="93"/>
              </w:rPr>
            </w:pPr>
            <w:hyperlink w:anchor="page93">
              <w:r>
                <w:rPr>
                  <w:rFonts w:ascii="Arial" w:cs="Arial" w:eastAsia="Arial" w:hAnsi="Arial"/>
                  <w:sz w:val="17"/>
                  <w:szCs w:val="17"/>
                  <w:color w:val="0000EE"/>
                  <w:w w:val="93"/>
                </w:rPr>
                <w:t>Item 7A. Quantitative and Qualitative Disclosures About Market Risk</w:t>
              </w:r>
            </w:hyperlink>
          </w:p>
        </w:tc>
        <w:tc>
          <w:tcPr>
            <w:tcW w:w="1860" w:type="dxa"/>
            <w:vAlign w:val="bottom"/>
            <w:tcBorders>
              <w:top w:val="single" w:sz="8" w:color="0000EE"/>
            </w:tcBorders>
            <w:gridSpan w:val="2"/>
          </w:tcPr>
          <w:p>
            <w:pPr>
              <w:spacing w:after="0"/>
              <w:rPr>
                <w:sz w:val="24"/>
                <w:szCs w:val="24"/>
                <w:color w:val="auto"/>
              </w:rPr>
            </w:pPr>
          </w:p>
        </w:tc>
        <w:tc>
          <w:tcPr>
            <w:tcW w:w="1380" w:type="dxa"/>
            <w:vAlign w:val="bottom"/>
            <w:gridSpan w:val="4"/>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91</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6"/>
          </w:tcPr>
          <w:p>
            <w:pPr>
              <w:spacing w:after="0"/>
              <w:rPr>
                <w:rFonts w:ascii="Arial" w:cs="Arial" w:eastAsia="Arial" w:hAnsi="Arial"/>
                <w:sz w:val="17"/>
                <w:szCs w:val="17"/>
                <w:color w:val="0000EE"/>
                <w:w w:val="92"/>
              </w:rPr>
            </w:pPr>
            <w:hyperlink w:anchor="page94">
              <w:r>
                <w:rPr>
                  <w:rFonts w:ascii="Arial" w:cs="Arial" w:eastAsia="Arial" w:hAnsi="Arial"/>
                  <w:sz w:val="17"/>
                  <w:szCs w:val="17"/>
                  <w:color w:val="0000EE"/>
                  <w:w w:val="92"/>
                </w:rPr>
                <w:t>Item 8.</w:t>
              </w:r>
            </w:hyperlink>
          </w:p>
        </w:tc>
        <w:tc>
          <w:tcPr>
            <w:tcW w:w="7540" w:type="dxa"/>
            <w:vAlign w:val="bottom"/>
            <w:gridSpan w:val="26"/>
          </w:tcPr>
          <w:p>
            <w:pPr>
              <w:ind w:left="20"/>
              <w:spacing w:after="0"/>
              <w:rPr>
                <w:rFonts w:ascii="Arial" w:cs="Arial" w:eastAsia="Arial" w:hAnsi="Arial"/>
                <w:sz w:val="17"/>
                <w:szCs w:val="17"/>
                <w:color w:val="0000EE"/>
              </w:rPr>
            </w:pPr>
            <w:hyperlink w:anchor="page94">
              <w:r>
                <w:rPr>
                  <w:rFonts w:ascii="Arial" w:cs="Arial" w:eastAsia="Arial" w:hAnsi="Arial"/>
                  <w:sz w:val="17"/>
                  <w:szCs w:val="17"/>
                  <w:color w:val="0000EE"/>
                </w:rPr>
                <w:t>Financial Statements and Supplementary Data</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92</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132">
              <w:r>
                <w:rPr>
                  <w:rFonts w:ascii="Arial" w:cs="Arial" w:eastAsia="Arial" w:hAnsi="Arial"/>
                  <w:sz w:val="17"/>
                  <w:szCs w:val="17"/>
                  <w:color w:val="0000EE"/>
                  <w:w w:val="92"/>
                </w:rPr>
                <w:t>Item 9.</w:t>
              </w:r>
            </w:hyperlink>
          </w:p>
        </w:tc>
        <w:tc>
          <w:tcPr>
            <w:tcW w:w="6220" w:type="dxa"/>
            <w:vAlign w:val="bottom"/>
            <w:tcBorders>
              <w:bottom w:val="single" w:sz="8" w:color="0000EE"/>
            </w:tcBorders>
            <w:gridSpan w:val="23"/>
          </w:tcPr>
          <w:p>
            <w:pPr>
              <w:ind w:left="20"/>
              <w:spacing w:after="0"/>
              <w:rPr>
                <w:rFonts w:ascii="Arial" w:cs="Arial" w:eastAsia="Arial" w:hAnsi="Arial"/>
                <w:sz w:val="17"/>
                <w:szCs w:val="17"/>
                <w:color w:val="0000EE"/>
                <w:w w:val="91"/>
              </w:rPr>
            </w:pPr>
            <w:hyperlink w:anchor="page132">
              <w:r>
                <w:rPr>
                  <w:rFonts w:ascii="Arial" w:cs="Arial" w:eastAsia="Arial" w:hAnsi="Arial"/>
                  <w:sz w:val="17"/>
                  <w:szCs w:val="17"/>
                  <w:color w:val="0000EE"/>
                  <w:w w:val="91"/>
                </w:rPr>
                <w:t>Changes in and Disagreements With Accountants on Accounting and Financial Disclosure</w:t>
              </w:r>
            </w:hyperlink>
          </w:p>
        </w:tc>
        <w:tc>
          <w:tcPr>
            <w:tcW w:w="1320" w:type="dxa"/>
            <w:vAlign w:val="bottom"/>
            <w:gridSpan w:val="3"/>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129</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bottom w:val="single" w:sz="8" w:color="0000EE"/>
            </w:tcBorders>
            <w:gridSpan w:val="18"/>
          </w:tcPr>
          <w:p>
            <w:pPr>
              <w:spacing w:after="0"/>
              <w:rPr>
                <w:rFonts w:ascii="Arial" w:cs="Arial" w:eastAsia="Arial" w:hAnsi="Arial"/>
                <w:sz w:val="17"/>
                <w:szCs w:val="17"/>
                <w:color w:val="0000EE"/>
                <w:w w:val="90"/>
              </w:rPr>
            </w:pPr>
            <w:hyperlink w:anchor="page132">
              <w:r>
                <w:rPr>
                  <w:rFonts w:ascii="Arial" w:cs="Arial" w:eastAsia="Arial" w:hAnsi="Arial"/>
                  <w:sz w:val="17"/>
                  <w:szCs w:val="17"/>
                  <w:color w:val="0000EE"/>
                  <w:w w:val="90"/>
                </w:rPr>
                <w:t>Item 9A. Controls and Procedures</w:t>
              </w:r>
            </w:hyperlink>
          </w:p>
        </w:tc>
        <w:tc>
          <w:tcPr>
            <w:tcW w:w="5700" w:type="dxa"/>
            <w:vAlign w:val="bottom"/>
            <w:gridSpan w:val="14"/>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129</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bottom w:val="single" w:sz="8" w:color="0000EE"/>
            </w:tcBorders>
            <w:gridSpan w:val="15"/>
          </w:tcPr>
          <w:p>
            <w:pPr>
              <w:spacing w:after="0"/>
              <w:rPr>
                <w:rFonts w:ascii="Arial" w:cs="Arial" w:eastAsia="Arial" w:hAnsi="Arial"/>
                <w:sz w:val="17"/>
                <w:szCs w:val="17"/>
                <w:color w:val="0000EE"/>
                <w:w w:val="93"/>
              </w:rPr>
            </w:pPr>
            <w:hyperlink w:anchor="page133">
              <w:r>
                <w:rPr>
                  <w:rFonts w:ascii="Arial" w:cs="Arial" w:eastAsia="Arial" w:hAnsi="Arial"/>
                  <w:sz w:val="17"/>
                  <w:szCs w:val="17"/>
                  <w:color w:val="0000EE"/>
                  <w:w w:val="93"/>
                </w:rPr>
                <w:t>Item 9B. Other Information</w:t>
              </w:r>
            </w:hyperlink>
          </w:p>
        </w:tc>
        <w:tc>
          <w:tcPr>
            <w:tcW w:w="6140" w:type="dxa"/>
            <w:vAlign w:val="bottom"/>
            <w:gridSpan w:val="17"/>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130</w:t>
            </w:r>
          </w:p>
        </w:tc>
      </w:tr>
      <w:tr>
        <w:trPr>
          <w:trHeight w:val="390"/>
        </w:trPr>
        <w:tc>
          <w:tcPr>
            <w:tcW w:w="360" w:type="dxa"/>
            <w:vAlign w:val="bottom"/>
          </w:tcPr>
          <w:p>
            <w:pPr>
              <w:spacing w:after="0"/>
              <w:rPr>
                <w:sz w:val="24"/>
                <w:szCs w:val="24"/>
                <w:color w:val="auto"/>
              </w:rPr>
            </w:pPr>
          </w:p>
        </w:tc>
        <w:tc>
          <w:tcPr>
            <w:tcW w:w="640" w:type="dxa"/>
            <w:vAlign w:val="bottom"/>
            <w:tcBorders>
              <w:bottom w:val="single" w:sz="8" w:color="0000EE"/>
            </w:tcBorders>
            <w:gridSpan w:val="7"/>
          </w:tcPr>
          <w:p>
            <w:pPr>
              <w:spacing w:after="0"/>
              <w:rPr>
                <w:rFonts w:ascii="Arial" w:cs="Arial" w:eastAsia="Arial" w:hAnsi="Arial"/>
                <w:sz w:val="17"/>
                <w:szCs w:val="17"/>
                <w:b w:val="1"/>
                <w:bCs w:val="1"/>
                <w:color w:val="0000EE"/>
                <w:w w:val="95"/>
              </w:rPr>
            </w:pPr>
            <w:hyperlink w:anchor="page133">
              <w:r>
                <w:rPr>
                  <w:rFonts w:ascii="Arial" w:cs="Arial" w:eastAsia="Arial" w:hAnsi="Arial"/>
                  <w:sz w:val="17"/>
                  <w:szCs w:val="17"/>
                  <w:b w:val="1"/>
                  <w:bCs w:val="1"/>
                  <w:color w:val="0000EE"/>
                  <w:w w:val="95"/>
                </w:rPr>
                <w:t>PART III</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Item 10. Directors, Executive Officers and Corporate Governance</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130</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top w:val="single" w:sz="8" w:color="0000EE"/>
            </w:tcBorders>
            <w:gridSpan w:val="25"/>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Item 11. Executive Compensation</w:t>
              </w:r>
            </w:hyperlink>
          </w:p>
        </w:tc>
        <w:tc>
          <w:tcPr>
            <w:tcW w:w="3540" w:type="dxa"/>
            <w:vAlign w:val="bottom"/>
            <w:gridSpan w:val="7"/>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130</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tcBorders>
              <w:bottom w:val="single" w:sz="8" w:color="0000EE"/>
            </w:tcBorders>
            <w:gridSpan w:val="31"/>
          </w:tcPr>
          <w:p>
            <w:pPr>
              <w:spacing w:after="0"/>
              <w:rPr>
                <w:rFonts w:ascii="Arial" w:cs="Arial" w:eastAsia="Arial" w:hAnsi="Arial"/>
                <w:sz w:val="17"/>
                <w:szCs w:val="17"/>
                <w:color w:val="0000EE"/>
                <w:w w:val="91"/>
              </w:rPr>
            </w:pPr>
            <w:hyperlink w:anchor="page133">
              <w:r>
                <w:rPr>
                  <w:rFonts w:ascii="Arial" w:cs="Arial" w:eastAsia="Arial" w:hAnsi="Arial"/>
                  <w:sz w:val="17"/>
                  <w:szCs w:val="17"/>
                  <w:color w:val="0000EE"/>
                  <w:w w:val="91"/>
                </w:rPr>
                <w:t>Item 12. Security Ownership of Certain Beneficial Owners and Management and Related Stockholder Matters</w:t>
              </w:r>
            </w:hyperlink>
          </w:p>
        </w:tc>
        <w:tc>
          <w:tcPr>
            <w:tcW w:w="500" w:type="dxa"/>
            <w:vAlign w:val="bottom"/>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130</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Item 13. Certain Relationships and Related Transactions, and Director Independence</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130</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21"/>
          </w:tcPr>
          <w:p>
            <w:pPr>
              <w:spacing w:after="0"/>
              <w:rPr>
                <w:rFonts w:ascii="Arial" w:cs="Arial" w:eastAsia="Arial" w:hAnsi="Arial"/>
                <w:sz w:val="17"/>
                <w:szCs w:val="17"/>
                <w:color w:val="0000EE"/>
                <w:w w:val="90"/>
              </w:rPr>
            </w:pPr>
            <w:hyperlink w:anchor="page133">
              <w:r>
                <w:rPr>
                  <w:rFonts w:ascii="Arial" w:cs="Arial" w:eastAsia="Arial" w:hAnsi="Arial"/>
                  <w:sz w:val="17"/>
                  <w:szCs w:val="17"/>
                  <w:color w:val="0000EE"/>
                  <w:w w:val="90"/>
                </w:rPr>
                <w:t>Item 14. Principal Accounting Fees and Services</w:t>
              </w:r>
            </w:hyperlink>
          </w:p>
        </w:tc>
        <w:tc>
          <w:tcPr>
            <w:tcW w:w="2440" w:type="dxa"/>
            <w:vAlign w:val="bottom"/>
            <w:tcBorders>
              <w:top w:val="single" w:sz="8" w:color="0000EE"/>
            </w:tcBorders>
            <w:gridSpan w:val="6"/>
          </w:tcPr>
          <w:p>
            <w:pPr>
              <w:spacing w:after="0"/>
              <w:rPr>
                <w:sz w:val="24"/>
                <w:szCs w:val="24"/>
                <w:color w:val="auto"/>
              </w:rPr>
            </w:pPr>
          </w:p>
        </w:tc>
        <w:tc>
          <w:tcPr>
            <w:tcW w:w="2260" w:type="dxa"/>
            <w:vAlign w:val="bottom"/>
            <w:gridSpan w:val="5"/>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130</w:t>
            </w:r>
          </w:p>
        </w:tc>
      </w:tr>
      <w:tr>
        <w:trPr>
          <w:trHeight w:val="390"/>
        </w:trPr>
        <w:tc>
          <w:tcPr>
            <w:tcW w:w="360" w:type="dxa"/>
            <w:vAlign w:val="bottom"/>
          </w:tcPr>
          <w:p>
            <w:pPr>
              <w:spacing w:after="0"/>
              <w:rPr>
                <w:sz w:val="24"/>
                <w:szCs w:val="24"/>
                <w:color w:val="auto"/>
              </w:rPr>
            </w:pPr>
          </w:p>
        </w:tc>
        <w:tc>
          <w:tcPr>
            <w:tcW w:w="640" w:type="dxa"/>
            <w:vAlign w:val="bottom"/>
            <w:gridSpan w:val="7"/>
          </w:tcPr>
          <w:p>
            <w:pPr>
              <w:spacing w:after="0"/>
              <w:rPr>
                <w:rFonts w:ascii="Arial" w:cs="Arial" w:eastAsia="Arial" w:hAnsi="Arial"/>
                <w:sz w:val="17"/>
                <w:szCs w:val="17"/>
                <w:b w:val="1"/>
                <w:bCs w:val="1"/>
                <w:color w:val="0000EE"/>
                <w:w w:val="92"/>
              </w:rPr>
            </w:pPr>
            <w:hyperlink w:anchor="page134">
              <w:r>
                <w:rPr>
                  <w:rFonts w:ascii="Arial" w:cs="Arial" w:eastAsia="Arial" w:hAnsi="Arial"/>
                  <w:sz w:val="17"/>
                  <w:szCs w:val="17"/>
                  <w:b w:val="1"/>
                  <w:bCs w:val="1"/>
                  <w:color w:val="0000EE"/>
                  <w:w w:val="92"/>
                </w:rPr>
                <w:t>PART IV</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13"/>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134">
              <w:r>
                <w:rPr>
                  <w:rFonts w:ascii="Arial" w:cs="Arial" w:eastAsia="Arial" w:hAnsi="Arial"/>
                  <w:sz w:val="17"/>
                  <w:szCs w:val="17"/>
                  <w:color w:val="0000EE"/>
                </w:rPr>
                <w:t>Item 15. Exhibits, Financial Statement Schedules</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131</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00" w:type="dxa"/>
            <w:vAlign w:val="bottom"/>
            <w:gridSpan w:val="13"/>
            <w:shd w:val="clear" w:color="auto" w:fill="0000EE"/>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000" w:type="dxa"/>
            <w:vAlign w:val="bottom"/>
            <w:tcBorders>
              <w:bottom w:val="single" w:sz="8" w:color="0000EE"/>
            </w:tcBorders>
            <w:gridSpan w:val="10"/>
          </w:tcPr>
          <w:p>
            <w:pPr>
              <w:spacing w:after="0"/>
              <w:rPr>
                <w:rFonts w:ascii="Arial" w:cs="Arial" w:eastAsia="Arial" w:hAnsi="Arial"/>
                <w:sz w:val="17"/>
                <w:szCs w:val="17"/>
                <w:color w:val="0000EE"/>
                <w:w w:val="88"/>
              </w:rPr>
            </w:pPr>
            <w:hyperlink w:anchor="page137">
              <w:r>
                <w:rPr>
                  <w:rFonts w:ascii="Arial" w:cs="Arial" w:eastAsia="Arial" w:hAnsi="Arial"/>
                  <w:sz w:val="17"/>
                  <w:szCs w:val="17"/>
                  <w:color w:val="0000EE"/>
                  <w:w w:val="88"/>
                </w:rPr>
                <w:t>SIGNATURES</w:t>
              </w:r>
            </w:hyperlink>
          </w:p>
        </w:tc>
        <w:tc>
          <w:tcPr>
            <w:tcW w:w="7180" w:type="dxa"/>
            <w:vAlign w:val="bottom"/>
            <w:gridSpan w:val="23"/>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134</w:t>
            </w:r>
          </w:p>
        </w:tc>
      </w:tr>
      <w:tr>
        <w:trPr>
          <w:trHeight w:val="390"/>
        </w:trPr>
        <w:tc>
          <w:tcPr>
            <w:tcW w:w="360" w:type="dxa"/>
            <w:vAlign w:val="bottom"/>
          </w:tcPr>
          <w:p>
            <w:pPr>
              <w:spacing w:after="0"/>
              <w:rPr>
                <w:sz w:val="24"/>
                <w:szCs w:val="24"/>
                <w:color w:val="auto"/>
              </w:rPr>
            </w:pPr>
          </w:p>
        </w:tc>
        <w:tc>
          <w:tcPr>
            <w:tcW w:w="8180" w:type="dxa"/>
            <w:vAlign w:val="bottom"/>
            <w:gridSpan w:val="33"/>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Exhibit Index</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80" w:type="dxa"/>
            <w:vAlign w:val="bottom"/>
            <w:gridSpan w:val="2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8180" w:type="dxa"/>
            <w:vAlign w:val="bottom"/>
            <w:gridSpan w:val="33"/>
          </w:tcPr>
          <w:p>
            <w:pPr>
              <w:spacing w:after="0"/>
              <w:rPr>
                <w:sz w:val="20"/>
                <w:szCs w:val="20"/>
                <w:color w:val="auto"/>
              </w:rPr>
            </w:pPr>
            <w:r>
              <w:rPr>
                <w:rFonts w:ascii="Arial" w:cs="Arial" w:eastAsia="Arial" w:hAnsi="Arial"/>
                <w:sz w:val="17"/>
                <w:szCs w:val="17"/>
                <w:color w:val="0000EE"/>
              </w:rPr>
              <w:t>Exhibit 10.18</w:t>
            </w: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5"/>
        </w:trPr>
        <w:tc>
          <w:tcPr>
            <w:tcW w:w="360" w:type="dxa"/>
            <w:vAlign w:val="bottom"/>
          </w:tcPr>
          <w:p>
            <w:pPr>
              <w:spacing w:after="0"/>
              <w:rPr>
                <w:sz w:val="16"/>
                <w:szCs w:val="16"/>
                <w:color w:val="auto"/>
              </w:rPr>
            </w:pPr>
          </w:p>
        </w:tc>
        <w:tc>
          <w:tcPr>
            <w:tcW w:w="640" w:type="dxa"/>
            <w:vAlign w:val="bottom"/>
            <w:tcBorders>
              <w:top w:val="single" w:sz="8" w:color="0000EE"/>
            </w:tcBorders>
            <w:gridSpan w:val="7"/>
          </w:tcPr>
          <w:p>
            <w:pPr>
              <w:spacing w:after="0" w:line="185" w:lineRule="exact"/>
              <w:rPr>
                <w:sz w:val="20"/>
                <w:szCs w:val="20"/>
                <w:color w:val="auto"/>
              </w:rPr>
            </w:pPr>
            <w:r>
              <w:rPr>
                <w:rFonts w:ascii="Arial" w:cs="Arial" w:eastAsia="Arial" w:hAnsi="Arial"/>
                <w:sz w:val="17"/>
                <w:szCs w:val="17"/>
                <w:color w:val="0000EE"/>
              </w:rPr>
              <w:t>EX-23.1</w:t>
            </w: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5"/>
        </w:trPr>
        <w:tc>
          <w:tcPr>
            <w:tcW w:w="360" w:type="dxa"/>
            <w:vAlign w:val="bottom"/>
          </w:tcPr>
          <w:p>
            <w:pPr>
              <w:spacing w:after="0"/>
              <w:rPr>
                <w:sz w:val="16"/>
                <w:szCs w:val="16"/>
                <w:color w:val="auto"/>
              </w:rPr>
            </w:pPr>
          </w:p>
        </w:tc>
        <w:tc>
          <w:tcPr>
            <w:tcW w:w="640" w:type="dxa"/>
            <w:vAlign w:val="bottom"/>
            <w:gridSpan w:val="7"/>
          </w:tcPr>
          <w:p>
            <w:pPr>
              <w:spacing w:after="0" w:line="185" w:lineRule="exact"/>
              <w:rPr>
                <w:sz w:val="20"/>
                <w:szCs w:val="20"/>
                <w:color w:val="auto"/>
              </w:rPr>
            </w:pPr>
            <w:r>
              <w:rPr>
                <w:rFonts w:ascii="Arial" w:cs="Arial" w:eastAsia="Arial" w:hAnsi="Arial"/>
                <w:sz w:val="17"/>
                <w:szCs w:val="17"/>
                <w:color w:val="0000EE"/>
              </w:rPr>
              <w:t>EX-31.1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5"/>
        </w:trPr>
        <w:tc>
          <w:tcPr>
            <w:tcW w:w="360" w:type="dxa"/>
            <w:vAlign w:val="bottom"/>
          </w:tcPr>
          <w:p>
            <w:pPr>
              <w:spacing w:after="0"/>
              <w:rPr>
                <w:sz w:val="16"/>
                <w:szCs w:val="16"/>
                <w:color w:val="auto"/>
              </w:rPr>
            </w:pPr>
          </w:p>
        </w:tc>
        <w:tc>
          <w:tcPr>
            <w:tcW w:w="640" w:type="dxa"/>
            <w:vAlign w:val="bottom"/>
            <w:gridSpan w:val="7"/>
          </w:tcPr>
          <w:p>
            <w:pPr>
              <w:spacing w:after="0" w:line="185" w:lineRule="exact"/>
              <w:rPr>
                <w:sz w:val="20"/>
                <w:szCs w:val="20"/>
                <w:color w:val="auto"/>
              </w:rPr>
            </w:pPr>
            <w:r>
              <w:rPr>
                <w:rFonts w:ascii="Arial" w:cs="Arial" w:eastAsia="Arial" w:hAnsi="Arial"/>
                <w:sz w:val="17"/>
                <w:szCs w:val="17"/>
                <w:color w:val="0000EE"/>
              </w:rPr>
              <w:t>EX-31.2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5"/>
        </w:trPr>
        <w:tc>
          <w:tcPr>
            <w:tcW w:w="360" w:type="dxa"/>
            <w:vAlign w:val="bottom"/>
          </w:tcPr>
          <w:p>
            <w:pPr>
              <w:spacing w:after="0"/>
              <w:rPr>
                <w:sz w:val="16"/>
                <w:szCs w:val="16"/>
                <w:color w:val="auto"/>
              </w:rPr>
            </w:pPr>
          </w:p>
        </w:tc>
        <w:tc>
          <w:tcPr>
            <w:tcW w:w="640" w:type="dxa"/>
            <w:vAlign w:val="bottom"/>
            <w:gridSpan w:val="7"/>
          </w:tcPr>
          <w:p>
            <w:pPr>
              <w:spacing w:after="0" w:line="185" w:lineRule="exact"/>
              <w:rPr>
                <w:sz w:val="20"/>
                <w:szCs w:val="20"/>
                <w:color w:val="auto"/>
              </w:rPr>
            </w:pPr>
            <w:r>
              <w:rPr>
                <w:rFonts w:ascii="Arial" w:cs="Arial" w:eastAsia="Arial" w:hAnsi="Arial"/>
                <w:sz w:val="17"/>
                <w:szCs w:val="17"/>
                <w:color w:val="0000EE"/>
              </w:rPr>
              <w:t>EX-32.1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5"/>
        </w:trPr>
        <w:tc>
          <w:tcPr>
            <w:tcW w:w="360" w:type="dxa"/>
            <w:vAlign w:val="bottom"/>
          </w:tcPr>
          <w:p>
            <w:pPr>
              <w:spacing w:after="0"/>
              <w:rPr>
                <w:sz w:val="16"/>
                <w:szCs w:val="16"/>
                <w:color w:val="auto"/>
              </w:rPr>
            </w:pPr>
          </w:p>
        </w:tc>
        <w:tc>
          <w:tcPr>
            <w:tcW w:w="640" w:type="dxa"/>
            <w:vAlign w:val="bottom"/>
            <w:gridSpan w:val="7"/>
          </w:tcPr>
          <w:p>
            <w:pPr>
              <w:spacing w:after="0" w:line="185" w:lineRule="exact"/>
              <w:rPr>
                <w:sz w:val="20"/>
                <w:szCs w:val="20"/>
                <w:color w:val="auto"/>
              </w:rPr>
            </w:pPr>
            <w:r>
              <w:rPr>
                <w:rFonts w:ascii="Arial" w:cs="Arial" w:eastAsia="Arial" w:hAnsi="Arial"/>
                <w:sz w:val="17"/>
                <w:szCs w:val="17"/>
                <w:color w:val="0000EE"/>
              </w:rPr>
              <w:t>EX-32.2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774"/>
        </w:trPr>
        <w:tc>
          <w:tcPr>
            <w:tcW w:w="3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9"/>
          </w:tcPr>
          <w:p>
            <w:pPr>
              <w:jc w:val="center"/>
              <w:ind w:left="3755"/>
              <w:spacing w:after="0"/>
              <w:rPr>
                <w:sz w:val="20"/>
                <w:szCs w:val="20"/>
                <w:color w:val="auto"/>
              </w:rPr>
            </w:pPr>
            <w:r>
              <w:rPr>
                <w:rFonts w:ascii="Arial" w:cs="Arial" w:eastAsia="Arial" w:hAnsi="Arial"/>
                <w:sz w:val="17"/>
                <w:szCs w:val="17"/>
                <w:color w:val="auto"/>
                <w:w w:val="84"/>
              </w:rPr>
              <w:t>2</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96" w:right="239" w:bottom="272"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9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 xml:space="preserve">This Annual Report on Form 10-K, including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w:t>
      </w:r>
      <w:r>
        <w:rPr>
          <w:rFonts w:ascii="Arial" w:cs="Arial" w:eastAsia="Arial" w:hAnsi="Arial"/>
          <w:sz w:val="16"/>
          <w:szCs w:val="16"/>
          <w:color w:val="auto"/>
        </w:rPr>
        <w:t>, contains certain “forward-looking statements,” which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33" w:lineRule="exact"/>
        <w:rPr>
          <w:sz w:val="20"/>
          <w:szCs w:val="20"/>
          <w:color w:val="auto"/>
        </w:rPr>
      </w:pPr>
    </w:p>
    <w:p>
      <w:pPr>
        <w:ind w:left="320" w:right="739" w:firstLine="369"/>
        <w:spacing w:after="0" w:line="256"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6" w:lineRule="exact"/>
        <w:rPr>
          <w:sz w:val="20"/>
          <w:szCs w:val="20"/>
          <w:color w:val="auto"/>
        </w:rPr>
      </w:pPr>
    </w:p>
    <w:p>
      <w:pPr>
        <w:ind w:left="1400" w:right="1019" w:hanging="359"/>
        <w:spacing w:after="0" w:line="264" w:lineRule="auto"/>
        <w:tabs>
          <w:tab w:leader="none" w:pos="1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9" w:lineRule="exact"/>
        <w:rPr>
          <w:rFonts w:ascii="Arial" w:cs="Arial" w:eastAsia="Arial" w:hAnsi="Arial"/>
          <w:sz w:val="17"/>
          <w:szCs w:val="17"/>
          <w:b w:val="1"/>
          <w:bCs w:val="1"/>
          <w:color w:val="auto"/>
        </w:rPr>
      </w:pPr>
    </w:p>
    <w:p>
      <w:pPr>
        <w:ind w:left="1400" w:right="919" w:hanging="359"/>
        <w:spacing w:after="0" w:line="309" w:lineRule="auto"/>
        <w:tabs>
          <w:tab w:leader="none" w:pos="14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results of the ongoing program review being conducted by the Department of Education of our compliance with Title IV program requirements, and possible fines or other administrative sanctions resulting therefrom;</w:t>
      </w:r>
    </w:p>
    <w:p>
      <w:pPr>
        <w:spacing w:after="0" w:line="103" w:lineRule="exact"/>
        <w:rPr>
          <w:rFonts w:ascii="Arial" w:cs="Arial" w:eastAsia="Arial" w:hAnsi="Arial"/>
          <w:sz w:val="16"/>
          <w:szCs w:val="16"/>
          <w:b w:val="1"/>
          <w:bCs w:val="1"/>
          <w:color w:val="auto"/>
        </w:rPr>
      </w:pPr>
    </w:p>
    <w:p>
      <w:pPr>
        <w:ind w:left="1400" w:hanging="359"/>
        <w:spacing w:after="0"/>
        <w:tabs>
          <w:tab w:leader="none" w:pos="1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ability of our students to obtain federal Title IV funds, state financial aid, and private financing;</w:t>
      </w:r>
    </w:p>
    <w:p>
      <w:pPr>
        <w:spacing w:after="0" w:line="176" w:lineRule="exact"/>
        <w:rPr>
          <w:rFonts w:ascii="Arial" w:cs="Arial" w:eastAsia="Arial" w:hAnsi="Arial"/>
          <w:sz w:val="17"/>
          <w:szCs w:val="17"/>
          <w:b w:val="1"/>
          <w:bCs w:val="1"/>
          <w:color w:val="auto"/>
        </w:rPr>
      </w:pPr>
    </w:p>
    <w:p>
      <w:pPr>
        <w:ind w:left="1400" w:right="679" w:hanging="359"/>
        <w:spacing w:after="0" w:line="264" w:lineRule="auto"/>
        <w:tabs>
          <w:tab w:leader="none" w:pos="1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9" w:lineRule="exact"/>
        <w:rPr>
          <w:rFonts w:ascii="Arial" w:cs="Arial" w:eastAsia="Arial" w:hAnsi="Arial"/>
          <w:sz w:val="17"/>
          <w:szCs w:val="17"/>
          <w:b w:val="1"/>
          <w:bCs w:val="1"/>
          <w:color w:val="auto"/>
        </w:rPr>
      </w:pPr>
    </w:p>
    <w:p>
      <w:pPr>
        <w:ind w:left="1400" w:right="1319" w:hanging="359"/>
        <w:spacing w:after="0" w:line="277" w:lineRule="auto"/>
        <w:tabs>
          <w:tab w:leader="none" w:pos="1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risks associated with changes in applicable federal and state laws and regulations and accrediting commission standards including pending rulemaking by the Department of Education;</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ability to hire and train new, and develop and train existing, enrollment counselors;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pace of growth of our enrollment;</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ability to convert prospective students to enrolled students and to retain active students;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right="1139" w:hanging="359"/>
        <w:spacing w:after="0" w:line="277" w:lineRule="auto"/>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success in updating and expanding the content of existing programs and developing new programs in a cost-effective manner or on a timely basis;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industry competition, including competition for qualified executives and other personnel;</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risks associated with the competitive environment for marketing our programs;</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failure on our part to keep up with advances in technology that could enhance the online experience for our students;</w:t>
      </w:r>
    </w:p>
    <w:p>
      <w:pPr>
        <w:spacing w:after="0" w:line="199" w:lineRule="exact"/>
        <w:rPr>
          <w:rFonts w:ascii="Arial" w:cs="Arial" w:eastAsia="Arial" w:hAnsi="Arial"/>
          <w:sz w:val="15"/>
          <w:szCs w:val="15"/>
          <w:b w:val="1"/>
          <w:bCs w:val="1"/>
          <w:color w:val="auto"/>
        </w:rPr>
      </w:pPr>
    </w:p>
    <w:p>
      <w:pPr>
        <w:ind w:left="1400" w:right="719" w:hanging="359"/>
        <w:spacing w:after="0" w:line="264" w:lineRule="auto"/>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36" w:lineRule="exact"/>
        <w:rPr>
          <w:rFonts w:ascii="Arial" w:cs="Arial" w:eastAsia="Arial" w:hAnsi="Arial"/>
          <w:sz w:val="17"/>
          <w:szCs w:val="17"/>
          <w:b w:val="1"/>
          <w:bCs w:val="1"/>
          <w:color w:val="auto"/>
        </w:rPr>
      </w:pPr>
    </w:p>
    <w:p>
      <w:pPr>
        <w:ind w:left="1400" w:right="739" w:hanging="359"/>
        <w:spacing w:after="0" w:line="264" w:lineRule="auto"/>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14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ability to manage future growth effectively;</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187" w:lineRule="exact"/>
        <w:rPr>
          <w:rFonts w:ascii="Arial" w:cs="Arial" w:eastAsia="Arial" w:hAnsi="Arial"/>
          <w:sz w:val="16"/>
          <w:szCs w:val="16"/>
          <w:b w:val="1"/>
          <w:bCs w:val="1"/>
          <w:color w:val="auto"/>
        </w:rPr>
      </w:pPr>
    </w:p>
    <w:p>
      <w:pPr>
        <w:ind w:left="1400" w:right="1119" w:hanging="359"/>
        <w:spacing w:after="0" w:line="277" w:lineRule="auto"/>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other factors discussed under the headings “Risk Factors,” “Management’s Discussion and Analysis of Financial Condition and Results of Operations,” “Business,” and “Regulation.”</w:t>
      </w:r>
    </w:p>
    <w:p>
      <w:pPr>
        <w:spacing w:after="0" w:line="139" w:lineRule="exact"/>
        <w:rPr>
          <w:sz w:val="20"/>
          <w:szCs w:val="20"/>
          <w:color w:val="auto"/>
        </w:rPr>
      </w:pPr>
    </w:p>
    <w:p>
      <w:pPr>
        <w:ind w:left="320" w:right="839" w:firstLine="369"/>
        <w:spacing w:after="0" w:line="258"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1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w:t>
      </w:r>
    </w:p>
    <w:p>
      <w:pPr>
        <w:spacing w:after="0" w:line="189"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Overview</w:t>
      </w:r>
    </w:p>
    <w:p>
      <w:pPr>
        <w:spacing w:after="0" w:line="180"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 acre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41,500 students at December 31, 2010. At December 31, 2010, 91.0% of our students were enrolled in our online programs, and of those students, 45.5% were pursuing master’s or doctoral degrees.</w:t>
      </w:r>
    </w:p>
    <w:p>
      <w:pPr>
        <w:spacing w:after="0" w:line="146"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We primarily focus on recruiting and educating working adults, whom we define as students age 25 or older who are pursuing a degree while employed. As of December 31, 2010, approximately 92.2%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133" w:lineRule="exact"/>
        <w:rPr>
          <w:sz w:val="20"/>
          <w:szCs w:val="20"/>
          <w:color w:val="auto"/>
        </w:rPr>
      </w:pPr>
    </w:p>
    <w:p>
      <w:pPr>
        <w:ind w:left="320" w:right="759" w:firstLine="369"/>
        <w:spacing w:after="0" w:line="290" w:lineRule="auto"/>
        <w:rPr>
          <w:sz w:val="20"/>
          <w:szCs w:val="20"/>
          <w:color w:val="auto"/>
        </w:rPr>
      </w:pPr>
      <w:r>
        <w:rPr>
          <w:rFonts w:ascii="Arial" w:cs="Arial" w:eastAsia="Arial" w:hAnsi="Arial"/>
          <w:sz w:val="15"/>
          <w:szCs w:val="15"/>
          <w:color w:val="auto"/>
        </w:rPr>
        <w:t>We have experienced significant growth in enrollment, net revenue, and operating income over the last several years. Our enrollment at December 31, 2010 was approximately 41,500, representing an increase of approximately 10.0% over our enrollment at December 31, 2009. Our net revenue and operating income for the year ended December 31, 2010 were $385.8 million and</w:t>
      </w:r>
    </w:p>
    <w:p>
      <w:pPr>
        <w:spacing w:after="0" w:line="1" w:lineRule="exact"/>
        <w:rPr>
          <w:sz w:val="20"/>
          <w:szCs w:val="20"/>
          <w:color w:val="auto"/>
        </w:rPr>
      </w:pPr>
    </w:p>
    <w:p>
      <w:pPr>
        <w:ind w:left="320" w:right="739"/>
        <w:spacing w:after="0" w:line="253" w:lineRule="auto"/>
        <w:rPr>
          <w:sz w:val="20"/>
          <w:szCs w:val="20"/>
          <w:color w:val="auto"/>
        </w:rPr>
      </w:pPr>
      <w:r>
        <w:rPr>
          <w:rFonts w:ascii="Arial" w:cs="Arial" w:eastAsia="Arial" w:hAnsi="Arial"/>
          <w:sz w:val="17"/>
          <w:szCs w:val="17"/>
          <w:color w:val="auto"/>
        </w:rPr>
        <w:t>$73.5 million, respectively, representing increases of 47.3% and 57.9%, respectively, over the year ended December 31, 2009. Our net revenue and operating income for the year ended December 31, 2009 were $261.9 million and $46.6 million, respectively, representing increases of 62.4% and 264%, respectively, over the year ended December 31, 2008. 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an Office of Assessment to monitor student and faculty performance and improve student satisfaction.</w:t>
      </w:r>
    </w:p>
    <w:p>
      <w:pPr>
        <w:spacing w:after="0" w:line="149" w:lineRule="exact"/>
        <w:rPr>
          <w:sz w:val="20"/>
          <w:szCs w:val="20"/>
          <w:color w:val="auto"/>
        </w:rPr>
      </w:pPr>
    </w:p>
    <w:p>
      <w:pPr>
        <w:ind w:left="320" w:right="739" w:firstLine="369"/>
        <w:spacing w:after="0" w:line="293" w:lineRule="auto"/>
        <w:rPr>
          <w:sz w:val="20"/>
          <w:szCs w:val="20"/>
          <w:color w:val="auto"/>
        </w:rPr>
      </w:pPr>
      <w:r>
        <w:rPr>
          <w:rFonts w:ascii="Arial" w:cs="Arial" w:eastAsia="Arial" w:hAnsi="Arial"/>
          <w:sz w:val="15"/>
          <w:szCs w:val="15"/>
          <w:color w:val="auto"/>
        </w:rPr>
        <w:t>We have been regionally accredited by the Higher Learning Commission of the North Central Association of Colleges and Schools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and the Arizona Department of Education for Institutional Recommendation Programs.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30" w:lineRule="exact"/>
        <w:rPr>
          <w:sz w:val="20"/>
          <w:szCs w:val="20"/>
          <w:color w:val="auto"/>
        </w:rPr>
      </w:pPr>
    </w:p>
    <w:p>
      <w:pPr>
        <w:ind w:left="320" w:right="679" w:firstLine="369"/>
        <w:spacing w:after="0" w:line="294" w:lineRule="auto"/>
        <w:rPr>
          <w:sz w:val="20"/>
          <w:szCs w:val="20"/>
          <w:color w:val="auto"/>
        </w:rPr>
      </w:pPr>
      <w:r>
        <w:rPr>
          <w:rFonts w:ascii="Arial" w:cs="Arial" w:eastAsia="Arial" w:hAnsi="Arial"/>
          <w:sz w:val="15"/>
          <w:szCs w:val="15"/>
          <w:color w:val="auto"/>
        </w:rPr>
        <w:t>We believe that our online capabilities, combined with our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and select online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History</w:t>
      </w:r>
    </w:p>
    <w:p>
      <w:pPr>
        <w:spacing w:after="0" w:line="19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136"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w:t>
      </w:r>
    </w:p>
    <w:p>
      <w:pPr>
        <w:spacing w:after="0" w:line="137" w:lineRule="exact"/>
        <w:rPr>
          <w:sz w:val="20"/>
          <w:szCs w:val="20"/>
          <w:color w:val="auto"/>
        </w:rPr>
      </w:pPr>
    </w:p>
    <w:p>
      <w:pPr>
        <w:ind w:left="320" w:right="679" w:firstLine="369"/>
        <w:spacing w:after="0" w:line="295" w:lineRule="auto"/>
        <w:rPr>
          <w:sz w:val="20"/>
          <w:szCs w:val="20"/>
          <w:color w:val="auto"/>
        </w:rPr>
      </w:pPr>
      <w:r>
        <w:rPr>
          <w:rFonts w:ascii="Arial" w:cs="Arial" w:eastAsia="Arial" w:hAnsi="Arial"/>
          <w:sz w:val="15"/>
          <w:szCs w:val="15"/>
          <w:color w:val="auto"/>
        </w:rPr>
        <w:t>Since February 2004, we have enhanced our senior management team, expanded our online platform and programs, initiated an infrastructure and technology improvement plan and launched a marketing and branding effort to further differentiate us in the markets in which we operate and support our continued growth. We have also made investments to enhance our student and technology support services and added additional infrastructure including an additional dormitory and classroom building, a recreation center and an arena to support our growing traditional on-campus student population. We believe these investments, combined with our management expertise, provide a platform that will support continued enrollment and revenue growth. We have also maintained our non-denominational Christian identity, with many of our undergraduate programs including Christian study requirements.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Approach to Academic Quality</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Some of the key elements that we focus on to promote a high level of academic quality include:</w:t>
      </w:r>
    </w:p>
    <w:p>
      <w:pPr>
        <w:spacing w:after="0" w:line="176" w:lineRule="exact"/>
        <w:rPr>
          <w:sz w:val="20"/>
          <w:szCs w:val="20"/>
          <w:color w:val="auto"/>
        </w:rPr>
      </w:pPr>
    </w:p>
    <w:p>
      <w:pPr>
        <w:ind w:left="1400" w:right="719" w:hanging="359"/>
        <w:spacing w:after="0" w:line="275" w:lineRule="auto"/>
        <w:tabs>
          <w:tab w:leader="none" w:pos="140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Academically rigorous, career oriented curricula. </w:t>
      </w:r>
      <w:r>
        <w:rPr>
          <w:rFonts w:ascii="Arial" w:cs="Arial" w:eastAsia="Arial" w:hAnsi="Arial"/>
          <w:sz w:val="16"/>
          <w:szCs w:val="16"/>
          <w:color w:val="auto"/>
        </w:rPr>
        <w:t>We create academically rigorous curricula that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all students to gain the foundational knowledge, 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145" w:lineRule="exact"/>
        <w:rPr>
          <w:rFonts w:ascii="Arial" w:cs="Arial" w:eastAsia="Arial" w:hAnsi="Arial"/>
          <w:sz w:val="16"/>
          <w:szCs w:val="16"/>
          <w:b w:val="1"/>
          <w:bCs w:val="1"/>
          <w:color w:val="auto"/>
        </w:rPr>
      </w:pPr>
    </w:p>
    <w:p>
      <w:pPr>
        <w:ind w:left="1400" w:right="719" w:hanging="359"/>
        <w:spacing w:after="0" w:line="274" w:lineRule="auto"/>
        <w:tabs>
          <w:tab w:leader="none" w:pos="140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Qualified faculty. </w:t>
      </w:r>
      <w:r>
        <w:rPr>
          <w:rFonts w:ascii="Arial" w:cs="Arial" w:eastAsia="Arial" w:hAnsi="Arial"/>
          <w:sz w:val="16"/>
          <w:szCs w:val="16"/>
          <w:color w:val="auto"/>
        </w:rPr>
        <w:t>We demonstrate our commitment to high quality education by hiring qualified faculty with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practical experience. Substantially all of our current faculty members hold at least a master’s degree in their respective field and 30% of our faculty members hold a doctoral degree. Faculty members are able to integrate relevant, practical experiences from their professional careers into the courses they teach. We invest in the professional development of our faculty members by providing training in traditional and online teaching techniques, hosting events and discussion forums that foster sharing of best practices, and continually assessing teaching effectiveness through assessment, peer reviews, and student evaluations.</w:t>
      </w:r>
    </w:p>
    <w:p>
      <w:pPr>
        <w:spacing w:after="0" w:line="132" w:lineRule="exact"/>
        <w:rPr>
          <w:rFonts w:ascii="Arial" w:cs="Arial" w:eastAsia="Arial" w:hAnsi="Arial"/>
          <w:sz w:val="16"/>
          <w:szCs w:val="16"/>
          <w:b w:val="1"/>
          <w:bCs w:val="1"/>
          <w:color w:val="auto"/>
        </w:rPr>
      </w:pPr>
    </w:p>
    <w:p>
      <w:pPr>
        <w:ind w:left="1400" w:right="779" w:hanging="359"/>
        <w:spacing w:after="0" w:line="305" w:lineRule="auto"/>
        <w:tabs>
          <w:tab w:leader="none" w:pos="1400" w:val="left"/>
        </w:tabs>
        <w:numPr>
          <w:ilvl w:val="0"/>
          <w:numId w:val="5"/>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Standardized course design. </w:t>
      </w:r>
      <w:r>
        <w:rPr>
          <w:rFonts w:ascii="Arial" w:cs="Arial" w:eastAsia="Arial" w:hAnsi="Arial"/>
          <w:sz w:val="15"/>
          <w:szCs w:val="15"/>
          <w:color w:val="auto"/>
        </w:rPr>
        <w:t>We employ a standardized curriculum development process to ensure a consistent</w:t>
      </w:r>
      <w:r>
        <w:rPr>
          <w:rFonts w:ascii="Arial" w:cs="Arial" w:eastAsia="Arial" w:hAnsi="Arial"/>
          <w:sz w:val="15"/>
          <w:szCs w:val="15"/>
          <w:i w:val="1"/>
          <w:iCs w:val="1"/>
          <w:color w:val="auto"/>
        </w:rPr>
        <w:t xml:space="preserve"> </w:t>
      </w:r>
      <w:r>
        <w:rPr>
          <w:rFonts w:ascii="Arial" w:cs="Arial" w:eastAsia="Arial" w:hAnsi="Arial"/>
          <w:sz w:val="15"/>
          <w:szCs w:val="15"/>
          <w:color w:val="auto"/>
        </w:rPr>
        <w:t>learning experience with frequent faculty-student 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right="739" w:hanging="359"/>
        <w:spacing w:after="0" w:line="274" w:lineRule="auto"/>
        <w:tabs>
          <w:tab w:leader="none" w:pos="14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Effective student services. </w:t>
      </w:r>
      <w:r>
        <w:rPr>
          <w:rFonts w:ascii="Arial" w:cs="Arial" w:eastAsia="Arial" w:hAnsi="Arial"/>
          <w:sz w:val="16"/>
          <w:szCs w:val="16"/>
          <w:color w:val="auto"/>
        </w:rPr>
        <w:t>We establish teams comprised of enrollment, academic and finance personnel that act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support contact point for each of our students, 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132" w:lineRule="exact"/>
        <w:rPr>
          <w:rFonts w:ascii="Arial" w:cs="Arial" w:eastAsia="Arial" w:hAnsi="Arial"/>
          <w:sz w:val="16"/>
          <w:szCs w:val="16"/>
          <w:b w:val="1"/>
          <w:bCs w:val="1"/>
          <w:color w:val="auto"/>
        </w:rPr>
      </w:pPr>
    </w:p>
    <w:p>
      <w:pPr>
        <w:ind w:left="1400" w:right="719" w:hanging="359"/>
        <w:spacing w:after="0" w:line="273" w:lineRule="auto"/>
        <w:tabs>
          <w:tab w:leader="none" w:pos="14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Continual academic oversight. </w:t>
      </w:r>
      <w:r>
        <w:rPr>
          <w:rFonts w:ascii="Arial" w:cs="Arial" w:eastAsia="Arial" w:hAnsi="Arial"/>
          <w:sz w:val="16"/>
          <w:szCs w:val="16"/>
          <w:color w:val="auto"/>
        </w:rPr>
        <w:t>We have centralized the assessment functions for all of our programs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Office of Assessment, which continuously evaluates the desired learning outcomes for each of our programs. We continuously assess outcomes data to determine whether our students graduate with the knowledge, competencies, and skills that are necessary to succeed in the workplace. The Office of Assessment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of Assessment also oversees assessment of mission-based competencies.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also offer the following features in an effort to enrich the academic experience of current and prospective students:</w:t>
      </w:r>
    </w:p>
    <w:p>
      <w:pPr>
        <w:spacing w:after="0" w:line="201" w:lineRule="exact"/>
        <w:rPr>
          <w:sz w:val="20"/>
          <w:szCs w:val="20"/>
          <w:color w:val="auto"/>
        </w:rPr>
      </w:pPr>
    </w:p>
    <w:p>
      <w:pPr>
        <w:ind w:left="1400" w:right="699" w:hanging="359"/>
        <w:spacing w:after="0" w:line="273" w:lineRule="auto"/>
        <w:tabs>
          <w:tab w:leader="none" w:pos="140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Flexibility in program delivery. </w:t>
      </w:r>
      <w:r>
        <w:rPr>
          <w:rFonts w:ascii="Arial" w:cs="Arial" w:eastAsia="Arial" w:hAnsi="Arial"/>
          <w:sz w:val="16"/>
          <w:szCs w:val="16"/>
          <w:color w:val="auto"/>
        </w:rPr>
        <w:t>We also seek to meet market demands by providing students with the flexibility to take</w:t>
      </w:r>
      <w:r>
        <w:rPr>
          <w:rFonts w:ascii="Arial" w:cs="Arial" w:eastAsia="Arial" w:hAnsi="Arial"/>
          <w:sz w:val="16"/>
          <w:szCs w:val="16"/>
          <w:i w:val="1"/>
          <w:iCs w:val="1"/>
          <w:color w:val="auto"/>
        </w:rPr>
        <w:t xml:space="preserve"> </w:t>
      </w:r>
      <w:r>
        <w:rPr>
          <w:rFonts w:ascii="Arial" w:cs="Arial" w:eastAsia="Arial" w:hAnsi="Arial"/>
          <w:sz w:val="16"/>
          <w:szCs w:val="16"/>
          <w:color w:val="auto"/>
        </w:rPr>
        <w:t>courses exclusively 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133" w:lineRule="exact"/>
        <w:rPr>
          <w:rFonts w:ascii="Arial" w:cs="Arial" w:eastAsia="Arial" w:hAnsi="Arial"/>
          <w:sz w:val="16"/>
          <w:szCs w:val="16"/>
          <w:b w:val="1"/>
          <w:bCs w:val="1"/>
          <w:color w:val="auto"/>
        </w:rPr>
      </w:pPr>
    </w:p>
    <w:p>
      <w:pPr>
        <w:ind w:left="1400" w:right="799" w:hanging="359"/>
        <w:spacing w:after="0" w:line="300" w:lineRule="auto"/>
        <w:tabs>
          <w:tab w:leader="none" w:pos="1400" w:val="left"/>
        </w:tabs>
        <w:numPr>
          <w:ilvl w:val="0"/>
          <w:numId w:val="7"/>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Small class size. </w:t>
      </w:r>
      <w:r>
        <w:rPr>
          <w:rFonts w:ascii="Arial" w:cs="Arial" w:eastAsia="Arial" w:hAnsi="Arial"/>
          <w:sz w:val="15"/>
          <w:szCs w:val="15"/>
          <w:color w:val="auto"/>
        </w:rPr>
        <w:t>At December 31, 2010, over 98.0% of our online classes had 25 or fewer students. These class sizes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Accreditation and Program Approvals</w:t>
      </w:r>
    </w:p>
    <w:p>
      <w:pPr>
        <w:spacing w:after="0" w:line="193"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40"/>
              <w:spacing w:after="0"/>
              <w:rPr>
                <w:sz w:val="20"/>
                <w:szCs w:val="20"/>
                <w:color w:val="auto"/>
              </w:rPr>
            </w:pPr>
            <w:r>
              <w:rPr>
                <w:rFonts w:ascii="Arial" w:cs="Arial" w:eastAsia="Arial" w:hAnsi="Arial"/>
                <w:sz w:val="17"/>
                <w:szCs w:val="17"/>
                <w:b w:val="1"/>
                <w:bCs w:val="1"/>
                <w:color w:val="auto"/>
                <w:w w:val="97"/>
              </w:rPr>
              <w:t>Specialized Accreditations and Program</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1"/>
        </w:trPr>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College</w:t>
            </w:r>
          </w:p>
        </w:tc>
        <w:tc>
          <w:tcPr>
            <w:tcW w:w="280" w:type="dxa"/>
            <w:vAlign w:val="bottom"/>
          </w:tcPr>
          <w:p>
            <w:pPr>
              <w:spacing w:after="0"/>
              <w:rPr>
                <w:sz w:val="19"/>
                <w:szCs w:val="19"/>
                <w:color w:val="auto"/>
              </w:rPr>
            </w:pPr>
          </w:p>
        </w:tc>
        <w:tc>
          <w:tcPr>
            <w:tcW w:w="3420" w:type="dxa"/>
            <w:vAlign w:val="bottom"/>
            <w:tcBorders>
              <w:bottom w:val="single" w:sz="8" w:color="auto"/>
            </w:tcBorders>
          </w:tcPr>
          <w:p>
            <w:pPr>
              <w:ind w:left="1320"/>
              <w:spacing w:after="0"/>
              <w:rPr>
                <w:sz w:val="20"/>
                <w:szCs w:val="20"/>
                <w:color w:val="auto"/>
              </w:rPr>
            </w:pPr>
            <w:r>
              <w:rPr>
                <w:rFonts w:ascii="Arial" w:cs="Arial" w:eastAsia="Arial" w:hAnsi="Arial"/>
                <w:sz w:val="17"/>
                <w:szCs w:val="17"/>
                <w:b w:val="1"/>
                <w:bCs w:val="1"/>
                <w:color w:val="auto"/>
              </w:rPr>
              <w:t>Approvals</w:t>
            </w:r>
          </w:p>
        </w:tc>
        <w:tc>
          <w:tcPr>
            <w:tcW w:w="26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Current Period</w:t>
            </w:r>
          </w:p>
        </w:tc>
      </w:tr>
      <w:tr>
        <w:trPr>
          <w:trHeight w:val="391"/>
        </w:trPr>
        <w:tc>
          <w:tcPr>
            <w:tcW w:w="3600" w:type="dxa"/>
            <w:vAlign w:val="bottom"/>
          </w:tcPr>
          <w:p>
            <w:pPr>
              <w:spacing w:after="0"/>
              <w:rPr>
                <w:sz w:val="20"/>
                <w:szCs w:val="20"/>
                <w:color w:val="auto"/>
              </w:rPr>
            </w:pPr>
            <w:r>
              <w:rPr>
                <w:rFonts w:ascii="Arial" w:cs="Arial" w:eastAsia="Arial" w:hAnsi="Arial"/>
                <w:sz w:val="17"/>
                <w:szCs w:val="17"/>
                <w:i w:val="1"/>
                <w:iCs w:val="1"/>
                <w:color w:val="auto"/>
              </w:rPr>
              <w:t>College of Education</w:t>
            </w: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Arizona State Board of Education</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2010 – 2013</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8"/>
              </w:rPr>
              <w:t>approves our College of Education to offer</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89"/>
              </w:rPr>
              <w:t>(teacher) 2010-2012</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Institutional Recommendations for the</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6"/>
              </w:rPr>
              <w:t>(principal)</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8"/>
              </w:rPr>
              <w:t>certification of elementary, secondary, and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4"/>
              </w:rPr>
              <w:t>special education teachers (B.S./M.Ed.) and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school principals (M.Ed.).</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0"/>
                <w:szCs w:val="20"/>
                <w:color w:val="auto"/>
              </w:rPr>
            </w:pPr>
            <w:r>
              <w:rPr>
                <w:rFonts w:ascii="Arial" w:cs="Arial" w:eastAsia="Arial" w:hAnsi="Arial"/>
                <w:sz w:val="17"/>
                <w:szCs w:val="17"/>
                <w:i w:val="1"/>
                <w:iCs w:val="1"/>
                <w:color w:val="auto"/>
              </w:rPr>
              <w:t>Ken Blanchard College of Business</w:t>
            </w: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Association of Collegiate Business</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2007 – 2017</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Schools and Programs accredits our</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3"/>
              </w:rPr>
              <w:t>Executive Master of Business Administration</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degree program, Master of Business</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Administration degree program, and our</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Bachelor of Science degree programs in</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Accounting, Business Administration,</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Marketing, Finance and Economics, and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Entrepreneurial Studies.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0"/>
                <w:szCs w:val="20"/>
                <w:color w:val="auto"/>
              </w:rPr>
            </w:pPr>
            <w:r>
              <w:rPr>
                <w:rFonts w:ascii="Arial" w:cs="Arial" w:eastAsia="Arial" w:hAnsi="Arial"/>
                <w:sz w:val="17"/>
                <w:szCs w:val="17"/>
                <w:i w:val="1"/>
                <w:iCs w:val="1"/>
                <w:color w:val="auto"/>
              </w:rPr>
              <w:t>College of Nursing and Health Sciences</w:t>
            </w: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Commission on Collegiate Nursing</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2006 – 2016 (B.S.)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4"/>
              </w:rPr>
              <w:t>Education accredits our Bachelor of Science</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2006 – 2011 (M.S.)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4"/>
              </w:rPr>
              <w:t>in Nursing and Master of Science in Nursing</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degree programs.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w w:val="94"/>
              </w:rPr>
              <w:t xml:space="preserve">•  </w:t>
            </w:r>
            <w:r>
              <w:rPr>
                <w:rFonts w:ascii="Arial" w:cs="Arial" w:eastAsia="Arial" w:hAnsi="Arial"/>
                <w:sz w:val="17"/>
                <w:szCs w:val="17"/>
                <w:color w:val="auto"/>
                <w:w w:val="94"/>
              </w:rPr>
              <w:t>The Arizona State Board of Nursing approves</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2006 – 2016 (B.S.)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our Bachelor of Science in Nursing and</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2006 – 2011 (M.S.)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Master of Science in Nursing degree</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programs.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w w:val="97"/>
              </w:rPr>
              <w:t xml:space="preserve">•  </w:t>
            </w:r>
            <w:r>
              <w:rPr>
                <w:rFonts w:ascii="Arial" w:cs="Arial" w:eastAsia="Arial" w:hAnsi="Arial"/>
                <w:sz w:val="17"/>
                <w:szCs w:val="17"/>
                <w:color w:val="auto"/>
                <w:w w:val="97"/>
              </w:rPr>
              <w:t>The Commission on Accreditation of Athletic</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2008 – 2013</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Training Education accredits our Athletic</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Training Program.</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56"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Curricula</w:t>
      </w:r>
    </w:p>
    <w:p>
      <w:pPr>
        <w:spacing w:after="0" w:line="193"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We offer the degrees of Doctorate of Education, Doctor of Business Administration, Doctor of Philosophy in General Psychology, Master of Arts, Master of Education, Master of Business Administration, Executive MBA, Master of Public Health,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offer our academic programs through our six distinct colleges:</w:t>
      </w:r>
    </w:p>
    <w:p>
      <w:pPr>
        <w:spacing w:after="0" w:line="176" w:lineRule="exact"/>
        <w:rPr>
          <w:sz w:val="20"/>
          <w:szCs w:val="20"/>
          <w:color w:val="auto"/>
        </w:rPr>
      </w:pPr>
    </w:p>
    <w:p>
      <w:pPr>
        <w:ind w:left="1400" w:right="899" w:hanging="359"/>
        <w:spacing w:after="0" w:line="346" w:lineRule="auto"/>
        <w:tabs>
          <w:tab w:leader="none" w:pos="140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92" w:lineRule="exact"/>
        <w:rPr>
          <w:rFonts w:ascii="Arial" w:cs="Arial" w:eastAsia="Arial" w:hAnsi="Arial"/>
          <w:sz w:val="15"/>
          <w:szCs w:val="15"/>
          <w:b w:val="1"/>
          <w:bCs w:val="1"/>
          <w:color w:val="auto"/>
        </w:rPr>
      </w:pPr>
    </w:p>
    <w:p>
      <w:pPr>
        <w:ind w:left="1400" w:right="819" w:hanging="359"/>
        <w:spacing w:after="0" w:line="346" w:lineRule="auto"/>
        <w:tabs>
          <w:tab w:leader="none" w:pos="140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the College of Education, which has a 60-year history as one of Arizona’s leading teacher’s colleges and consistently graduates teachers who meet or exceed state averages on the Arizona Educator Proficiency Assessment exams;</w:t>
      </w:r>
    </w:p>
    <w:p>
      <w:pPr>
        <w:spacing w:after="0" w:line="79" w:lineRule="exact"/>
        <w:rPr>
          <w:rFonts w:ascii="Arial" w:cs="Arial" w:eastAsia="Arial" w:hAnsi="Arial"/>
          <w:sz w:val="15"/>
          <w:szCs w:val="15"/>
          <w:b w:val="1"/>
          <w:bCs w:val="1"/>
          <w:color w:val="auto"/>
        </w:rPr>
      </w:pPr>
    </w:p>
    <w:p>
      <w:pPr>
        <w:jc w:val="both"/>
        <w:ind w:left="1400" w:right="1139" w:hanging="359"/>
        <w:spacing w:after="0" w:line="315" w:lineRule="auto"/>
        <w:tabs>
          <w:tab w:leader="none" w:pos="140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business, and entrepreneurship;</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400" w:right="839" w:hanging="359"/>
        <w:spacing w:after="0" w:line="277" w:lineRule="auto"/>
        <w:tabs>
          <w:tab w:leader="none" w:pos="14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College of Nursing and Health Sciences, which has a strong reputation within the Arizona healthcare community and is the second largest nursing program in Arizona;</w:t>
      </w:r>
    </w:p>
    <w:p>
      <w:pPr>
        <w:spacing w:after="0" w:line="138" w:lineRule="exact"/>
        <w:rPr>
          <w:rFonts w:ascii="Arial" w:cs="Arial" w:eastAsia="Arial" w:hAnsi="Arial"/>
          <w:sz w:val="17"/>
          <w:szCs w:val="17"/>
          <w:b w:val="1"/>
          <w:bCs w:val="1"/>
          <w:color w:val="auto"/>
        </w:rPr>
      </w:pPr>
    </w:p>
    <w:p>
      <w:pPr>
        <w:ind w:left="1400" w:right="919" w:hanging="359"/>
        <w:spacing w:after="0" w:line="264" w:lineRule="auto"/>
        <w:tabs>
          <w:tab w:leader="none" w:pos="14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College of Liberal Arts, which develops and provides many of the general education course requirements in our other colleges and also serves as one of the vehicles through which we offer programs in additional targeted disciplines; and</w:t>
      </w:r>
    </w:p>
    <w:p>
      <w:pPr>
        <w:spacing w:after="0" w:line="136" w:lineRule="exact"/>
        <w:rPr>
          <w:rFonts w:ascii="Arial" w:cs="Arial" w:eastAsia="Arial" w:hAnsi="Arial"/>
          <w:sz w:val="17"/>
          <w:szCs w:val="17"/>
          <w:b w:val="1"/>
          <w:bCs w:val="1"/>
          <w:color w:val="auto"/>
        </w:rPr>
      </w:pPr>
    </w:p>
    <w:p>
      <w:pPr>
        <w:ind w:left="1400" w:right="999" w:hanging="359"/>
        <w:spacing w:after="0" w:line="277" w:lineRule="auto"/>
        <w:tabs>
          <w:tab w:leader="none" w:pos="14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College of Fine Arts and Production, which was reintroduced in 2010 and which continues the long and highly regarded tradition that the University has in the Fine Arts.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We license the right to utilize the name of Ken Blanchard in connection with our business school and Executive MBA Programs.</w:t>
      </w:r>
    </w:p>
    <w:p>
      <w:pPr>
        <w:spacing w:after="0" w:line="212"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Under the overall leadership of our senior academic affairs personnel and the deans of the individual colleges, each of the colleges organizes its academic programs through various departments and schools. At December 31, 2010, we offered 107 academic degree program and emphasis combinations, as follows: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College of Doctoral Studies</w:t>
            </w:r>
          </w:p>
        </w:tc>
      </w:tr>
      <w:tr>
        <w:trPr>
          <w:trHeight w:val="199"/>
        </w:trPr>
        <w:tc>
          <w:tcPr>
            <w:tcW w:w="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Degree Program</w:t>
            </w:r>
          </w:p>
        </w:tc>
        <w:tc>
          <w:tcPr>
            <w:tcW w:w="460" w:type="dxa"/>
            <w:vAlign w:val="bottom"/>
          </w:tcPr>
          <w:p>
            <w:pPr>
              <w:spacing w:after="0"/>
              <w:rPr>
                <w:sz w:val="17"/>
                <w:szCs w:val="17"/>
                <w:color w:val="auto"/>
              </w:rPr>
            </w:pPr>
          </w:p>
        </w:tc>
        <w:tc>
          <w:tcPr>
            <w:tcW w:w="5440" w:type="dxa"/>
            <w:vAlign w:val="bottom"/>
            <w:tcBorders>
              <w:bottom w:val="single" w:sz="8" w:color="auto"/>
            </w:tcBorders>
          </w:tcPr>
          <w:p>
            <w:pPr>
              <w:ind w:left="2360"/>
              <w:spacing w:after="0"/>
              <w:rPr>
                <w:sz w:val="20"/>
                <w:szCs w:val="20"/>
                <w:color w:val="auto"/>
              </w:rPr>
            </w:pPr>
            <w:r>
              <w:rPr>
                <w:rFonts w:ascii="Arial" w:cs="Arial" w:eastAsia="Arial" w:hAnsi="Arial"/>
                <w:sz w:val="17"/>
                <w:szCs w:val="17"/>
                <w:b w:val="1"/>
                <w:bCs w:val="1"/>
                <w:color w:val="auto"/>
              </w:rPr>
              <w:t>Emphasis</w:t>
            </w:r>
          </w:p>
        </w:tc>
      </w:tr>
      <w:tr>
        <w:trPr>
          <w:trHeight w:val="182"/>
        </w:trPr>
        <w:tc>
          <w:tcPr>
            <w:tcW w:w="3320" w:type="dxa"/>
            <w:vAlign w:val="bottom"/>
            <w:gridSpan w:val="2"/>
          </w:tcPr>
          <w:p>
            <w:pPr>
              <w:spacing w:after="0" w:line="181" w:lineRule="exact"/>
              <w:rPr>
                <w:sz w:val="20"/>
                <w:szCs w:val="20"/>
                <w:color w:val="auto"/>
              </w:rPr>
            </w:pPr>
            <w:r>
              <w:rPr>
                <w:rFonts w:ascii="Arial" w:cs="Arial" w:eastAsia="Arial" w:hAnsi="Arial"/>
                <w:sz w:val="17"/>
                <w:szCs w:val="17"/>
                <w:color w:val="auto"/>
              </w:rPr>
              <w:t>Doctor of Education</w:t>
            </w:r>
          </w:p>
        </w:tc>
        <w:tc>
          <w:tcPr>
            <w:tcW w:w="460" w:type="dxa"/>
            <w:vAlign w:val="bottom"/>
          </w:tcPr>
          <w:p>
            <w:pPr>
              <w:spacing w:after="0"/>
              <w:rPr>
                <w:sz w:val="15"/>
                <w:szCs w:val="15"/>
                <w:color w:val="auto"/>
              </w:rPr>
            </w:pPr>
          </w:p>
        </w:tc>
        <w:tc>
          <w:tcPr>
            <w:tcW w:w="5440" w:type="dxa"/>
            <w:vAlign w:val="bottom"/>
          </w:tcPr>
          <w:p>
            <w:pPr>
              <w:spacing w:after="0" w:line="181"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Organizational Development</w:t>
            </w: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Higher Education Leadership</w:t>
            </w: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Effective Schools</w:t>
            </w: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Behavioral Health</w:t>
            </w:r>
          </w:p>
        </w:tc>
      </w:tr>
      <w:tr>
        <w:trPr>
          <w:trHeight w:val="220"/>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Instructional Leadership</w:t>
            </w:r>
          </w:p>
        </w:tc>
      </w:tr>
    </w:tbl>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College of Education</w:t>
            </w:r>
          </w:p>
        </w:tc>
        <w:tc>
          <w:tcPr>
            <w:tcW w:w="1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Ken Blanchard College of Business</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line="134" w:lineRule="exact"/>
              <w:rPr>
                <w:sz w:val="20"/>
                <w:szCs w:val="20"/>
                <w:color w:val="auto"/>
              </w:rPr>
            </w:pPr>
            <w:r>
              <w:rPr>
                <w:rFonts w:ascii="Arial" w:cs="Arial" w:eastAsia="Arial" w:hAnsi="Arial"/>
                <w:sz w:val="14"/>
                <w:szCs w:val="14"/>
                <w:b w:val="1"/>
                <w:bCs w:val="1"/>
                <w:color w:val="auto"/>
              </w:rPr>
              <w:t>Degree Program</w:t>
            </w:r>
          </w:p>
        </w:tc>
        <w:tc>
          <w:tcPr>
            <w:tcW w:w="180" w:type="dxa"/>
            <w:vAlign w:val="bottom"/>
          </w:tcPr>
          <w:p>
            <w:pPr>
              <w:spacing w:after="0"/>
              <w:rPr>
                <w:sz w:val="11"/>
                <w:szCs w:val="11"/>
                <w:color w:val="auto"/>
              </w:rPr>
            </w:pPr>
          </w:p>
        </w:tc>
        <w:tc>
          <w:tcPr>
            <w:tcW w:w="3060" w:type="dxa"/>
            <w:vAlign w:val="bottom"/>
            <w:tcBorders>
              <w:bottom w:val="single" w:sz="8" w:color="auto"/>
            </w:tcBorders>
          </w:tcPr>
          <w:p>
            <w:pPr>
              <w:ind w:left="1260"/>
              <w:spacing w:after="0" w:line="134" w:lineRule="exact"/>
              <w:rPr>
                <w:sz w:val="20"/>
                <w:szCs w:val="20"/>
                <w:color w:val="auto"/>
              </w:rPr>
            </w:pPr>
            <w:r>
              <w:rPr>
                <w:rFonts w:ascii="Arial" w:cs="Arial" w:eastAsia="Arial" w:hAnsi="Arial"/>
                <w:sz w:val="14"/>
                <w:szCs w:val="14"/>
                <w:b w:val="1"/>
                <w:bCs w:val="1"/>
                <w:color w:val="auto"/>
              </w:rPr>
              <w:t>Emphasis</w:t>
            </w:r>
          </w:p>
        </w:tc>
        <w:tc>
          <w:tcPr>
            <w:tcW w:w="180" w:type="dxa"/>
            <w:vAlign w:val="bottom"/>
          </w:tcPr>
          <w:p>
            <w:pPr>
              <w:spacing w:after="0"/>
              <w:rPr>
                <w:sz w:val="11"/>
                <w:szCs w:val="11"/>
                <w:color w:val="auto"/>
              </w:rPr>
            </w:pPr>
          </w:p>
        </w:tc>
        <w:tc>
          <w:tcPr>
            <w:tcW w:w="112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4"/>
                <w:szCs w:val="14"/>
                <w:b w:val="1"/>
                <w:bCs w:val="1"/>
                <w:color w:val="auto"/>
                <w:w w:val="89"/>
              </w:rPr>
              <w:t>Degree Program</w:t>
            </w: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ind w:left="1080"/>
              <w:spacing w:after="0" w:line="134"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15"/>
        </w:trPr>
        <w:tc>
          <w:tcPr>
            <w:tcW w:w="1480" w:type="dxa"/>
            <w:vAlign w:val="bottom"/>
            <w:gridSpan w:val="2"/>
          </w:tcPr>
          <w:p>
            <w:pPr>
              <w:spacing w:after="0" w:line="116" w:lineRule="exact"/>
              <w:rPr>
                <w:sz w:val="20"/>
                <w:szCs w:val="20"/>
                <w:color w:val="auto"/>
              </w:rPr>
            </w:pPr>
            <w:r>
              <w:rPr>
                <w:rFonts w:ascii="Arial" w:cs="Arial" w:eastAsia="Arial" w:hAnsi="Arial"/>
                <w:sz w:val="13"/>
                <w:szCs w:val="13"/>
                <w:color w:val="auto"/>
              </w:rPr>
              <w:t>Master of Arts</w:t>
            </w:r>
          </w:p>
        </w:tc>
        <w:tc>
          <w:tcPr>
            <w:tcW w:w="180" w:type="dxa"/>
            <w:vAlign w:val="bottom"/>
          </w:tcPr>
          <w:p>
            <w:pPr>
              <w:spacing w:after="0"/>
              <w:rPr>
                <w:sz w:val="10"/>
                <w:szCs w:val="10"/>
                <w:color w:val="auto"/>
              </w:rPr>
            </w:pPr>
          </w:p>
        </w:tc>
        <w:tc>
          <w:tcPr>
            <w:tcW w:w="3060" w:type="dxa"/>
            <w:vAlign w:val="bottom"/>
          </w:tcPr>
          <w:p>
            <w:pPr>
              <w:spacing w:after="0" w:line="116"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Teaching — Professional Learning</w:t>
            </w:r>
          </w:p>
        </w:tc>
        <w:tc>
          <w:tcPr>
            <w:tcW w:w="180" w:type="dxa"/>
            <w:vAlign w:val="bottom"/>
          </w:tcPr>
          <w:p>
            <w:pPr>
              <w:spacing w:after="0"/>
              <w:rPr>
                <w:sz w:val="10"/>
                <w:szCs w:val="10"/>
                <w:color w:val="auto"/>
              </w:rPr>
            </w:pPr>
          </w:p>
        </w:tc>
        <w:tc>
          <w:tcPr>
            <w:tcW w:w="1120" w:type="dxa"/>
            <w:vAlign w:val="bottom"/>
          </w:tcPr>
          <w:p>
            <w:pPr>
              <w:spacing w:after="0" w:line="116" w:lineRule="exact"/>
              <w:rPr>
                <w:sz w:val="20"/>
                <w:szCs w:val="20"/>
                <w:color w:val="auto"/>
              </w:rPr>
            </w:pPr>
            <w:r>
              <w:rPr>
                <w:rFonts w:ascii="Arial" w:cs="Arial" w:eastAsia="Arial" w:hAnsi="Arial"/>
                <w:sz w:val="13"/>
                <w:szCs w:val="13"/>
                <w:color w:val="auto"/>
              </w:rPr>
              <w:t>Ken Blanchard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ind w:left="280"/>
              <w:spacing w:after="0" w:line="139" w:lineRule="exact"/>
              <w:rPr>
                <w:sz w:val="20"/>
                <w:szCs w:val="20"/>
                <w:color w:val="auto"/>
              </w:rPr>
            </w:pPr>
            <w:r>
              <w:rPr>
                <w:rFonts w:ascii="Arial" w:cs="Arial" w:eastAsia="Arial" w:hAnsi="Arial"/>
                <w:sz w:val="14"/>
                <w:szCs w:val="14"/>
                <w:color w:val="auto"/>
              </w:rPr>
              <w:t>Communities</w:t>
            </w:r>
          </w:p>
        </w:tc>
        <w:tc>
          <w:tcPr>
            <w:tcW w:w="130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Executive MBA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Teaching — Teaching Leadership</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480" w:type="dxa"/>
            <w:vAlign w:val="bottom"/>
            <w:gridSpan w:val="2"/>
          </w:tcPr>
          <w:p>
            <w:pPr>
              <w:spacing w:after="0"/>
              <w:rPr>
                <w:sz w:val="20"/>
                <w:szCs w:val="20"/>
                <w:color w:val="auto"/>
              </w:rPr>
            </w:pPr>
            <w:r>
              <w:rPr>
                <w:rFonts w:ascii="Arial" w:cs="Arial" w:eastAsia="Arial" w:hAnsi="Arial"/>
                <w:sz w:val="14"/>
                <w:szCs w:val="14"/>
                <w:color w:val="auto"/>
              </w:rPr>
              <w:t>Master of Education</w:t>
            </w:r>
          </w:p>
        </w:tc>
        <w:tc>
          <w:tcPr>
            <w:tcW w:w="180" w:type="dxa"/>
            <w:vAlign w:val="bottom"/>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Education Administration — Institutional</w:t>
            </w: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w w:val="92"/>
              </w:rPr>
              <w:t>Master of Business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rPr>
                <w:sz w:val="20"/>
                <w:szCs w:val="20"/>
                <w:color w:val="auto"/>
              </w:rPr>
            </w:pPr>
            <w:r>
              <w:rPr>
                <w:rFonts w:ascii="Arial" w:cs="Arial" w:eastAsia="Arial" w:hAnsi="Arial"/>
                <w:sz w:val="14"/>
                <w:szCs w:val="14"/>
                <w:color w:val="auto"/>
              </w:rPr>
              <w:t>Accounting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ind w:left="220"/>
              <w:spacing w:after="0" w:line="141" w:lineRule="exact"/>
              <w:rPr>
                <w:sz w:val="20"/>
                <w:szCs w:val="20"/>
                <w:color w:val="auto"/>
              </w:rPr>
            </w:pPr>
            <w:r>
              <w:rPr>
                <w:rFonts w:ascii="Arial" w:cs="Arial" w:eastAsia="Arial" w:hAnsi="Arial"/>
                <w:sz w:val="14"/>
                <w:szCs w:val="14"/>
                <w:color w:val="auto"/>
              </w:rPr>
              <w:t>Recommendation (“IR”)</w:t>
            </w:r>
          </w:p>
        </w:tc>
        <w:tc>
          <w:tcPr>
            <w:tcW w:w="130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Administration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Corporate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Educational Leadership — Non-IR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Health Systems Management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Marketing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Non-IR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Leadership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4"/>
                <w:szCs w:val="14"/>
                <w:color w:val="auto"/>
                <w:w w:val="93"/>
              </w:rPr>
              <w:t>Curriculum and Instruction: Reading— Elementary</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Strategic Human Resources Management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3"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4"/>
                <w:szCs w:val="14"/>
                <w:color w:val="auto"/>
                <w:w w:val="93"/>
              </w:rPr>
              <w:t>Curriculum and Instruction: Reading — Secondary</w:t>
            </w:r>
          </w:p>
        </w:tc>
        <w:tc>
          <w:tcPr>
            <w:tcW w:w="130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Master of Public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0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Administration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2840" w:type="dxa"/>
            <w:vAlign w:val="bottom"/>
          </w:tcPr>
          <w:p>
            <w:pPr>
              <w:ind w:left="80"/>
              <w:spacing w:after="0" w:line="139" w:lineRule="exact"/>
              <w:rPr>
                <w:sz w:val="20"/>
                <w:szCs w:val="20"/>
                <w:color w:val="auto"/>
              </w:rPr>
            </w:pPr>
            <w:r>
              <w:rPr>
                <w:rFonts w:ascii="Arial" w:cs="Arial" w:eastAsia="Arial" w:hAnsi="Arial"/>
                <w:sz w:val="14"/>
                <w:szCs w:val="14"/>
                <w:color w:val="auto"/>
              </w:rPr>
              <w:t>Government and Policy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Curriculum and Instruction: Technology</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Health Care Management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Non-IR</w:t>
            </w:r>
          </w:p>
        </w:tc>
        <w:tc>
          <w:tcPr>
            <w:tcW w:w="1300" w:type="dxa"/>
            <w:vAlign w:val="bottom"/>
            <w:gridSpan w:val="2"/>
          </w:tcPr>
          <w:p>
            <w:pPr>
              <w:ind w:left="180"/>
              <w:spacing w:after="0" w:line="141" w:lineRule="exact"/>
              <w:rPr>
                <w:sz w:val="20"/>
                <w:szCs w:val="20"/>
                <w:color w:val="auto"/>
              </w:rPr>
            </w:pPr>
            <w:r>
              <w:rPr>
                <w:rFonts w:ascii="Arial" w:cs="Arial" w:eastAsia="Arial" w:hAnsi="Arial"/>
                <w:sz w:val="14"/>
                <w:szCs w:val="14"/>
                <w:color w:val="auto"/>
                <w:w w:val="98"/>
              </w:rPr>
              <w:t>Master of Science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Leadership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for Certified Special</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3" w:lineRule="exact"/>
              <w:rPr>
                <w:sz w:val="20"/>
                <w:szCs w:val="20"/>
                <w:color w:val="auto"/>
              </w:rPr>
            </w:pPr>
            <w:r>
              <w:rPr>
                <w:rFonts w:ascii="Arial" w:cs="Arial" w:eastAsia="Arial" w:hAnsi="Arial"/>
                <w:sz w:val="14"/>
                <w:szCs w:val="14"/>
                <w:color w:val="auto"/>
                <w:w w:val="88"/>
              </w:rPr>
              <w:t>Leadership — Disaster Preparedness &amp; Executive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ind w:left="220"/>
              <w:spacing w:after="0" w:line="139" w:lineRule="exact"/>
              <w:rPr>
                <w:sz w:val="20"/>
                <w:szCs w:val="20"/>
                <w:color w:val="auto"/>
              </w:rPr>
            </w:pPr>
            <w:r>
              <w:rPr>
                <w:rFonts w:ascii="Arial" w:cs="Arial" w:eastAsia="Arial" w:hAnsi="Arial"/>
                <w:sz w:val="14"/>
                <w:szCs w:val="14"/>
                <w:color w:val="auto"/>
              </w:rPr>
              <w:t>Educators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ind w:left="120"/>
              <w:spacing w:after="0" w:line="139" w:lineRule="exact"/>
              <w:rPr>
                <w:sz w:val="20"/>
                <w:szCs w:val="20"/>
                <w:color w:val="auto"/>
              </w:rPr>
            </w:pPr>
            <w:r>
              <w:rPr>
                <w:rFonts w:ascii="Arial" w:cs="Arial" w:eastAsia="Arial" w:hAnsi="Arial"/>
                <w:sz w:val="14"/>
                <w:szCs w:val="14"/>
                <w:color w:val="auto"/>
              </w:rPr>
              <w:t>Fire Leadership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4"/>
                <w:szCs w:val="14"/>
                <w:color w:val="auto"/>
                <w:w w:val="93"/>
              </w:rPr>
              <w:t>Teaching English to Speakers of Other Languages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 Non-IR</w:t>
            </w:r>
          </w:p>
        </w:tc>
        <w:tc>
          <w:tcPr>
            <w:tcW w:w="1300" w:type="dxa"/>
            <w:vAlign w:val="bottom"/>
            <w:gridSpan w:val="2"/>
          </w:tcPr>
          <w:p>
            <w:pPr>
              <w:ind w:left="180"/>
              <w:spacing w:after="0" w:line="141" w:lineRule="exact"/>
              <w:rPr>
                <w:sz w:val="20"/>
                <w:szCs w:val="20"/>
                <w:color w:val="auto"/>
              </w:rPr>
            </w:pPr>
            <w:r>
              <w:rPr>
                <w:rFonts w:ascii="Arial" w:cs="Arial" w:eastAsia="Arial" w:hAnsi="Arial"/>
                <w:sz w:val="14"/>
                <w:szCs w:val="14"/>
                <w:color w:val="auto"/>
                <w:w w:val="88"/>
              </w:rPr>
              <w:t>Bachelor of Science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Accounting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Early Childhood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Business Administration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Early Childhood Education — Non-IR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Applied Management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Finance and Economics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Entrepreneurial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Marketing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Public Safety Administration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Sports Management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Public Safety and Emergency Management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College of Education</w:t>
            </w:r>
          </w:p>
        </w:tc>
        <w:tc>
          <w:tcPr>
            <w:tcW w:w="180" w:type="dxa"/>
            <w:vAlign w:val="bottom"/>
          </w:tcPr>
          <w:p>
            <w:pPr>
              <w:spacing w:after="0"/>
              <w:rPr>
                <w:sz w:val="14"/>
                <w:szCs w:val="14"/>
                <w:color w:val="auto"/>
              </w:rPr>
            </w:pPr>
          </w:p>
        </w:tc>
        <w:tc>
          <w:tcPr>
            <w:tcW w:w="4320" w:type="dxa"/>
            <w:vAlign w:val="bottom"/>
            <w:tcBorders>
              <w:bottom w:val="single" w:sz="8" w:color="auto"/>
            </w:tcBorders>
            <w:gridSpan w:val="4"/>
          </w:tcPr>
          <w:p>
            <w:pPr>
              <w:ind w:left="1100"/>
              <w:spacing w:after="0"/>
              <w:rPr>
                <w:sz w:val="20"/>
                <w:szCs w:val="20"/>
                <w:color w:val="auto"/>
              </w:rPr>
            </w:pPr>
            <w:r>
              <w:rPr>
                <w:rFonts w:ascii="Arial" w:cs="Arial" w:eastAsia="Arial" w:hAnsi="Arial"/>
                <w:sz w:val="14"/>
                <w:szCs w:val="14"/>
                <w:b w:val="1"/>
                <w:bCs w:val="1"/>
                <w:color w:val="auto"/>
              </w:rPr>
              <w:t>College of Fine Arts and Production</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line="134" w:lineRule="exact"/>
              <w:rPr>
                <w:sz w:val="20"/>
                <w:szCs w:val="20"/>
                <w:color w:val="auto"/>
              </w:rPr>
            </w:pPr>
            <w:r>
              <w:rPr>
                <w:rFonts w:ascii="Arial" w:cs="Arial" w:eastAsia="Arial" w:hAnsi="Arial"/>
                <w:sz w:val="14"/>
                <w:szCs w:val="14"/>
                <w:b w:val="1"/>
                <w:bCs w:val="1"/>
                <w:color w:val="auto"/>
              </w:rPr>
              <w:t>Degree Program</w:t>
            </w:r>
          </w:p>
        </w:tc>
        <w:tc>
          <w:tcPr>
            <w:tcW w:w="2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ind w:left="1180"/>
              <w:spacing w:after="0" w:line="134" w:lineRule="exact"/>
              <w:rPr>
                <w:sz w:val="20"/>
                <w:szCs w:val="20"/>
                <w:color w:val="auto"/>
              </w:rPr>
            </w:pPr>
            <w:r>
              <w:rPr>
                <w:rFonts w:ascii="Arial" w:cs="Arial" w:eastAsia="Arial" w:hAnsi="Arial"/>
                <w:sz w:val="14"/>
                <w:szCs w:val="14"/>
                <w:b w:val="1"/>
                <w:bCs w:val="1"/>
                <w:color w:val="auto"/>
              </w:rPr>
              <w:t>Emphasis</w:t>
            </w:r>
          </w:p>
        </w:tc>
        <w:tc>
          <w:tcPr>
            <w:tcW w:w="180" w:type="dxa"/>
            <w:vAlign w:val="bottom"/>
          </w:tcPr>
          <w:p>
            <w:pPr>
              <w:spacing w:after="0"/>
              <w:rPr>
                <w:sz w:val="11"/>
                <w:szCs w:val="11"/>
                <w:color w:val="auto"/>
              </w:rPr>
            </w:pPr>
          </w:p>
        </w:tc>
        <w:tc>
          <w:tcPr>
            <w:tcW w:w="1280" w:type="dxa"/>
            <w:vAlign w:val="bottom"/>
            <w:tcBorders>
              <w:bottom w:val="single" w:sz="8" w:color="auto"/>
            </w:tcBorders>
          </w:tcPr>
          <w:p>
            <w:pPr>
              <w:ind w:left="160"/>
              <w:spacing w:after="0" w:line="134" w:lineRule="exact"/>
              <w:rPr>
                <w:sz w:val="20"/>
                <w:szCs w:val="20"/>
                <w:color w:val="auto"/>
              </w:rPr>
            </w:pPr>
            <w:r>
              <w:rPr>
                <w:rFonts w:ascii="Arial" w:cs="Arial" w:eastAsia="Arial" w:hAnsi="Arial"/>
                <w:sz w:val="14"/>
                <w:szCs w:val="14"/>
                <w:b w:val="1"/>
                <w:bCs w:val="1"/>
                <w:color w:val="auto"/>
              </w:rPr>
              <w:t>Degree Program</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ind w:left="1020"/>
              <w:spacing w:after="0" w:line="134"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254"/>
        </w:trPr>
        <w:tc>
          <w:tcPr>
            <w:tcW w:w="1160" w:type="dxa"/>
            <w:vAlign w:val="bottom"/>
            <w:gridSpan w:val="2"/>
          </w:tcPr>
          <w:p>
            <w:pPr>
              <w:spacing w:after="0"/>
              <w:rPr>
                <w:sz w:val="20"/>
                <w:szCs w:val="20"/>
                <w:color w:val="auto"/>
              </w:rPr>
            </w:pPr>
            <w:r>
              <w:rPr>
                <w:rFonts w:ascii="Arial" w:cs="Arial" w:eastAsia="Arial" w:hAnsi="Arial"/>
                <w:sz w:val="14"/>
                <w:szCs w:val="14"/>
                <w:color w:val="auto"/>
                <w:w w:val="91"/>
              </w:rPr>
              <w:t>Bachelor of Science</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Elementary/Special Education</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Bachelor of Arts</w:t>
            </w:r>
          </w:p>
        </w:tc>
        <w:tc>
          <w:tcPr>
            <w:tcW w:w="18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rPr>
                <w:sz w:val="20"/>
                <w:szCs w:val="20"/>
                <w:color w:val="auto"/>
              </w:rPr>
            </w:pPr>
            <w:r>
              <w:rPr>
                <w:rFonts w:ascii="Arial" w:cs="Arial" w:eastAsia="Arial" w:hAnsi="Arial"/>
                <w:sz w:val="14"/>
                <w:szCs w:val="14"/>
                <w:color w:val="auto"/>
              </w:rPr>
              <w:t>Dance Education*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Early Childhood</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Digital Film — Production*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ind w:left="140"/>
              <w:spacing w:after="0" w:line="141" w:lineRule="exact"/>
              <w:rPr>
                <w:sz w:val="20"/>
                <w:szCs w:val="20"/>
                <w:color w:val="auto"/>
              </w:rPr>
            </w:pPr>
            <w:r>
              <w:rPr>
                <w:rFonts w:ascii="Arial" w:cs="Arial" w:eastAsia="Arial" w:hAnsi="Arial"/>
                <w:sz w:val="14"/>
                <w:szCs w:val="14"/>
                <w:color w:val="auto"/>
              </w:rPr>
              <w:t>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Digital Film — Screenwriting*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English</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Music Education*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Math</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Music — Piano*</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Science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Music — Voice*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Biology*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Theatre and Drama*</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Business 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Chemistry*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Mathematics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Social Studies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Physical 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English</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Early Childhood Education</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College of Nursing and Health Sciences</w:t>
            </w:r>
          </w:p>
        </w:tc>
        <w:tc>
          <w:tcPr>
            <w:tcW w:w="18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College of Liberal Arts</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line="134" w:lineRule="exact"/>
              <w:rPr>
                <w:sz w:val="20"/>
                <w:szCs w:val="20"/>
                <w:color w:val="auto"/>
              </w:rPr>
            </w:pPr>
            <w:r>
              <w:rPr>
                <w:rFonts w:ascii="Arial" w:cs="Arial" w:eastAsia="Arial" w:hAnsi="Arial"/>
                <w:sz w:val="14"/>
                <w:szCs w:val="14"/>
                <w:b w:val="1"/>
                <w:bCs w:val="1"/>
                <w:color w:val="auto"/>
              </w:rPr>
              <w:t>Degree Program</w:t>
            </w:r>
          </w:p>
        </w:tc>
        <w:tc>
          <w:tcPr>
            <w:tcW w:w="2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ind w:left="1180"/>
              <w:spacing w:after="0" w:line="134" w:lineRule="exact"/>
              <w:rPr>
                <w:sz w:val="20"/>
                <w:szCs w:val="20"/>
                <w:color w:val="auto"/>
              </w:rPr>
            </w:pPr>
            <w:r>
              <w:rPr>
                <w:rFonts w:ascii="Arial" w:cs="Arial" w:eastAsia="Arial" w:hAnsi="Arial"/>
                <w:sz w:val="14"/>
                <w:szCs w:val="14"/>
                <w:b w:val="1"/>
                <w:bCs w:val="1"/>
                <w:color w:val="auto"/>
              </w:rPr>
              <w:t>Emphasis</w:t>
            </w:r>
          </w:p>
        </w:tc>
        <w:tc>
          <w:tcPr>
            <w:tcW w:w="180" w:type="dxa"/>
            <w:vAlign w:val="bottom"/>
          </w:tcPr>
          <w:p>
            <w:pPr>
              <w:spacing w:after="0"/>
              <w:rPr>
                <w:sz w:val="11"/>
                <w:szCs w:val="11"/>
                <w:color w:val="auto"/>
              </w:rPr>
            </w:pPr>
          </w:p>
        </w:tc>
        <w:tc>
          <w:tcPr>
            <w:tcW w:w="1280" w:type="dxa"/>
            <w:vAlign w:val="bottom"/>
            <w:tcBorders>
              <w:bottom w:val="single" w:sz="8" w:color="auto"/>
            </w:tcBorders>
          </w:tcPr>
          <w:p>
            <w:pPr>
              <w:ind w:left="160"/>
              <w:spacing w:after="0" w:line="134" w:lineRule="exact"/>
              <w:rPr>
                <w:sz w:val="20"/>
                <w:szCs w:val="20"/>
                <w:color w:val="auto"/>
              </w:rPr>
            </w:pPr>
            <w:r>
              <w:rPr>
                <w:rFonts w:ascii="Arial" w:cs="Arial" w:eastAsia="Arial" w:hAnsi="Arial"/>
                <w:sz w:val="14"/>
                <w:szCs w:val="14"/>
                <w:b w:val="1"/>
                <w:bCs w:val="1"/>
                <w:color w:val="auto"/>
              </w:rPr>
              <w:t>Degree Program</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ind w:left="1020"/>
              <w:spacing w:after="0" w:line="134"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13"/>
        </w:trPr>
        <w:tc>
          <w:tcPr>
            <w:tcW w:w="1160" w:type="dxa"/>
            <w:vAlign w:val="bottom"/>
            <w:gridSpan w:val="2"/>
          </w:tcPr>
          <w:p>
            <w:pPr>
              <w:spacing w:after="0" w:line="114" w:lineRule="exact"/>
              <w:rPr>
                <w:sz w:val="20"/>
                <w:szCs w:val="20"/>
                <w:color w:val="auto"/>
              </w:rPr>
            </w:pPr>
            <w:r>
              <w:rPr>
                <w:rFonts w:ascii="Arial" w:cs="Arial" w:eastAsia="Arial" w:hAnsi="Arial"/>
                <w:sz w:val="13"/>
                <w:szCs w:val="13"/>
                <w:color w:val="auto"/>
              </w:rPr>
              <w:t>Master of Science</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line="114" w:lineRule="exact"/>
              <w:rPr>
                <w:sz w:val="20"/>
                <w:szCs w:val="20"/>
                <w:color w:val="auto"/>
              </w:rPr>
            </w:pPr>
            <w:r>
              <w:rPr>
                <w:rFonts w:ascii="Arial" w:cs="Arial" w:eastAsia="Arial" w:hAnsi="Arial"/>
                <w:sz w:val="13"/>
                <w:szCs w:val="13"/>
                <w:b w:val="1"/>
                <w:bCs w:val="1"/>
                <w:color w:val="auto"/>
              </w:rPr>
              <w:t>•</w:t>
            </w:r>
          </w:p>
        </w:tc>
        <w:tc>
          <w:tcPr>
            <w:tcW w:w="3040" w:type="dxa"/>
            <w:vAlign w:val="bottom"/>
          </w:tcPr>
          <w:p>
            <w:pPr>
              <w:ind w:left="80"/>
              <w:spacing w:after="0" w:line="114" w:lineRule="exact"/>
              <w:rPr>
                <w:sz w:val="20"/>
                <w:szCs w:val="20"/>
                <w:color w:val="auto"/>
              </w:rPr>
            </w:pPr>
            <w:r>
              <w:rPr>
                <w:rFonts w:ascii="Arial" w:cs="Arial" w:eastAsia="Arial" w:hAnsi="Arial"/>
                <w:sz w:val="13"/>
                <w:szCs w:val="13"/>
                <w:color w:val="auto"/>
              </w:rPr>
              <w:t>Nursing — Family Nurse Practitioner*</w:t>
            </w:r>
          </w:p>
        </w:tc>
        <w:tc>
          <w:tcPr>
            <w:tcW w:w="180" w:type="dxa"/>
            <w:vAlign w:val="bottom"/>
          </w:tcPr>
          <w:p>
            <w:pPr>
              <w:spacing w:after="0"/>
              <w:rPr>
                <w:sz w:val="9"/>
                <w:szCs w:val="9"/>
                <w:color w:val="auto"/>
              </w:rPr>
            </w:pPr>
          </w:p>
        </w:tc>
        <w:tc>
          <w:tcPr>
            <w:tcW w:w="1280" w:type="dxa"/>
            <w:vAlign w:val="bottom"/>
          </w:tcPr>
          <w:p>
            <w:pPr>
              <w:spacing w:after="0" w:line="114" w:lineRule="exact"/>
              <w:rPr>
                <w:sz w:val="20"/>
                <w:szCs w:val="20"/>
                <w:color w:val="auto"/>
              </w:rPr>
            </w:pPr>
            <w:r>
              <w:rPr>
                <w:rFonts w:ascii="Arial" w:cs="Arial" w:eastAsia="Arial" w:hAnsi="Arial"/>
                <w:sz w:val="13"/>
                <w:szCs w:val="13"/>
                <w:color w:val="auto"/>
              </w:rPr>
              <w:t>Master of Science</w:t>
            </w:r>
          </w:p>
        </w:tc>
        <w:tc>
          <w:tcPr>
            <w:tcW w:w="180" w:type="dxa"/>
            <w:vAlign w:val="bottom"/>
          </w:tcPr>
          <w:p>
            <w:pPr>
              <w:spacing w:after="0"/>
              <w:rPr>
                <w:sz w:val="9"/>
                <w:szCs w:val="9"/>
                <w:color w:val="auto"/>
              </w:rPr>
            </w:pPr>
          </w:p>
        </w:tc>
        <w:tc>
          <w:tcPr>
            <w:tcW w:w="120" w:type="dxa"/>
            <w:vAlign w:val="bottom"/>
          </w:tcPr>
          <w:p>
            <w:pPr>
              <w:spacing w:after="0" w:line="114" w:lineRule="exact"/>
              <w:rPr>
                <w:sz w:val="20"/>
                <w:szCs w:val="20"/>
                <w:color w:val="auto"/>
              </w:rPr>
            </w:pPr>
            <w:r>
              <w:rPr>
                <w:rFonts w:ascii="Arial" w:cs="Arial" w:eastAsia="Arial" w:hAnsi="Arial"/>
                <w:sz w:val="13"/>
                <w:szCs w:val="13"/>
                <w:b w:val="1"/>
                <w:bCs w:val="1"/>
                <w:color w:val="auto"/>
              </w:rPr>
              <w:t>•</w:t>
            </w:r>
          </w:p>
        </w:tc>
        <w:tc>
          <w:tcPr>
            <w:tcW w:w="2740" w:type="dxa"/>
            <w:vAlign w:val="bottom"/>
          </w:tcPr>
          <w:p>
            <w:pPr>
              <w:ind w:left="60"/>
              <w:spacing w:after="0" w:line="114" w:lineRule="exact"/>
              <w:rPr>
                <w:sz w:val="20"/>
                <w:szCs w:val="20"/>
                <w:color w:val="auto"/>
              </w:rPr>
            </w:pPr>
            <w:r>
              <w:rPr>
                <w:rFonts w:ascii="Arial" w:cs="Arial" w:eastAsia="Arial" w:hAnsi="Arial"/>
                <w:sz w:val="13"/>
                <w:szCs w:val="13"/>
                <w:color w:val="auto"/>
              </w:rPr>
              <w:t>Criminal Justice — Law Enforcement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Acute Care Nurse Practitioner</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Leadership in Healthcare Systems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Criminal Justice — Legal Studies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Clinical Nurse Specialist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4"/>
                <w:szCs w:val="14"/>
                <w:color w:val="auto"/>
                <w:w w:val="99"/>
              </w:rPr>
              <w:t>Psychology — Industrial and Organizational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ind w:left="120"/>
              <w:spacing w:after="0" w:line="139" w:lineRule="exact"/>
              <w:rPr>
                <w:sz w:val="20"/>
                <w:szCs w:val="20"/>
                <w:color w:val="auto"/>
              </w:rPr>
            </w:pPr>
            <w:r>
              <w:rPr>
                <w:rFonts w:ascii="Arial" w:cs="Arial" w:eastAsia="Arial" w:hAnsi="Arial"/>
                <w:sz w:val="14"/>
                <w:szCs w:val="14"/>
                <w:color w:val="auto"/>
              </w:rPr>
              <w:t>(Education Focus)*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ind w:left="160"/>
              <w:spacing w:after="0" w:line="139" w:lineRule="exact"/>
              <w:rPr>
                <w:sz w:val="20"/>
                <w:szCs w:val="20"/>
                <w:color w:val="auto"/>
              </w:rPr>
            </w:pPr>
            <w:r>
              <w:rPr>
                <w:rFonts w:ascii="Arial" w:cs="Arial" w:eastAsia="Arial" w:hAnsi="Arial"/>
                <w:sz w:val="14"/>
                <w:szCs w:val="14"/>
                <w:color w:val="auto"/>
              </w:rPr>
              <w:t>Psychology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Clinical Nurse Specialist*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Psychology — General Psychology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Nursing 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Professional Counseling</w:t>
            </w:r>
          </w:p>
        </w:tc>
        <w:tc>
          <w:tcPr>
            <w:tcW w:w="1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Master of Arts</w:t>
            </w: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Christian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Addiction Counseling</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Pastoral Ministry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Marriage and Family Therapy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Urban Ministry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Health Care Administration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Youth Ministry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Health Care Informatics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Christian Leadership</w:t>
            </w:r>
          </w:p>
        </w:tc>
        <w:tc>
          <w:tcPr>
            <w:tcW w:w="0" w:type="dxa"/>
            <w:vAlign w:val="bottom"/>
          </w:tcPr>
          <w:p>
            <w:pPr>
              <w:spacing w:after="0"/>
              <w:rPr>
                <w:sz w:val="1"/>
                <w:szCs w:val="1"/>
                <w:color w:val="auto"/>
              </w:rPr>
            </w:pPr>
          </w:p>
        </w:tc>
      </w:tr>
      <w:tr>
        <w:trPr>
          <w:trHeight w:val="249"/>
        </w:trPr>
        <w:tc>
          <w:tcPr>
            <w:tcW w:w="1680" w:type="dxa"/>
            <w:vAlign w:val="bottom"/>
            <w:gridSpan w:val="5"/>
          </w:tcPr>
          <w:p>
            <w:pPr>
              <w:spacing w:after="0"/>
              <w:rPr>
                <w:sz w:val="20"/>
                <w:szCs w:val="20"/>
                <w:color w:val="auto"/>
              </w:rPr>
            </w:pPr>
            <w:r>
              <w:rPr>
                <w:rFonts w:ascii="Arial" w:cs="Arial" w:eastAsia="Arial" w:hAnsi="Arial"/>
                <w:sz w:val="14"/>
                <w:szCs w:val="14"/>
                <w:color w:val="auto"/>
              </w:rPr>
              <w:t>Master of Public Health</w:t>
            </w: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160" w:type="dxa"/>
            <w:vAlign w:val="bottom"/>
            <w:gridSpan w:val="2"/>
          </w:tcPr>
          <w:p>
            <w:pPr>
              <w:spacing w:after="0"/>
              <w:rPr>
                <w:sz w:val="20"/>
                <w:szCs w:val="20"/>
                <w:color w:val="auto"/>
              </w:rPr>
            </w:pPr>
            <w:r>
              <w:rPr>
                <w:rFonts w:ascii="Arial" w:cs="Arial" w:eastAsia="Arial" w:hAnsi="Arial"/>
                <w:sz w:val="14"/>
                <w:szCs w:val="14"/>
                <w:color w:val="auto"/>
              </w:rPr>
              <w:t>Science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160" w:type="dxa"/>
            <w:vAlign w:val="bottom"/>
            <w:gridSpan w:val="2"/>
          </w:tcPr>
          <w:p>
            <w:pPr>
              <w:spacing w:after="0"/>
              <w:rPr>
                <w:sz w:val="20"/>
                <w:szCs w:val="20"/>
                <w:color w:val="auto"/>
              </w:rPr>
            </w:pPr>
            <w:r>
              <w:rPr>
                <w:rFonts w:ascii="Arial" w:cs="Arial" w:eastAsia="Arial" w:hAnsi="Arial"/>
                <w:sz w:val="14"/>
                <w:szCs w:val="14"/>
                <w:color w:val="auto"/>
                <w:w w:val="91"/>
              </w:rPr>
              <w:t>Bachelor of Science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Nursing*</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Bachelor of Science</w:t>
            </w:r>
          </w:p>
        </w:tc>
        <w:tc>
          <w:tcPr>
            <w:tcW w:w="1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rPr>
                <w:sz w:val="20"/>
                <w:szCs w:val="20"/>
                <w:color w:val="auto"/>
              </w:rPr>
            </w:pPr>
            <w:r>
              <w:rPr>
                <w:rFonts w:ascii="Arial" w:cs="Arial" w:eastAsia="Arial" w:hAnsi="Arial"/>
                <w:sz w:val="14"/>
                <w:szCs w:val="14"/>
                <w:color w:val="auto"/>
              </w:rPr>
              <w:t>Justice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Biology — Pre-Medicine*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Psychology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Biology — Pre-Pharmacy*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Sociology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Biology — Pre-Physician Assistant*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Health Science: Professional Development and</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120"/>
              <w:spacing w:after="0" w:line="141" w:lineRule="exact"/>
              <w:rPr>
                <w:sz w:val="20"/>
                <w:szCs w:val="20"/>
                <w:color w:val="auto"/>
              </w:rPr>
            </w:pPr>
            <w:r>
              <w:rPr>
                <w:rFonts w:ascii="Arial" w:cs="Arial" w:eastAsia="Arial" w:hAnsi="Arial"/>
                <w:sz w:val="14"/>
                <w:szCs w:val="14"/>
                <w:color w:val="auto"/>
              </w:rPr>
              <w:t>Advanced Patient Care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3040" w:type="dxa"/>
            <w:vAlign w:val="bottom"/>
          </w:tcPr>
          <w:p>
            <w:pPr>
              <w:ind w:left="80"/>
              <w:spacing w:after="0" w:line="139" w:lineRule="exact"/>
              <w:rPr>
                <w:sz w:val="20"/>
                <w:szCs w:val="20"/>
                <w:color w:val="auto"/>
              </w:rPr>
            </w:pPr>
            <w:r>
              <w:rPr>
                <w:rFonts w:ascii="Arial" w:cs="Arial" w:eastAsia="Arial" w:hAnsi="Arial"/>
                <w:sz w:val="14"/>
                <w:szCs w:val="14"/>
                <w:color w:val="auto"/>
              </w:rPr>
              <w:t>Respiratory Care</w:t>
            </w:r>
          </w:p>
        </w:tc>
        <w:tc>
          <w:tcPr>
            <w:tcW w:w="146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Bachelor of Arts</w:t>
            </w:r>
          </w:p>
        </w:tc>
        <w:tc>
          <w:tcPr>
            <w:tcW w:w="1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740" w:type="dxa"/>
            <w:vAlign w:val="bottom"/>
          </w:tcPr>
          <w:p>
            <w:pPr>
              <w:ind w:left="60"/>
              <w:spacing w:after="0" w:line="139" w:lineRule="exact"/>
              <w:rPr>
                <w:sz w:val="20"/>
                <w:szCs w:val="20"/>
                <w:color w:val="auto"/>
              </w:rPr>
            </w:pPr>
            <w:r>
              <w:rPr>
                <w:rFonts w:ascii="Arial" w:cs="Arial" w:eastAsia="Arial" w:hAnsi="Arial"/>
                <w:sz w:val="14"/>
                <w:szCs w:val="14"/>
                <w:color w:val="auto"/>
              </w:rPr>
              <w:t>Communications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Medical Imaging Sciences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English Literature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Athletic Training*</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Interdisciplinary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Addiction Counseling</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Christian Studies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Exercise Science — Athletic Coaching</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55" w:lineRule="exact"/>
              <w:rPr>
                <w:sz w:val="20"/>
                <w:szCs w:val="20"/>
                <w:color w:val="auto"/>
              </w:rPr>
            </w:pPr>
            <w:r>
              <w:rPr>
                <w:rFonts w:ascii="Arial" w:cs="Arial" w:eastAsia="Arial" w:hAnsi="Arial"/>
                <w:sz w:val="14"/>
                <w:szCs w:val="14"/>
                <w:color w:val="auto"/>
              </w:rPr>
              <w:t>History</w:t>
            </w:r>
          </w:p>
        </w:tc>
        <w:tc>
          <w:tcPr>
            <w:tcW w:w="0" w:type="dxa"/>
            <w:vAlign w:val="bottom"/>
          </w:tcPr>
          <w:p>
            <w:pPr>
              <w:spacing w:after="0"/>
              <w:rPr>
                <w:sz w:val="1"/>
                <w:szCs w:val="1"/>
                <w:color w:val="auto"/>
              </w:rPr>
            </w:pPr>
          </w:p>
        </w:tc>
      </w:tr>
    </w:tbl>
    <w:p>
      <w:pPr>
        <w:ind w:left="2080" w:hanging="180"/>
        <w:spacing w:after="0" w:line="210" w:lineRule="auto"/>
        <w:tabs>
          <w:tab w:leader="none" w:pos="2080"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Exercise Science — Health Education</w:t>
      </w:r>
    </w:p>
    <w:p>
      <w:pPr>
        <w:ind w:left="2080" w:hanging="180"/>
        <w:spacing w:after="0" w:line="210" w:lineRule="auto"/>
        <w:tabs>
          <w:tab w:leader="none" w:pos="2080"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Exercise Science — Physical Education</w:t>
      </w:r>
    </w:p>
    <w:p>
      <w:pPr>
        <w:ind w:left="2080" w:hanging="180"/>
        <w:spacing w:after="0" w:line="210" w:lineRule="auto"/>
        <w:tabs>
          <w:tab w:leader="none" w:pos="2080"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Exercise Science — Pre-Physical Therapy</w:t>
      </w:r>
    </w:p>
    <w:p>
      <w:pPr>
        <w:ind w:left="2080" w:hanging="180"/>
        <w:spacing w:after="0"/>
        <w:tabs>
          <w:tab w:leader="none" w:pos="2080"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Health Care Administration</w:t>
      </w:r>
    </w:p>
    <w:p>
      <w:pPr>
        <w:spacing w:after="0" w:line="200" w:lineRule="exact"/>
        <w:rPr>
          <w:rFonts w:ascii="Arial" w:cs="Arial" w:eastAsia="Arial" w:hAnsi="Arial"/>
          <w:sz w:val="14"/>
          <w:szCs w:val="14"/>
          <w:b w:val="1"/>
          <w:bCs w:val="1"/>
          <w:color w:val="auto"/>
        </w:rPr>
      </w:pPr>
    </w:p>
    <w:p>
      <w:pPr>
        <w:spacing w:after="0" w:line="286" w:lineRule="exact"/>
        <w:rPr>
          <w:rFonts w:ascii="Arial" w:cs="Arial" w:eastAsia="Arial" w:hAnsi="Arial"/>
          <w:sz w:val="14"/>
          <w:szCs w:val="14"/>
          <w:b w:val="1"/>
          <w:bCs w:val="1"/>
          <w:color w:val="auto"/>
        </w:rPr>
      </w:pPr>
    </w:p>
    <w:p>
      <w:pPr>
        <w:ind w:left="320"/>
        <w:spacing w:after="0"/>
        <w:rPr>
          <w:rFonts w:ascii="Arial" w:cs="Arial" w:eastAsia="Arial" w:hAnsi="Arial"/>
          <w:sz w:val="14"/>
          <w:szCs w:val="14"/>
          <w:b w:val="1"/>
          <w:bCs w:val="1"/>
          <w:color w:val="auto"/>
        </w:rPr>
      </w:pPr>
      <w:r>
        <w:rPr>
          <w:rFonts w:ascii="Arial" w:cs="Arial" w:eastAsia="Arial" w:hAnsi="Arial"/>
          <w:sz w:val="17"/>
          <w:szCs w:val="17"/>
          <w:color w:val="auto"/>
        </w:rPr>
        <w:t>*   Indicates program was offered on ground only</w:t>
      </w:r>
    </w:p>
    <w:p>
      <w:pPr>
        <w:spacing w:after="0" w:line="176" w:lineRule="exact"/>
        <w:rPr>
          <w:rFonts w:ascii="Arial" w:cs="Arial" w:eastAsia="Arial" w:hAnsi="Arial"/>
          <w:sz w:val="14"/>
          <w:szCs w:val="14"/>
          <w:b w:val="1"/>
          <w:bCs w:val="1"/>
          <w:color w:val="auto"/>
        </w:rPr>
      </w:pPr>
    </w:p>
    <w:p>
      <w:pPr>
        <w:ind w:left="680"/>
        <w:spacing w:after="0"/>
        <w:rPr>
          <w:rFonts w:ascii="Arial" w:cs="Arial" w:eastAsia="Arial" w:hAnsi="Arial"/>
          <w:sz w:val="14"/>
          <w:szCs w:val="14"/>
          <w:b w:val="1"/>
          <w:bCs w:val="1"/>
          <w:color w:val="auto"/>
        </w:rPr>
      </w:pPr>
      <w:r>
        <w:rPr>
          <w:rFonts w:ascii="Arial" w:cs="Arial" w:eastAsia="Arial" w:hAnsi="Arial"/>
          <w:sz w:val="15"/>
          <w:szCs w:val="15"/>
          <w:color w:val="auto"/>
        </w:rPr>
        <w:t>We have established relationships with health care systems, school districts, emergency services providers, and other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-418465</wp:posOffset>
            </wp:positionV>
            <wp:extent cx="1058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4" w:lineRule="exact"/>
        <w:rPr>
          <w:sz w:val="20"/>
          <w:szCs w:val="20"/>
          <w:color w:val="auto"/>
        </w:rPr>
      </w:pPr>
    </w:p>
    <w:p>
      <w:pPr>
        <w:ind w:left="320" w:right="759"/>
        <w:spacing w:after="0" w:line="255" w:lineRule="auto"/>
        <w:rPr>
          <w:sz w:val="20"/>
          <w:szCs w:val="20"/>
          <w:color w:val="auto"/>
        </w:rPr>
      </w:pPr>
      <w:r>
        <w:rPr>
          <w:rFonts w:ascii="Arial" w:cs="Arial" w:eastAsia="Arial" w:hAnsi="Arial"/>
          <w:sz w:val="17"/>
          <w:szCs w:val="17"/>
          <w:color w:val="auto"/>
        </w:rPr>
        <w:t>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students.</w:t>
      </w:r>
    </w:p>
    <w:p>
      <w:pPr>
        <w:spacing w:after="0" w:line="145"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color w:val="auto"/>
        </w:rPr>
        <w:t>We currently offer our ground-based programs to traditional students through three 16-week semesters in a calendar year and to online students in five, seven or eight week courses throughout the calendar year. Traditional students generally enroll in three or four courses per semester while online students typically concentrate on one course at a time.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New Program Development</w:t>
      </w:r>
    </w:p>
    <w:p>
      <w:pPr>
        <w:spacing w:after="0" w:line="19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We typically identify a potential new degree program or emphasis area through market demand or from proposals developed by faculty, staff, students, alumni, or partners, and then perform an analysis of the 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Program Standards and Evaluation Committee, Academic Affairs Committee, our Provost and Chief Academic Officer, and finally, our President.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Assessment</w:t>
      </w:r>
    </w:p>
    <w:p>
      <w:pPr>
        <w:spacing w:after="0" w:line="180" w:lineRule="exact"/>
        <w:rPr>
          <w:sz w:val="20"/>
          <w:szCs w:val="20"/>
          <w:color w:val="auto"/>
        </w:rPr>
      </w:pPr>
    </w:p>
    <w:p>
      <w:pPr>
        <w:ind w:left="320" w:right="759" w:firstLine="369"/>
        <w:spacing w:after="0" w:line="275" w:lineRule="auto"/>
        <w:rPr>
          <w:sz w:val="20"/>
          <w:szCs w:val="20"/>
          <w:color w:val="auto"/>
        </w:rPr>
      </w:pPr>
      <w:r>
        <w:rPr>
          <w:rFonts w:ascii="Arial" w:cs="Arial" w:eastAsia="Arial" w:hAnsi="Arial"/>
          <w:sz w:val="16"/>
          <w:szCs w:val="16"/>
          <w:color w:val="auto"/>
        </w:rPr>
        <w:t>Our Office of Assessment serves as our central resource for assessing and continually improving our curricula, student satisfaction and learning outcomes.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and provides feedback as to program effectiveness. Based on this data and the conclusions of the assessment team, we modify programs as necessary to meet our student satisfaction and educational development standards and make recommendations as to adding or modifying programs.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Faculty</w:t>
      </w:r>
    </w:p>
    <w:p>
      <w:pPr>
        <w:spacing w:after="0" w:line="180" w:lineRule="exact"/>
        <w:rPr>
          <w:sz w:val="20"/>
          <w:szCs w:val="20"/>
          <w:color w:val="auto"/>
        </w:rPr>
      </w:pPr>
    </w:p>
    <w:p>
      <w:pPr>
        <w:ind w:left="320" w:right="839" w:firstLine="369"/>
        <w:spacing w:after="0" w:line="297" w:lineRule="auto"/>
        <w:rPr>
          <w:sz w:val="20"/>
          <w:szCs w:val="20"/>
          <w:color w:val="auto"/>
        </w:rPr>
      </w:pPr>
      <w:r>
        <w:rPr>
          <w:rFonts w:ascii="Arial" w:cs="Arial" w:eastAsia="Arial" w:hAnsi="Arial"/>
          <w:sz w:val="15"/>
          <w:szCs w:val="15"/>
          <w:color w:val="auto"/>
        </w:rPr>
        <w:t>Our faculty includes full-time faculty who teach under a nine-month or twelve-month teaching contract, as well as adjunct faculty whom we employ to teach on a course-by-course basis for a specified fee. As of December 31, 2010, we employed 111 full-time faculty members and we maintain a pool of over 2,500 adjunct faculty members, all of whom had completed our required training. Substantially all of our current faculty members hold at least a master’s degree in their respective field and 30%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117" w:lineRule="exact"/>
        <w:rPr>
          <w:sz w:val="20"/>
          <w:szCs w:val="20"/>
          <w:color w:val="auto"/>
        </w:rPr>
      </w:pPr>
    </w:p>
    <w:p>
      <w:pPr>
        <w:ind w:left="320" w:right="739" w:firstLine="369"/>
        <w:spacing w:after="0" w:line="255" w:lineRule="auto"/>
        <w:rPr>
          <w:sz w:val="20"/>
          <w:szCs w:val="20"/>
          <w:color w:val="auto"/>
        </w:rPr>
      </w:pPr>
      <w:r>
        <w:rPr>
          <w:rFonts w:ascii="Arial" w:cs="Arial" w:eastAsia="Arial" w:hAnsi="Arial"/>
          <w:sz w:val="17"/>
          <w:szCs w:val="17"/>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Student Support Services</w:t>
      </w:r>
    </w:p>
    <w:p>
      <w:pPr>
        <w:spacing w:after="0" w:line="180" w:lineRule="exact"/>
        <w:rPr>
          <w:sz w:val="20"/>
          <w:szCs w:val="20"/>
          <w:color w:val="auto"/>
        </w:rPr>
      </w:pPr>
    </w:p>
    <w:p>
      <w:pPr>
        <w:ind w:left="320" w:right="1019" w:firstLine="369"/>
        <w:spacing w:after="0" w:line="275" w:lineRule="auto"/>
        <w:rPr>
          <w:sz w:val="20"/>
          <w:szCs w:val="20"/>
          <w:color w:val="auto"/>
        </w:rPr>
      </w:pPr>
      <w:r>
        <w:rPr>
          <w:rFonts w:ascii="Arial" w:cs="Arial" w:eastAsia="Arial" w:hAnsi="Arial"/>
          <w:sz w:val="16"/>
          <w:szCs w:val="16"/>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33"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i w:val="1"/>
          <w:iCs w:val="1"/>
          <w:color w:val="auto"/>
        </w:rPr>
        <w:t xml:space="preserve">Academic services. </w:t>
      </w:r>
      <w:r>
        <w:rPr>
          <w:rFonts w:ascii="Arial" w:cs="Arial" w:eastAsia="Arial" w:hAnsi="Arial"/>
          <w:sz w:val="17"/>
          <w:szCs w:val="17"/>
          <w:color w:val="auto"/>
        </w:rPr>
        <w:t>We provide students with a variety of services designed to support their academic studies. Our Center for</w:t>
      </w:r>
      <w:r>
        <w:rPr>
          <w:rFonts w:ascii="Arial" w:cs="Arial" w:eastAsia="Arial" w:hAnsi="Arial"/>
          <w:sz w:val="17"/>
          <w:szCs w:val="17"/>
          <w:i w:val="1"/>
          <w:iCs w:val="1"/>
          <w:color w:val="auto"/>
        </w:rPr>
        <w:t xml:space="preserve"> </w:t>
      </w:r>
      <w:r>
        <w:rPr>
          <w:rFonts w:ascii="Arial" w:cs="Arial" w:eastAsia="Arial" w:hAnsi="Arial"/>
          <w:sz w:val="17"/>
          <w:szCs w:val="17"/>
          <w:color w:val="auto"/>
        </w:rPr>
        <w:t>Learning and Advancement offers research services, writing services, and other tutoring services.</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We provide students with the ability to access a variety of administrative services both telephonically</w:t>
      </w:r>
      <w:r>
        <w:rPr>
          <w:rFonts w:ascii="Arial" w:cs="Arial" w:eastAsia="Arial" w:hAnsi="Arial"/>
          <w:sz w:val="16"/>
          <w:szCs w:val="16"/>
          <w:i w:val="1"/>
          <w:iCs w:val="1"/>
          <w:color w:val="auto"/>
        </w:rPr>
        <w:t xml:space="preserve"> </w:t>
      </w:r>
      <w:r>
        <w:rPr>
          <w:rFonts w:ascii="Arial" w:cs="Arial" w:eastAsia="Arial" w:hAnsi="Arial"/>
          <w:sz w:val="16"/>
          <w:szCs w:val="16"/>
          <w:color w:val="auto"/>
        </w:rPr>
        <w:t>and via the Internet. For example, students can register for classes, apply for financial aid, pay their tuition, and access their transcripts online. We believe this online accessibility provides the convenience and self-service capabilities that our students value. Our academic and finance counselors provide personalized online and telephonic support to our students.</w:t>
      </w:r>
    </w:p>
    <w:p>
      <w:pPr>
        <w:spacing w:after="0" w:line="138" w:lineRule="exact"/>
        <w:rPr>
          <w:sz w:val="20"/>
          <w:szCs w:val="20"/>
          <w:color w:val="auto"/>
        </w:rPr>
      </w:pPr>
    </w:p>
    <w:p>
      <w:pPr>
        <w:ind w:left="320" w:right="739" w:firstLine="369"/>
        <w:spacing w:after="0" w:line="258" w:lineRule="auto"/>
        <w:rPr>
          <w:sz w:val="20"/>
          <w:szCs w:val="20"/>
          <w:color w:val="auto"/>
        </w:rPr>
      </w:pPr>
      <w:r>
        <w:rPr>
          <w:rFonts w:ascii="Arial" w:cs="Arial" w:eastAsia="Arial" w:hAnsi="Arial"/>
          <w:sz w:val="17"/>
          <w:szCs w:val="17"/>
          <w:i w:val="1"/>
          <w:iCs w:val="1"/>
          <w:color w:val="auto"/>
        </w:rPr>
        <w:t xml:space="preserve">Library services. </w:t>
      </w:r>
      <w:r>
        <w:rPr>
          <w:rFonts w:ascii="Arial" w:cs="Arial" w:eastAsia="Arial" w:hAnsi="Arial"/>
          <w:sz w:val="17"/>
          <w:szCs w:val="17"/>
          <w:color w:val="auto"/>
        </w:rPr>
        <w:t>We provide a mix of online and ground resources, services, and instruction to support the educational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endeavors of all students, faculty, and 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142" w:lineRule="exact"/>
        <w:rPr>
          <w:sz w:val="20"/>
          <w:szCs w:val="20"/>
          <w:color w:val="auto"/>
        </w:rPr>
      </w:pPr>
    </w:p>
    <w:p>
      <w:pPr>
        <w:ind w:left="320" w:right="839" w:firstLine="369"/>
        <w:spacing w:after="0" w:line="278"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including resume 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27" w:lineRule="exact"/>
        <w:rPr>
          <w:sz w:val="20"/>
          <w:szCs w:val="20"/>
          <w:color w:val="auto"/>
        </w:rPr>
      </w:pPr>
    </w:p>
    <w:p>
      <w:pPr>
        <w:ind w:left="320" w:right="819" w:firstLine="369"/>
        <w:spacing w:after="0" w:line="264" w:lineRule="auto"/>
        <w:rPr>
          <w:sz w:val="20"/>
          <w:szCs w:val="20"/>
          <w:color w:val="auto"/>
        </w:rPr>
      </w:pPr>
      <w:r>
        <w:rPr>
          <w:rFonts w:ascii="Arial" w:cs="Arial" w:eastAsia="Arial" w:hAnsi="Arial"/>
          <w:sz w:val="17"/>
          <w:szCs w:val="17"/>
          <w:i w:val="1"/>
          <w:iCs w:val="1"/>
          <w:color w:val="auto"/>
        </w:rPr>
        <w:t xml:space="preserve">Technology support services. </w:t>
      </w:r>
      <w:r>
        <w:rPr>
          <w:rFonts w:ascii="Arial" w:cs="Arial" w:eastAsia="Arial" w:hAnsi="Arial"/>
          <w:sz w:val="17"/>
          <w:szCs w:val="17"/>
          <w:color w:val="auto"/>
        </w:rPr>
        <w:t>We provide online technical support 16 hours per day during the week and 14 hours per day on</w:t>
      </w:r>
      <w:r>
        <w:rPr>
          <w:rFonts w:ascii="Arial" w:cs="Arial" w:eastAsia="Arial" w:hAnsi="Arial"/>
          <w:sz w:val="17"/>
          <w:szCs w:val="17"/>
          <w:i w:val="1"/>
          <w:iCs w:val="1"/>
          <w:color w:val="auto"/>
        </w:rPr>
        <w:t xml:space="preserve"> </w:t>
      </w:r>
      <w:r>
        <w:rPr>
          <w:rFonts w:ascii="Arial" w:cs="Arial" w:eastAsia="Arial" w:hAnsi="Arial"/>
          <w:sz w:val="17"/>
          <w:szCs w:val="17"/>
          <w:color w:val="auto"/>
        </w:rPr>
        <w:t>weekends to help our students remedy technology-related issues. We also provide online tutorials and “Frequently Asked Questions” for students who are new to online coursework.</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Marketing, Recruitment, and Retention</w:t>
      </w:r>
    </w:p>
    <w:p>
      <w:pPr>
        <w:spacing w:after="0" w:line="180" w:lineRule="exact"/>
        <w:rPr>
          <w:sz w:val="20"/>
          <w:szCs w:val="20"/>
          <w:color w:val="auto"/>
        </w:rPr>
      </w:pPr>
    </w:p>
    <w:p>
      <w:pPr>
        <w:ind w:left="320" w:right="759" w:firstLine="369"/>
        <w:spacing w:after="0" w:line="293" w:lineRule="auto"/>
        <w:rPr>
          <w:sz w:val="20"/>
          <w:szCs w:val="20"/>
          <w:color w:val="auto"/>
        </w:rPr>
      </w:pPr>
      <w:r>
        <w:rPr>
          <w:rFonts w:ascii="Arial" w:cs="Arial" w:eastAsia="Arial" w:hAnsi="Arial"/>
          <w:sz w:val="15"/>
          <w:szCs w:val="15"/>
          <w:i w:val="1"/>
          <w:iCs w:val="1"/>
          <w:color w:val="auto"/>
        </w:rPr>
        <w:t xml:space="preserve">Marketing. </w:t>
      </w:r>
      <w:r>
        <w:rPr>
          <w:rFonts w:ascii="Arial" w:cs="Arial" w:eastAsia="Arial" w:hAnsi="Arial"/>
          <w:sz w:val="15"/>
          <w:szCs w:val="15"/>
          <w:color w:val="auto"/>
        </w:rPr>
        <w:t>We engage in a range of marketing activities designed to position us as a provider of academically rigorous, career-oriented educational 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118" w:lineRule="exact"/>
        <w:rPr>
          <w:sz w:val="20"/>
          <w:szCs w:val="20"/>
          <w:color w:val="auto"/>
        </w:rPr>
      </w:pPr>
    </w:p>
    <w:p>
      <w:pPr>
        <w:ind w:left="320" w:right="839" w:firstLine="369"/>
        <w:spacing w:after="0" w:line="256" w:lineRule="auto"/>
        <w:rPr>
          <w:sz w:val="20"/>
          <w:szCs w:val="20"/>
          <w:color w:val="auto"/>
        </w:rPr>
      </w:pPr>
      <w:r>
        <w:rPr>
          <w:rFonts w:ascii="Arial" w:cs="Arial" w:eastAsia="Arial" w:hAnsi="Arial"/>
          <w:sz w:val="17"/>
          <w:szCs w:val="17"/>
          <w:i w:val="1"/>
          <w:iCs w:val="1"/>
          <w:color w:val="auto"/>
        </w:rPr>
        <w:t xml:space="preserve">Recruitment. </w:t>
      </w:r>
      <w:r>
        <w:rPr>
          <w:rFonts w:ascii="Arial" w:cs="Arial" w:eastAsia="Arial" w:hAnsi="Arial"/>
          <w:sz w:val="17"/>
          <w:szCs w:val="17"/>
          <w:color w:val="auto"/>
        </w:rPr>
        <w:t>Once a prospective student has indicated an interest in enrolling in one of our programs, our lead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system identifies and directs an 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156" w:lineRule="exact"/>
        <w:rPr>
          <w:sz w:val="20"/>
          <w:szCs w:val="20"/>
          <w:color w:val="auto"/>
        </w:rPr>
      </w:pPr>
    </w:p>
    <w:p>
      <w:pPr>
        <w:ind w:left="320" w:right="839" w:firstLine="369"/>
        <w:spacing w:after="0" w:line="290" w:lineRule="auto"/>
        <w:rPr>
          <w:sz w:val="20"/>
          <w:szCs w:val="20"/>
          <w:color w:val="auto"/>
        </w:rPr>
      </w:pPr>
      <w:r>
        <w:rPr>
          <w:rFonts w:ascii="Arial" w:cs="Arial" w:eastAsia="Arial" w:hAnsi="Arial"/>
          <w:sz w:val="15"/>
          <w:szCs w:val="15"/>
          <w:i w:val="1"/>
          <w:iCs w:val="1"/>
          <w:color w:val="auto"/>
        </w:rPr>
        <w:t xml:space="preserve">Retention. </w:t>
      </w:r>
      <w:r>
        <w:rPr>
          <w:rFonts w:ascii="Arial" w:cs="Arial" w:eastAsia="Arial" w:hAnsi="Arial"/>
          <w:sz w:val="15"/>
          <w:szCs w:val="15"/>
          <w:color w:val="auto"/>
        </w:rPr>
        <w:t>A key component in retaining our students is providing an outstanding learning experience. We feel that our team-based, proactive approach to recruitment and enhanced student services results in increased retention due to our systematic approach to contacting students at key milestones during their enrollment, providing encouragement and highlighting their achievements. Our financial advisors proactively assist each student with the student’s selection of an appropriate payment option, and monitors the student’s progress and account balance to ensure a smooth financial aid experience and to help ensure our students are well prepared for their financial obligations incurred. Our academic advisors assist their students with their academic schedules and regularly monitor “triggering events,” such as the failure to participate in the classroom or failure to matriculate in a timely manner, which signal that a student may be at-risk for dropping out. Upon identifying an at-risk student, academic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financial and academic advisors and students are a key component to our retention strategy.</w:t>
      </w:r>
    </w:p>
    <w:p>
      <w:pPr>
        <w:spacing w:after="0" w:line="200" w:lineRule="exact"/>
        <w:rPr>
          <w:sz w:val="20"/>
          <w:szCs w:val="20"/>
          <w:color w:val="auto"/>
        </w:rPr>
      </w:pP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Admissions</w:t>
      </w:r>
    </w:p>
    <w:p>
      <w:pPr>
        <w:spacing w:after="0" w:line="193" w:lineRule="exact"/>
        <w:rPr>
          <w:sz w:val="20"/>
          <w:szCs w:val="20"/>
          <w:color w:val="auto"/>
        </w:rPr>
      </w:pPr>
    </w:p>
    <w:p>
      <w:pPr>
        <w:ind w:left="320" w:right="799" w:firstLine="369"/>
        <w:spacing w:after="0" w:line="293" w:lineRule="auto"/>
        <w:rPr>
          <w:sz w:val="20"/>
          <w:szCs w:val="20"/>
          <w:color w:val="auto"/>
        </w:rPr>
      </w:pPr>
      <w:r>
        <w:rPr>
          <w:rFonts w:ascii="Arial" w:cs="Arial" w:eastAsia="Arial" w:hAnsi="Arial"/>
          <w:sz w:val="15"/>
          <w:szCs w:val="15"/>
          <w:color w:val="auto"/>
        </w:rPr>
        <w:t>Admission to Grand Canyon University is available to qualified students who are at least 16 years of age. Undergraduate applicants may qualify in various ways, including by having a high school diploma, certain minimum grade point average levels, a composite score of 920 or greater on the Scholastic Aptitude Test, or a passing score of 520 or greater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such a college, university, or program. In addition, some students who do not meet the qualifications for admission may be admitted at our discretion.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Enrollment</w:t>
      </w:r>
    </w:p>
    <w:p>
      <w:pPr>
        <w:spacing w:after="0" w:line="180" w:lineRule="exact"/>
        <w:rPr>
          <w:sz w:val="20"/>
          <w:szCs w:val="20"/>
          <w:color w:val="auto"/>
        </w:rPr>
      </w:pPr>
    </w:p>
    <w:p>
      <w:pPr>
        <w:jc w:val="both"/>
        <w:ind w:left="320" w:right="839" w:firstLine="369"/>
        <w:spacing w:after="0" w:line="258" w:lineRule="auto"/>
        <w:rPr>
          <w:sz w:val="20"/>
          <w:szCs w:val="20"/>
          <w:color w:val="auto"/>
        </w:rPr>
      </w:pPr>
      <w:r>
        <w:rPr>
          <w:rFonts w:ascii="Arial" w:cs="Arial" w:eastAsia="Arial" w:hAnsi="Arial"/>
          <w:sz w:val="17"/>
          <w:szCs w:val="17"/>
          <w:color w:val="auto"/>
        </w:rPr>
        <w:t>At December 31, 2010, we had 41,482 students enrolled in our courses, of which 37,734, or 91.0%, were enrolled in our online programs, and 3,748, or 9.0%, were enrolled in our ground programs. Of our online students, which were geographically distributed throughout all 50 states of the United States, and Canada, 92.2% were age 25 or older. Of our traditional on-campus students, which, although we draw students from throughout the United States, were predominantly comprised of students from Arizona, 22.0% were age 25 or older.</w:t>
      </w:r>
    </w:p>
    <w:p>
      <w:pPr>
        <w:spacing w:after="0" w:line="154" w:lineRule="exact"/>
        <w:rPr>
          <w:sz w:val="20"/>
          <w:szCs w:val="20"/>
          <w:color w:val="auto"/>
        </w:rPr>
      </w:pPr>
    </w:p>
    <w:p>
      <w:pPr>
        <w:ind w:left="320" w:right="699" w:firstLine="369"/>
        <w:spacing w:after="0" w:line="277" w:lineRule="auto"/>
        <w:rPr>
          <w:sz w:val="20"/>
          <w:szCs w:val="20"/>
          <w:color w:val="auto"/>
        </w:rPr>
      </w:pPr>
      <w:r>
        <w:rPr>
          <w:rFonts w:ascii="Arial" w:cs="Arial" w:eastAsia="Arial" w:hAnsi="Arial"/>
          <w:sz w:val="17"/>
          <w:szCs w:val="17"/>
          <w:color w:val="auto"/>
        </w:rPr>
        <w:t>The following is a summary of our student enrollment at December 31, 2010 and December 31, 2009 (which included fewer than 275 students pursuing non-degree certificates) by degree type and by instructional delivery method:</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4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December 31, 2010</w:t>
            </w:r>
            <w:r>
              <w:rPr>
                <w:rFonts w:ascii="Arial" w:cs="Arial" w:eastAsia="Arial" w:hAnsi="Arial"/>
                <w:sz w:val="14"/>
                <w:szCs w:val="14"/>
                <w:color w:val="auto"/>
              </w:rPr>
              <w:t>(1)</w:t>
            </w:r>
          </w:p>
        </w:tc>
        <w:tc>
          <w:tcPr>
            <w:tcW w:w="238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December 31, 2009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4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Graduate degree </w:t>
            </w:r>
            <w:r>
              <w:rPr>
                <w:rFonts w:ascii="Arial" w:cs="Arial" w:eastAsia="Arial" w:hAnsi="Arial"/>
                <w:sz w:val="14"/>
                <w:szCs w:val="14"/>
                <w:color w:val="auto"/>
              </w:rPr>
              <w:t>(2)</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17,732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16,097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Undergraduate degree</w:t>
            </w:r>
          </w:p>
        </w:tc>
        <w:tc>
          <w:tcPr>
            <w:tcW w:w="960" w:type="dxa"/>
            <w:vAlign w:val="bottom"/>
          </w:tcPr>
          <w:p>
            <w:pPr>
              <w:jc w:val="right"/>
              <w:spacing w:after="0"/>
              <w:rPr>
                <w:sz w:val="20"/>
                <w:szCs w:val="20"/>
                <w:color w:val="auto"/>
              </w:rPr>
            </w:pPr>
            <w:r>
              <w:rPr>
                <w:rFonts w:ascii="Arial" w:cs="Arial" w:eastAsia="Arial" w:hAnsi="Arial"/>
                <w:sz w:val="17"/>
                <w:szCs w:val="17"/>
                <w:color w:val="auto"/>
              </w:rPr>
              <w:t>23,750</w:t>
            </w:r>
          </w:p>
        </w:tc>
        <w:tc>
          <w:tcPr>
            <w:tcW w:w="36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57.3%</w:t>
            </w:r>
          </w:p>
        </w:tc>
        <w:tc>
          <w:tcPr>
            <w:tcW w:w="1320" w:type="dxa"/>
            <w:vAlign w:val="bottom"/>
            <w:gridSpan w:val="2"/>
          </w:tcPr>
          <w:p>
            <w:pPr>
              <w:jc w:val="right"/>
              <w:ind w:right="360"/>
              <w:spacing w:after="0"/>
              <w:rPr>
                <w:sz w:val="20"/>
                <w:szCs w:val="20"/>
                <w:color w:val="auto"/>
              </w:rPr>
            </w:pPr>
            <w:r>
              <w:rPr>
                <w:rFonts w:ascii="Arial" w:cs="Arial" w:eastAsia="Arial" w:hAnsi="Arial"/>
                <w:sz w:val="17"/>
                <w:szCs w:val="17"/>
                <w:color w:val="auto"/>
              </w:rPr>
              <w:t>21,612</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37,709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4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December 31, 2010</w:t>
            </w:r>
            <w:r>
              <w:rPr>
                <w:rFonts w:ascii="Arial" w:cs="Arial" w:eastAsia="Arial" w:hAnsi="Arial"/>
                <w:sz w:val="14"/>
                <w:szCs w:val="14"/>
                <w:color w:val="auto"/>
              </w:rPr>
              <w:t>(1)</w:t>
            </w:r>
          </w:p>
        </w:tc>
        <w:tc>
          <w:tcPr>
            <w:tcW w:w="238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December 31, 2009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4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Online</w:t>
            </w:r>
            <w:r>
              <w:rPr>
                <w:rFonts w:ascii="Arial" w:cs="Arial" w:eastAsia="Arial" w:hAnsi="Arial"/>
                <w:sz w:val="14"/>
                <w:szCs w:val="14"/>
                <w:color w:val="auto"/>
              </w:rPr>
              <w:t>(3)</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37,734</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91.0%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34,596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 xml:space="preserve">Ground </w:t>
            </w:r>
            <w:r>
              <w:rPr>
                <w:rFonts w:ascii="Arial" w:cs="Arial" w:eastAsia="Arial" w:hAnsi="Arial"/>
                <w:sz w:val="14"/>
                <w:szCs w:val="14"/>
                <w:color w:val="auto"/>
              </w:rPr>
              <w:t>(4)</w:t>
            </w:r>
          </w:p>
        </w:tc>
        <w:tc>
          <w:tcPr>
            <w:tcW w:w="960" w:type="dxa"/>
            <w:vAlign w:val="bottom"/>
          </w:tcPr>
          <w:p>
            <w:pPr>
              <w:jc w:val="right"/>
              <w:spacing w:after="0"/>
              <w:rPr>
                <w:sz w:val="20"/>
                <w:szCs w:val="20"/>
                <w:color w:val="auto"/>
              </w:rPr>
            </w:pPr>
            <w:r>
              <w:rPr>
                <w:rFonts w:ascii="Arial" w:cs="Arial" w:eastAsia="Arial" w:hAnsi="Arial"/>
                <w:sz w:val="17"/>
                <w:szCs w:val="17"/>
                <w:color w:val="auto"/>
              </w:rPr>
              <w:t>3,748</w:t>
            </w:r>
          </w:p>
        </w:tc>
        <w:tc>
          <w:tcPr>
            <w:tcW w:w="36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1320" w:type="dxa"/>
            <w:vAlign w:val="bottom"/>
            <w:gridSpan w:val="2"/>
          </w:tcPr>
          <w:p>
            <w:pPr>
              <w:jc w:val="right"/>
              <w:ind w:right="360"/>
              <w:spacing w:after="0"/>
              <w:rPr>
                <w:sz w:val="20"/>
                <w:szCs w:val="20"/>
                <w:color w:val="auto"/>
              </w:rPr>
            </w:pPr>
            <w:r>
              <w:rPr>
                <w:rFonts w:ascii="Arial" w:cs="Arial" w:eastAsia="Arial" w:hAnsi="Arial"/>
                <w:sz w:val="17"/>
                <w:szCs w:val="17"/>
                <w:color w:val="auto"/>
              </w:rPr>
              <w:t>3,113</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37,709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right="839" w:hanging="370"/>
        <w:spacing w:after="0" w:line="264" w:lineRule="auto"/>
        <w:tabs>
          <w:tab w:leader="none" w:pos="680" w:val="left"/>
        </w:tabs>
        <w:numPr>
          <w:ilvl w:val="0"/>
          <w:numId w:val="11"/>
        </w:numPr>
        <w:rPr>
          <w:rFonts w:ascii="Arial" w:cs="Arial" w:eastAsia="Arial" w:hAnsi="Arial"/>
          <w:sz w:val="15"/>
          <w:szCs w:val="15"/>
          <w:color w:val="auto"/>
        </w:rPr>
      </w:pPr>
      <w:r>
        <w:rPr>
          <w:rFonts w:ascii="Arial" w:cs="Arial" w:eastAsia="Arial" w:hAnsi="Arial"/>
          <w:sz w:val="17"/>
          <w:szCs w:val="17"/>
          <w:color w:val="auto"/>
        </w:rPr>
        <w:t>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4" w:lineRule="exact"/>
        <w:rPr>
          <w:rFonts w:ascii="Arial" w:cs="Arial" w:eastAsia="Arial" w:hAnsi="Arial"/>
          <w:sz w:val="15"/>
          <w:szCs w:val="15"/>
          <w:color w:val="auto"/>
        </w:rPr>
      </w:pPr>
    </w:p>
    <w:p>
      <w:pPr>
        <w:ind w:left="680" w:hanging="370"/>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7"/>
          <w:szCs w:val="17"/>
          <w:color w:val="auto"/>
        </w:rPr>
        <w:t>Includes 1,186 and 315 students pursuing doctoral degrees at December 31, 2010 and 2009, respectively.</w:t>
      </w:r>
    </w:p>
    <w:p>
      <w:pPr>
        <w:spacing w:after="0" w:line="73" w:lineRule="exact"/>
        <w:rPr>
          <w:rFonts w:ascii="Arial" w:cs="Arial" w:eastAsia="Arial" w:hAnsi="Arial"/>
          <w:sz w:val="15"/>
          <w:szCs w:val="15"/>
          <w:color w:val="auto"/>
        </w:rPr>
      </w:pPr>
    </w:p>
    <w:p>
      <w:pPr>
        <w:ind w:left="680" w:right="899" w:hanging="370"/>
        <w:spacing w:after="0" w:line="277" w:lineRule="auto"/>
        <w:tabs>
          <w:tab w:leader="none" w:pos="680" w:val="left"/>
        </w:tabs>
        <w:numPr>
          <w:ilvl w:val="0"/>
          <w:numId w:val="11"/>
        </w:numPr>
        <w:rPr>
          <w:rFonts w:ascii="Arial" w:cs="Arial" w:eastAsia="Arial" w:hAnsi="Arial"/>
          <w:sz w:val="15"/>
          <w:szCs w:val="15"/>
          <w:color w:val="auto"/>
        </w:rPr>
      </w:pPr>
      <w:r>
        <w:rPr>
          <w:rFonts w:ascii="Arial" w:cs="Arial" w:eastAsia="Arial" w:hAnsi="Arial"/>
          <w:sz w:val="17"/>
          <w:szCs w:val="17"/>
          <w:color w:val="auto"/>
        </w:rPr>
        <w:t>As of December 31, 2010 and 2009, 45.5% and 44.5%, respectively, of our online students were pursuing graduate or doctoral degrees.</w:t>
      </w:r>
    </w:p>
    <w:p>
      <w:pPr>
        <w:spacing w:after="0" w:line="23" w:lineRule="exact"/>
        <w:rPr>
          <w:rFonts w:ascii="Arial" w:cs="Arial" w:eastAsia="Arial" w:hAnsi="Arial"/>
          <w:sz w:val="15"/>
          <w:szCs w:val="15"/>
          <w:color w:val="auto"/>
        </w:rPr>
      </w:pPr>
    </w:p>
    <w:p>
      <w:pPr>
        <w:ind w:left="680" w:hanging="370"/>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7"/>
          <w:szCs w:val="17"/>
          <w:color w:val="auto"/>
        </w:rPr>
        <w:t>Includes our traditional on-campus students, as well as our professional studies students.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Tuition and Fees</w:t>
      </w:r>
    </w:p>
    <w:p>
      <w:pPr>
        <w:spacing w:after="0" w:line="193" w:lineRule="exact"/>
        <w:rPr>
          <w:sz w:val="20"/>
          <w:szCs w:val="20"/>
          <w:color w:val="auto"/>
        </w:rPr>
      </w:pPr>
    </w:p>
    <w:p>
      <w:pPr>
        <w:ind w:left="320" w:right="739" w:firstLine="369"/>
        <w:spacing w:after="0" w:line="293" w:lineRule="auto"/>
        <w:rPr>
          <w:sz w:val="20"/>
          <w:szCs w:val="20"/>
          <w:color w:val="auto"/>
        </w:rPr>
      </w:pPr>
      <w:r>
        <w:rPr>
          <w:rFonts w:ascii="Arial" w:cs="Arial" w:eastAsia="Arial" w:hAnsi="Arial"/>
          <w:sz w:val="15"/>
          <w:szCs w:val="15"/>
          <w:color w:val="auto"/>
        </w:rPr>
        <w:t>Our tuition rates vary by type and length of program and by degree level. For all graduate and undergraduate programs, tuition is determined by the number of courses taken by each student. For our 2010-11 academic year (the academic year that began in</w:t>
      </w:r>
    </w:p>
    <w:p>
      <w:pPr>
        <w:ind w:left="320" w:right="759"/>
        <w:spacing w:after="0" w:line="290" w:lineRule="auto"/>
        <w:rPr>
          <w:sz w:val="20"/>
          <w:szCs w:val="20"/>
          <w:color w:val="auto"/>
        </w:rPr>
      </w:pPr>
      <w:r>
        <w:rPr>
          <w:rFonts w:ascii="Arial" w:cs="Arial" w:eastAsia="Arial" w:hAnsi="Arial"/>
          <w:sz w:val="15"/>
          <w:szCs w:val="15"/>
          <w:color w:val="auto"/>
        </w:rPr>
        <w:t>May 2010), our prices per credit hour are $435 for undergraduate online and professional studies courses, $465 for graduate online courses (other than graduate business and graduate nursing), $510 for graduate business courses, $560 for graduate online nursing courses, $575 for doctoral courses, and $688 for undergraduate courses for traditional on-campus students. For our active duty and active reserve online and professional studies students, our prices per credit hour are $250 for undergraduate and $370 for graduate. The overall price of each course varies based upon the number of credit hours per course (with most courses representing four credit hours), the degree level of the program, and the discipline of the course.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programs require approximately 60 credit hours.</w:t>
      </w:r>
    </w:p>
    <w:p>
      <w:pPr>
        <w:spacing w:after="0" w:line="123" w:lineRule="exact"/>
        <w:rPr>
          <w:sz w:val="20"/>
          <w:szCs w:val="20"/>
          <w:color w:val="auto"/>
        </w:rPr>
      </w:pPr>
    </w:p>
    <w:p>
      <w:pPr>
        <w:ind w:left="320" w:right="759" w:firstLine="369"/>
        <w:spacing w:after="0" w:line="258" w:lineRule="auto"/>
        <w:rPr>
          <w:sz w:val="20"/>
          <w:szCs w:val="20"/>
          <w:color w:val="auto"/>
        </w:rPr>
      </w:pPr>
      <w:r>
        <w:rPr>
          <w:rFonts w:ascii="Arial" w:cs="Arial" w:eastAsia="Arial" w:hAnsi="Arial"/>
          <w:sz w:val="17"/>
          <w:szCs w:val="17"/>
          <w:color w:val="auto"/>
        </w:rPr>
        <w:t>We offer tuition scholarships to select students, including online students, athletes, employees, and participants in programs we offer through relationships with employers. For the years ended December 31, 2010, 2009, and 2008, our revenue was reduced by approximately $55.8 million, $34.2 million, and $18.4 million, respectively, as a result of scholarships that we offered to our students. The increase in scholarships is due to increased revenues and a significant increase in the use of academic scholarships to attract high performing students.</w:t>
      </w:r>
    </w:p>
    <w:p>
      <w:pPr>
        <w:spacing w:after="0" w:line="142"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We have established a refund policy for tuition and fees based upon individual course start dates. Under our policy, for courses offered through a non-traditional modality, generally if a student drops or withdraws from a course before the first week,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All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16-week courses, generally if a student withdraws before the first week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and all fees are non-refundable. If a student drops during the third week of a course, 50% of the tuition charges are refunded and during or after the fourth week, there are no refunds for tuition charges or fees.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Sources of Student Financing</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students finance their education through a combination of methods, as follows:</w:t>
      </w:r>
    </w:p>
    <w:p>
      <w:pPr>
        <w:spacing w:after="0" w:line="176"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i w:val="1"/>
          <w:iCs w:val="1"/>
          <w:color w:val="auto"/>
        </w:rPr>
        <w:t xml:space="preserve">Title IV programs. </w:t>
      </w:r>
      <w:r>
        <w:rPr>
          <w:rFonts w:ascii="Arial" w:cs="Arial" w:eastAsia="Arial" w:hAnsi="Arial"/>
          <w:sz w:val="17"/>
          <w:szCs w:val="17"/>
          <w:color w:val="auto"/>
        </w:rPr>
        <w:t>The federal government provides for grants and loans to students under the Title IV programs, and students</w:t>
      </w:r>
      <w:r>
        <w:rPr>
          <w:rFonts w:ascii="Arial" w:cs="Arial" w:eastAsia="Arial" w:hAnsi="Arial"/>
          <w:sz w:val="17"/>
          <w:szCs w:val="17"/>
          <w:i w:val="1"/>
          <w:iCs w:val="1"/>
          <w:color w:val="auto"/>
        </w:rPr>
        <w:t xml:space="preserve"> </w:t>
      </w:r>
      <w:r>
        <w:rPr>
          <w:rFonts w:ascii="Arial" w:cs="Arial" w:eastAsia="Arial" w:hAnsi="Arial"/>
          <w:sz w:val="17"/>
          <w:szCs w:val="17"/>
          <w:color w:val="auto"/>
        </w:rPr>
        <w:t>can use those funds at 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59" w:firstLine="369"/>
        <w:spacing w:after="0" w:line="273" w:lineRule="auto"/>
        <w:rPr>
          <w:sz w:val="20"/>
          <w:szCs w:val="20"/>
          <w:color w:val="auto"/>
        </w:rPr>
      </w:pPr>
      <w:r>
        <w:rPr>
          <w:rFonts w:ascii="Arial" w:cs="Arial" w:eastAsia="Arial" w:hAnsi="Arial"/>
          <w:sz w:val="16"/>
          <w:szCs w:val="16"/>
          <w:color w:val="auto"/>
        </w:rPr>
        <w:t>During fiscal 2010 and 2009, we derived approximately 84.9% and 82.5%, respectively, of our revenue (calculated on a cash basis in accordance with Department of Education standards that were in effect prior to the August 2008 reauthorization of the Higher Education Act) from tuition financed under the Title IV programs. During fiscal year 2010, the Health Care and Education Reconciliation Act was enacted and signed into law. This legislation, among other things, eliminated the Federal Family Education Loan Program, or FFEL, and required all Title IV federal student loans to be administered through the Federal Direct Loan Program, or FDL Program, commencing July 1, 2010. We completed the transition of loan origination and related servicing from the FFEL to the FDL Program during the third quarter of fiscal year 2010. The primary Title IV programs that our students receive funding from are the FDL Program, and the Federal Pell Grant, or Pell, Program.</w:t>
      </w:r>
    </w:p>
    <w:p>
      <w:pPr>
        <w:spacing w:after="0" w:line="146" w:lineRule="exact"/>
        <w:rPr>
          <w:sz w:val="20"/>
          <w:szCs w:val="20"/>
          <w:color w:val="auto"/>
        </w:rPr>
      </w:pPr>
    </w:p>
    <w:p>
      <w:pPr>
        <w:ind w:left="320" w:right="719" w:firstLine="369"/>
        <w:spacing w:after="0" w:line="293" w:lineRule="auto"/>
        <w:rPr>
          <w:sz w:val="20"/>
          <w:szCs w:val="20"/>
          <w:color w:val="auto"/>
        </w:rPr>
      </w:pPr>
      <w:r>
        <w:rPr>
          <w:rFonts w:ascii="Arial" w:cs="Arial" w:eastAsia="Arial" w:hAnsi="Arial"/>
          <w:sz w:val="15"/>
          <w:szCs w:val="15"/>
          <w:color w:val="auto"/>
        </w:rPr>
        <w:t>Student loans are currently the most significant source of U.S. federal student aid and are administered through the FDL Program. Previously, these loans were also available under the FFEL. Annual and aggregate loan limits apply based on the student’s grade level. There are two types of federal student loans: subsidized loans, which are based on the U.S. federal statutory calculation of student need, and unsubsidized loans, which are not need-based. Neither type of student loan is based on creditworthiness. Students are not responsible for interest on subsidized loans while the student is enrolled in school.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2010, federal student loans (both subsidized and unsubsidized) represented approximately 87.1% of the gross Title IV funds received by the University.</w:t>
      </w:r>
    </w:p>
    <w:p>
      <w:pPr>
        <w:spacing w:after="0" w:line="118"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Pell Grants are awarded based on need and only to undergraduate students who have not earned a bachelor’s or professional degree. Unlike loans, Pell Grants are not repayable. During fiscal year 2010, Pell Grants represented approximately 11.8% of the gross Title IV funds received by the University. The eligibility requirements for, and the maximum amount available under, Pell Grants have increased in each of the past three years.</w:t>
      </w:r>
    </w:p>
    <w:p>
      <w:pPr>
        <w:spacing w:after="0" w:line="140" w:lineRule="exact"/>
        <w:rPr>
          <w:sz w:val="20"/>
          <w:szCs w:val="20"/>
          <w:color w:val="auto"/>
        </w:rPr>
      </w:pPr>
    </w:p>
    <w:p>
      <w:pPr>
        <w:jc w:val="both"/>
        <w:ind w:left="320" w:right="1059" w:firstLine="369"/>
        <w:spacing w:after="0" w:line="260" w:lineRule="auto"/>
        <w:rPr>
          <w:sz w:val="20"/>
          <w:szCs w:val="20"/>
          <w:color w:val="auto"/>
        </w:rPr>
      </w:pPr>
      <w:r>
        <w:rPr>
          <w:rFonts w:ascii="Arial" w:cs="Arial" w:eastAsia="Arial" w:hAnsi="Arial"/>
          <w:sz w:val="17"/>
          <w:szCs w:val="17"/>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the Academic Competitiveness Grant Program, and the Teacher Education Assistance for College and Higher Education Grant Program.</w:t>
      </w:r>
    </w:p>
    <w:p>
      <w:pPr>
        <w:spacing w:after="0" w:line="153"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i w:val="1"/>
          <w:iCs w:val="1"/>
          <w:color w:val="auto"/>
        </w:rPr>
        <w:t xml:space="preserve">Other financial aid programs. </w:t>
      </w:r>
      <w:r>
        <w:rPr>
          <w:rFonts w:ascii="Arial" w:cs="Arial" w:eastAsia="Arial" w:hAnsi="Arial"/>
          <w:sz w:val="17"/>
          <w:szCs w:val="17"/>
          <w:color w:val="auto"/>
        </w:rPr>
        <w:t>In addition to the Title IV programs listed above, eligible students may participate in several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aid programs or receive support from other governmental sources. These include veterans educational benefits administered by the U.S. Department of Veterans Affairs and state financial aid programs. During fiscal 2010 and 2009, we derived an immaterial amount of our net revenue from tuition financed by such programs.</w:t>
      </w:r>
    </w:p>
    <w:p>
      <w:pPr>
        <w:spacing w:after="0" w:line="140" w:lineRule="exact"/>
        <w:rPr>
          <w:sz w:val="20"/>
          <w:szCs w:val="20"/>
          <w:color w:val="auto"/>
        </w:rPr>
      </w:pPr>
    </w:p>
    <w:p>
      <w:pPr>
        <w:ind w:left="320" w:right="859" w:firstLine="369"/>
        <w:spacing w:after="0" w:line="256" w:lineRule="auto"/>
        <w:rPr>
          <w:sz w:val="20"/>
          <w:szCs w:val="20"/>
          <w:color w:val="auto"/>
        </w:rPr>
      </w:pPr>
      <w:r>
        <w:rPr>
          <w:rFonts w:ascii="Arial" w:cs="Arial" w:eastAsia="Arial" w:hAnsi="Arial"/>
          <w:sz w:val="17"/>
          <w:szCs w:val="17"/>
          <w:i w:val="1"/>
          <w:iCs w:val="1"/>
          <w:color w:val="auto"/>
        </w:rPr>
        <w:t xml:space="preserve">Private loans. </w:t>
      </w:r>
      <w:r>
        <w:rPr>
          <w:rFonts w:ascii="Arial" w:cs="Arial" w:eastAsia="Arial" w:hAnsi="Arial"/>
          <w:sz w:val="17"/>
          <w:szCs w:val="17"/>
          <w:color w:val="auto"/>
        </w:rPr>
        <w:t>Some of our students also use private loan programs to help finance their education. Students can apply to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different lenders for private loans at current market interest rates. Private loans are intended to fund a portion of students’ cost of education not covered by the Title IV programs and other financial aid. During fiscal 2010 and 2009, payments derived from private loans constituted less than 1% of our net revenues for each year respectively. Third-party lenders independently determine whether a loan to a student is classified as subprime, and, based on these determinations, we did not derive any payments from subprime loans during fiscal year 2010 or 2009.</w:t>
      </w:r>
    </w:p>
    <w:p>
      <w:pPr>
        <w:spacing w:after="0" w:line="146" w:lineRule="exact"/>
        <w:rPr>
          <w:sz w:val="20"/>
          <w:szCs w:val="20"/>
          <w:color w:val="auto"/>
        </w:rPr>
      </w:pPr>
    </w:p>
    <w:p>
      <w:pPr>
        <w:ind w:left="320" w:right="939" w:firstLine="369"/>
        <w:spacing w:after="0" w:line="277" w:lineRule="auto"/>
        <w:rPr>
          <w:sz w:val="20"/>
          <w:szCs w:val="20"/>
          <w:color w:val="auto"/>
        </w:rPr>
      </w:pPr>
      <w:r>
        <w:rPr>
          <w:rFonts w:ascii="Arial" w:cs="Arial" w:eastAsia="Arial" w:hAnsi="Arial"/>
          <w:sz w:val="17"/>
          <w:szCs w:val="17"/>
          <w:i w:val="1"/>
          <w:iCs w:val="1"/>
          <w:color w:val="auto"/>
        </w:rPr>
        <w:t xml:space="preserve">Other sources. </w:t>
      </w:r>
      <w:r>
        <w:rPr>
          <w:rFonts w:ascii="Arial" w:cs="Arial" w:eastAsia="Arial" w:hAnsi="Arial"/>
          <w:sz w:val="17"/>
          <w:szCs w:val="17"/>
          <w:color w:val="auto"/>
        </w:rPr>
        <w:t>We derived the remainder of our net revenue from tuition that is self-funded or attributable to employer tuition</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Technology Systems and Management</w:t>
      </w:r>
    </w:p>
    <w:p>
      <w:pPr>
        <w:spacing w:after="0" w:line="180" w:lineRule="exact"/>
        <w:rPr>
          <w:sz w:val="20"/>
          <w:szCs w:val="20"/>
          <w:color w:val="auto"/>
        </w:rPr>
      </w:pPr>
    </w:p>
    <w:p>
      <w:pPr>
        <w:ind w:left="320" w:right="699" w:firstLine="369"/>
        <w:spacing w:after="0" w:line="277" w:lineRule="auto"/>
        <w:rPr>
          <w:sz w:val="20"/>
          <w:szCs w:val="20"/>
          <w:color w:val="auto"/>
        </w:rPr>
      </w:pPr>
      <w:r>
        <w:rPr>
          <w:rFonts w:ascii="Arial" w:cs="Arial" w:eastAsia="Arial" w:hAnsi="Arial"/>
          <w:sz w:val="17"/>
          <w:szCs w:val="17"/>
          <w:color w:val="auto"/>
        </w:rPr>
        <w:t>We believe that we have established a secure, reliable, scalable technology system that provides a high quality online educational environment and gives us the capability to substantially grow our online programs and enrollment.</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99" w:firstLine="369"/>
        <w:spacing w:after="0" w:line="292" w:lineRule="auto"/>
        <w:rPr>
          <w:sz w:val="20"/>
          <w:szCs w:val="20"/>
          <w:color w:val="auto"/>
        </w:rPr>
      </w:pPr>
      <w:r>
        <w:rPr>
          <w:rFonts w:ascii="Arial" w:cs="Arial" w:eastAsia="Arial" w:hAnsi="Arial"/>
          <w:sz w:val="15"/>
          <w:szCs w:val="15"/>
          <w:i w:val="1"/>
          <w:iCs w:val="1"/>
          <w:color w:val="auto"/>
        </w:rPr>
        <w:t xml:space="preserve">Online course delivery and management. </w:t>
      </w:r>
      <w:r>
        <w:rPr>
          <w:rFonts w:ascii="Arial" w:cs="Arial" w:eastAsia="Arial" w:hAnsi="Arial"/>
          <w:sz w:val="15"/>
          <w:szCs w:val="15"/>
          <w:color w:val="auto"/>
        </w:rPr>
        <w:t>Our online learning management system is the ANGEL Learning Management Suite,</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a 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During 2010, we entered into an agreement with an affiliated entity to develop a new learning management system for use by the University Through this agreement we prepaid perpetual license fees, acquired source code rights for the software developed, and prepaid maintenance and service fees for the first seven years of use, for an aggregate amount of $4.9 million. We anticipate full conversion to this new learning management platform for our online delivered coursework by the third quarter of 2011. We continually seek to develop and implement features that enhance the online classroom experience, such as delivering course content through streaming video, simulations, and other interactive enhancements.</w:t>
      </w:r>
    </w:p>
    <w:p>
      <w:pPr>
        <w:spacing w:after="0" w:line="132" w:lineRule="exact"/>
        <w:rPr>
          <w:sz w:val="20"/>
          <w:szCs w:val="20"/>
          <w:color w:val="auto"/>
        </w:rPr>
      </w:pPr>
    </w:p>
    <w:p>
      <w:pPr>
        <w:ind w:left="320" w:right="679" w:firstLine="369"/>
        <w:spacing w:after="0" w:line="260" w:lineRule="auto"/>
        <w:rPr>
          <w:sz w:val="20"/>
          <w:szCs w:val="20"/>
          <w:color w:val="auto"/>
        </w:rPr>
      </w:pPr>
      <w:r>
        <w:rPr>
          <w:rFonts w:ascii="Arial" w:cs="Arial" w:eastAsia="Arial" w:hAnsi="Arial"/>
          <w:sz w:val="17"/>
          <w:szCs w:val="17"/>
          <w:i w:val="1"/>
          <w:iCs w:val="1"/>
          <w:color w:val="auto"/>
        </w:rPr>
        <w:t xml:space="preserve">Internal administration. </w:t>
      </w:r>
      <w:r>
        <w:rPr>
          <w:rFonts w:ascii="Arial" w:cs="Arial" w:eastAsia="Arial" w:hAnsi="Arial"/>
          <w:sz w:val="17"/>
          <w:szCs w:val="17"/>
          <w:color w:val="auto"/>
        </w:rPr>
        <w:t>We utilize a commercial customer relations management package to distribute, manage, track, and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all prospective student leads developed, both internally and externally. This package is scalable to capacity levels well in excess of current requirements. We also utilize a commercial software package to track Title IV funds, student records, grades, accounts receivable, and accounts payable.</w:t>
      </w:r>
    </w:p>
    <w:p>
      <w:pPr>
        <w:spacing w:after="0" w:line="140"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i w:val="1"/>
          <w:iCs w:val="1"/>
          <w:color w:val="auto"/>
        </w:rPr>
        <w:t xml:space="preserve">Infrastructure. </w:t>
      </w:r>
      <w:r>
        <w:rPr>
          <w:rFonts w:ascii="Arial" w:cs="Arial" w:eastAsia="Arial" w:hAnsi="Arial"/>
          <w:sz w:val="16"/>
          <w:szCs w:val="16"/>
          <w:color w:val="auto"/>
        </w:rPr>
        <w:t>We operate two data centers, one at our campus and one at our Peoria Avenue location. All of our servers are</w:t>
      </w:r>
      <w:r>
        <w:rPr>
          <w:rFonts w:ascii="Arial" w:cs="Arial" w:eastAsia="Arial" w:hAnsi="Arial"/>
          <w:sz w:val="16"/>
          <w:szCs w:val="16"/>
          <w:i w:val="1"/>
          <w:iCs w:val="1"/>
          <w:color w:val="auto"/>
        </w:rPr>
        <w:t xml:space="preserve"> </w:t>
      </w:r>
      <w:r>
        <w:rPr>
          <w:rFonts w:ascii="Arial" w:cs="Arial" w:eastAsia="Arial" w:hAnsi="Arial"/>
          <w:sz w:val="16"/>
          <w:szCs w:val="16"/>
          <w:color w:val="auto"/>
        </w:rPr>
        <w:t>networked and we have redundant data backup. We manage our technology environment internally. Our wide area network uses multi-protocol label switching technology for maximum availability and flexibility. Student access is load balanced for maximum performance. Real-time monitoring provides current system status across server, network, and storage components.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Ground Campus</w:t>
      </w:r>
    </w:p>
    <w:p>
      <w:pPr>
        <w:spacing w:after="0" w:line="193" w:lineRule="exact"/>
        <w:rPr>
          <w:sz w:val="20"/>
          <w:szCs w:val="20"/>
          <w:color w:val="auto"/>
        </w:rPr>
      </w:pPr>
    </w:p>
    <w:p>
      <w:pPr>
        <w:ind w:left="320" w:right="699" w:firstLine="369"/>
        <w:spacing w:after="0" w:line="255" w:lineRule="auto"/>
        <w:rPr>
          <w:sz w:val="20"/>
          <w:szCs w:val="20"/>
          <w:color w:val="auto"/>
        </w:rPr>
      </w:pPr>
      <w:r>
        <w:rPr>
          <w:rFonts w:ascii="Arial" w:cs="Arial" w:eastAsia="Arial" w:hAnsi="Arial"/>
          <w:sz w:val="17"/>
          <w:szCs w:val="17"/>
          <w:color w:val="auto"/>
        </w:rPr>
        <w:t>We own our ground campus, which is located on approximately 100 acres in the center of the Phoenix, Arizona metropolitan area, near downtown Phoenix. Our on-campus facilities currently consist of 43 buildings with more than 700,000 square feet of space, which include 64 classrooms, two lecture halls, a 300-seat theater, four student computer labs with 125 computers that are available to students 18 hours per day, a 155,000-volume library, a media arts complex that provides communications students with audio and video equipment, and a 55,000 square foot recreation center for both student-athletes and on-campus students. We house our ground students in an on-campus student apartment complex and two dormitories that can collectively hold up to 1,200 students. A new 140,000 square foot arena will open in September 2011, and a new 500-bed dormitory and a food court restaurant will be completed in August 2011.</w:t>
      </w:r>
    </w:p>
    <w:p>
      <w:pPr>
        <w:spacing w:after="0" w:line="146"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color w:val="auto"/>
        </w:rPr>
        <w:t>We have 22 intercollegiate athletic teams that compete in Division II of the National Collegiate Athletic Association (“NCAA”). Our athletic facilities include a competition/practice gymnasium, which accommodates basketball, volleyball, and wrestling competitive events. In addition, the University has a student recreation center that has state of the art training facilities for our 400 student-athletes plus practice space and locker rooms for men’s and women’s basketball and wrestling. Our baseball, softball, soccer and lacrosse programs utilize on-campus practice and competition sites. Golf, tennis, cross-country, track and field and swimming programs utilize off-campus sites for practice and competition. Our baseball program has produced 13 Major League Baseball players while the men’s basketball program has produced a pair of NBA players. Baseball, basketball, tennis and soccer have combined to produce nine National Association of Intercollegiate Athletics (“NAIA”) or NCAA National Championship teams.</w:t>
      </w:r>
    </w:p>
    <w:p>
      <w:pPr>
        <w:spacing w:after="0" w:line="117" w:lineRule="exact"/>
        <w:rPr>
          <w:sz w:val="20"/>
          <w:szCs w:val="20"/>
          <w:color w:val="auto"/>
        </w:rPr>
      </w:pPr>
    </w:p>
    <w:p>
      <w:pPr>
        <w:ind w:left="320" w:right="779" w:firstLine="369"/>
        <w:spacing w:after="0" w:line="275" w:lineRule="auto"/>
        <w:rPr>
          <w:sz w:val="20"/>
          <w:szCs w:val="20"/>
          <w:color w:val="auto"/>
        </w:rPr>
      </w:pPr>
      <w:r>
        <w:rPr>
          <w:rFonts w:ascii="Arial" w:cs="Arial" w:eastAsia="Arial" w:hAnsi="Arial"/>
          <w:sz w:val="16"/>
          <w:szCs w:val="16"/>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60-year history and heritage, differentiates us from most other for-profit postsecondary education providers.</w:t>
      </w:r>
    </w:p>
    <w:p>
      <w:pPr>
        <w:spacing w:after="0" w:line="145" w:lineRule="exact"/>
        <w:rPr>
          <w:sz w:val="20"/>
          <w:szCs w:val="20"/>
          <w:color w:val="auto"/>
        </w:rPr>
      </w:pPr>
    </w:p>
    <w:p>
      <w:pPr>
        <w:jc w:val="both"/>
        <w:ind w:left="320" w:right="899" w:firstLine="369"/>
        <w:spacing w:after="0" w:line="315" w:lineRule="auto"/>
        <w:rPr>
          <w:sz w:val="20"/>
          <w:szCs w:val="20"/>
          <w:color w:val="auto"/>
        </w:rPr>
      </w:pPr>
      <w:r>
        <w:rPr>
          <w:rFonts w:ascii="Arial" w:cs="Arial" w:eastAsia="Arial" w:hAnsi="Arial"/>
          <w:sz w:val="15"/>
          <w:szCs w:val="15"/>
          <w:color w:val="auto"/>
        </w:rPr>
        <w:t>We intend to continue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w:t>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Employees</w:t>
      </w:r>
    </w:p>
    <w:p>
      <w:pPr>
        <w:spacing w:after="0" w:line="193" w:lineRule="exact"/>
        <w:rPr>
          <w:sz w:val="20"/>
          <w:szCs w:val="20"/>
          <w:color w:val="auto"/>
        </w:rPr>
      </w:pPr>
    </w:p>
    <w:p>
      <w:pPr>
        <w:ind w:left="320" w:right="699" w:firstLine="369"/>
        <w:spacing w:after="0" w:line="305" w:lineRule="auto"/>
        <w:rPr>
          <w:sz w:val="20"/>
          <w:szCs w:val="20"/>
          <w:color w:val="auto"/>
        </w:rPr>
      </w:pPr>
      <w:r>
        <w:rPr>
          <w:rFonts w:ascii="Arial" w:cs="Arial" w:eastAsia="Arial" w:hAnsi="Arial"/>
          <w:sz w:val="15"/>
          <w:szCs w:val="15"/>
          <w:color w:val="auto"/>
        </w:rPr>
        <w:t>In addition to our faculty, as of December 31, 2010, we employed approximately 2,600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Competition</w:t>
      </w:r>
    </w:p>
    <w:p>
      <w:pPr>
        <w:spacing w:after="0" w:line="180" w:lineRule="exact"/>
        <w:rPr>
          <w:sz w:val="20"/>
          <w:szCs w:val="20"/>
          <w:color w:val="auto"/>
        </w:rPr>
      </w:pPr>
    </w:p>
    <w:p>
      <w:pPr>
        <w:jc w:val="both"/>
        <w:ind w:left="320" w:right="699" w:firstLine="369"/>
        <w:spacing w:after="0" w:line="264" w:lineRule="auto"/>
        <w:rPr>
          <w:sz w:val="20"/>
          <w:szCs w:val="20"/>
          <w:color w:val="auto"/>
        </w:rPr>
      </w:pPr>
      <w:r>
        <w:rPr>
          <w:rFonts w:ascii="Arial" w:cs="Arial" w:eastAsia="Arial" w:hAnsi="Arial"/>
          <w:sz w:val="17"/>
          <w:szCs w:val="17"/>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50"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133" w:lineRule="exact"/>
        <w:rPr>
          <w:sz w:val="20"/>
          <w:szCs w:val="20"/>
          <w:color w:val="auto"/>
        </w:rPr>
      </w:pPr>
    </w:p>
    <w:p>
      <w:pPr>
        <w:ind w:left="320" w:right="719" w:firstLine="369"/>
        <w:spacing w:after="0" w:line="274" w:lineRule="auto"/>
        <w:rPr>
          <w:sz w:val="20"/>
          <w:szCs w:val="20"/>
          <w:color w:val="auto"/>
        </w:rPr>
      </w:pPr>
      <w:r>
        <w:rPr>
          <w:rFonts w:ascii="Arial" w:cs="Arial" w:eastAsia="Arial" w:hAnsi="Arial"/>
          <w:sz w:val="16"/>
          <w:szCs w:val="16"/>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believe that the competitive factors in the postsecondary education market include:</w:t>
      </w:r>
    </w:p>
    <w:p>
      <w:pPr>
        <w:spacing w:after="0" w:line="189" w:lineRule="exact"/>
        <w:rPr>
          <w:sz w:val="20"/>
          <w:szCs w:val="20"/>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availability of career-oriented and accredited program offerings;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types of degrees offered and marketability of those degrees;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reputation, regulatory approvals, and compliance history of the school;</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convenient, flexible and dependable access to programs and classes;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qualified and experienced faculty;</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level of student support services;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cost of the program;</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marketing and selling effectiveness;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time necessary to earn a degree.</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Proprietary Rights</w:t>
      </w:r>
    </w:p>
    <w:p>
      <w:pPr>
        <w:spacing w:after="0" w:line="180" w:lineRule="exact"/>
        <w:rPr>
          <w:sz w:val="20"/>
          <w:szCs w:val="20"/>
          <w:color w:val="auto"/>
        </w:rPr>
      </w:pPr>
    </w:p>
    <w:p>
      <w:pPr>
        <w:ind w:left="320" w:right="759"/>
        <w:spacing w:after="0" w:line="300" w:lineRule="auto"/>
        <w:rPr>
          <w:sz w:val="20"/>
          <w:szCs w:val="20"/>
          <w:color w:val="auto"/>
        </w:rPr>
      </w:pPr>
      <w:r>
        <w:rPr>
          <w:rFonts w:ascii="Arial" w:cs="Arial" w:eastAsia="Arial" w:hAnsi="Arial"/>
          <w:sz w:val="15"/>
          <w:szCs w:val="15"/>
          <w:color w:val="auto"/>
        </w:rPr>
        <w:t>We own or are licensed to use various intellectual property rights, including copyrights, trademarks, service marks, trade secrets and domain names. We license the right to utilize the name of Ken Blanchard in connection with our business school and Executive MBA programs and have spent significant resources in related branding efforts. The license agreement with Ken Blanchard has a current term that expires on June 30, 2014. While such intellectual property rights are important to us, we do not believe that the loss of any individual property right or group of related rights would have a material adverse effect on our overall business.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Available Information</w:t>
      </w:r>
    </w:p>
    <w:p>
      <w:pPr>
        <w:spacing w:after="0" w:line="193" w:lineRule="exact"/>
        <w:rPr>
          <w:sz w:val="20"/>
          <w:szCs w:val="20"/>
          <w:color w:val="auto"/>
        </w:rPr>
      </w:pPr>
    </w:p>
    <w:p>
      <w:pPr>
        <w:ind w:left="320" w:right="799" w:firstLine="369"/>
        <w:spacing w:after="0" w:line="255"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www.gcu.edu</w:t>
      </w:r>
      <w:r>
        <w:rPr>
          <w:rFonts w:ascii="Arial" w:cs="Arial" w:eastAsia="Arial" w:hAnsi="Arial"/>
          <w:sz w:val="17"/>
          <w:szCs w:val="17"/>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and presentation to the financial community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REGULATION</w:t>
      </w:r>
    </w:p>
    <w:p>
      <w:pPr>
        <w:spacing w:after="0" w:line="193" w:lineRule="exact"/>
        <w:rPr>
          <w:sz w:val="20"/>
          <w:szCs w:val="20"/>
          <w:color w:val="auto"/>
        </w:rPr>
      </w:pPr>
    </w:p>
    <w:p>
      <w:pPr>
        <w:ind w:left="320" w:right="719" w:firstLine="369"/>
        <w:spacing w:after="0" w:line="281" w:lineRule="auto"/>
        <w:rPr>
          <w:sz w:val="20"/>
          <w:szCs w:val="20"/>
          <w:color w:val="auto"/>
        </w:rPr>
      </w:pPr>
      <w:r>
        <w:rPr>
          <w:rFonts w:ascii="Arial" w:cs="Arial" w:eastAsia="Arial" w:hAnsi="Arial"/>
          <w:sz w:val="16"/>
          <w:szCs w:val="16"/>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125" w:lineRule="exact"/>
        <w:rPr>
          <w:sz w:val="20"/>
          <w:szCs w:val="20"/>
          <w:color w:val="auto"/>
        </w:rPr>
      </w:pPr>
    </w:p>
    <w:p>
      <w:pPr>
        <w:ind w:left="320" w:right="839" w:firstLine="369"/>
        <w:spacing w:after="0" w:line="273" w:lineRule="auto"/>
        <w:rPr>
          <w:sz w:val="20"/>
          <w:szCs w:val="20"/>
          <w:color w:val="auto"/>
        </w:rPr>
      </w:pPr>
      <w:r>
        <w:rPr>
          <w:rFonts w:ascii="Arial" w:cs="Arial" w:eastAsia="Arial" w:hAnsi="Arial"/>
          <w:sz w:val="16"/>
          <w:szCs w:val="16"/>
          <w:color w:val="auto"/>
        </w:rPr>
        <w:t>As an institution of higher education that grants degrees and certificates, we are required to be authorized by appropriate state education authorities. These state education authorities also exercise regulatory oversight of our institution.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33" w:lineRule="exact"/>
        <w:rPr>
          <w:sz w:val="20"/>
          <w:szCs w:val="20"/>
          <w:color w:val="auto"/>
        </w:rPr>
      </w:pPr>
    </w:p>
    <w:p>
      <w:pPr>
        <w:ind w:left="320" w:right="799" w:firstLine="369"/>
        <w:spacing w:after="0" w:line="297" w:lineRule="auto"/>
        <w:rPr>
          <w:sz w:val="20"/>
          <w:szCs w:val="20"/>
          <w:color w:val="auto"/>
        </w:rPr>
      </w:pPr>
      <w:r>
        <w:rPr>
          <w:rFonts w:ascii="Arial" w:cs="Arial" w:eastAsia="Arial" w:hAnsi="Arial"/>
          <w:sz w:val="15"/>
          <w:szCs w:val="15"/>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30" w:lineRule="exact"/>
        <w:rPr>
          <w:sz w:val="20"/>
          <w:szCs w:val="20"/>
          <w:color w:val="auto"/>
        </w:rPr>
      </w:pPr>
    </w:p>
    <w:p>
      <w:pPr>
        <w:ind w:left="320" w:right="819" w:firstLine="369"/>
        <w:spacing w:after="0" w:line="281" w:lineRule="auto"/>
        <w:rPr>
          <w:sz w:val="20"/>
          <w:szCs w:val="20"/>
          <w:color w:val="auto"/>
        </w:rPr>
      </w:pPr>
      <w:r>
        <w:rPr>
          <w:rFonts w:ascii="Arial" w:cs="Arial" w:eastAsia="Arial" w:hAnsi="Arial"/>
          <w:sz w:val="16"/>
          <w:szCs w:val="16"/>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Compliance Officer, and General Counsel also provide oversight designed to ensure that we meet the requirements of our regulated operating environment.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State Education Licensure and Regulation</w:t>
      </w:r>
    </w:p>
    <w:p>
      <w:pPr>
        <w:spacing w:after="0" w:line="180"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151" w:lineRule="exact"/>
        <w:rPr>
          <w:sz w:val="20"/>
          <w:szCs w:val="20"/>
          <w:color w:val="auto"/>
        </w:rPr>
      </w:pPr>
    </w:p>
    <w:p>
      <w:pPr>
        <w:ind w:left="320" w:right="759" w:firstLine="369"/>
        <w:spacing w:after="0" w:line="274" w:lineRule="auto"/>
        <w:rPr>
          <w:sz w:val="20"/>
          <w:szCs w:val="20"/>
          <w:color w:val="auto"/>
        </w:rPr>
      </w:pPr>
      <w:r>
        <w:rPr>
          <w:rFonts w:ascii="Arial" w:cs="Arial" w:eastAsia="Arial" w:hAnsi="Arial"/>
          <w:sz w:val="16"/>
          <w:szCs w:val="16"/>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59" w:firstLine="369"/>
        <w:spacing w:after="0" w:line="271" w:lineRule="auto"/>
        <w:rPr>
          <w:sz w:val="20"/>
          <w:szCs w:val="20"/>
          <w:color w:val="auto"/>
        </w:rPr>
      </w:pPr>
      <w:r>
        <w:rPr>
          <w:rFonts w:ascii="Arial" w:cs="Arial" w:eastAsia="Arial" w:hAnsi="Arial"/>
          <w:sz w:val="16"/>
          <w:szCs w:val="16"/>
          <w:color w:val="auto"/>
        </w:rPr>
        <w:t>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In addition, the Department of Education has adopted new regulations that require online providers to meet any such state requirements and, thus, the Department of Education would seem to have authority, in addition to that of the states, to enforce applicable state law requirements. See “New and Pending Regulations — State authorization.” Because state regulatory requirements for online education vary among the states, are not 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51"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applicable state education agency in those states and we have obtained such licensure.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new Department of Education regulation,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State Professional Licensure</w:t>
      </w:r>
    </w:p>
    <w:p>
      <w:pPr>
        <w:spacing w:after="0" w:line="180"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53" w:lineRule="exact"/>
        <w:rPr>
          <w:sz w:val="20"/>
          <w:szCs w:val="20"/>
          <w:color w:val="auto"/>
        </w:rPr>
      </w:pPr>
    </w:p>
    <w:p>
      <w:pPr>
        <w:ind w:left="1400" w:right="1099" w:hanging="359"/>
        <w:spacing w:after="0" w:line="277" w:lineRule="auto"/>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whether the institution and the program were approved by the state in which the graduate seeks licensure, or by a professional association;</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whether the program from which the student graduated meets all requirements for professional licensure in that state;</w:t>
      </w:r>
    </w:p>
    <w:p>
      <w:pPr>
        <w:spacing w:after="0" w:line="173" w:lineRule="exact"/>
        <w:rPr>
          <w:rFonts w:ascii="Arial" w:cs="Arial" w:eastAsia="Arial" w:hAnsi="Arial"/>
          <w:sz w:val="15"/>
          <w:szCs w:val="15"/>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whether the institution and the program are accredited and, if so, by what accrediting commissions;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whether the institution’s degrees are recognized by other states in which a student may seek to work.</w:t>
      </w:r>
    </w:p>
    <w:p>
      <w:pPr>
        <w:spacing w:after="0" w:line="176" w:lineRule="exact"/>
        <w:rPr>
          <w:sz w:val="20"/>
          <w:szCs w:val="20"/>
          <w:color w:val="auto"/>
        </w:rPr>
      </w:pPr>
    </w:p>
    <w:p>
      <w:pPr>
        <w:ind w:left="320" w:right="899" w:firstLine="369"/>
        <w:spacing w:after="0" w:line="309" w:lineRule="auto"/>
        <w:rPr>
          <w:sz w:val="20"/>
          <w:szCs w:val="20"/>
          <w:color w:val="auto"/>
        </w:rPr>
      </w:pPr>
      <w:r>
        <w:rPr>
          <w:rFonts w:ascii="Arial" w:cs="Arial" w:eastAsia="Arial" w:hAnsi="Arial"/>
          <w:sz w:val="16"/>
          <w:szCs w:val="16"/>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in Nursing degrees.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Accreditation</w:t>
      </w:r>
    </w:p>
    <w:p>
      <w:pPr>
        <w:spacing w:after="0" w:line="180" w:lineRule="exact"/>
        <w:rPr>
          <w:sz w:val="20"/>
          <w:szCs w:val="20"/>
          <w:color w:val="auto"/>
        </w:rPr>
      </w:pPr>
    </w:p>
    <w:p>
      <w:pPr>
        <w:ind w:left="320" w:right="699" w:firstLine="369"/>
        <w:spacing w:after="0" w:line="255" w:lineRule="auto"/>
        <w:rPr>
          <w:sz w:val="20"/>
          <w:szCs w:val="20"/>
          <w:color w:val="auto"/>
        </w:rPr>
      </w:pPr>
      <w:r>
        <w:rPr>
          <w:rFonts w:ascii="Arial" w:cs="Arial" w:eastAsia="Arial" w:hAnsi="Arial"/>
          <w:sz w:val="17"/>
          <w:szCs w:val="17"/>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44" w:lineRule="exact"/>
        <w:rPr>
          <w:sz w:val="20"/>
          <w:szCs w:val="20"/>
          <w:color w:val="auto"/>
        </w:rPr>
      </w:pPr>
    </w:p>
    <w:p>
      <w:pPr>
        <w:ind w:left="320" w:right="879" w:firstLine="369"/>
        <w:spacing w:after="0" w:line="295" w:lineRule="auto"/>
        <w:rPr>
          <w:sz w:val="20"/>
          <w:szCs w:val="20"/>
          <w:color w:val="auto"/>
        </w:rPr>
      </w:pPr>
      <w:r>
        <w:rPr>
          <w:rFonts w:ascii="Arial" w:cs="Arial" w:eastAsia="Arial" w:hAnsi="Arial"/>
          <w:sz w:val="15"/>
          <w:szCs w:val="15"/>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private non-profit, and proprietary colleges and universities in the states of Arizona, Arkansas, Colorado, Illinois, Indiana, Iowa, Kansas, Michigan, Minnesota, Missouri, Nebraska, New Mexico, North Dakota, Ohio, Oklahoma, South Dakota, West Virginia, Wisconsin, and Wyoming.</w:t>
      </w:r>
    </w:p>
    <w:p>
      <w:pPr>
        <w:spacing w:after="0" w:line="131"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143" w:lineRule="exact"/>
        <w:rPr>
          <w:sz w:val="20"/>
          <w:szCs w:val="20"/>
          <w:color w:val="auto"/>
        </w:rPr>
      </w:pPr>
    </w:p>
    <w:p>
      <w:pPr>
        <w:ind w:left="320" w:right="739" w:firstLine="369"/>
        <w:spacing w:after="0" w:line="254" w:lineRule="auto"/>
        <w:rPr>
          <w:sz w:val="20"/>
          <w:szCs w:val="20"/>
          <w:color w:val="auto"/>
        </w:rPr>
      </w:pPr>
      <w:r>
        <w:rPr>
          <w:rFonts w:ascii="Arial" w:cs="Arial" w:eastAsia="Arial" w:hAnsi="Arial"/>
          <w:sz w:val="17"/>
          <w:szCs w:val="17"/>
          <w:color w:val="auto"/>
        </w:rPr>
        <w:t>The reauthorization of the Higher Education Act in 2008 and final regulations thereunder issued by the Department of Education that became effective July 1, 2010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the Department of Education has issued final regulations that became effective July 1, 2010 that require the Higher Learning Commission to notify the Department of Education if an institution it accredits that offers distance learning programs experiences an increase in its headcount enrollment of 50% or more in any fiscal year, and the Department of Education may consider that information in connection with its own regulatory oversight activities.</w:t>
      </w:r>
    </w:p>
    <w:p>
      <w:pPr>
        <w:spacing w:after="0" w:line="200" w:lineRule="exact"/>
        <w:rPr>
          <w:sz w:val="20"/>
          <w:szCs w:val="20"/>
          <w:color w:val="auto"/>
        </w:rPr>
      </w:pPr>
    </w:p>
    <w:p>
      <w:pPr>
        <w:spacing w:after="0" w:line="3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154" w:lineRule="exact"/>
        <w:rPr>
          <w:sz w:val="20"/>
          <w:szCs w:val="20"/>
          <w:color w:val="auto"/>
        </w:rPr>
      </w:pPr>
    </w:p>
    <w:p>
      <w:pPr>
        <w:ind w:left="1400" w:right="1099" w:hanging="359"/>
        <w:spacing w:after="0" w:line="288" w:lineRule="auto"/>
        <w:tabs>
          <w:tab w:leader="none" w:pos="140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Association of Collegiate Business Schools and Programs accredits our Executive Master of Business Administration degree program, Master of Business Administration degree program and our Bachelor of Science degree programs in Accounting, Business Administration, Marketing, and Entrepreneurship;</w:t>
      </w:r>
    </w:p>
    <w:p>
      <w:pPr>
        <w:spacing w:after="0" w:line="94" w:lineRule="exact"/>
        <w:rPr>
          <w:rFonts w:ascii="Arial" w:cs="Arial" w:eastAsia="Arial" w:hAnsi="Arial"/>
          <w:sz w:val="16"/>
          <w:szCs w:val="16"/>
          <w:b w:val="1"/>
          <w:bCs w:val="1"/>
          <w:color w:val="auto"/>
        </w:rPr>
      </w:pPr>
    </w:p>
    <w:p>
      <w:pPr>
        <w:ind w:left="1400" w:right="679" w:hanging="359"/>
        <w:spacing w:after="0" w:line="277" w:lineRule="auto"/>
        <w:tabs>
          <w:tab w:leader="none" w:pos="14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Commission on Collegiate Nursing Education accredits our Bachelor of Science in Nursing and Master of Science in Nursing degree programs; and</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Commission on Accreditation of Athletic Training Education accredits our Athletic Training Program.</w:t>
      </w:r>
    </w:p>
    <w:p>
      <w:pPr>
        <w:spacing w:after="0" w:line="176"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If we fail to satisfy the standards of any of these specialized accrediting commissions, we could lose the specialized accreditation for the affected programs, which could result in materially reduced student enrollments in those programs and prevent our students from seeking and obtaining appropriate licensure in their fields.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Regulation of Federal Student Financial Aid Programs</w:t>
      </w:r>
    </w:p>
    <w:p>
      <w:pPr>
        <w:spacing w:after="0" w:line="193"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117"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Significant factors relating to the Title IV programs that could adversely affect us include the following:</w:t>
      </w:r>
    </w:p>
    <w:p>
      <w:pPr>
        <w:spacing w:after="0" w:line="189"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most recent 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2010, Congress enacted legislation, which became effective July 1, 2010, that eliminated the federally guaranteed student loan program and required all such student loans to be made through the FDL Program. We are not in a position to predict with certainty whether any other pending, or any proposed, legislation affecting our business will be enacted.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200" w:lineRule="exact"/>
        <w:rPr>
          <w:sz w:val="20"/>
          <w:szCs w:val="20"/>
          <w:color w:val="auto"/>
        </w:rPr>
      </w:pPr>
    </w:p>
    <w:p>
      <w:pPr>
        <w:spacing w:after="0" w:line="30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99" w:firstLine="369"/>
        <w:spacing w:after="0" w:line="260" w:lineRule="auto"/>
        <w:rPr>
          <w:sz w:val="20"/>
          <w:szCs w:val="20"/>
          <w:color w:val="auto"/>
        </w:rPr>
      </w:pPr>
      <w:r>
        <w:rPr>
          <w:rFonts w:ascii="Arial" w:cs="Arial" w:eastAsia="Arial" w:hAnsi="Arial"/>
          <w:sz w:val="17"/>
          <w:szCs w:val="17"/>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153"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During 2010 and since, there has been increased focus by the Congress on the role that for-profit educational institutions play in higher education. Each of the Congressional education committees held one or more hearings examining various aspects of the proprietary education industry, including the manner in which accrediting agencies review higher education institutions’ policies on credit hours and program length, student recruitment practices, and the debt levels incurred by, and drop-out rates of, students attending for-profit colleges. In addition, at the request of the Chairmen of each of these committees, the Government Accountability Office (“GAO”) conducted reviews and prepared reports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Finally, in August 2010, the Health, Education, Labor and Pensions (“HELP”) Committee of the U.S. Senate sent requests to approximately 30 for-profit colleges, including us and all of the other publicly-traded companies that operate for-profit colleges, seeking information about such matters as graduation and loan default rates, as well as internal recruiting documents and details about the use of third-party companies, such as lead generators, in the recruiting process.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(calculated on a cash basis).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 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343"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5"/>
          <w:szCs w:val="15"/>
          <w:i w:val="1"/>
          <w:iCs w:val="1"/>
          <w:color w:val="auto"/>
        </w:rPr>
        <w:t xml:space="preserve">Pending regulatory changes. </w:t>
      </w:r>
      <w:r>
        <w:rPr>
          <w:rFonts w:ascii="Arial" w:cs="Arial" w:eastAsia="Arial" w:hAnsi="Arial"/>
          <w:sz w:val="15"/>
          <w:szCs w:val="15"/>
          <w:color w:val="auto"/>
        </w:rPr>
        <w:t>In May 2009, the Department of Education announced its intent to initiate a round of negotiated</w:t>
      </w:r>
      <w:r>
        <w:rPr>
          <w:rFonts w:ascii="Arial" w:cs="Arial" w:eastAsia="Arial" w:hAnsi="Arial"/>
          <w:sz w:val="15"/>
          <w:szCs w:val="15"/>
          <w:i w:val="1"/>
          <w:iCs w:val="1"/>
          <w:color w:val="auto"/>
        </w:rPr>
        <w:t xml:space="preserve"> </w:t>
      </w:r>
      <w:r>
        <w:rPr>
          <w:rFonts w:ascii="Arial" w:cs="Arial" w:eastAsia="Arial" w:hAnsi="Arial"/>
          <w:sz w:val="15"/>
          <w:szCs w:val="15"/>
          <w:color w:val="auto"/>
        </w:rPr>
        <w:t>rulemaking to address Title IV program integrity issues.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That process was concluded for a significant number of regulatory topics in January 2010 and addressed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the definition of a high school diploma as a condition of a student’s receipt of Title IV aid and requirements that an institution be able to demonstrate that its graduates obtain gainful employment, as measured against certain metrics such as student loan debt and salaries of graduates. Of the proposed revisions to the regulations being considered in this negotiated rulemaking, the negotiators did not reach consensus on the proposals to modify the standards relating to the payment of incentive compensation to employees involved in student recruitment and enrollment and to adopt a definition of “gainful employment” for purposes of the requirement placed on proprietary schools that participate in Title IV programs that a program of study prepare students for gainful employment in a recognized occupation. Accordingly, under the negotiated rulemaking protocol, the Department of Education became authorized to propose regulations with respect to these topics without regard to the concerns of institutions as expressed during the negotiated rulemaking process.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56" w:lineRule="auto"/>
        <w:rPr>
          <w:sz w:val="20"/>
          <w:szCs w:val="20"/>
          <w:color w:val="auto"/>
        </w:rPr>
      </w:pPr>
      <w:r>
        <w:rPr>
          <w:rFonts w:ascii="Arial" w:cs="Arial" w:eastAsia="Arial" w:hAnsi="Arial"/>
          <w:sz w:val="17"/>
          <w:szCs w:val="17"/>
          <w:color w:val="auto"/>
        </w:rPr>
        <w:t>On June 18, 2010, the Department of Education issued a Notice of Proposed Rulemaking (“NPRM”) in respect of the incentive compensation rule and other program integrity issues, other than the metrics for determining compliance with the gainful employment requirement. The final rules on these topics were published on October 29, 2010 and will become effective on July 1, 2011. The changes to the incentive compensation rule and other program integrity issues are discussed below under “New and Pending Regulations — Revised incentive compensation rule,” “New and Pending Regulations —Misrepresentation,” and “New and Pending Regulations —State authorization.”</w:t>
      </w:r>
    </w:p>
    <w:p>
      <w:pPr>
        <w:spacing w:after="0" w:line="159" w:lineRule="exact"/>
        <w:rPr>
          <w:sz w:val="20"/>
          <w:szCs w:val="20"/>
          <w:color w:val="auto"/>
        </w:rPr>
      </w:pPr>
    </w:p>
    <w:p>
      <w:pPr>
        <w:ind w:left="320" w:right="859" w:firstLine="369"/>
        <w:spacing w:after="0" w:line="255" w:lineRule="auto"/>
        <w:rPr>
          <w:sz w:val="20"/>
          <w:szCs w:val="20"/>
          <w:color w:val="auto"/>
        </w:rPr>
      </w:pPr>
      <w:r>
        <w:rPr>
          <w:rFonts w:ascii="Arial" w:cs="Arial" w:eastAsia="Arial" w:hAnsi="Arial"/>
          <w:sz w:val="17"/>
          <w:szCs w:val="17"/>
          <w:color w:val="auto"/>
        </w:rPr>
        <w:t>On July 26, 2010, the Department of Education issued an NPRM in respect of the proposed gainful employment requirement, While the Department of Education previously stated that its goal was to publish final rules related to the gainful employment requirement by November 1, 2010 and to have the final rules be effective July 1, 2011 with certain provisions to be effective July 1, 2012, due to the unprecedented volume of comments received regarding the proposed rules, on September 24, 2010, the Department of Education announced that it would delay issuing final rules until early 2011 in order to give interested parties more time to clarify their comments and respond to questions from Department of Education officials. The final gainful employment rules have yet to be released. The proposed gainful employment rules are discussed below under “New and Pending Regulations — Proposed gainful employment rule.”</w:t>
      </w:r>
    </w:p>
    <w:p>
      <w:pPr>
        <w:spacing w:after="0" w:line="146" w:lineRule="exact"/>
        <w:rPr>
          <w:sz w:val="20"/>
          <w:szCs w:val="20"/>
          <w:color w:val="auto"/>
        </w:rPr>
      </w:pPr>
    </w:p>
    <w:p>
      <w:pPr>
        <w:ind w:left="320" w:right="879" w:firstLine="369"/>
        <w:spacing w:after="0" w:line="260" w:lineRule="auto"/>
        <w:rPr>
          <w:sz w:val="20"/>
          <w:szCs w:val="20"/>
          <w:color w:val="auto"/>
        </w:rPr>
      </w:pPr>
      <w:r>
        <w:rPr>
          <w:rFonts w:ascii="Arial" w:cs="Arial" w:eastAsia="Arial" w:hAnsi="Arial"/>
          <w:sz w:val="17"/>
          <w:szCs w:val="17"/>
          <w:color w:val="auto"/>
        </w:rPr>
        <w:t>We are still assessing the impact of the final regulations, including those implementing changes to the incentive compensation rule, and the possible impact of the proposed gainful employment rules on our financial aid policies and practices and on our other operations, plans, and strategies. At this time, we cannot predict with any certainty whether compliance with such new requirements will result in a material adverse effect on our enrollments and operations.</w:t>
      </w:r>
    </w:p>
    <w:p>
      <w:pPr>
        <w:spacing w:after="0" w:line="140" w:lineRule="exact"/>
        <w:rPr>
          <w:sz w:val="20"/>
          <w:szCs w:val="20"/>
          <w:color w:val="auto"/>
        </w:rPr>
      </w:pPr>
    </w:p>
    <w:p>
      <w:pPr>
        <w:ind w:left="320" w:right="779" w:firstLine="369"/>
        <w:spacing w:after="0" w:line="270" w:lineRule="auto"/>
        <w:rPr>
          <w:sz w:val="20"/>
          <w:szCs w:val="20"/>
          <w:color w:val="auto"/>
        </w:rPr>
      </w:pPr>
      <w:r>
        <w:rPr>
          <w:rFonts w:ascii="Arial" w:cs="Arial" w:eastAsia="Arial" w:hAnsi="Arial"/>
          <w:sz w:val="16"/>
          <w:szCs w:val="16"/>
          <w:i w:val="1"/>
          <w:iCs w:val="1"/>
          <w:color w:val="auto"/>
        </w:rPr>
        <w:t xml:space="preserve">Eligibility and certification procedures. </w:t>
      </w:r>
      <w:r>
        <w:rPr>
          <w:rFonts w:ascii="Arial" w:cs="Arial" w:eastAsia="Arial" w:hAnsi="Arial"/>
          <w:sz w:val="16"/>
          <w:szCs w:val="16"/>
          <w:color w:val="auto"/>
        </w:rPr>
        <w:t>Each institution must apply periodically to the Department of Education for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53" w:lineRule="exact"/>
        <w:rPr>
          <w:sz w:val="20"/>
          <w:szCs w:val="20"/>
          <w:color w:val="auto"/>
        </w:rPr>
      </w:pPr>
    </w:p>
    <w:p>
      <w:pPr>
        <w:ind w:left="320" w:right="719" w:firstLine="369"/>
        <w:spacing w:after="0" w:line="293" w:lineRule="auto"/>
        <w:rPr>
          <w:sz w:val="20"/>
          <w:szCs w:val="20"/>
          <w:color w:val="auto"/>
        </w:rPr>
      </w:pPr>
      <w:r>
        <w:rPr>
          <w:rFonts w:ascii="Arial" w:cs="Arial" w:eastAsia="Arial" w:hAnsi="Arial"/>
          <w:sz w:val="15"/>
          <w:szCs w:val="15"/>
          <w:color w:val="auto"/>
        </w:rPr>
        <w:t>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the identity of the members of our Board of Directors, and the termination of the voting agreements in January 2011. Based on our provisional certification, the Department of Education may more closely review any application we may file for recertification, new locations, new educational programs, acquisitions of other schools, or other significant</w:t>
      </w: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spacing w:after="0" w:line="271" w:lineRule="auto"/>
        <w:rPr>
          <w:sz w:val="20"/>
          <w:szCs w:val="20"/>
          <w:color w:val="auto"/>
        </w:rPr>
      </w:pPr>
      <w:r>
        <w:rPr>
          <w:rFonts w:ascii="Arial" w:cs="Arial" w:eastAsia="Arial" w:hAnsi="Arial"/>
          <w:sz w:val="16"/>
          <w:szCs w:val="16"/>
          <w:color w:val="auto"/>
        </w:rPr>
        <w:t>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like we are,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To date, we do not believe that our continued provisional certification on a month-to-month basis has had or will have any material impact on our day-to-day operations. However, there can be no assurance that the Department of Education will recertify us or that it will not impose conditions or other restrictions on us as a condition of granting us provisional certification following a change in control or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145" w:lineRule="exact"/>
        <w:rPr>
          <w:sz w:val="20"/>
          <w:szCs w:val="20"/>
          <w:color w:val="auto"/>
        </w:rPr>
      </w:pPr>
    </w:p>
    <w:p>
      <w:pPr>
        <w:ind w:left="320" w:right="819" w:firstLine="369"/>
        <w:spacing w:after="0" w:line="264" w:lineRule="auto"/>
        <w:rPr>
          <w:sz w:val="20"/>
          <w:szCs w:val="20"/>
          <w:color w:val="auto"/>
        </w:rPr>
      </w:pPr>
      <w:r>
        <w:rPr>
          <w:rFonts w:ascii="Arial" w:cs="Arial" w:eastAsia="Arial" w:hAnsi="Arial"/>
          <w:sz w:val="17"/>
          <w:szCs w:val="17"/>
          <w:i w:val="1"/>
          <w:iCs w:val="1"/>
          <w:color w:val="auto"/>
        </w:rPr>
        <w:t xml:space="preserve">Administrative capability. </w:t>
      </w:r>
      <w:r>
        <w:rPr>
          <w:rFonts w:ascii="Arial" w:cs="Arial" w:eastAsia="Arial" w:hAnsi="Arial"/>
          <w:sz w:val="17"/>
          <w:szCs w:val="17"/>
          <w:color w:val="auto"/>
        </w:rPr>
        <w:t>Department of Education regulations specify extensive criteria by which an institution must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that it has the requisite “administrative capability” to participate in the Title IV programs. To meet the administrative capability standards, an institution must, among other things:</w:t>
      </w:r>
    </w:p>
    <w:p>
      <w:pPr>
        <w:spacing w:after="0" w:line="137" w:lineRule="exact"/>
        <w:rPr>
          <w:sz w:val="20"/>
          <w:szCs w:val="20"/>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comply with all applicable Title IV program requirements;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have an adequate number of qualified personnel to administer the Title IV programs;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have acceptable standards for measuring the satisfactory academic progress of its students;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not have student loan cohort default rates above specified levels;</w:t>
      </w:r>
    </w:p>
    <w:p>
      <w:pPr>
        <w:spacing w:after="0" w:line="150" w:lineRule="exact"/>
        <w:rPr>
          <w:rFonts w:ascii="Arial" w:cs="Arial" w:eastAsia="Arial" w:hAnsi="Arial"/>
          <w:sz w:val="17"/>
          <w:szCs w:val="17"/>
          <w:b w:val="1"/>
          <w:bCs w:val="1"/>
          <w:color w:val="auto"/>
        </w:rPr>
      </w:pPr>
    </w:p>
    <w:p>
      <w:pPr>
        <w:ind w:left="1400" w:right="1259" w:hanging="359"/>
        <w:spacing w:after="0" w:line="277" w:lineRule="auto"/>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administer the Title IV programs with adequate checks and balances in its system of internal controls;</w:t>
      </w:r>
    </w:p>
    <w:p>
      <w:pPr>
        <w:spacing w:after="0" w:line="150" w:lineRule="exact"/>
        <w:rPr>
          <w:rFonts w:ascii="Arial" w:cs="Arial" w:eastAsia="Arial" w:hAnsi="Arial"/>
          <w:sz w:val="17"/>
          <w:szCs w:val="17"/>
          <w:b w:val="1"/>
          <w:bCs w:val="1"/>
          <w:color w:val="auto"/>
        </w:rPr>
      </w:pPr>
    </w:p>
    <w:p>
      <w:pPr>
        <w:ind w:left="1400" w:right="899" w:hanging="359"/>
        <w:spacing w:after="0" w:line="277" w:lineRule="auto"/>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not be, and not have any principal or affiliate who is, debarred or suspended from federal contracting or engaging in activity that is cause for debarment or suspension;</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provide financial aid counseling to its students;</w:t>
      </w:r>
    </w:p>
    <w:p>
      <w:pPr>
        <w:spacing w:after="0" w:line="150" w:lineRule="exact"/>
        <w:rPr>
          <w:rFonts w:ascii="Arial" w:cs="Arial" w:eastAsia="Arial" w:hAnsi="Arial"/>
          <w:sz w:val="17"/>
          <w:szCs w:val="17"/>
          <w:b w:val="1"/>
          <w:bCs w:val="1"/>
          <w:color w:val="auto"/>
        </w:rPr>
      </w:pPr>
    </w:p>
    <w:p>
      <w:pPr>
        <w:ind w:left="1400" w:right="699" w:hanging="359"/>
        <w:spacing w:after="0" w:line="264" w:lineRule="auto"/>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11"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submit all required reports and financial statements in a timely manner;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not otherwise appear to lack administrative capability.</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If an institution fails to satisfy any of these criteria, the Department of Education may:</w:t>
      </w:r>
    </w:p>
    <w:p>
      <w:pPr>
        <w:spacing w:after="0" w:line="189" w:lineRule="exact"/>
        <w:rPr>
          <w:sz w:val="20"/>
          <w:szCs w:val="20"/>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require the institution to repay Title IV funds its students previously received;</w:t>
      </w:r>
    </w:p>
    <w:p>
      <w:pPr>
        <w:spacing w:after="0" w:line="150" w:lineRule="exact"/>
        <w:rPr>
          <w:rFonts w:ascii="Arial" w:cs="Arial" w:eastAsia="Arial" w:hAnsi="Arial"/>
          <w:sz w:val="17"/>
          <w:szCs w:val="17"/>
          <w:b w:val="1"/>
          <w:bCs w:val="1"/>
          <w:color w:val="auto"/>
        </w:rPr>
      </w:pPr>
    </w:p>
    <w:p>
      <w:pPr>
        <w:ind w:left="1400" w:right="779" w:hanging="359"/>
        <w:spacing w:after="0" w:line="277" w:lineRule="auto"/>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transfer the institution from the advance method of payment of Title IV funds to heightened cash monitoring status or the reimbursement system of payment;</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place the institution on provisional certification status; or</w:t>
      </w:r>
    </w:p>
    <w:p>
      <w:pPr>
        <w:spacing w:after="0" w:line="150" w:lineRule="exact"/>
        <w:rPr>
          <w:rFonts w:ascii="Arial" w:cs="Arial" w:eastAsia="Arial" w:hAnsi="Arial"/>
          <w:sz w:val="17"/>
          <w:szCs w:val="17"/>
          <w:b w:val="1"/>
          <w:bCs w:val="1"/>
          <w:color w:val="auto"/>
        </w:rPr>
      </w:pPr>
    </w:p>
    <w:p>
      <w:pPr>
        <w:ind w:left="1400" w:right="759" w:hanging="359"/>
        <w:spacing w:after="0" w:line="277" w:lineRule="auto"/>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right="939" w:firstLine="369"/>
        <w:spacing w:after="0" w:line="277" w:lineRule="auto"/>
        <w:rPr>
          <w:sz w:val="20"/>
          <w:szCs w:val="20"/>
          <w:color w:val="auto"/>
        </w:rPr>
      </w:pPr>
      <w:r>
        <w:rPr>
          <w:rFonts w:ascii="Arial" w:cs="Arial" w:eastAsia="Arial" w:hAnsi="Arial"/>
          <w:sz w:val="17"/>
          <w:szCs w:val="17"/>
          <w:color w:val="auto"/>
        </w:rPr>
        <w:t>If we are found not to have satisfied the Department of Education’s administrative capability requirements, our students could lose, or be limited in their access to, Title IV program funding.</w:t>
      </w:r>
    </w:p>
    <w:p>
      <w:pPr>
        <w:spacing w:after="0" w:line="126"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New Department of Education regulations that became effective July 1, 2010 revised the administrative capability regulations to, among other things (i) require reporting to the Department of Education of any reasonable reimbursements paid or provided by a lender to institutional employees with loan or other financial aid responsibilities and (ii) implement the new three year cohort default rate rules. See “Regulation of Student Financial Aid Programs — Student loan defaults.” We have had to make certain administrative and reporting changes to adapt our systems and practices to meet the requirements of these new regulations.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in the spring of 2010, we converted our back office system from Datatel, Inc. to a series of programs developed by Campus Management Corp., including CampusVue and CampusPortal. This conversion is intended to allow us to manage our non-traditional online students with greater ease and flexibility by providing for rolling and flexible start dates.</w:t>
      </w:r>
    </w:p>
    <w:p>
      <w:pPr>
        <w:spacing w:after="0" w:line="123"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i w:val="1"/>
          <w:iCs w:val="1"/>
          <w:color w:val="auto"/>
        </w:rPr>
        <w:t xml:space="preserve">Financial responsibility. </w:t>
      </w:r>
      <w:r>
        <w:rPr>
          <w:rFonts w:ascii="Arial" w:cs="Arial" w:eastAsia="Arial" w:hAnsi="Arial"/>
          <w:sz w:val="15"/>
          <w:szCs w:val="15"/>
          <w:color w:val="auto"/>
        </w:rPr>
        <w:t>The Higher Education Act and Department of Education regulations establish extensive standards of</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130" w:lineRule="exact"/>
        <w:rPr>
          <w:sz w:val="20"/>
          <w:szCs w:val="20"/>
          <w:color w:val="auto"/>
        </w:rPr>
      </w:pPr>
    </w:p>
    <w:p>
      <w:pPr>
        <w:ind w:left="1400" w:hanging="359"/>
        <w:spacing w:after="0"/>
        <w:tabs>
          <w:tab w:leader="none" w:pos="14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equity ratio, which measures the institution’s capital resources, financial viability and ability to borrow;</w:t>
      </w:r>
    </w:p>
    <w:p>
      <w:pPr>
        <w:spacing w:after="0" w:line="150" w:lineRule="exact"/>
        <w:rPr>
          <w:rFonts w:ascii="Arial" w:cs="Arial" w:eastAsia="Arial" w:hAnsi="Arial"/>
          <w:sz w:val="17"/>
          <w:szCs w:val="17"/>
          <w:b w:val="1"/>
          <w:bCs w:val="1"/>
          <w:color w:val="auto"/>
        </w:rPr>
      </w:pPr>
    </w:p>
    <w:p>
      <w:pPr>
        <w:ind w:left="1400" w:right="679" w:hanging="359"/>
        <w:spacing w:after="0" w:line="277" w:lineRule="auto"/>
        <w:tabs>
          <w:tab w:leader="none" w:pos="14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primary reserve ratio, which measures the institution’s ability to support current operations from expendable resources; and</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net income ratio, which measures the institution’s ability to operate at a profit or within its means.</w:t>
      </w:r>
    </w:p>
    <w:p>
      <w:pPr>
        <w:spacing w:after="0" w:line="176" w:lineRule="exact"/>
        <w:rPr>
          <w:sz w:val="20"/>
          <w:szCs w:val="20"/>
          <w:color w:val="auto"/>
        </w:rPr>
      </w:pPr>
    </w:p>
    <w:p>
      <w:pPr>
        <w:ind w:left="320" w:right="719" w:firstLine="369"/>
        <w:spacing w:after="0" w:line="273" w:lineRule="auto"/>
        <w:rPr>
          <w:sz w:val="20"/>
          <w:szCs w:val="20"/>
          <w:color w:val="auto"/>
        </w:rPr>
      </w:pPr>
      <w:r>
        <w:rPr>
          <w:rFonts w:ascii="Arial" w:cs="Arial" w:eastAsia="Arial" w:hAnsi="Arial"/>
          <w:sz w:val="16"/>
          <w:szCs w:val="16"/>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Our composite scores for our fiscal years ended December 31, 2009 and 2008 were 2.9 each year and, therefore, we are considered financially responsible for purposes of these regulations. We have not yet submitted our financial statements to the Department of Education for our most recent fiscal year, but have calculated that our composite score for fiscal year 2010 will be at least 2.8.</w:t>
      </w:r>
    </w:p>
    <w:p>
      <w:pPr>
        <w:spacing w:after="0" w:line="133" w:lineRule="exact"/>
        <w:rPr>
          <w:sz w:val="20"/>
          <w:szCs w:val="20"/>
          <w:color w:val="auto"/>
        </w:rPr>
      </w:pPr>
    </w:p>
    <w:p>
      <w:pPr>
        <w:ind w:left="320" w:right="799" w:firstLine="369"/>
        <w:spacing w:after="0" w:line="271"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81" w:lineRule="auto"/>
        <w:rPr>
          <w:sz w:val="20"/>
          <w:szCs w:val="20"/>
          <w:color w:val="auto"/>
        </w:rPr>
      </w:pPr>
      <w:r>
        <w:rPr>
          <w:rFonts w:ascii="Arial" w:cs="Arial" w:eastAsia="Arial" w:hAnsi="Arial"/>
          <w:sz w:val="16"/>
          <w:szCs w:val="16"/>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38" w:lineRule="exact"/>
        <w:rPr>
          <w:sz w:val="20"/>
          <w:szCs w:val="20"/>
          <w:color w:val="auto"/>
        </w:rPr>
      </w:pPr>
    </w:p>
    <w:p>
      <w:pPr>
        <w:ind w:left="320" w:right="759" w:firstLine="369"/>
        <w:spacing w:after="0" w:line="292" w:lineRule="auto"/>
        <w:rPr>
          <w:sz w:val="20"/>
          <w:szCs w:val="20"/>
          <w:color w:val="auto"/>
        </w:rPr>
      </w:pPr>
      <w:r>
        <w:rPr>
          <w:rFonts w:ascii="Arial" w:cs="Arial" w:eastAsia="Arial" w:hAnsi="Arial"/>
          <w:sz w:val="15"/>
          <w:szCs w:val="15"/>
          <w:i w:val="1"/>
          <w:iCs w:val="1"/>
          <w:color w:val="auto"/>
        </w:rPr>
        <w:t xml:space="preserve">Return of Title IV funds for students who withdraw. </w:t>
      </w:r>
      <w:r>
        <w:rPr>
          <w:rFonts w:ascii="Arial" w:cs="Arial" w:eastAsia="Arial" w:hAnsi="Arial"/>
          <w:sz w:val="15"/>
          <w:szCs w:val="15"/>
          <w:color w:val="auto"/>
        </w:rPr>
        <w:t>When a student who has received Title IV program funds withdraws from</w:t>
      </w:r>
      <w:r>
        <w:rPr>
          <w:rFonts w:ascii="Arial" w:cs="Arial" w:eastAsia="Arial" w:hAnsi="Arial"/>
          <w:sz w:val="15"/>
          <w:szCs w:val="15"/>
          <w:i w:val="1"/>
          <w:iCs w:val="1"/>
          <w:color w:val="auto"/>
        </w:rPr>
        <w:t xml:space="preserve"> </w:t>
      </w:r>
      <w:r>
        <w:rPr>
          <w:rFonts w:ascii="Arial" w:cs="Arial" w:eastAsia="Arial" w:hAnsi="Arial"/>
          <w:sz w:val="15"/>
          <w:szCs w:val="15"/>
          <w:color w:val="auto"/>
        </w:rPr>
        <w:t>school, the institution 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in the audit sample in the institution’s annual Title IV compliance audit for either of the institution’s two most recent fiscal years or in a Department of Education program review. We did not exceed this 5% threshold in our annual Title IV compliance audits for 2009 (the most recent year for which we have completed a Title IV compliance audit), 2008 or 2007.</w:t>
      </w:r>
    </w:p>
    <w:p>
      <w:pPr>
        <w:spacing w:after="0" w:line="119" w:lineRule="exact"/>
        <w:rPr>
          <w:sz w:val="20"/>
          <w:szCs w:val="20"/>
          <w:color w:val="auto"/>
        </w:rPr>
      </w:pPr>
    </w:p>
    <w:p>
      <w:pPr>
        <w:ind w:left="320" w:right="779" w:firstLine="369"/>
        <w:spacing w:after="0" w:line="300" w:lineRule="auto"/>
        <w:rPr>
          <w:sz w:val="20"/>
          <w:szCs w:val="20"/>
          <w:color w:val="auto"/>
        </w:rPr>
      </w:pPr>
      <w:r>
        <w:rPr>
          <w:rFonts w:ascii="Arial" w:cs="Arial" w:eastAsia="Arial" w:hAnsi="Arial"/>
          <w:sz w:val="15"/>
          <w:szCs w:val="15"/>
          <w:color w:val="auto"/>
        </w:rPr>
        <w:t>Prior to spring 2010, we operated in a term-based environment in which, in accordance with Department of Education regulations, we calculated our returns to Title IV based on the number of completed days in a term as a percentage of the total days in the term, with the exception that, with respect to courses offered in a modular setting (i.e. those offered to nontraditional students as two eight-week courses, or modules, in a term), if a student completed the first course but withdrew prior to the second course, then the full financial aid award was earned by and paid to the student and no return to Title IV calculation was done.</w:t>
      </w:r>
    </w:p>
    <w:p>
      <w:pPr>
        <w:spacing w:after="0" w:line="114"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In April 2010, we converted from a term-based environment to a non-term, borrower-based environment. In a non-term, borrower-based environment, we operate on a 24-credit academic year/12-credit payment period for our undergraduate students, who must take three courses during each payment period, and a 12-credit academic year/6-credit payment period for our graduate students, who must take two courses during each payment period, and, as a result, we now calculate returns to Title IV based on the percentage of the payment period attended in comparison to the full payment period (there is no module concept in a non-term, borrower-based environment). In this environment, a student (whether undergraduate or graduate) must complete greater than 60% of the payment period in order to earn the full financial aid award. Thus, if a student completes the first course but withdraws prior to the second one and therefore does not complete greater than 60% of the payment period, then the full financial aid award is not earned by the student. In such case, we must perform a return to Title IV calculation and most, if not all of the funds for future courses, would be returned to the lender or the Department of Education. If the student withdraws after the 60% threshold, then the student is deemed to have earned 100% of the Title IV program funds he or she received. Since, under the non-term, borrower-based system, a student generally must complete two of the courses in a payment period to earn the full financial aid award, as opposed to just a single course under the term-based module approach, we have experienced an increase in the Title IV funds that needed to be returned to lenders or the Department of Education.</w:t>
      </w:r>
    </w:p>
    <w:p>
      <w:pPr>
        <w:spacing w:after="0" w:line="153"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i w:val="1"/>
          <w:iCs w:val="1"/>
          <w:color w:val="auto"/>
        </w:rPr>
        <w:t xml:space="preserve">The “90/10 Rule.” </w:t>
      </w:r>
      <w:r>
        <w:rPr>
          <w:rFonts w:ascii="Arial" w:cs="Arial" w:eastAsia="Arial" w:hAnsi="Arial"/>
          <w:sz w:val="15"/>
          <w:szCs w:val="15"/>
          <w:color w:val="auto"/>
        </w:rPr>
        <w:t>A requirement of the Higher Education Act, commonly referred to as the “90/10 Rule,” that is applicable only</w:t>
      </w:r>
      <w:r>
        <w:rPr>
          <w:rFonts w:ascii="Arial" w:cs="Arial" w:eastAsia="Arial" w:hAnsi="Arial"/>
          <w:sz w:val="15"/>
          <w:szCs w:val="15"/>
          <w:i w:val="1"/>
          <w:iCs w:val="1"/>
          <w:color w:val="auto"/>
        </w:rPr>
        <w:t xml:space="preserve"> </w:t>
      </w:r>
      <w:r>
        <w:rPr>
          <w:rFonts w:ascii="Arial" w:cs="Arial" w:eastAsia="Arial" w:hAnsi="Arial"/>
          <w:sz w:val="15"/>
          <w:szCs w:val="15"/>
          <w:color w:val="auto"/>
        </w:rPr>
        <w:t>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financial statements.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The August 2008 reauthorization of the Higher Education Act included significant revisions to the 90/10 Rule that became effective upon the date of the law’s enactment, including provisions that allow institutions, when calculating their compliance with this revenue test, to exclude from their Title IV program revenue for a three-year period ending June 30, 2011 the additional federal student loan amounts that became available through the Unsubsidized Stafford Loan Program starting in July 2008, and to include more non-Title IV revenue, such as revenue from institutional loans under certain circumstances. Given the level of complexity of this calculation we are unable to quantify precisely the benefit that we have derived or will derive in the 90/10 percentage from these temporary exclusions. As such, our reported rates below exclude the benefits from these exclusions. Using the Department of Education’s cash-basis, regulatory formula under the “90/10 Rule” that was in effect prior to the August 2008 reauthorization of the Higher Education Act, for our 2010, 2009 and 2008 fiscal years, we derived approximately 84.9%, 82.5%, and 78.6%, respectively, of our 90/10 Rule revenue from Title IV program funds. These rates have been reviewed by our financial accounting firm as reflected in the notes to our audited financial statements for each fiscal year. As a result of recent changes in federal law that increased Title IV grant and loan limits, as well as the recent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150"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i w:val="1"/>
          <w:iCs w:val="1"/>
          <w:color w:val="auto"/>
        </w:rPr>
        <w:t xml:space="preserve">Student loan defaults. </w:t>
      </w:r>
      <w:r>
        <w:rPr>
          <w:rFonts w:ascii="Arial" w:cs="Arial" w:eastAsia="Arial" w:hAnsi="Arial"/>
          <w:sz w:val="16"/>
          <w:szCs w:val="16"/>
          <w:color w:val="auto"/>
        </w:rPr>
        <w:t>Under the Higher Education Act, an educational institution may lose its eligibility to participate in some or</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Title IV programs if defaults by its students on the repayment of their federal student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 In December 2009 and February 2010, the Department of Education issued “trial” cohort default rates that were calculated for federal fiscal years 2005, 2006, 2007 and 2008 as if the extended period to count student defaults already applied to those prior years. The Department of Education stated that it released this data for informational purposes only, to assist institutions in anticipating how the extended period to count student defaults might affect their future cohort default rates when that extended period is actually implemented. Based on the Department of Education’s release of this information, our default rates for these prior years increased, as set forth below. While the trial cohort default rates are informative for prior periods, they do not enable us to predict or estimate with any degree of certainty the extent of the expected increase in our cohort default rates for future federal fiscal years when the new extended period to measure student defaults is put into effect, or whether any such increase will affect our participation in the Title IV programs.</w:t>
      </w:r>
    </w:p>
    <w:p>
      <w:pPr>
        <w:spacing w:after="0" w:line="133"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color w:val="auto"/>
        </w:rPr>
        <w:t>The Department of Education has issued a final regulation indicating that it will begin to implement this extended measurement period for the cohort default rates that will be calculated for loans that enter repayment in federal fiscal year 2009, which is the year that ended on September 30, 2009. The Department of Education has included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years 2009, 2010 and 2011, as calculated under the new three-year method, are not expected to be published until calendar years 2012, 2013 and 2014.</w:t>
      </w: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89" w:lineRule="auto"/>
        <w:rPr>
          <w:sz w:val="20"/>
          <w:szCs w:val="20"/>
          <w:color w:val="auto"/>
        </w:rPr>
      </w:pPr>
      <w:r>
        <w:rPr>
          <w:rFonts w:ascii="Arial" w:cs="Arial" w:eastAsia="Arial" w:hAnsi="Arial"/>
          <w:sz w:val="15"/>
          <w:szCs w:val="15"/>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its three most recent federal fiscal years, the institution’s participation in the the FDL Program and the Pell grant program will end</w:t>
      </w:r>
    </w:p>
    <w:p>
      <w:pPr>
        <w:spacing w:after="0" w:line="1" w:lineRule="exact"/>
        <w:rPr>
          <w:sz w:val="20"/>
          <w:szCs w:val="20"/>
          <w:color w:val="auto"/>
        </w:rPr>
      </w:pPr>
    </w:p>
    <w:p>
      <w:pPr>
        <w:ind w:left="320" w:right="759"/>
        <w:spacing w:after="0" w:line="271" w:lineRule="auto"/>
        <w:rPr>
          <w:sz w:val="20"/>
          <w:szCs w:val="20"/>
          <w:color w:val="auto"/>
        </w:rPr>
      </w:pPr>
      <w:r>
        <w:rPr>
          <w:rFonts w:ascii="Arial" w:cs="Arial" w:eastAsia="Arial" w:hAnsi="Arial"/>
          <w:sz w:val="16"/>
          <w:szCs w:val="16"/>
          <w:color w:val="auto"/>
        </w:rPr>
        <w:t>30 days after that notification, unless the institution appeals that determination in a timely manner on specified grounds and according to specified procedures. In addition, an institution’s participation in the FDL Program will end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147" w:lineRule="exact"/>
        <w:rPr>
          <w:sz w:val="20"/>
          <w:szCs w:val="20"/>
          <w:color w:val="auto"/>
        </w:rPr>
      </w:pPr>
    </w:p>
    <w:p>
      <w:pPr>
        <w:ind w:left="320" w:right="879" w:firstLine="369"/>
        <w:spacing w:after="0" w:line="260" w:lineRule="auto"/>
        <w:rPr>
          <w:sz w:val="20"/>
          <w:szCs w:val="20"/>
          <w:color w:val="auto"/>
        </w:rPr>
      </w:pPr>
      <w:r>
        <w:rPr>
          <w:rFonts w:ascii="Arial" w:cs="Arial" w:eastAsia="Arial" w:hAnsi="Arial"/>
          <w:sz w:val="17"/>
          <w:szCs w:val="17"/>
          <w:color w:val="auto"/>
        </w:rPr>
        <w:t>Our cohort default rates, under the two-year method, on federal student loans for the 2008, 2007, and 2006 federal fiscal years, the three most recent years for which such rates have been calculated, were 3.4%, 1.4%, and 1.6%, respectively. Our trial cohort default rates, under the three-year method, for the 2008, 2007, 2006 and 2005 federal fiscal years, as issued by the Department of Education, were 8.4%, 2.9%, 2.7% and 3.0%, respectively.</w:t>
      </w:r>
    </w:p>
    <w:p>
      <w:pPr>
        <w:spacing w:after="0" w:line="140"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i w:val="1"/>
          <w:iCs w:val="1"/>
          <w:color w:val="auto"/>
        </w:rPr>
        <w:t xml:space="preserve">Incentive compensation rule. </w:t>
      </w:r>
      <w:r>
        <w:rPr>
          <w:rFonts w:ascii="Arial" w:cs="Arial" w:eastAsia="Arial" w:hAnsi="Arial"/>
          <w:sz w:val="15"/>
          <w:szCs w:val="15"/>
          <w:color w:val="auto"/>
        </w:rPr>
        <w:t>An institution that participates in the Title IV programs may not provide any commission, bonus,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incentive payment based directly or indirectly on success in securing enrollments or financial aid to any person or entity engaged in any student recruitment, admissions, or financial aid awarding activity. Under current Department of Education regulations, there are 12 “safe harbors” that describe payments and arrangements that do not violate the incentive compensation rule.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Historically, we have relied on several of these safe harbors to ensure that our compensation and recruitment practices comply with the applicable requirements, and the Department of Education’s regulations made clear that the safe harbors were not a complete list of permissible practices under this law. In the final rules issued by the Department of Education in respect of the incentive compensation rule and other program integrity issues described above, which will become effective on July 1, 2011, the 12 safe harbors under the incentive compensation rule were eliminated. See “New and Pending Regulations — Revised incentive compensation rule.”</w:t>
      </w:r>
    </w:p>
    <w:p>
      <w:pPr>
        <w:spacing w:after="0" w:line="121"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This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now been settled. See “Item 3 — Legal Proceedings.”</w:t>
      </w:r>
    </w:p>
    <w:p>
      <w:pPr>
        <w:spacing w:after="0" w:line="146" w:lineRule="exact"/>
        <w:rPr>
          <w:sz w:val="20"/>
          <w:szCs w:val="20"/>
          <w:color w:val="auto"/>
        </w:rPr>
      </w:pPr>
    </w:p>
    <w:p>
      <w:pPr>
        <w:ind w:left="320" w:right="739" w:firstLine="369"/>
        <w:spacing w:after="0" w:line="272" w:lineRule="auto"/>
        <w:rPr>
          <w:sz w:val="20"/>
          <w:szCs w:val="20"/>
          <w:color w:val="auto"/>
        </w:rPr>
      </w:pPr>
      <w:r>
        <w:rPr>
          <w:rFonts w:ascii="Arial" w:cs="Arial" w:eastAsia="Arial" w:hAnsi="Arial"/>
          <w:sz w:val="16"/>
          <w:szCs w:val="16"/>
          <w:color w:val="auto"/>
        </w:rPr>
        <w:t xml:space="preserve">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described above, served an administrative subpoena on Grand Canyon University requiring us to provide certain records and information related to performance reviews and salary adjustments for all of our enrollment counselors and managers from January 1, 2004 to August 2008. We cooperated with the OIG to facilitate its investigation and completed our rolling responsive document production, which commenced in September 2008, in June 2009. In light of the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described below, we believe that this investigation has effectively ended. See “Item 3 — Legal Proceedings.”</w:t>
      </w: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We are subject to announced and unannounced compliance reviews and audits by various external agencies,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Department 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46"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3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the August 2010 hearing in our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now-settled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we believe that our compensation policies and practices are not based on success in enrolling students in violation of applicable law, the Department of Education’s regulations and interpretations of the incentive compensation law do not establish clear criteria for compliance in all circumstances and some of our practices in prior years were not within the scope of any specific “safe harbor” provided in the compensation regulations.</w:t>
      </w:r>
    </w:p>
    <w:p>
      <w:pPr>
        <w:spacing w:after="0" w:line="133"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us in which the program review team stated the view that, prior to July 1, 2010, traditional liberal arts programs were not considered as being eligible under Title IV but then requested additional information from us that would help the Department of Education determine whether the programs offered within our College of Liberal Arts were eligible under Title IV because they did provide training to prepare students for gainful employment in a recognized occupation. While we were not informed as to which specific programs offered within our College of Liberal Arts the program review team believes may be ineligible, in August 2010 we provided the Department of Education with the requested information which we believe demonstrates that the programs offered within our College of Liberal Arts met this requirement. We have received no further communications from the Department of Education regarding the program review.</w:t>
      </w: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35" w:lineRule="exact"/>
        <w:rPr>
          <w:sz w:val="20"/>
          <w:szCs w:val="20"/>
          <w:color w:val="auto"/>
        </w:rPr>
      </w:pPr>
    </w:p>
    <w:p>
      <w:pPr>
        <w:ind w:left="320" w:right="719" w:firstLine="369"/>
        <w:spacing w:after="0" w:line="270" w:lineRule="auto"/>
        <w:rPr>
          <w:sz w:val="20"/>
          <w:szCs w:val="20"/>
          <w:color w:val="auto"/>
        </w:rPr>
      </w:pPr>
      <w:r>
        <w:rPr>
          <w:rFonts w:ascii="Arial" w:cs="Arial" w:eastAsia="Arial" w:hAnsi="Arial"/>
          <w:sz w:val="16"/>
          <w:szCs w:val="16"/>
          <w:i w:val="1"/>
          <w:iCs w:val="1"/>
          <w:color w:val="auto"/>
        </w:rPr>
        <w:t xml:space="preserve">Privacy of student records. </w:t>
      </w:r>
      <w:r>
        <w:rPr>
          <w:rFonts w:ascii="Arial" w:cs="Arial" w:eastAsia="Arial" w:hAnsi="Arial"/>
          <w:sz w:val="16"/>
          <w:szCs w:val="16"/>
          <w:color w:val="auto"/>
        </w:rPr>
        <w:t>The Family Educational Rights and Privacy Act of 1974, or FERPA, and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Education’s 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133" w:lineRule="exact"/>
        <w:rPr>
          <w:sz w:val="20"/>
          <w:szCs w:val="20"/>
          <w:color w:val="auto"/>
        </w:rPr>
      </w:pPr>
    </w:p>
    <w:p>
      <w:pPr>
        <w:ind w:left="320" w:right="699" w:firstLine="369"/>
        <w:spacing w:after="0" w:line="254" w:lineRule="auto"/>
        <w:rPr>
          <w:sz w:val="20"/>
          <w:szCs w:val="20"/>
          <w:color w:val="auto"/>
        </w:rPr>
      </w:pPr>
      <w:r>
        <w:rPr>
          <w:rFonts w:ascii="Arial" w:cs="Arial" w:eastAsia="Arial" w:hAnsi="Arial"/>
          <w:sz w:val="17"/>
          <w:szCs w:val="17"/>
          <w:i w:val="1"/>
          <w:iCs w:val="1"/>
          <w:color w:val="auto"/>
        </w:rPr>
        <w:t xml:space="preserve">Potential effect of regulatory violations. </w:t>
      </w:r>
      <w:r>
        <w:rPr>
          <w:rFonts w:ascii="Arial" w:cs="Arial" w:eastAsia="Arial" w:hAnsi="Arial"/>
          <w:sz w:val="17"/>
          <w:szCs w:val="17"/>
          <w:color w:val="auto"/>
        </w:rPr>
        <w:t>If we fail to comply with the regulatory standards governing the Title IV programs,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49"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both"/>
        <w:ind w:left="320" w:right="979" w:firstLine="369"/>
        <w:spacing w:after="0" w:line="315" w:lineRule="auto"/>
        <w:rPr>
          <w:sz w:val="20"/>
          <w:szCs w:val="20"/>
          <w:color w:val="auto"/>
        </w:rPr>
      </w:pPr>
      <w:r>
        <w:rPr>
          <w:rFonts w:ascii="Arial" w:cs="Arial" w:eastAsia="Arial" w:hAnsi="Arial"/>
          <w:sz w:val="15"/>
          <w:szCs w:val="15"/>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New and Pending Regulations</w:t>
      </w:r>
    </w:p>
    <w:p>
      <w:pPr>
        <w:spacing w:after="0" w:line="180" w:lineRule="exact"/>
        <w:rPr>
          <w:sz w:val="20"/>
          <w:szCs w:val="20"/>
          <w:color w:val="auto"/>
        </w:rPr>
      </w:pPr>
    </w:p>
    <w:p>
      <w:pPr>
        <w:ind w:left="320" w:right="699" w:firstLine="369"/>
        <w:spacing w:after="0" w:line="287" w:lineRule="auto"/>
        <w:rPr>
          <w:sz w:val="20"/>
          <w:szCs w:val="20"/>
          <w:color w:val="auto"/>
        </w:rPr>
      </w:pPr>
      <w:r>
        <w:rPr>
          <w:rFonts w:ascii="Arial" w:cs="Arial" w:eastAsia="Arial" w:hAnsi="Arial"/>
          <w:sz w:val="15"/>
          <w:szCs w:val="15"/>
          <w:i w:val="1"/>
          <w:iCs w:val="1"/>
          <w:color w:val="auto"/>
        </w:rPr>
        <w:t>Revised incentive compensation rule</w:t>
      </w:r>
      <w:r>
        <w:rPr>
          <w:rFonts w:ascii="Arial" w:cs="Arial" w:eastAsia="Arial" w:hAnsi="Arial"/>
          <w:sz w:val="15"/>
          <w:szCs w:val="15"/>
          <w:color w:val="auto"/>
        </w:rPr>
        <w:t>. In the final rules issued by the Department of Education in respect of the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rule and other program integrity issues described above, which will become effective on July 1, 2011, the 12 safe harbors under the incentive compensation rule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w:t>
      </w:r>
    </w:p>
    <w:p>
      <w:pPr>
        <w:spacing w:after="0" w:line="3" w:lineRule="exact"/>
        <w:rPr>
          <w:sz w:val="20"/>
          <w:szCs w:val="20"/>
          <w:color w:val="auto"/>
        </w:rPr>
      </w:pPr>
    </w:p>
    <w:p>
      <w:pPr>
        <w:ind w:left="320" w:right="699" w:hanging="10"/>
        <w:spacing w:after="0" w:line="288" w:lineRule="auto"/>
        <w:tabs>
          <w:tab w:leader="none" w:pos="562"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 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 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 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 adjustments to employee compensation, but would not be permitted to consider nor base compensation decisions directly or indirectly, in any part, on factors such as an employee’s success in securing student enrollments, the award of financial aid or institutional goals based on that success.</w:t>
      </w:r>
    </w:p>
    <w:p>
      <w:pPr>
        <w:spacing w:after="0" w:line="126"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color w:val="auto"/>
        </w:rPr>
        <w:t xml:space="preserve">While it is anticipated that the Department of Education may issue certain guidance on incentive compensation issues prior to July 1, 2011, we believe the changes imposed by the final rules, including the elimination of the safe harbors, increase the uncertainty about what constitutes incentive compensation and which employees are covered by the regulation. In light of such uncertainty, we have changed some of our compensation practices for enrollment counselors and other employees, as well as the terms of our arrangements with certain third parties whom we pay for Internet-based services related to lead generation and marketing and whose activities are also subject to the incentive compensation rules. The changes in these practices and arrangements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In addition, this lack of certainty could increase the risk of future federal False Claims Act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200" w:lineRule="exact"/>
        <w:rPr>
          <w:sz w:val="20"/>
          <w:szCs w:val="20"/>
          <w:color w:val="auto"/>
        </w:rPr>
      </w:pPr>
    </w:p>
    <w:p>
      <w:pPr>
        <w:spacing w:after="0" w:line="30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i w:val="1"/>
          <w:iCs w:val="1"/>
          <w:color w:val="auto"/>
        </w:rPr>
        <w:t xml:space="preserve">Misrepresentation. </w:t>
      </w:r>
      <w:r>
        <w:rPr>
          <w:rFonts w:ascii="Arial" w:cs="Arial" w:eastAsia="Arial" w:hAnsi="Arial"/>
          <w:sz w:val="16"/>
          <w:szCs w:val="16"/>
          <w:color w:val="auto"/>
        </w:rPr>
        <w:t>The final rules on program integrity adopted October 29, 2010 and effective July 1, 2011 include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strengthen the Department of Education’s authority to sanction institutions for 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Grand Canyon University, which would expose us to increased risk of litigation and enforcement action and applicable sanctions or other penalties up to and including termination of Title IV eligibility.</w:t>
      </w:r>
    </w:p>
    <w:p>
      <w:pPr>
        <w:spacing w:after="0" w:line="149"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5"/>
          <w:szCs w:val="15"/>
          <w:i w:val="1"/>
          <w:iCs w:val="1"/>
          <w:color w:val="auto"/>
        </w:rPr>
        <w:t xml:space="preserve">State authorization. </w:t>
      </w:r>
      <w:r>
        <w:rPr>
          <w:rFonts w:ascii="Arial" w:cs="Arial" w:eastAsia="Arial" w:hAnsi="Arial"/>
          <w:sz w:val="15"/>
          <w:szCs w:val="15"/>
          <w:color w:val="auto"/>
        </w:rPr>
        <w:t>States have the authority to assert jurisdiction, to the extent they so choose, over educational institutions</w:t>
      </w:r>
      <w:r>
        <w:rPr>
          <w:rFonts w:ascii="Arial" w:cs="Arial" w:eastAsia="Arial" w:hAnsi="Arial"/>
          <w:sz w:val="15"/>
          <w:szCs w:val="15"/>
          <w:i w:val="1"/>
          <w:iCs w:val="1"/>
          <w:color w:val="auto"/>
        </w:rPr>
        <w:t xml:space="preserve"> </w:t>
      </w:r>
      <w:r>
        <w:rPr>
          <w:rFonts w:ascii="Arial" w:cs="Arial" w:eastAsia="Arial" w:hAnsi="Arial"/>
          <w:sz w:val="15"/>
          <w:szCs w:val="15"/>
          <w:color w:val="auto"/>
        </w:rPr>
        <w:t>offering online degree programs in a state but that otherwise have no physical location or other presence in that state. The final program integrity rules adopted October 29, 2010 and effective July 1, 2011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1"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i w:val="1"/>
          <w:iCs w:val="1"/>
          <w:color w:val="auto"/>
        </w:rPr>
        <w:t xml:space="preserve">Approval of new programs. </w:t>
      </w:r>
      <w:r>
        <w:rPr>
          <w:rFonts w:ascii="Arial" w:cs="Arial" w:eastAsia="Arial" w:hAnsi="Arial"/>
          <w:sz w:val="17"/>
          <w:szCs w:val="17"/>
          <w:color w:val="auto"/>
        </w:rPr>
        <w:t>The final program integrity rules adopted October 29, 2010 and effective July 1, 2011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regarding the approval of new programs. Although the final rules relaxed the program approval standard originally proposed,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44"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i w:val="1"/>
          <w:iCs w:val="1"/>
          <w:color w:val="auto"/>
        </w:rPr>
        <w:t>Additional final rules</w:t>
      </w:r>
      <w:r>
        <w:rPr>
          <w:rFonts w:ascii="Arial" w:cs="Arial" w:eastAsia="Arial" w:hAnsi="Arial"/>
          <w:sz w:val="15"/>
          <w:szCs w:val="15"/>
          <w:color w:val="auto"/>
        </w:rPr>
        <w:t>. In addition to the program integrity issues specifically addressed above, the final rules issued by</w:t>
      </w:r>
      <w:r>
        <w:rPr>
          <w:rFonts w:ascii="Arial" w:cs="Arial" w:eastAsia="Arial" w:hAnsi="Arial"/>
          <w:sz w:val="15"/>
          <w:szCs w:val="15"/>
          <w:i w:val="1"/>
          <w:iCs w:val="1"/>
          <w:color w:val="auto"/>
        </w:rPr>
        <w:t xml:space="preserve"> </w:t>
      </w:r>
      <w:r>
        <w:rPr>
          <w:rFonts w:ascii="Arial" w:cs="Arial" w:eastAsia="Arial" w:hAnsi="Arial"/>
          <w:sz w:val="15"/>
          <w:szCs w:val="15"/>
          <w:color w:val="auto"/>
        </w:rPr>
        <w:t>Department of Education on October 29, 2010 and effective July 1, 2011 include provisions regarding the definition of a credit hour;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are in the process of reviewing all of the final rules. We cannot predict how the recently released or any other resulting regulations will be interpreted, and therefore whether we will be able to comply with these requirements by the effective date. Insufficient time, or lack of sufficient guidance, for compliance with the final rules,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i w:val="1"/>
          <w:iCs w:val="1"/>
          <w:color w:val="auto"/>
        </w:rPr>
        <w:t xml:space="preserve">Proposed gainful employment rule. </w:t>
      </w:r>
      <w:r>
        <w:rPr>
          <w:rFonts w:ascii="Arial" w:cs="Arial" w:eastAsia="Arial" w:hAnsi="Arial"/>
          <w:sz w:val="17"/>
          <w:szCs w:val="17"/>
          <w:color w:val="auto"/>
        </w:rPr>
        <w:t>Under the Higher Education Act, proprietary schools are eligible to participate in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in respect of educational programs that lead to “gainful employment in a recognized occupation,” with the limited exception of qualified programs leading to a bachelor’s degree in liberal arts. Historically, this concept has not been defined in detail. The proposed definition of gainful employment in the July 26, 2010 NPRM described above would take into consideration whether former students are repaying their federal student loans and the relationship between total student loan debt and average earnings after completing a postsecondary program. As proposed in the NPRM, individual educational programs would be divided into three groups based on the proposed metrics:</w:t>
      </w:r>
    </w:p>
    <w:p>
      <w:pPr>
        <w:spacing w:after="0" w:line="156" w:lineRule="exact"/>
        <w:rPr>
          <w:sz w:val="20"/>
          <w:szCs w:val="20"/>
          <w:color w:val="auto"/>
        </w:rPr>
      </w:pPr>
    </w:p>
    <w:p>
      <w:pPr>
        <w:ind w:left="1400" w:right="679" w:hanging="359"/>
        <w:spacing w:after="0" w:line="260" w:lineRule="auto"/>
        <w:tabs>
          <w:tab w:leader="none" w:pos="140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14" w:lineRule="exact"/>
        <w:rPr>
          <w:rFonts w:ascii="Arial" w:cs="Arial" w:eastAsia="Arial" w:hAnsi="Arial"/>
          <w:sz w:val="17"/>
          <w:szCs w:val="17"/>
          <w:b w:val="1"/>
          <w:bCs w:val="1"/>
          <w:color w:val="auto"/>
        </w:rPr>
      </w:pPr>
    </w:p>
    <w:p>
      <w:pPr>
        <w:ind w:left="1400" w:right="719" w:hanging="359"/>
        <w:spacing w:after="0" w:line="273" w:lineRule="auto"/>
        <w:tabs>
          <w:tab w:leader="none" w:pos="140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07" w:lineRule="exact"/>
        <w:rPr>
          <w:rFonts w:ascii="Arial" w:cs="Arial" w:eastAsia="Arial" w:hAnsi="Arial"/>
          <w:sz w:val="16"/>
          <w:szCs w:val="16"/>
          <w:b w:val="1"/>
          <w:bCs w:val="1"/>
          <w:color w:val="auto"/>
        </w:rPr>
      </w:pPr>
    </w:p>
    <w:p>
      <w:pPr>
        <w:ind w:left="1400" w:right="699" w:hanging="359"/>
        <w:spacing w:after="0" w:line="264" w:lineRule="auto"/>
        <w:tabs>
          <w:tab w:leader="none" w:pos="140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137"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color w:val="auto"/>
        </w:rPr>
        <w:t>Due to the unprecedented volume of comments received to the gainful employment NPRM, on September 24, 2010, the Department of Education announced that it would delay issuing final rules regarding the gainful employment standard until early 2011 in order to give interested parties more time to clarify their comments and respond to questions from Department of Education officials.</w:t>
      </w:r>
    </w:p>
    <w:p>
      <w:pPr>
        <w:spacing w:after="0" w:line="140"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Regulatory Standards that May Restrict Institutional Expansion or Other Changes</w:t>
      </w:r>
    </w:p>
    <w:p>
      <w:pPr>
        <w:spacing w:after="0" w:line="193" w:lineRule="exact"/>
        <w:rPr>
          <w:sz w:val="20"/>
          <w:szCs w:val="20"/>
          <w:color w:val="auto"/>
        </w:rPr>
      </w:pPr>
    </w:p>
    <w:p>
      <w:pPr>
        <w:jc w:val="both"/>
        <w:ind w:left="320" w:right="919" w:firstLine="369"/>
        <w:spacing w:after="0" w:line="260" w:lineRule="auto"/>
        <w:rPr>
          <w:sz w:val="20"/>
          <w:szCs w:val="20"/>
          <w:color w:val="auto"/>
        </w:rPr>
      </w:pPr>
      <w:r>
        <w:rPr>
          <w:rFonts w:ascii="Arial" w:cs="Arial" w:eastAsia="Arial" w:hAnsi="Arial"/>
          <w:sz w:val="17"/>
          <w:szCs w:val="17"/>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 See “State Educational Licensure and Authorization” and “New and Pending Regulations — State authorization.”</w:t>
      </w:r>
    </w:p>
    <w:p>
      <w:pPr>
        <w:spacing w:after="0" w:line="140"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i w:val="1"/>
          <w:iCs w:val="1"/>
          <w:color w:val="auto"/>
        </w:rPr>
        <w:t xml:space="preserve">Adding teaching locations, implementing new educational programs, and increasing enrollment. </w:t>
      </w:r>
      <w:r>
        <w:rPr>
          <w:rFonts w:ascii="Arial" w:cs="Arial" w:eastAsia="Arial" w:hAnsi="Arial"/>
          <w:sz w:val="16"/>
          <w:szCs w:val="16"/>
          <w:color w:val="auto"/>
        </w:rPr>
        <w:t>The requirements and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36"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Historically, a degree-granting institution such as us was not required to obtain the Department of Education’s approval of additional programs that lead to an associate, bachelor’s, professional, or graduate degree at the same degree level as programs previously approved by the Department of Education, and, similarly, an institution was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 In addition, as part of the final rules adopted by the Department of Education on October 29, 2010 and effective July 1, 2011, the Department of Education issued final regulations imposing new requirements with respect to the approval of new programs. See “New and Pending Regulations — Approval of new programs.”</w:t>
      </w:r>
    </w:p>
    <w:p>
      <w:pPr>
        <w:spacing w:after="0" w:line="150" w:lineRule="exact"/>
        <w:rPr>
          <w:sz w:val="20"/>
          <w:szCs w:val="20"/>
          <w:color w:val="auto"/>
        </w:rPr>
      </w:pPr>
    </w:p>
    <w:p>
      <w:pPr>
        <w:ind w:left="320" w:right="779" w:firstLine="369"/>
        <w:spacing w:after="0" w:line="271"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38" w:lineRule="exact"/>
        <w:rPr>
          <w:sz w:val="20"/>
          <w:szCs w:val="20"/>
          <w:color w:val="auto"/>
        </w:rPr>
      </w:pPr>
    </w:p>
    <w:p>
      <w:pPr>
        <w:ind w:left="320" w:right="779" w:firstLine="369"/>
        <w:spacing w:after="0" w:line="260" w:lineRule="auto"/>
        <w:rPr>
          <w:sz w:val="20"/>
          <w:szCs w:val="20"/>
          <w:color w:val="auto"/>
        </w:rPr>
      </w:pPr>
      <w:r>
        <w:rPr>
          <w:rFonts w:ascii="Arial" w:cs="Arial" w:eastAsia="Arial" w:hAnsi="Arial"/>
          <w:sz w:val="17"/>
          <w:szCs w:val="17"/>
          <w:i w:val="1"/>
          <w:iCs w:val="1"/>
          <w:color w:val="auto"/>
        </w:rPr>
        <w:t xml:space="preserve">Provisional certification. </w:t>
      </w:r>
      <w:r>
        <w:rPr>
          <w:rFonts w:ascii="Arial" w:cs="Arial" w:eastAsia="Arial" w:hAnsi="Arial"/>
          <w:sz w:val="17"/>
          <w:szCs w:val="17"/>
          <w:color w:val="auto"/>
        </w:rPr>
        <w:t>Each institution must apply to the Department of Education for continued certification to participate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92" w:lineRule="auto"/>
        <w:rPr>
          <w:sz w:val="20"/>
          <w:szCs w:val="20"/>
          <w:color w:val="auto"/>
        </w:rPr>
      </w:pPr>
      <w:r>
        <w:rPr>
          <w:rFonts w:ascii="Arial" w:cs="Arial" w:eastAsia="Arial" w:hAnsi="Arial"/>
          <w:sz w:val="15"/>
          <w:szCs w:val="15"/>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132" w:lineRule="exact"/>
        <w:rPr>
          <w:sz w:val="20"/>
          <w:szCs w:val="20"/>
          <w:color w:val="auto"/>
        </w:rPr>
      </w:pPr>
    </w:p>
    <w:p>
      <w:pPr>
        <w:ind w:left="320" w:right="739" w:firstLine="369"/>
        <w:spacing w:after="0" w:line="289" w:lineRule="auto"/>
        <w:rPr>
          <w:sz w:val="20"/>
          <w:szCs w:val="20"/>
          <w:color w:val="auto"/>
        </w:rPr>
      </w:pPr>
      <w:r>
        <w:rPr>
          <w:rFonts w:ascii="Arial" w:cs="Arial" w:eastAsia="Arial" w:hAnsi="Arial"/>
          <w:sz w:val="15"/>
          <w:szCs w:val="15"/>
          <w:color w:val="auto"/>
        </w:rPr>
        <w:t>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after the initial public offering, the identity of the members of our Board of Directors, and the termination of the voting agreements in January 2011. There can be no assurance that the Department of Education will recertify us or that it will not impose restrictions as a condition of approving our pending recertification application or with respect to any future recertification.</w:t>
      </w:r>
    </w:p>
    <w:p>
      <w:pPr>
        <w:spacing w:after="0" w:line="128" w:lineRule="exact"/>
        <w:rPr>
          <w:sz w:val="20"/>
          <w:szCs w:val="20"/>
          <w:color w:val="auto"/>
        </w:rPr>
      </w:pPr>
    </w:p>
    <w:p>
      <w:pPr>
        <w:ind w:left="320" w:right="739" w:firstLine="369"/>
        <w:spacing w:after="0" w:line="293" w:lineRule="auto"/>
        <w:rPr>
          <w:sz w:val="20"/>
          <w:szCs w:val="20"/>
          <w:color w:val="auto"/>
        </w:rPr>
      </w:pPr>
      <w:r>
        <w:rPr>
          <w:rFonts w:ascii="Arial" w:cs="Arial" w:eastAsia="Arial" w:hAnsi="Arial"/>
          <w:sz w:val="15"/>
          <w:szCs w:val="15"/>
          <w:i w:val="1"/>
          <w:iCs w:val="1"/>
          <w:color w:val="auto"/>
        </w:rPr>
        <w:t xml:space="preserve">Change in ownership resulting in a change in control. </w:t>
      </w:r>
      <w:r>
        <w:rPr>
          <w:rFonts w:ascii="Arial" w:cs="Arial" w:eastAsia="Arial" w:hAnsi="Arial"/>
          <w:sz w:val="15"/>
          <w:szCs w:val="15"/>
          <w:color w:val="auto"/>
        </w:rPr>
        <w:t>The Department of Education, as well as many accrediting commissions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states, require institutions of higher education to report or obtain approval of certain changes in control and changes in other aspects of institutional organization or control. With respect to publicly-traded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18"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like we are,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92" w:lineRule="auto"/>
        <w:rPr>
          <w:sz w:val="20"/>
          <w:szCs w:val="20"/>
          <w:color w:val="auto"/>
        </w:rPr>
      </w:pPr>
      <w:r>
        <w:rPr>
          <w:rFonts w:ascii="Arial" w:cs="Arial" w:eastAsia="Arial" w:hAnsi="Arial"/>
          <w:sz w:val="15"/>
          <w:szCs w:val="15"/>
          <w:color w:val="auto"/>
        </w:rPr>
        <w:t>In connection with our initial public offering in November 2008 and our secondary offering in September 2009, Brent D. Richardson, our Executive Chairman, and Christopher C. Richardson, our General Counsel and a director (collectively, the “Richardson Voting Group”), had entered into voting agreements with certain stockholders. Pursuant to these agreements, certain of our stockholders granted to the Richardson Voting Group a five-year irrevocable proxy to exercise voting authority with respect to certain shares of our common stock held by such persons, for so long as such shares are held by such persons. The voting agreements do not apply to any shares held by any such person that are transferred in open-market or other transactions. The number of shares over which the Richardson Voting Group continues to hold voting power will decrease over time as shares held by other parties to the voting agreement are sold, which sales we may be not be aware of since many of the shares held by such other parties are held in “street name.” Pursuant to these agreements, however, following each offering and through January 11, 2011, the Richardson Voting Group continued to control the voting power of more than 25% of our total outstanding voting stock.</w:t>
      </w:r>
    </w:p>
    <w:p>
      <w:pPr>
        <w:spacing w:after="0" w:line="132" w:lineRule="exact"/>
        <w:rPr>
          <w:sz w:val="20"/>
          <w:szCs w:val="20"/>
          <w:color w:val="auto"/>
        </w:rPr>
      </w:pPr>
    </w:p>
    <w:p>
      <w:pPr>
        <w:ind w:left="320" w:right="719" w:firstLine="369"/>
        <w:spacing w:after="0" w:line="288" w:lineRule="auto"/>
        <w:rPr>
          <w:sz w:val="20"/>
          <w:szCs w:val="20"/>
          <w:color w:val="auto"/>
        </w:rPr>
      </w:pPr>
      <w:r>
        <w:rPr>
          <w:rFonts w:ascii="Arial" w:cs="Arial" w:eastAsia="Arial" w:hAnsi="Arial"/>
          <w:sz w:val="15"/>
          <w:szCs w:val="15"/>
          <w:color w:val="auto"/>
        </w:rPr>
        <w:t>To avoid an unplanned change in control from occurring and to allow the Richardsons and other stockholders party to the agreements flexibility to sell shares without causing an unplanned change in control, we submitted a notice to the Department of Education informing it of the Richardson Voting Group’s intention to terminate the voting agreements, which would trigger a change in control because it would cause the Richardson Voting Group to own and control less than 25% of our outstanding voting stock, and requesting that the Department of Education review such proposed terminations and advise us as to the effect of such terminations on our eligibility to participate in the Title IV programs, particularly in light of our pending application for recertification (discussed below). In December 2010, the Department of Education responded to our request in writing and informed us that, consistent with Department of Education regulations, if we notified the Department of Education of the change in control and filed a timely and materially complete application within ten business days after the change in control occurred, the Department of Education may temporarily certify us on a provisional basis following the change in control, so that our students would retain access to Title IV program funds until the Department of Education completed its full review. In addition, the Department of Education informed us that it may extend our temporary provisional certification if we timely filed other required materials by the last day of the month following the month in which the change in control occurred, including any approval of the change in control by the Higher Learning Commission (our accrediting commission) and the Arizona State Board for Private Postsecondary Education (our state licensing agency), as required, and certain required financial information (consisting of our recent SEC filings) showing our financial condition. The Department of Education’s letter did not indicate any intention to impose any conditions (such as any letter of credit requirement) or other restrictions on us as a result of the change in control. Accordingly, following receipt of the Department of Education’s letter, the approval of the Higher Learning Commission to terminate the voting agreements and confirmation from the Arizona State Board for Private Postsecondary Education that terminating the voting agreements would not be considered a change in control, the Richardson Voting Group terminated the voting agreements effective January 12, 2011. On that same day, we filed our complete application and all other required information with the Department of Education.</w:t>
      </w:r>
    </w:p>
    <w:p>
      <w:pPr>
        <w:spacing w:after="0" w:line="128"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Following the completion of the Department of Education’s review of the information that we have provided in connection with the termination of the voting agreements, it would normally certify us on a provisional basis for a period of up to approximately three years. The precise conditions and restrictions, if any, and duration of any provisional certification granted in this circumstance, however, are difficult to predict because we already are, and have been for an extended period, provisionally certified on a month-to-month basis. We do not believe that our continued provisional certification on a month-to-month basis, following the change in control or otherwise, has had or will have any material impact on our day-to-day operations. However, there can be no assurance that the Department of Education will recertify us or that it will not impose conditions or other restrictions on us as a condition of granting us provisional certification following the change in control or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 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 As noted above, we informed the Higher Learning Commission of the Richardson Voting Group’s intent to terminate the voting agreements and/or Endeavour Capital Fund IV, LP and its affiliates’ intent to sell shares that, in either case, would cause the Richardson Voting Group to own and control less than 25% of our outstanding voting stock. The Higher Learning Commission has informed us that such event may occur, provided that we provide an update to the Higher Learning Commission confirming the facts of the termination or other transaction, identifying investors who continue to hold 5% or more of our outstanding voting stock, and explaining the impact thereof, if any, on us and our Board of Directors.</w:t>
      </w:r>
    </w:p>
    <w:p>
      <w:pPr>
        <w:spacing w:after="0" w:line="133"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enrollments. As noted above, we informed the Arizona State Board of Private Postsecondary Education of the Richardson Voting Group’s intent to terminate the voting agreements and/or Endeavour Capital Fund IV, LP and its affiliates’ intent to sell shares that, in either case, would cause the Richardson Voting Group to own and control less than 25% of our outstanding voting stock. The Arizona State Board of Private Postsecondary Education has informed us that it does not consider such event to be a change of control under its standards.</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93" w:lineRule="exact"/>
        <w:rPr>
          <w:sz w:val="20"/>
          <w:szCs w:val="20"/>
          <w:color w:val="auto"/>
        </w:rPr>
      </w:pPr>
    </w:p>
    <w:p>
      <w:pPr>
        <w:ind w:left="320" w:right="779" w:firstLine="369"/>
        <w:spacing w:after="0" w:line="288" w:lineRule="auto"/>
        <w:rPr>
          <w:sz w:val="20"/>
          <w:szCs w:val="20"/>
          <w:color w:val="auto"/>
        </w:rPr>
      </w:pPr>
      <w:r>
        <w:rPr>
          <w:rFonts w:ascii="Arial" w:cs="Arial" w:eastAsia="Arial" w:hAnsi="Arial"/>
          <w:sz w:val="16"/>
          <w:szCs w:val="16"/>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20" w:lineRule="exact"/>
        <w:rPr>
          <w:sz w:val="20"/>
          <w:szCs w:val="20"/>
          <w:color w:val="auto"/>
        </w:rPr>
      </w:pPr>
    </w:p>
    <w:p>
      <w:pPr>
        <w:ind w:left="320" w:right="999" w:firstLine="369"/>
        <w:spacing w:after="0" w:line="278" w:lineRule="auto"/>
        <w:rPr>
          <w:sz w:val="20"/>
          <w:szCs w:val="20"/>
          <w:color w:val="auto"/>
        </w:rPr>
      </w:pPr>
      <w:r>
        <w:rPr>
          <w:rFonts w:ascii="Arial" w:cs="Arial" w:eastAsia="Arial" w:hAnsi="Arial"/>
          <w:sz w:val="16"/>
          <w:szCs w:val="16"/>
          <w:color w:val="auto"/>
        </w:rPr>
        <w:t xml:space="preserve">If any of the following risks, or risks that we did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Item 8, </w:t>
      </w:r>
      <w:r>
        <w:rPr>
          <w:rFonts w:ascii="Arial" w:cs="Arial" w:eastAsia="Arial" w:hAnsi="Arial"/>
          <w:sz w:val="16"/>
          <w:szCs w:val="16"/>
          <w:i w:val="1"/>
          <w:iCs w:val="1"/>
          <w:color w:val="auto"/>
        </w:rPr>
        <w:t xml:space="preserve">Financial Statements and Supplementary Data, </w:t>
      </w:r>
      <w:r>
        <w:rPr>
          <w:rFonts w:ascii="Arial" w:cs="Arial" w:eastAsia="Arial" w:hAnsi="Arial"/>
          <w:sz w:val="16"/>
          <w:szCs w:val="16"/>
          <w:color w:val="auto"/>
        </w:rPr>
        <w:t>including the related Notes to Financial Statements</w:t>
      </w:r>
      <w:r>
        <w:rPr>
          <w:rFonts w:ascii="Arial" w:cs="Arial" w:eastAsia="Arial" w:hAnsi="Arial"/>
          <w:sz w:val="16"/>
          <w:szCs w:val="16"/>
          <w:i w:val="1"/>
          <w:iCs w:val="1"/>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the Regulation of Our Industry</w:t>
      </w:r>
    </w:p>
    <w:p>
      <w:pPr>
        <w:spacing w:after="0" w:line="193" w:lineRule="exact"/>
        <w:rPr>
          <w:sz w:val="20"/>
          <w:szCs w:val="20"/>
          <w:color w:val="auto"/>
        </w:rPr>
      </w:pPr>
    </w:p>
    <w:p>
      <w:pPr>
        <w:ind w:left="320" w:right="1359"/>
        <w:spacing w:after="0" w:line="309" w:lineRule="auto"/>
        <w:rPr>
          <w:sz w:val="20"/>
          <w:szCs w:val="20"/>
          <w:color w:val="auto"/>
        </w:rPr>
      </w:pPr>
      <w:r>
        <w:rPr>
          <w:rFonts w:ascii="Arial" w:cs="Arial" w:eastAsia="Arial" w:hAnsi="Arial"/>
          <w:sz w:val="16"/>
          <w:szCs w:val="16"/>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03"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133" w:lineRule="exact"/>
        <w:rPr>
          <w:sz w:val="20"/>
          <w:szCs w:val="20"/>
          <w:color w:val="auto"/>
        </w:rPr>
      </w:pPr>
    </w:p>
    <w:p>
      <w:pPr>
        <w:ind w:left="320" w:right="739" w:firstLine="369"/>
        <w:spacing w:after="0" w:line="255" w:lineRule="auto"/>
        <w:rPr>
          <w:sz w:val="20"/>
          <w:szCs w:val="20"/>
          <w:color w:val="auto"/>
        </w:rPr>
      </w:pPr>
      <w:r>
        <w:rPr>
          <w:rFonts w:ascii="Arial" w:cs="Arial" w:eastAsia="Arial" w:hAnsi="Arial"/>
          <w:sz w:val="17"/>
          <w:szCs w:val="17"/>
          <w:color w:val="auto"/>
        </w:rPr>
        <w:t>During fiscal 2010 and 2009, we derived approximately 84.9% and 82.5%, respectively, of our revenue (calculated on a cash basis in accordance with Department of Education standards that were in effect prior to the August 2008 reauthorization of the Higher Education Act) from tuition financed under the Title IV programs. Accordingly,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56" w:lineRule="exact"/>
        <w:rPr>
          <w:sz w:val="20"/>
          <w:szCs w:val="20"/>
          <w:color w:val="auto"/>
        </w:rPr>
      </w:pPr>
    </w:p>
    <w:p>
      <w:pPr>
        <w:ind w:left="320" w:right="699"/>
        <w:spacing w:after="0" w:line="264" w:lineRule="auto"/>
        <w:rPr>
          <w:sz w:val="20"/>
          <w:szCs w:val="20"/>
          <w:color w:val="auto"/>
        </w:rPr>
      </w:pPr>
      <w:r>
        <w:rPr>
          <w:rFonts w:ascii="Arial" w:cs="Arial" w:eastAsia="Arial" w:hAnsi="Arial"/>
          <w:sz w:val="17"/>
          <w:szCs w:val="17"/>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37"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See Item 1, </w:t>
      </w:r>
      <w:r>
        <w:rPr>
          <w:rFonts w:ascii="Arial" w:cs="Arial" w:eastAsia="Arial" w:hAnsi="Arial"/>
          <w:sz w:val="15"/>
          <w:szCs w:val="15"/>
          <w:i w:val="1"/>
          <w:iCs w:val="1"/>
          <w:color w:val="auto"/>
        </w:rPr>
        <w:t>Business — Regulation — Regulation of Federal Student Financial Aid Programs —</w:t>
      </w:r>
      <w:r>
        <w:rPr>
          <w:rFonts w:ascii="Arial" w:cs="Arial" w:eastAsia="Arial" w:hAnsi="Arial"/>
          <w:sz w:val="15"/>
          <w:szCs w:val="15"/>
          <w:color w:val="auto"/>
        </w:rPr>
        <w:t xml:space="preserve"> </w:t>
      </w:r>
      <w:r>
        <w:rPr>
          <w:rFonts w:ascii="Arial" w:cs="Arial" w:eastAsia="Arial" w:hAnsi="Arial"/>
          <w:sz w:val="15"/>
          <w:szCs w:val="15"/>
          <w:i w:val="1"/>
          <w:iCs w:val="1"/>
          <w:color w:val="auto"/>
        </w:rPr>
        <w:t>Eligibility and certification procedures</w:t>
      </w:r>
      <w:r>
        <w:rPr>
          <w:rFonts w:ascii="Arial" w:cs="Arial" w:eastAsia="Arial" w:hAnsi="Arial"/>
          <w:sz w:val="15"/>
          <w:szCs w:val="15"/>
          <w:color w:val="auto"/>
        </w:rPr>
        <w:t>. There can be no assurance that the Department of Education will recertify us or that it will not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impose conditions or other restrictions on us as a condition of granting us provisional certification following our pending change in control or approving our pending recertification application or with respect to any future recertification. See Item 1A, </w:t>
      </w:r>
      <w:r>
        <w:rPr>
          <w:rFonts w:ascii="Arial" w:cs="Arial" w:eastAsia="Arial" w:hAnsi="Arial"/>
          <w:sz w:val="15"/>
          <w:szCs w:val="15"/>
          <w:i w:val="1"/>
          <w:iCs w:val="1"/>
          <w:color w:val="auto"/>
        </w:rPr>
        <w:t>Risk Factors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If any of the education regulatory agencies that regulate us do not approve or delay their approval of any transaction involving us that constitutes a “change in control,” our ability to operate or participate in the Title IV programs may be impaired. </w:t>
      </w:r>
      <w:r>
        <w:rPr>
          <w:rFonts w:ascii="Arial" w:cs="Arial" w:eastAsia="Arial" w:hAnsi="Arial"/>
          <w:sz w:val="15"/>
          <w:szCs w:val="15"/>
          <w:color w:val="auto"/>
        </w:rPr>
        <w:t>If the Department of</w:t>
      </w:r>
      <w:r>
        <w:rPr>
          <w:rFonts w:ascii="Arial" w:cs="Arial" w:eastAsia="Arial" w:hAnsi="Arial"/>
          <w:sz w:val="15"/>
          <w:szCs w:val="15"/>
          <w:i w:val="1"/>
          <w:iCs w:val="1"/>
          <w:color w:val="auto"/>
        </w:rPr>
        <w:t xml:space="preserve"> </w:t>
      </w:r>
      <w:r>
        <w:rPr>
          <w:rFonts w:ascii="Arial" w:cs="Arial" w:eastAsia="Arial" w:hAnsi="Arial"/>
          <w:sz w:val="15"/>
          <w:szCs w:val="15"/>
          <w:color w:val="auto"/>
        </w:rPr>
        <w:t>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133" w:lineRule="exact"/>
        <w:rPr>
          <w:sz w:val="20"/>
          <w:szCs w:val="20"/>
          <w:color w:val="auto"/>
        </w:rPr>
      </w:pPr>
    </w:p>
    <w:p>
      <w:pPr>
        <w:ind w:left="320" w:right="799"/>
        <w:spacing w:after="0" w:line="264" w:lineRule="auto"/>
        <w:rPr>
          <w:sz w:val="20"/>
          <w:szCs w:val="20"/>
          <w:color w:val="auto"/>
        </w:rPr>
      </w:pPr>
      <w:r>
        <w:rPr>
          <w:rFonts w:ascii="Arial" w:cs="Arial" w:eastAsia="Arial" w:hAnsi="Arial"/>
          <w:sz w:val="17"/>
          <w:szCs w:val="17"/>
          <w:b w:val="1"/>
          <w:bCs w:val="1"/>
          <w:i w:val="1"/>
          <w:iCs w:val="1"/>
          <w:color w:val="auto"/>
        </w:rPr>
        <w:t>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137" w:lineRule="exact"/>
        <w:rPr>
          <w:sz w:val="20"/>
          <w:szCs w:val="20"/>
          <w:color w:val="auto"/>
        </w:rPr>
      </w:pPr>
    </w:p>
    <w:p>
      <w:pPr>
        <w:ind w:left="320" w:right="759" w:firstLine="369"/>
        <w:spacing w:after="0" w:line="291" w:lineRule="auto"/>
        <w:rPr>
          <w:sz w:val="20"/>
          <w:szCs w:val="20"/>
          <w:color w:val="auto"/>
        </w:rPr>
      </w:pPr>
      <w:r>
        <w:rPr>
          <w:rFonts w:ascii="Arial" w:cs="Arial" w:eastAsia="Arial" w:hAnsi="Arial"/>
          <w:sz w:val="15"/>
          <w:szCs w:val="15"/>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23"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an August 13, 2010 hearing related to our recently 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now-settled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we believe that our compensation policies and practices at issue in the program review were not based on success in enrolling students in violation of applicable law, the Department of Education’s regulations and interpretations of the incentive compensation law do not establish clear criteria for compliance in all circumstances and some of our practices in prior years were not within the scope of any of the specific “safe harbors” provided in the compensation regulations and applicable during that period.</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us in which the program review team stated the view that, prior to July 1, 2010, traditional liberal arts programs were not considered as being eligible under Title IV but then requested additional information from us that would help the Department of Education determine whether the programs offered within the University’s College of Liberal Arts were eligible under Title IV because they did provide training to prepare students for gainful employment in a recognized occupation. While we were not informed as to which specific programs offered within our College of Liberal Arts the program review team believes may be ineligible, in August 2010 we provided the Department of Education with the requested information which we believe will demonstrates that the programs offered within our College of Liberal Arts met this requirement. We have received no further communications from the Department of Education regarding the program review.</w:t>
      </w:r>
    </w:p>
    <w:p>
      <w:pPr>
        <w:spacing w:after="0" w:line="152"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23" w:lineRule="exact"/>
        <w:rPr>
          <w:sz w:val="20"/>
          <w:szCs w:val="20"/>
          <w:color w:val="auto"/>
        </w:rPr>
      </w:pPr>
    </w:p>
    <w:p>
      <w:pPr>
        <w:ind w:left="320" w:right="1119"/>
        <w:spacing w:after="0" w:line="277" w:lineRule="auto"/>
        <w:rPr>
          <w:sz w:val="20"/>
          <w:szCs w:val="20"/>
          <w:color w:val="auto"/>
        </w:rPr>
      </w:pPr>
      <w:r>
        <w:rPr>
          <w:rFonts w:ascii="Arial" w:cs="Arial" w:eastAsia="Arial" w:hAnsi="Arial"/>
          <w:sz w:val="17"/>
          <w:szCs w:val="17"/>
          <w:b w:val="1"/>
          <w:bCs w:val="1"/>
          <w:i w:val="1"/>
          <w:iCs w:val="1"/>
          <w:color w:val="auto"/>
        </w:rPr>
        <w:t>Rulemaking by the U.S. Department of Education has resulted in regulatory changes that materially and adversely affect our business.</w:t>
      </w:r>
    </w:p>
    <w:p>
      <w:pPr>
        <w:spacing w:after="0" w:line="126" w:lineRule="exact"/>
        <w:rPr>
          <w:sz w:val="20"/>
          <w:szCs w:val="20"/>
          <w:color w:val="auto"/>
        </w:rPr>
      </w:pPr>
    </w:p>
    <w:p>
      <w:pPr>
        <w:ind w:left="320" w:right="759" w:firstLine="369"/>
        <w:spacing w:after="0" w:line="288" w:lineRule="auto"/>
        <w:rPr>
          <w:sz w:val="20"/>
          <w:szCs w:val="20"/>
          <w:color w:val="auto"/>
        </w:rPr>
      </w:pPr>
      <w:r>
        <w:rPr>
          <w:rFonts w:ascii="Arial" w:cs="Arial" w:eastAsia="Arial" w:hAnsi="Arial"/>
          <w:sz w:val="15"/>
          <w:szCs w:val="15"/>
          <w:color w:val="auto"/>
        </w:rPr>
        <w:t>In May 2009, the Department of Education announced its intent to initiate a round of negotiated rulemaking to address Title IV program integrity issues.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That process was concluded for a significant number of regulatory topics in January 2010 and addressed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the definition of a high school diploma as a condition of a student’s receipt of Title IV aid and requirements that an institution be able to demonstrate that its graduates obtain gainful employment, as measured against certain metrics such as student loan debt and salaries of graduates. Of the proposed revisions to the regulations being considered in this negotiated rulemaking, the negotiators did not reach consensus on the proposals to modify the standards relating to the payment of incentive compensation to employees involved in student recruitment and enrollment and to adopt a definition of “gainful employment” for purposes of the requirement placed on proprietary schools that participate in Title IV programs that a program of study prepare students for gainful employment in a recognized occupation. Accordingly, under the negotiated rulemaking protocol, the Department of Education became authorized to propose regulations with respect to these topics without regard to the concerns of institutions as expressed during the negotiated rulemaking process. The most significant proposals for our business were the following:</w:t>
      </w:r>
    </w:p>
    <w:p>
      <w:pPr>
        <w:spacing w:after="0" w:line="144" w:lineRule="exact"/>
        <w:rPr>
          <w:sz w:val="20"/>
          <w:szCs w:val="20"/>
          <w:color w:val="auto"/>
        </w:rPr>
      </w:pPr>
    </w:p>
    <w:p>
      <w:pPr>
        <w:ind w:left="1400" w:right="1179" w:hanging="359"/>
        <w:spacing w:after="0" w:line="277" w:lineRule="auto"/>
        <w:tabs>
          <w:tab w:leader="none" w:pos="140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A proposal to modify the standards relating to the payment of incentive compensation to employees involved in student recruitment and enrollment;</w:t>
      </w:r>
    </w:p>
    <w:p>
      <w:pPr>
        <w:spacing w:after="0" w:line="100" w:lineRule="exact"/>
        <w:rPr>
          <w:rFonts w:ascii="Arial" w:cs="Arial" w:eastAsia="Arial" w:hAnsi="Arial"/>
          <w:sz w:val="17"/>
          <w:szCs w:val="17"/>
          <w:b w:val="1"/>
          <w:bCs w:val="1"/>
          <w:color w:val="auto"/>
        </w:rPr>
      </w:pPr>
    </w:p>
    <w:p>
      <w:pPr>
        <w:ind w:left="1400" w:right="1339" w:hanging="359"/>
        <w:spacing w:after="0" w:line="277" w:lineRule="auto"/>
        <w:tabs>
          <w:tab w:leader="none" w:pos="140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A proposal to modify the standards relating to misrepresentations by employees and third parties on behalf of institutions;</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400" w:hanging="359"/>
        <w:spacing w:after="0"/>
        <w:tabs>
          <w:tab w:leader="none" w:pos="140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A proposal to modify state authorization of online programs; and</w:t>
      </w:r>
    </w:p>
    <w:p>
      <w:pPr>
        <w:spacing w:after="0" w:line="150" w:lineRule="exact"/>
        <w:rPr>
          <w:rFonts w:ascii="Arial" w:cs="Arial" w:eastAsia="Arial" w:hAnsi="Arial"/>
          <w:sz w:val="17"/>
          <w:szCs w:val="17"/>
          <w:b w:val="1"/>
          <w:bCs w:val="1"/>
          <w:color w:val="auto"/>
        </w:rPr>
      </w:pPr>
    </w:p>
    <w:p>
      <w:pPr>
        <w:ind w:left="1400" w:right="799" w:hanging="359"/>
        <w:spacing w:after="0" w:line="264" w:lineRule="auto"/>
        <w:tabs>
          <w:tab w:leader="none" w:pos="140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A proposal to adopt a definition of “gainful employment” for purposes of the requirement placed on proprietary schools that participate in Title IV student financial aid programs that a program of study prepare students for gainful employment in a recognized occupation.</w:t>
      </w:r>
    </w:p>
    <w:p>
      <w:pPr>
        <w:spacing w:after="0" w:line="150"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i w:val="1"/>
          <w:iCs w:val="1"/>
          <w:color w:val="auto"/>
        </w:rPr>
        <w:t xml:space="preserve">Incentive compensation rule. </w:t>
      </w:r>
      <w:r>
        <w:rPr>
          <w:rFonts w:ascii="Arial" w:cs="Arial" w:eastAsia="Arial" w:hAnsi="Arial"/>
          <w:sz w:val="16"/>
          <w:szCs w:val="16"/>
          <w:color w:val="auto"/>
        </w:rPr>
        <w:t>An institution that participates in the Title IV programs may not provide any commission, bonus,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incentive payment based directly or indirectly on success in securing enrollments or financial aid to any person or entity engaged in any student recruitment, admissions, or financial aid awarding activity. Under current Department of Education regulations, there are 12 “safe harbors” that 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Historically, we have relied on several of these safe harbors to ensure that our compensation and recruitment practices comply with the applicable requirements.</w:t>
      </w:r>
    </w:p>
    <w:p>
      <w:pPr>
        <w:spacing w:after="0" w:line="135"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On June 18, 2010, the Department of Education issued a Notice of Proposed Rulemaking (“NPRM”) in respect of the incentive compensation rule and other program integrity issues, other than the metrics for determining compliance with the gainful employment requirement. The final rules on these topics were published on October 29, 2010 and will become effective on July 1, 2011. In the final rules, the 12 safe harbors under the incentive compensation rule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w:t>
      </w:r>
    </w:p>
    <w:p>
      <w:pPr>
        <w:spacing w:after="0" w:line="2" w:lineRule="exact"/>
        <w:rPr>
          <w:sz w:val="20"/>
          <w:szCs w:val="20"/>
          <w:color w:val="auto"/>
        </w:rPr>
      </w:pPr>
    </w:p>
    <w:p>
      <w:pPr>
        <w:ind w:left="320" w:right="699" w:hanging="10"/>
        <w:spacing w:after="0" w:line="288" w:lineRule="auto"/>
        <w:tabs>
          <w:tab w:leader="none" w:pos="562"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 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 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 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 adjustments to employee compensation, but would not be permitted to consider nor base compensation directly or indirectly, in any part, on factors such as an employee’s success in securing student enrollments, the award of financial aid or institutional goals based on that success.</w:t>
      </w:r>
    </w:p>
    <w:p>
      <w:pPr>
        <w:spacing w:after="0" w:line="126"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 xml:space="preserve">While it is anticipated that the Department of Education may issue certain guidance on incentive compensation issues prior to July 1, 2011, we believe the changes imposed by the final rules, including the elimination of the safe harbors, increase the uncertainty about what constitutes incentive compensation and which employees are covered by the regulation. In light of such uncertainty, we have changed some of our compensation practices for enrollment counselors and other employees, as well as the terms of our arrangements with certain third parties whom we pay for Internet-based services related to lead generation and marketing and whose activities are also subject to the incentive compensation rules. The changes in these practices and arrangements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This could also increase marketing costs, decrease quality of leads provided, decrease efficiency and reduce revenues if we are unable to maintain or increase the rate of student enrollment. In addition, this lack of certainty could increase the risk of future Federal False Claims Act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i w:val="1"/>
          <w:iCs w:val="1"/>
          <w:color w:val="auto"/>
        </w:rPr>
        <w:t xml:space="preserve">Misrepresentation. </w:t>
      </w:r>
      <w:r>
        <w:rPr>
          <w:rFonts w:ascii="Arial" w:cs="Arial" w:eastAsia="Arial" w:hAnsi="Arial"/>
          <w:sz w:val="16"/>
          <w:szCs w:val="16"/>
          <w:color w:val="auto"/>
        </w:rPr>
        <w:t>The final rules on program integrity adopted October 29, 2010 and effective July 1, 2011 include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strengthen the Department of Education’s authority to sanction institutions for 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Grand Canyon University, which would expose us to increased risk of litigation and enforcement action and applicable sanctions or other penalties up to and including termination of Title IV eligibility.</w:t>
      </w:r>
    </w:p>
    <w:p>
      <w:pPr>
        <w:spacing w:after="0" w:line="149"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5"/>
          <w:szCs w:val="15"/>
          <w:i w:val="1"/>
          <w:iCs w:val="1"/>
          <w:color w:val="auto"/>
        </w:rPr>
        <w:t xml:space="preserve">State Authorization. </w:t>
      </w:r>
      <w:r>
        <w:rPr>
          <w:rFonts w:ascii="Arial" w:cs="Arial" w:eastAsia="Arial" w:hAnsi="Arial"/>
          <w:sz w:val="15"/>
          <w:szCs w:val="15"/>
          <w:color w:val="auto"/>
        </w:rPr>
        <w:t>States have the authority to assert jurisdiction, to the extent they so choose, over educational institutions</w:t>
      </w:r>
      <w:r>
        <w:rPr>
          <w:rFonts w:ascii="Arial" w:cs="Arial" w:eastAsia="Arial" w:hAnsi="Arial"/>
          <w:sz w:val="15"/>
          <w:szCs w:val="15"/>
          <w:i w:val="1"/>
          <w:iCs w:val="1"/>
          <w:color w:val="auto"/>
        </w:rPr>
        <w:t xml:space="preserve"> </w:t>
      </w:r>
      <w:r>
        <w:rPr>
          <w:rFonts w:ascii="Arial" w:cs="Arial" w:eastAsia="Arial" w:hAnsi="Arial"/>
          <w:sz w:val="15"/>
          <w:szCs w:val="15"/>
          <w:color w:val="auto"/>
        </w:rPr>
        <w:t>offering online degree programs in a state but that otherwise have no physical location or other presence in that state. The final program integrity rules adopted October 29, 2010 and effective July 1, 2011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1"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i w:val="1"/>
          <w:iCs w:val="1"/>
          <w:color w:val="auto"/>
        </w:rPr>
        <w:t xml:space="preserve">Approval of new programs. </w:t>
      </w:r>
      <w:r>
        <w:rPr>
          <w:rFonts w:ascii="Arial" w:cs="Arial" w:eastAsia="Arial" w:hAnsi="Arial"/>
          <w:sz w:val="17"/>
          <w:szCs w:val="17"/>
          <w:color w:val="auto"/>
        </w:rPr>
        <w:t>The final program integrity rules adopted October 29, 2010 and effective July 1, 2011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regarding the approval of new programs. Although the final rules relaxed the program approval standard originally proposed,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i w:val="1"/>
          <w:iCs w:val="1"/>
          <w:color w:val="auto"/>
        </w:rPr>
        <w:t>Additional final rules</w:t>
      </w:r>
      <w:r>
        <w:rPr>
          <w:rFonts w:ascii="Arial" w:cs="Arial" w:eastAsia="Arial" w:hAnsi="Arial"/>
          <w:sz w:val="15"/>
          <w:szCs w:val="15"/>
          <w:color w:val="auto"/>
        </w:rPr>
        <w:t>. In addition to the program integrity issues specifically addressed above, the final rules issued by</w:t>
      </w:r>
      <w:r>
        <w:rPr>
          <w:rFonts w:ascii="Arial" w:cs="Arial" w:eastAsia="Arial" w:hAnsi="Arial"/>
          <w:sz w:val="15"/>
          <w:szCs w:val="15"/>
          <w:i w:val="1"/>
          <w:iCs w:val="1"/>
          <w:color w:val="auto"/>
        </w:rPr>
        <w:t xml:space="preserve"> </w:t>
      </w:r>
      <w:r>
        <w:rPr>
          <w:rFonts w:ascii="Arial" w:cs="Arial" w:eastAsia="Arial" w:hAnsi="Arial"/>
          <w:sz w:val="15"/>
          <w:szCs w:val="15"/>
          <w:color w:val="auto"/>
        </w:rPr>
        <w:t>Department of Education on October 29, 2010 and effective July 1, 2011 include provisions regarding the definition of a credit hour;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are in the process of reviewing all of the final rules. We cannot predict how the recently released or any other resulting regulations will be interpreted, and therefore whether we will be able to comply with these requirements by the effective date. Insufficient time, or lack of sufficient guidance, for compliance with the final rules,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132" w:lineRule="exact"/>
        <w:rPr>
          <w:sz w:val="20"/>
          <w:szCs w:val="20"/>
          <w:color w:val="auto"/>
        </w:rPr>
      </w:pPr>
    </w:p>
    <w:p>
      <w:pPr>
        <w:ind w:left="320" w:right="679" w:firstLine="369"/>
        <w:spacing w:after="0" w:line="254" w:lineRule="auto"/>
        <w:rPr>
          <w:sz w:val="20"/>
          <w:szCs w:val="20"/>
          <w:color w:val="auto"/>
        </w:rPr>
      </w:pPr>
      <w:r>
        <w:rPr>
          <w:rFonts w:ascii="Arial" w:cs="Arial" w:eastAsia="Arial" w:hAnsi="Arial"/>
          <w:sz w:val="17"/>
          <w:szCs w:val="17"/>
          <w:i w:val="1"/>
          <w:iCs w:val="1"/>
          <w:color w:val="auto"/>
        </w:rPr>
        <w:t xml:space="preserve">Proposed gainful employment rule. </w:t>
      </w:r>
      <w:r>
        <w:rPr>
          <w:rFonts w:ascii="Arial" w:cs="Arial" w:eastAsia="Arial" w:hAnsi="Arial"/>
          <w:sz w:val="17"/>
          <w:szCs w:val="17"/>
          <w:color w:val="auto"/>
        </w:rPr>
        <w:t>Under the Higher Education Act, proprietary schools are eligible to participate in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only to the extent that their educational programs lead to “gainful employment in a recognized occupation,” with the limited exception of qualified programs leading to a bachelor’s degree in liberal arts. Historically, this concept has not been defined in detail. On July 26, 2010, the Department of Education issued an NPRM in respect of the proposed gainful employment requirement. While the Department of Education previously stated that its goal was to publish final rules related to the gainful employment requirement by November 1, 2010 and to have the final rules be effective July 1, 2011 with certain provisions to be effective July 1, 2012, due to the unprecedented volume of comments received regarding the proposed rules, on September 24, 2010, the Department of Education announced that it would delay issuing final rules until early 2011 in order to give interested parties more time to clarify their comments and respond to questions from Department of Education officials. The final gainful employment rules have yet to be released.</w:t>
      </w:r>
    </w:p>
    <w:p>
      <w:pPr>
        <w:spacing w:after="0" w:line="149" w:lineRule="exact"/>
        <w:rPr>
          <w:sz w:val="20"/>
          <w:szCs w:val="20"/>
          <w:color w:val="auto"/>
        </w:rPr>
      </w:pPr>
    </w:p>
    <w:p>
      <w:pPr>
        <w:ind w:left="320" w:right="979" w:firstLine="369"/>
        <w:spacing w:after="0" w:line="260" w:lineRule="auto"/>
        <w:rPr>
          <w:sz w:val="20"/>
          <w:szCs w:val="20"/>
          <w:color w:val="auto"/>
        </w:rPr>
      </w:pPr>
      <w:r>
        <w:rPr>
          <w:rFonts w:ascii="Arial" w:cs="Arial" w:eastAsia="Arial" w:hAnsi="Arial"/>
          <w:sz w:val="17"/>
          <w:szCs w:val="17"/>
          <w:color w:val="auto"/>
        </w:rPr>
        <w:t>The proposed definition of gainful employment in the July 26, 2010 NPRM described above would take into consideration whether former students are repaying their federal student loans and the relationship between total student loan debt and average earnings after completing a postsecondary program. As proposed in the NPRM, individual educational programs would be divided into three groups based on the proposed metrics:</w:t>
      </w:r>
    </w:p>
    <w:p>
      <w:pPr>
        <w:spacing w:after="0" w:line="140" w:lineRule="exact"/>
        <w:rPr>
          <w:sz w:val="20"/>
          <w:szCs w:val="20"/>
          <w:color w:val="auto"/>
        </w:rPr>
      </w:pPr>
    </w:p>
    <w:p>
      <w:pPr>
        <w:ind w:left="1400" w:right="679" w:hanging="359"/>
        <w:spacing w:after="0" w:line="260" w:lineRule="auto"/>
        <w:tabs>
          <w:tab w:leader="none" w:pos="140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14" w:lineRule="exact"/>
        <w:rPr>
          <w:rFonts w:ascii="Arial" w:cs="Arial" w:eastAsia="Arial" w:hAnsi="Arial"/>
          <w:sz w:val="17"/>
          <w:szCs w:val="17"/>
          <w:b w:val="1"/>
          <w:bCs w:val="1"/>
          <w:color w:val="auto"/>
        </w:rPr>
      </w:pPr>
    </w:p>
    <w:p>
      <w:pPr>
        <w:ind w:left="1400" w:right="719" w:hanging="359"/>
        <w:spacing w:after="0" w:line="273" w:lineRule="auto"/>
        <w:tabs>
          <w:tab w:leader="none" w:pos="140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07" w:lineRule="exact"/>
        <w:rPr>
          <w:rFonts w:ascii="Arial" w:cs="Arial" w:eastAsia="Arial" w:hAnsi="Arial"/>
          <w:sz w:val="16"/>
          <w:szCs w:val="16"/>
          <w:b w:val="1"/>
          <w:bCs w:val="1"/>
          <w:color w:val="auto"/>
        </w:rPr>
      </w:pPr>
    </w:p>
    <w:p>
      <w:pPr>
        <w:ind w:left="1400" w:right="699" w:hanging="359"/>
        <w:spacing w:after="0" w:line="264" w:lineRule="auto"/>
        <w:tabs>
          <w:tab w:leader="none" w:pos="140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121" w:lineRule="exact"/>
        <w:rPr>
          <w:sz w:val="20"/>
          <w:szCs w:val="20"/>
          <w:color w:val="auto"/>
        </w:rPr>
      </w:pPr>
    </w:p>
    <w:p>
      <w:pPr>
        <w:ind w:left="320" w:right="819" w:firstLine="369"/>
        <w:spacing w:after="0" w:line="258" w:lineRule="auto"/>
        <w:rPr>
          <w:sz w:val="20"/>
          <w:szCs w:val="20"/>
          <w:color w:val="auto"/>
        </w:rPr>
      </w:pPr>
      <w:r>
        <w:rPr>
          <w:rFonts w:ascii="Arial" w:cs="Arial" w:eastAsia="Arial" w:hAnsi="Arial"/>
          <w:sz w:val="17"/>
          <w:szCs w:val="17"/>
          <w:color w:val="auto"/>
        </w:rPr>
        <w:t>We are still assessing the impact of the final regulations, including those implementing changes to the incentive compensation rule, and the possible impact of the proposed gainful employment rules on our financial aid policies and practices and on our other operations, plans, and strategies. At this time, we cannot predict with any certainty whether we will be able to comply with such new requirements or whether compliance with such new requirements will result in a material adverse effect on our enrollments and operations.</w:t>
      </w:r>
    </w:p>
    <w:p>
      <w:pPr>
        <w:spacing w:after="0" w:line="142" w:lineRule="exact"/>
        <w:rPr>
          <w:sz w:val="20"/>
          <w:szCs w:val="20"/>
          <w:color w:val="auto"/>
        </w:rPr>
      </w:pPr>
    </w:p>
    <w:p>
      <w:pPr>
        <w:ind w:left="320" w:right="739"/>
        <w:spacing w:after="0" w:line="277" w:lineRule="auto"/>
        <w:rPr>
          <w:sz w:val="20"/>
          <w:szCs w:val="20"/>
          <w:color w:val="auto"/>
        </w:rPr>
      </w:pPr>
      <w:r>
        <w:rPr>
          <w:rFonts w:ascii="Arial" w:cs="Arial" w:eastAsia="Arial" w:hAnsi="Arial"/>
          <w:sz w:val="17"/>
          <w:szCs w:val="17"/>
          <w:b w:val="1"/>
          <w:bCs w:val="1"/>
          <w:i w:val="1"/>
          <w:iCs w:val="1"/>
          <w:color w:val="auto"/>
        </w:rPr>
        <w:t>Increased disclosure and recordkeeping requirements could result in lower enrollment or growth rates in a manner that materially and adversely affects our business.</w:t>
      </w:r>
    </w:p>
    <w:p>
      <w:pPr>
        <w:spacing w:after="0" w:line="139"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The final rules issued by Department of Education on October 29, 2010 and effective July 1, 2011 also require that, for each program leading to “gainful employment” in a recognized occupation, institutions must provide prospective students with information concerning the occupation that the program prepares students to enter; the program’s on-time graduation rate; the tuition and fees it charges a student for completing the program within normal time, along with the costs of books, supplies, room, and board; the placement rate for students completing the program, and the median loan debt incurred by students who completed the program. Institutions must also provide the Department of Education with information that will allow determination of student debt levels and incomes after program completion. It is unclear at this time the level of administrative burden, increased costs, or effect on growth and enrollments that may result from the new reporting and disclosure requirements.</w:t>
      </w:r>
    </w:p>
    <w:p>
      <w:pPr>
        <w:spacing w:after="0" w:line="133" w:lineRule="exact"/>
        <w:rPr>
          <w:sz w:val="20"/>
          <w:szCs w:val="20"/>
          <w:color w:val="auto"/>
        </w:rPr>
      </w:pPr>
    </w:p>
    <w:p>
      <w:pPr>
        <w:jc w:val="both"/>
        <w:ind w:left="320" w:right="919"/>
        <w:spacing w:after="0" w:line="264" w:lineRule="auto"/>
        <w:rPr>
          <w:sz w:val="20"/>
          <w:szCs w:val="20"/>
          <w:color w:val="auto"/>
        </w:rPr>
      </w:pPr>
      <w:r>
        <w:rPr>
          <w:rFonts w:ascii="Arial" w:cs="Arial" w:eastAsia="Arial" w:hAnsi="Arial"/>
          <w:sz w:val="17"/>
          <w:szCs w:val="17"/>
          <w:b w:val="1"/>
          <w:bCs w:val="1"/>
          <w:i w:val="1"/>
          <w:iCs w:val="1"/>
          <w:color w:val="auto"/>
        </w:rPr>
        <w:t>The U.S. Congress has recently commenced an examination of the for-profit education sector that could result in legislation or further U.S. Department of Education rulemaking restricting Title IV program participation by proprietary schools in a manner that materially and adversely affects our business.</w:t>
      </w:r>
    </w:p>
    <w:p>
      <w:pPr>
        <w:spacing w:after="0" w:line="137"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During 2010 and since, there has been increased focus by Congress on the role that for-profit educational institutions play in higher education. Each of the Congressional education committees held one or more hearings examining various aspects of the proprietary education industry, including the manner in which accrediting agencies review higher education institutions’ policies on credit hours and program length, student recruitment practices, and the debt levels incurred by, and drop-out rates of, students attending for-profit colleges. In addition, at the request of the Chairmen of each of these committees, the Government Accountability Office (“GAO”) conducted reviews and prepared reports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Finally, in August 2010, the Health, Education, Labor and Pensions (“HELP”) Committee of the U.S. Senate sent requests to approximately 30 for-profit colleges, including us and all of the other publicly-traded companies that operate for-profit colleges, seeking information about such matters as graduation and loan default rates, as well as internal recruiting documents and details about the use of third-party companies, such as lead generators, in the recruiting process.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 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47" w:name="page48"/>
    <w:bookmarkEnd w:id="4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39"/>
        <w:spacing w:after="0" w:line="309" w:lineRule="auto"/>
        <w:rPr>
          <w:sz w:val="20"/>
          <w:szCs w:val="20"/>
          <w:color w:val="auto"/>
        </w:rPr>
      </w:pPr>
      <w:r>
        <w:rPr>
          <w:rFonts w:ascii="Arial" w:cs="Arial" w:eastAsia="Arial" w:hAnsi="Arial"/>
          <w:sz w:val="16"/>
          <w:szCs w:val="16"/>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16" w:lineRule="exact"/>
        <w:rPr>
          <w:sz w:val="20"/>
          <w:szCs w:val="20"/>
          <w:color w:val="auto"/>
        </w:rPr>
      </w:pPr>
    </w:p>
    <w:p>
      <w:pPr>
        <w:ind w:left="320" w:right="719" w:firstLine="369"/>
        <w:spacing w:after="0" w:line="297" w:lineRule="auto"/>
        <w:rPr>
          <w:sz w:val="20"/>
          <w:szCs w:val="20"/>
          <w:color w:val="auto"/>
        </w:rPr>
      </w:pPr>
      <w:r>
        <w:rPr>
          <w:rFonts w:ascii="Arial" w:cs="Arial" w:eastAsia="Arial" w:hAnsi="Arial"/>
          <w:sz w:val="15"/>
          <w:szCs w:val="15"/>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17" w:lineRule="exact"/>
        <w:rPr>
          <w:sz w:val="20"/>
          <w:szCs w:val="20"/>
          <w:color w:val="auto"/>
        </w:rPr>
      </w:pPr>
    </w:p>
    <w:p>
      <w:pPr>
        <w:ind w:left="320" w:right="1239"/>
        <w:spacing w:after="0" w:line="277" w:lineRule="auto"/>
        <w:rPr>
          <w:sz w:val="20"/>
          <w:szCs w:val="20"/>
          <w:color w:val="auto"/>
        </w:rPr>
      </w:pPr>
      <w:r>
        <w:rPr>
          <w:rFonts w:ascii="Arial" w:cs="Arial" w:eastAsia="Arial" w:hAnsi="Arial"/>
          <w:sz w:val="17"/>
          <w:szCs w:val="17"/>
          <w:b w:val="1"/>
          <w:bCs w:val="1"/>
          <w:i w:val="1"/>
          <w:iCs w:val="1"/>
          <w:color w:val="auto"/>
        </w:rPr>
        <w:t>Congress may change the eligibility standards or reduce funding for the Title IV programs, which could reduce our student population, revenue, and profit margin.</w:t>
      </w:r>
    </w:p>
    <w:p>
      <w:pPr>
        <w:spacing w:after="0" w:line="126" w:lineRule="exact"/>
        <w:rPr>
          <w:sz w:val="20"/>
          <w:szCs w:val="20"/>
          <w:color w:val="auto"/>
        </w:rPr>
      </w:pPr>
    </w:p>
    <w:p>
      <w:pPr>
        <w:ind w:left="320" w:right="839" w:firstLine="369"/>
        <w:spacing w:after="0" w:line="274" w:lineRule="auto"/>
        <w:rPr>
          <w:sz w:val="20"/>
          <w:szCs w:val="20"/>
          <w:color w:val="auto"/>
        </w:rPr>
      </w:pPr>
      <w:r>
        <w:rPr>
          <w:rFonts w:ascii="Arial" w:cs="Arial" w:eastAsia="Arial" w:hAnsi="Arial"/>
          <w:sz w:val="16"/>
          <w:szCs w:val="16"/>
          <w:color w:val="auto"/>
        </w:rPr>
        <w:t>Political and budgetary concerns significantly affect the Title IV programs. The Higher Education Act, which is the federal law that governs the Title IV programs, must be periodically reauthorized by Congress, and was most recently reauthorized in</w:t>
      </w:r>
    </w:p>
    <w:p>
      <w:pPr>
        <w:spacing w:after="0" w:line="1" w:lineRule="exact"/>
        <w:rPr>
          <w:sz w:val="20"/>
          <w:szCs w:val="20"/>
          <w:color w:val="auto"/>
        </w:rPr>
      </w:pPr>
    </w:p>
    <w:p>
      <w:pPr>
        <w:ind w:left="320" w:right="699"/>
        <w:spacing w:after="0" w:line="271" w:lineRule="auto"/>
        <w:rPr>
          <w:sz w:val="20"/>
          <w:szCs w:val="20"/>
          <w:color w:val="auto"/>
        </w:rPr>
      </w:pPr>
      <w:r>
        <w:rPr>
          <w:rFonts w:ascii="Arial" w:cs="Arial" w:eastAsia="Arial" w:hAnsi="Arial"/>
          <w:sz w:val="16"/>
          <w:szCs w:val="16"/>
          <w:color w:val="auto"/>
        </w:rPr>
        <w:t xml:space="preserve">August 2008. See Item 1, </w:t>
      </w:r>
      <w:r>
        <w:rPr>
          <w:rFonts w:ascii="Arial" w:cs="Arial" w:eastAsia="Arial" w:hAnsi="Arial"/>
          <w:sz w:val="16"/>
          <w:szCs w:val="16"/>
          <w:i w:val="1"/>
          <w:iCs w:val="1"/>
          <w:color w:val="auto"/>
        </w:rPr>
        <w:t>Business — Regulation — Regulation of Federal Student Financial Aid Programs</w:t>
      </w:r>
      <w:r>
        <w:rPr>
          <w:rFonts w:ascii="Arial" w:cs="Arial" w:eastAsia="Arial" w:hAnsi="Arial"/>
          <w:sz w:val="16"/>
          <w:szCs w:val="16"/>
          <w:color w:val="auto"/>
        </w:rPr>
        <w:t>. In addition, Congress must determine funding levels for the Title IV programs on an annual basis through the budget and appropriations process,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or otherwise requires us to modify our practices with respect to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w:t>
      </w:r>
    </w:p>
    <w:p>
      <w:pPr>
        <w:spacing w:after="0" w:line="147" w:lineRule="exact"/>
        <w:rPr>
          <w:sz w:val="20"/>
          <w:szCs w:val="20"/>
          <w:color w:val="auto"/>
        </w:rPr>
      </w:pPr>
    </w:p>
    <w:p>
      <w:pPr>
        <w:jc w:val="both"/>
        <w:ind w:left="320" w:right="939"/>
        <w:spacing w:after="0" w:line="264" w:lineRule="auto"/>
        <w:rPr>
          <w:sz w:val="20"/>
          <w:szCs w:val="20"/>
          <w:color w:val="auto"/>
        </w:rPr>
      </w:pPr>
      <w:r>
        <w:rPr>
          <w:rFonts w:ascii="Arial" w:cs="Arial" w:eastAsia="Arial" w:hAnsi="Arial"/>
          <w:sz w:val="17"/>
          <w:szCs w:val="17"/>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37"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200" w:lineRule="exact"/>
        <w:rPr>
          <w:sz w:val="20"/>
          <w:szCs w:val="20"/>
          <w:color w:val="auto"/>
        </w:rPr>
      </w:pPr>
    </w:p>
    <w:p>
      <w:pPr>
        <w:spacing w:after="0" w:line="3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spacing w:after="0" w:line="264" w:lineRule="auto"/>
        <w:rPr>
          <w:sz w:val="20"/>
          <w:szCs w:val="20"/>
          <w:color w:val="auto"/>
        </w:rPr>
      </w:pPr>
      <w:r>
        <w:rPr>
          <w:rFonts w:ascii="Arial" w:cs="Arial" w:eastAsia="Arial" w:hAnsi="Arial"/>
          <w:sz w:val="17"/>
          <w:szCs w:val="17"/>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50"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44" w:lineRule="exact"/>
        <w:rPr>
          <w:sz w:val="20"/>
          <w:szCs w:val="20"/>
          <w:color w:val="auto"/>
        </w:rPr>
      </w:pPr>
    </w:p>
    <w:p>
      <w:pPr>
        <w:ind w:left="320" w:right="1119"/>
        <w:spacing w:after="0" w:line="309" w:lineRule="auto"/>
        <w:rPr>
          <w:sz w:val="20"/>
          <w:szCs w:val="20"/>
          <w:color w:val="auto"/>
        </w:rPr>
      </w:pPr>
      <w:r>
        <w:rPr>
          <w:rFonts w:ascii="Arial" w:cs="Arial" w:eastAsia="Arial" w:hAnsi="Arial"/>
          <w:sz w:val="16"/>
          <w:szCs w:val="16"/>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03" w:lineRule="exact"/>
        <w:rPr>
          <w:sz w:val="20"/>
          <w:szCs w:val="20"/>
          <w:color w:val="auto"/>
        </w:rPr>
      </w:pPr>
    </w:p>
    <w:p>
      <w:pPr>
        <w:ind w:left="320" w:right="739" w:firstLine="369"/>
        <w:spacing w:after="0" w:line="271"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8"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In December 2009, the Department of Education issued an “Alert Memorandum,” calling into question the Higher Learning Commission’s compliance with the applicable Department of Education regulations related to the Higher Learning Commission’s status as recognized by the Department of Education. Specifically, in matters unrelated to us, the Department of Education Office of Inspector General asserted that the Higher Learning Commission did not make appropriate assessments as to credit hours with respect to the distance education programs of one of Higher Learning Commission’s accredited institutions and, as such, the Office of Inspector General recommended that the Department of Education take action to terminate the Higher Learning Commission’s recognition by the Secretary of Education. At this point, we do not know if this matter will be resolved and we are unable to speculate as to the impact on us or other institutions accredited by the Higher Learning Commission if the Higher Learning Commission were to be de-recognized as an accrediting commission by the Department of Education.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If we do not maintain our state authorization in Arizona, we may not operate or participate in the Title IV programs.</w:t>
      </w:r>
    </w:p>
    <w:p>
      <w:pPr>
        <w:spacing w:after="0" w:line="188" w:lineRule="exact"/>
        <w:rPr>
          <w:sz w:val="20"/>
          <w:szCs w:val="20"/>
          <w:color w:val="auto"/>
        </w:rPr>
      </w:pPr>
    </w:p>
    <w:p>
      <w:pPr>
        <w:ind w:left="320" w:right="679" w:firstLine="369"/>
        <w:spacing w:after="0" w:line="273"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spacing w:after="0" w:line="346" w:lineRule="auto"/>
        <w:rPr>
          <w:sz w:val="20"/>
          <w:szCs w:val="20"/>
          <w:color w:val="auto"/>
        </w:rPr>
      </w:pPr>
      <w:r>
        <w:rPr>
          <w:rFonts w:ascii="Arial" w:cs="Arial" w:eastAsia="Arial" w:hAnsi="Arial"/>
          <w:sz w:val="15"/>
          <w:szCs w:val="15"/>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92" w:lineRule="exact"/>
        <w:rPr>
          <w:sz w:val="20"/>
          <w:szCs w:val="20"/>
          <w:color w:val="auto"/>
        </w:rPr>
      </w:pPr>
    </w:p>
    <w:p>
      <w:pPr>
        <w:ind w:left="320" w:right="679" w:firstLine="369"/>
        <w:spacing w:after="0" w:line="289" w:lineRule="auto"/>
        <w:rPr>
          <w:sz w:val="20"/>
          <w:szCs w:val="20"/>
          <w:color w:val="auto"/>
        </w:rPr>
      </w:pPr>
      <w:r>
        <w:rPr>
          <w:rFonts w:ascii="Arial" w:cs="Arial" w:eastAsia="Arial" w:hAnsi="Arial"/>
          <w:sz w:val="15"/>
          <w:szCs w:val="15"/>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20"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like we are,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w:t>
      </w:r>
    </w:p>
    <w:p>
      <w:pPr>
        <w:spacing w:after="0" w:line="133" w:lineRule="exact"/>
        <w:rPr>
          <w:sz w:val="20"/>
          <w:szCs w:val="20"/>
          <w:color w:val="auto"/>
        </w:rPr>
      </w:pPr>
    </w:p>
    <w:p>
      <w:pPr>
        <w:ind w:left="320" w:right="779" w:firstLine="369"/>
        <w:spacing w:after="0" w:line="292" w:lineRule="auto"/>
        <w:rPr>
          <w:sz w:val="20"/>
          <w:szCs w:val="20"/>
          <w:color w:val="auto"/>
        </w:rPr>
      </w:pPr>
      <w:r>
        <w:rPr>
          <w:rFonts w:ascii="Arial" w:cs="Arial" w:eastAsia="Arial" w:hAnsi="Arial"/>
          <w:sz w:val="15"/>
          <w:szCs w:val="15"/>
          <w:color w:val="auto"/>
        </w:rPr>
        <w:t>In connection with our initial public offering in November 2008 and our secondary offering in September 2009, Brent D. Richardson, our Executive Chairman, and Christopher C. Richardson, our General Counsel and a director (collectively, the “Richardson Voting Group”), had entered into voting agreements with certain stockholders. Pursuant to these agreements, certain of our stockholders granted to the Richardson Voting Group a five-year irrevocable proxy to exercise voting authority with respect to certain shares of our common stock held by such persons, for so long as such shares are held by such persons. The voting agreements do not apply to any shares held by any such person that are transferred in open-market or other transactions. The number of shares over which the Richardson Voting Group continues to hold voting power will decrease over time as shares held by other parties to the voting agreement are sold, which sales we may be not be aware of since many of the shares held by such other parties are held in “street name.” Pursuant to these agreements, however, following each offering and through January 11, 2011, the Richardson Voting Group continued to control the voting power of more than 25% of our total outstanding voting stock.</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88" w:lineRule="auto"/>
        <w:rPr>
          <w:sz w:val="20"/>
          <w:szCs w:val="20"/>
          <w:color w:val="auto"/>
        </w:rPr>
      </w:pPr>
      <w:r>
        <w:rPr>
          <w:rFonts w:ascii="Arial" w:cs="Arial" w:eastAsia="Arial" w:hAnsi="Arial"/>
          <w:sz w:val="15"/>
          <w:szCs w:val="15"/>
          <w:color w:val="auto"/>
        </w:rPr>
        <w:t>To avoid an unplanned change in control from occurring and to allow the Richardsons and other stockholders party to the agreements flexibility to sell shares without causing an unplanned change in control, we submitted a notice to the Department of Education informing it of the Richardson Voting Group’s intention to terminate the voting agreements, which would trigger a change in control because it would cause the Richardson Voting Group to own and control less than 25% of our outstanding voting stock, and requesting that the Department of Education review such proposed terminations and advise us as to the effect of such terminations on our eligibility to participate in the Title IV programs, particularly in light of our pending application for recertification (discussed below). In December 2010, the Department of Education responded to our request in writing and informed us that, consistent with Department of Education regulations, if we notified the Department of Education of the change in control and filed a timely and materially complete application within ten business days after the change in control occurs, the Department of Education may temporarily certify us on a provisional basis following the change in control, so that our students would retain access to Title IV program funds until the Department of Education completed its full review. In addition, the Department of Education informed us that it may extend our temporary provisional certification if we timely filed other required materials by the last day of the month following the month in which the change in control occurred, including any approval of the change in control by the Higher Learning Commission (our accrediting commission) and the Arizona State Board for Private Postsecondary Education (our state licensing agency), as required, and certain required financial information (consisting of our recent SEC filings) showing our financial condition. The Department of Education’s letter did not indicate any intention to impose any conditions (such as any letter of credit requirement) or other restrictions on us as a result of the change in control. Accordingly, following receipt of the Department of Education’s letter, the approval of the Higher Learning Commission to terminate the voting agreements and confirmation from the Arizona State Board for Private Postsecondary Education that terminating the voting agreements will not be considered a change in control, the Richardson Voting Group terminated the voting agreements effective January 12, 2011. On that same day, we filed our complete application and all other required information with the Department of Education.</w:t>
      </w:r>
    </w:p>
    <w:p>
      <w:pPr>
        <w:spacing w:after="0" w:line="348"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 xml:space="preserve">Following the completion of the Department of Education’s review of the information that we have provided in connection with the termination of the voting agreements, it would normally certify us on a provisional basis for a period of up to approximately three years. The precise conditions and restrictions, if any, and duration of any provisional certification granted in this circumstance, however, are difficult to predict because we already are, and have been for an extended period, provisionally certified on a month-to-month basis. We do not believe that our continued provisional certification on a month-to-month basis, following the change in control or otherwise, has had or will have any material impact on our day-to-day operations. However, there can be no assurance that the Department of Education will recertify us or that it will not impose conditions or other restrictions on us as a condition of granting us provisional certification following the change in control or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 See Item 1, </w:t>
      </w:r>
      <w:r>
        <w:rPr>
          <w:rFonts w:ascii="Arial" w:cs="Arial" w:eastAsia="Arial" w:hAnsi="Arial"/>
          <w:sz w:val="16"/>
          <w:szCs w:val="16"/>
          <w:i w:val="1"/>
          <w:iCs w:val="1"/>
          <w:color w:val="auto"/>
        </w:rPr>
        <w:t>Business — Regulation — Regulatory Standards that May Restrict Institutional Expansion or Other</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 Change in ownership resulting in a change in control</w:t>
      </w:r>
      <w:r>
        <w:rPr>
          <w:rFonts w:ascii="Arial" w:cs="Arial" w:eastAsia="Arial" w:hAnsi="Arial"/>
          <w:sz w:val="16"/>
          <w:szCs w:val="16"/>
          <w:color w:val="auto"/>
        </w:rPr>
        <w:t>.</w:t>
      </w:r>
    </w:p>
    <w:p>
      <w:pPr>
        <w:spacing w:after="0" w:line="141" w:lineRule="exact"/>
        <w:rPr>
          <w:sz w:val="20"/>
          <w:szCs w:val="20"/>
          <w:color w:val="auto"/>
        </w:rPr>
      </w:pPr>
    </w:p>
    <w:p>
      <w:pPr>
        <w:ind w:left="320" w:right="759"/>
        <w:spacing w:after="0" w:line="277" w:lineRule="auto"/>
        <w:rPr>
          <w:sz w:val="20"/>
          <w:szCs w:val="20"/>
          <w:color w:val="auto"/>
        </w:rPr>
      </w:pPr>
      <w:r>
        <w:rPr>
          <w:rFonts w:ascii="Arial" w:cs="Arial" w:eastAsia="Arial" w:hAnsi="Arial"/>
          <w:sz w:val="17"/>
          <w:szCs w:val="17"/>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26" w:lineRule="exact"/>
        <w:rPr>
          <w:sz w:val="20"/>
          <w:szCs w:val="20"/>
          <w:color w:val="auto"/>
        </w:rPr>
      </w:pPr>
    </w:p>
    <w:p>
      <w:pPr>
        <w:ind w:left="320" w:right="719" w:firstLine="369"/>
        <w:spacing w:after="0" w:line="270" w:lineRule="auto"/>
        <w:rPr>
          <w:sz w:val="20"/>
          <w:szCs w:val="20"/>
          <w:color w:val="auto"/>
        </w:rPr>
      </w:pPr>
      <w:r>
        <w:rPr>
          <w:rFonts w:ascii="Arial" w:cs="Arial" w:eastAsia="Arial" w:hAnsi="Arial"/>
          <w:sz w:val="16"/>
          <w:szCs w:val="16"/>
          <w:color w:val="auto"/>
        </w:rPr>
        <w:t xml:space="preserve">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In addition, the Department of Education has adopted new regulations that require online providers to meet any such state requirements and, thus, the Department of Education would seem to have authority, in addition to that of the states, to enforce applicable state law requirements. See Item 1. </w:t>
      </w:r>
      <w:r>
        <w:rPr>
          <w:rFonts w:ascii="Arial" w:cs="Arial" w:eastAsia="Arial" w:hAnsi="Arial"/>
          <w:sz w:val="16"/>
          <w:szCs w:val="16"/>
          <w:i w:val="1"/>
          <w:iCs w:val="1"/>
          <w:color w:val="auto"/>
        </w:rPr>
        <w:t>Business — Regulation — New and</w:t>
      </w:r>
      <w:r>
        <w:rPr>
          <w:rFonts w:ascii="Arial" w:cs="Arial" w:eastAsia="Arial" w:hAnsi="Arial"/>
          <w:sz w:val="16"/>
          <w:szCs w:val="16"/>
          <w:color w:val="auto"/>
        </w:rPr>
        <w:t xml:space="preserve"> </w:t>
      </w:r>
      <w:r>
        <w:rPr>
          <w:rFonts w:ascii="Arial" w:cs="Arial" w:eastAsia="Arial" w:hAnsi="Arial"/>
          <w:sz w:val="16"/>
          <w:szCs w:val="16"/>
          <w:i w:val="1"/>
          <w:iCs w:val="1"/>
          <w:color w:val="auto"/>
        </w:rPr>
        <w:t>Pending Regulations — State authorization</w:t>
      </w:r>
      <w:r>
        <w:rPr>
          <w:rFonts w:ascii="Arial" w:cs="Arial" w:eastAsia="Arial" w:hAnsi="Arial"/>
          <w:sz w:val="16"/>
          <w:szCs w:val="16"/>
          <w:color w:val="auto"/>
        </w:rPr>
        <w:t>. Because state regulatory requirements for online education vary among the states,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In the future, states could coordinate their efforts in order to more aggressively attempt to regulate or restrict schools’ offering of online education.</w:t>
      </w: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89" w:lineRule="auto"/>
        <w:rPr>
          <w:sz w:val="20"/>
          <w:szCs w:val="20"/>
          <w:color w:val="auto"/>
        </w:rPr>
      </w:pPr>
      <w:r>
        <w:rPr>
          <w:rFonts w:ascii="Arial" w:cs="Arial" w:eastAsia="Arial" w:hAnsi="Arial"/>
          <w:sz w:val="15"/>
          <w:szCs w:val="15"/>
          <w:color w:val="auto"/>
        </w:rPr>
        <w:t>In addition to Arizona, we have determined that our activities in certain states constitute a presence requiring licensure or authorization under the requirements of the state education agency in those states, which we have obtained. In certain other states, we have obtained approvals to operate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new Department of Education regulation,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8" w:lineRule="exact"/>
        <w:rPr>
          <w:sz w:val="20"/>
          <w:szCs w:val="20"/>
          <w:color w:val="auto"/>
        </w:rPr>
      </w:pPr>
    </w:p>
    <w:p>
      <w:pPr>
        <w:ind w:left="320" w:right="679" w:firstLine="369"/>
        <w:spacing w:after="0" w:line="264" w:lineRule="auto"/>
        <w:rPr>
          <w:sz w:val="20"/>
          <w:szCs w:val="20"/>
          <w:color w:val="auto"/>
        </w:rPr>
      </w:pPr>
      <w:r>
        <w:rPr>
          <w:rFonts w:ascii="Arial" w:cs="Arial" w:eastAsia="Arial" w:hAnsi="Arial"/>
          <w:sz w:val="17"/>
          <w:szCs w:val="17"/>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37" w:lineRule="exact"/>
        <w:rPr>
          <w:sz w:val="20"/>
          <w:szCs w:val="20"/>
          <w:color w:val="auto"/>
        </w:rPr>
      </w:pPr>
    </w:p>
    <w:p>
      <w:pPr>
        <w:ind w:left="320" w:right="1199"/>
        <w:spacing w:after="0" w:line="309" w:lineRule="auto"/>
        <w:rPr>
          <w:sz w:val="20"/>
          <w:szCs w:val="20"/>
          <w:color w:val="auto"/>
        </w:rPr>
      </w:pPr>
      <w:r>
        <w:rPr>
          <w:rFonts w:ascii="Arial" w:cs="Arial" w:eastAsia="Arial" w:hAnsi="Arial"/>
          <w:sz w:val="16"/>
          <w:szCs w:val="16"/>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03"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30" w:lineRule="exact"/>
        <w:rPr>
          <w:sz w:val="20"/>
          <w:szCs w:val="20"/>
          <w:color w:val="auto"/>
        </w:rPr>
      </w:pPr>
    </w:p>
    <w:p>
      <w:pPr>
        <w:ind w:left="320" w:right="899"/>
        <w:spacing w:after="0" w:line="346" w:lineRule="auto"/>
        <w:rPr>
          <w:sz w:val="20"/>
          <w:szCs w:val="20"/>
          <w:color w:val="auto"/>
        </w:rPr>
      </w:pPr>
      <w:r>
        <w:rPr>
          <w:rFonts w:ascii="Arial" w:cs="Arial" w:eastAsia="Arial" w:hAnsi="Arial"/>
          <w:sz w:val="14"/>
          <w:szCs w:val="14"/>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86" w:lineRule="exact"/>
        <w:rPr>
          <w:sz w:val="20"/>
          <w:szCs w:val="20"/>
          <w:color w:val="auto"/>
        </w:rPr>
      </w:pPr>
    </w:p>
    <w:p>
      <w:pPr>
        <w:ind w:left="320" w:right="719" w:firstLine="369"/>
        <w:spacing w:after="0" w:line="297" w:lineRule="auto"/>
        <w:rPr>
          <w:sz w:val="20"/>
          <w:szCs w:val="20"/>
          <w:color w:val="auto"/>
        </w:rPr>
      </w:pPr>
      <w:r>
        <w:rPr>
          <w:rFonts w:ascii="Arial" w:cs="Arial" w:eastAsia="Arial" w:hAnsi="Arial"/>
          <w:sz w:val="15"/>
          <w:szCs w:val="15"/>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Item 1, </w:t>
      </w:r>
      <w:r>
        <w:rPr>
          <w:rFonts w:ascii="Arial" w:cs="Arial" w:eastAsia="Arial" w:hAnsi="Arial"/>
          <w:sz w:val="15"/>
          <w:szCs w:val="15"/>
          <w:i w:val="1"/>
          <w:iCs w:val="1"/>
          <w:color w:val="auto"/>
        </w:rPr>
        <w:t xml:space="preserve">Business — Regulation — Regulation of Federal Student Financial Aid Programs. </w:t>
      </w:r>
      <w:r>
        <w:rPr>
          <w:rFonts w:ascii="Arial" w:cs="Arial" w:eastAsia="Arial" w:hAnsi="Arial"/>
          <w:sz w:val="15"/>
          <w:szCs w:val="15"/>
          <w:color w:val="auto"/>
        </w:rPr>
        <w:t>As we grow larger, this scrutiny of our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may increase. See Item 1A, </w:t>
      </w:r>
      <w:r>
        <w:rPr>
          <w:rFonts w:ascii="Arial" w:cs="Arial" w:eastAsia="Arial" w:hAnsi="Arial"/>
          <w:sz w:val="15"/>
          <w:szCs w:val="15"/>
          <w:i w:val="1"/>
          <w:iCs w:val="1"/>
          <w:color w:val="auto"/>
        </w:rPr>
        <w:t>Risk Factors — The Department of Education is conducting a program review of Grand Canyon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University, which may result in fines, penalties, other sanctions, and damage to our reputation in the industry. </w:t>
      </w:r>
      <w:r>
        <w:rPr>
          <w:rFonts w:ascii="Arial" w:cs="Arial" w:eastAsia="Arial" w:hAnsi="Arial"/>
          <w:sz w:val="15"/>
          <w:szCs w:val="15"/>
          <w:color w:val="auto"/>
        </w:rPr>
        <w:t>If the result of any such</w:t>
      </w: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59"/>
        <w:spacing w:after="0" w:line="255" w:lineRule="auto"/>
        <w:rPr>
          <w:sz w:val="20"/>
          <w:szCs w:val="20"/>
          <w:color w:val="auto"/>
        </w:rPr>
      </w:pPr>
      <w:r>
        <w:rPr>
          <w:rFonts w:ascii="Arial" w:cs="Arial" w:eastAsia="Arial" w:hAnsi="Arial"/>
          <w:sz w:val="17"/>
          <w:szCs w:val="17"/>
          <w:color w:val="auto"/>
        </w:rPr>
        <w:t>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59" w:lineRule="exact"/>
        <w:rPr>
          <w:sz w:val="20"/>
          <w:szCs w:val="20"/>
          <w:color w:val="auto"/>
        </w:rPr>
      </w:pPr>
    </w:p>
    <w:p>
      <w:pPr>
        <w:ind w:left="320" w:right="779"/>
        <w:spacing w:after="0" w:line="264" w:lineRule="auto"/>
        <w:rPr>
          <w:sz w:val="20"/>
          <w:szCs w:val="20"/>
          <w:color w:val="auto"/>
        </w:rPr>
      </w:pPr>
      <w:r>
        <w:rPr>
          <w:rFonts w:ascii="Arial" w:cs="Arial" w:eastAsia="Arial" w:hAnsi="Arial"/>
          <w:sz w:val="17"/>
          <w:szCs w:val="17"/>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137" w:lineRule="exact"/>
        <w:rPr>
          <w:sz w:val="20"/>
          <w:szCs w:val="20"/>
          <w:color w:val="auto"/>
        </w:rPr>
      </w:pPr>
    </w:p>
    <w:p>
      <w:pPr>
        <w:ind w:left="320" w:right="759" w:firstLine="369"/>
        <w:spacing w:after="0" w:line="274"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32" w:lineRule="exact"/>
        <w:rPr>
          <w:sz w:val="20"/>
          <w:szCs w:val="20"/>
          <w:color w:val="auto"/>
        </w:rPr>
      </w:pPr>
    </w:p>
    <w:p>
      <w:pPr>
        <w:ind w:left="320" w:right="1079"/>
        <w:spacing w:after="0" w:line="346" w:lineRule="auto"/>
        <w:rPr>
          <w:sz w:val="20"/>
          <w:szCs w:val="20"/>
          <w:color w:val="auto"/>
        </w:rPr>
      </w:pPr>
      <w:r>
        <w:rPr>
          <w:rFonts w:ascii="Arial" w:cs="Arial" w:eastAsia="Arial" w:hAnsi="Arial"/>
          <w:sz w:val="15"/>
          <w:szCs w:val="15"/>
          <w:b w:val="1"/>
          <w:bCs w:val="1"/>
          <w:i w:val="1"/>
          <w:iCs w:val="1"/>
          <w:color w:val="auto"/>
        </w:rPr>
        <w:t>If our students were unable to obtain private loans from third-party lenders, or the costs for such loans increase, our business could be adversely affected given our students’ reliance on such loans to satisfy their educational expenses.</w:t>
      </w:r>
    </w:p>
    <w:p>
      <w:pPr>
        <w:spacing w:after="0" w:line="92" w:lineRule="exact"/>
        <w:rPr>
          <w:sz w:val="20"/>
          <w:szCs w:val="20"/>
          <w:color w:val="auto"/>
        </w:rPr>
      </w:pPr>
    </w:p>
    <w:p>
      <w:pPr>
        <w:ind w:left="320" w:right="679" w:firstLine="369"/>
        <w:spacing w:after="0" w:line="288" w:lineRule="auto"/>
        <w:rPr>
          <w:sz w:val="20"/>
          <w:szCs w:val="20"/>
          <w:color w:val="auto"/>
        </w:rPr>
      </w:pPr>
      <w:r>
        <w:rPr>
          <w:rFonts w:ascii="Arial" w:cs="Arial" w:eastAsia="Arial" w:hAnsi="Arial"/>
          <w:sz w:val="15"/>
          <w:szCs w:val="15"/>
          <w:color w:val="auto"/>
        </w:rPr>
        <w:t>Some of our students finance their education through private loans that are not subsidized. During the fiscal year ended December 31, 2010 and 2009, private loans to students at our school represented less than 1% of our net revenues (calculated based on net revenues from our income statement).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 and related proposed and final regulations place significant new restrictions on the relationships between institutions and the providers of private loans, and require that certain specific terms and disclosures accompany such loans. If our students’ or our students’ parents’ employment circumstances are adversely affected by regional or national economic downturns, our students may become more heavily dependent on student loans. At the same time, however, the increased regulatory burden has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 In addition,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279"/>
        <w:spacing w:after="0" w:line="277" w:lineRule="auto"/>
        <w:rPr>
          <w:sz w:val="20"/>
          <w:szCs w:val="20"/>
          <w:color w:val="auto"/>
        </w:rPr>
      </w:pPr>
      <w:r>
        <w:rPr>
          <w:rFonts w:ascii="Arial" w:cs="Arial" w:eastAsia="Arial" w:hAnsi="Arial"/>
          <w:sz w:val="17"/>
          <w:szCs w:val="17"/>
          <w:b w:val="1"/>
          <w:bCs w:val="1"/>
          <w:i w:val="1"/>
          <w:iCs w:val="1"/>
          <w:color w:val="auto"/>
        </w:rPr>
        <w:t>Our reputation and our stock price may be negatively affected by adverse publicity or by the actions of other postsecondary educational institutions.</w:t>
      </w:r>
    </w:p>
    <w:p>
      <w:pPr>
        <w:spacing w:after="0" w:line="139"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color w:val="auto"/>
        </w:rPr>
        <w:t>In addition to the Congressional and regulatory activities focused on for-profit educational institutions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23" w:lineRule="exact"/>
        <w:rPr>
          <w:sz w:val="20"/>
          <w:szCs w:val="20"/>
          <w:color w:val="auto"/>
        </w:rPr>
      </w:pPr>
    </w:p>
    <w:p>
      <w:pPr>
        <w:ind w:left="320" w:right="799"/>
        <w:spacing w:after="0" w:line="277" w:lineRule="auto"/>
        <w:rPr>
          <w:sz w:val="20"/>
          <w:szCs w:val="20"/>
          <w:color w:val="auto"/>
        </w:rPr>
      </w:pPr>
      <w:r>
        <w:rPr>
          <w:rFonts w:ascii="Arial" w:cs="Arial" w:eastAsia="Arial" w:hAnsi="Arial"/>
          <w:sz w:val="17"/>
          <w:szCs w:val="17"/>
          <w:b w:val="1"/>
          <w:bCs w:val="1"/>
          <w:i w:val="1"/>
          <w:iCs w:val="1"/>
          <w:color w:val="auto"/>
        </w:rPr>
        <w:t>If the percentage of our revenue that is derived from the Title IV programs is too high, we may lose our eligibility to participate in those programs.</w:t>
      </w:r>
    </w:p>
    <w:p>
      <w:pPr>
        <w:spacing w:after="0" w:line="126" w:lineRule="exact"/>
        <w:rPr>
          <w:sz w:val="20"/>
          <w:szCs w:val="20"/>
          <w:color w:val="auto"/>
        </w:rPr>
      </w:pPr>
    </w:p>
    <w:p>
      <w:pPr>
        <w:ind w:left="320" w:right="679" w:firstLine="369"/>
        <w:spacing w:after="0" w:line="269"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financial statements.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 including provisions that allow institutions, when calculating their compliance with this revenue test, to exclude from their Title IV program revenue for a three-year period ending June 30, 2011 the additional federal student loan amounts that became available through the Unsubsidized Stafford Loan Program starting in July 2008, and to include more non-Title IV revenue, such as revenue from institutional loans under certain circumstances. Given the level of complexity of this calculation we are unable to quantify precisely the benefit that we have derived or will derive in the 90/10 percentage from these temporary exclusions. As such, our reported rates below exclude the benefits from these exclusions. Using the Department of Education’s cash-basis, regulatory formula under the “90/10 Rule” that was in effect prior to the August 2008 reauthorization of the Higher Education Act, for our 2010, 2009 and 2008 fiscal years, we derived approximately 84.9%, 82.5%, and 78.6%, respectively, of our 90/10 Rule revenue from Title IV program funds. As a result of recent changes in federal law that increased Title IV grant and loan limits, as well as the recent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lose our eligibility to participate in the Title IV programs if our student loan default rates are too high.</w:t>
      </w:r>
    </w:p>
    <w:p>
      <w:pPr>
        <w:spacing w:after="0" w:line="189" w:lineRule="exact"/>
        <w:rPr>
          <w:sz w:val="20"/>
          <w:szCs w:val="20"/>
          <w:color w:val="auto"/>
        </w:rPr>
      </w:pPr>
    </w:p>
    <w:p>
      <w:pPr>
        <w:ind w:left="320" w:right="679" w:firstLine="369"/>
        <w:spacing w:after="0" w:line="288" w:lineRule="auto"/>
        <w:rPr>
          <w:sz w:val="20"/>
          <w:szCs w:val="20"/>
          <w:color w:val="auto"/>
        </w:rPr>
      </w:pPr>
      <w:r>
        <w:rPr>
          <w:rFonts w:ascii="Arial" w:cs="Arial" w:eastAsia="Arial" w:hAnsi="Arial"/>
          <w:sz w:val="15"/>
          <w:szCs w:val="15"/>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2009 federal fiscal year to increase (but remain well below the Department of Education’s thresholds) due primarily to the impact of current economic conditions on our students and former students. Our cohort default rates, under the two-year method, on federal student loans for the 2008, 2007, and 2006 federal fiscal years, the three most recent years for which such rates have been calculated, were 3.4%, 1.4%, and 1.6%, respectively. Our trial cohort default rates, under the three-year method, for the 2008, 2007, and 2006 federal fiscal years, as issued by the Department of Education in January 2011, were 8.4%, 2.9%, and 2.7%, respectively.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30" w:lineRule="exact"/>
        <w:rPr>
          <w:sz w:val="20"/>
          <w:szCs w:val="20"/>
          <w:color w:val="auto"/>
        </w:rPr>
      </w:pPr>
    </w:p>
    <w:p>
      <w:pPr>
        <w:ind w:left="320" w:right="979"/>
        <w:spacing w:after="0" w:line="277" w:lineRule="auto"/>
        <w:rPr>
          <w:sz w:val="20"/>
          <w:szCs w:val="20"/>
          <w:color w:val="auto"/>
        </w:rPr>
      </w:pPr>
      <w:r>
        <w:rPr>
          <w:rFonts w:ascii="Arial" w:cs="Arial" w:eastAsia="Arial" w:hAnsi="Arial"/>
          <w:sz w:val="17"/>
          <w:szCs w:val="17"/>
          <w:b w:val="1"/>
          <w:bCs w:val="1"/>
          <w:i w:val="1"/>
          <w:iCs w:val="1"/>
          <w:color w:val="auto"/>
        </w:rPr>
        <w:t>We are subject to sanctions if we fail to correctly calculate and timely return Title IV program funds for students who withdraw before completing their educational program.</w:t>
      </w:r>
    </w:p>
    <w:p>
      <w:pPr>
        <w:spacing w:after="0" w:line="126" w:lineRule="exact"/>
        <w:rPr>
          <w:sz w:val="20"/>
          <w:szCs w:val="20"/>
          <w:color w:val="auto"/>
        </w:rPr>
      </w:pPr>
    </w:p>
    <w:p>
      <w:pPr>
        <w:ind w:left="320" w:right="679" w:firstLine="369"/>
        <w:spacing w:after="0" w:line="293" w:lineRule="auto"/>
        <w:rPr>
          <w:sz w:val="20"/>
          <w:szCs w:val="20"/>
          <w:color w:val="auto"/>
        </w:rPr>
      </w:pPr>
      <w:r>
        <w:rPr>
          <w:rFonts w:ascii="Arial" w:cs="Arial" w:eastAsia="Arial" w:hAnsi="Arial"/>
          <w:sz w:val="15"/>
          <w:szCs w:val="15"/>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30" w:lineRule="exact"/>
        <w:rPr>
          <w:sz w:val="20"/>
          <w:szCs w:val="20"/>
          <w:color w:val="auto"/>
        </w:rPr>
      </w:pPr>
    </w:p>
    <w:p>
      <w:pPr>
        <w:ind w:left="320" w:right="899"/>
        <w:spacing w:after="0" w:line="264" w:lineRule="auto"/>
        <w:rPr>
          <w:sz w:val="20"/>
          <w:szCs w:val="20"/>
          <w:color w:val="auto"/>
        </w:rPr>
      </w:pPr>
      <w:r>
        <w:rPr>
          <w:rFonts w:ascii="Arial" w:cs="Arial" w:eastAsia="Arial" w:hAnsi="Arial"/>
          <w:sz w:val="17"/>
          <w:szCs w:val="17"/>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37" w:lineRule="exact"/>
        <w:rPr>
          <w:sz w:val="20"/>
          <w:szCs w:val="20"/>
          <w:color w:val="auto"/>
        </w:rPr>
      </w:pPr>
    </w:p>
    <w:p>
      <w:pPr>
        <w:ind w:left="320" w:right="779" w:firstLine="369"/>
        <w:spacing w:after="0" w:line="273" w:lineRule="auto"/>
        <w:rPr>
          <w:sz w:val="20"/>
          <w:szCs w:val="20"/>
          <w:color w:val="auto"/>
        </w:rPr>
      </w:pPr>
      <w:r>
        <w:rPr>
          <w:rFonts w:ascii="Arial" w:cs="Arial" w:eastAsia="Arial" w:hAnsi="Arial"/>
          <w:sz w:val="16"/>
          <w:szCs w:val="16"/>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79"/>
        <w:spacing w:after="0" w:line="277" w:lineRule="auto"/>
        <w:rPr>
          <w:sz w:val="20"/>
          <w:szCs w:val="20"/>
          <w:color w:val="auto"/>
        </w:rPr>
      </w:pPr>
      <w:r>
        <w:rPr>
          <w:rFonts w:ascii="Arial" w:cs="Arial" w:eastAsia="Arial" w:hAnsi="Arial"/>
          <w:sz w:val="17"/>
          <w:szCs w:val="17"/>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39" w:lineRule="exact"/>
        <w:rPr>
          <w:sz w:val="20"/>
          <w:szCs w:val="20"/>
          <w:color w:val="auto"/>
        </w:rPr>
      </w:pPr>
    </w:p>
    <w:p>
      <w:pPr>
        <w:ind w:left="320" w:right="739" w:firstLine="369"/>
        <w:spacing w:after="0" w:line="256" w:lineRule="auto"/>
        <w:rPr>
          <w:sz w:val="20"/>
          <w:szCs w:val="20"/>
          <w:color w:val="auto"/>
        </w:rPr>
      </w:pPr>
      <w:r>
        <w:rPr>
          <w:rFonts w:ascii="Arial" w:cs="Arial" w:eastAsia="Arial" w:hAnsi="Arial"/>
          <w:sz w:val="17"/>
          <w:szCs w:val="17"/>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Our Business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success depends, in part, on the effectiveness of our marketing and advertising programs in recruiting new students.</w:t>
      </w:r>
    </w:p>
    <w:p>
      <w:pPr>
        <w:spacing w:after="0" w:line="212" w:lineRule="exact"/>
        <w:rPr>
          <w:sz w:val="20"/>
          <w:szCs w:val="20"/>
          <w:color w:val="auto"/>
        </w:rPr>
      </w:pPr>
    </w:p>
    <w:p>
      <w:pPr>
        <w:ind w:left="320" w:right="839" w:firstLine="369"/>
        <w:spacing w:after="0" w:line="260" w:lineRule="auto"/>
        <w:rPr>
          <w:sz w:val="20"/>
          <w:szCs w:val="20"/>
          <w:color w:val="auto"/>
        </w:rPr>
      </w:pPr>
      <w:r>
        <w:rPr>
          <w:rFonts w:ascii="Arial" w:cs="Arial" w:eastAsia="Arial" w:hAnsi="Arial"/>
          <w:sz w:val="17"/>
          <w:szCs w:val="17"/>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140" w:lineRule="exact"/>
        <w:rPr>
          <w:sz w:val="20"/>
          <w:szCs w:val="20"/>
          <w:color w:val="auto"/>
        </w:rPr>
      </w:pPr>
    </w:p>
    <w:p>
      <w:pPr>
        <w:ind w:left="1400" w:right="739" w:hanging="359"/>
        <w:spacing w:after="0" w:line="277" w:lineRule="auto"/>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the reduced availability of, or higher interest rates and other costs associated with, Title IV loan funds or other sources of financial aid;</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the emergence of more successful competitors;</w:t>
      </w:r>
    </w:p>
    <w:p>
      <w:pPr>
        <w:spacing w:after="0" w:line="189" w:lineRule="exact"/>
        <w:rPr>
          <w:rFonts w:ascii="Arial" w:cs="Arial" w:eastAsia="Arial" w:hAnsi="Arial"/>
          <w:sz w:val="17"/>
          <w:szCs w:val="17"/>
          <w:b w:val="1"/>
          <w:bCs w:val="1"/>
          <w:color w:val="auto"/>
        </w:rPr>
      </w:pPr>
    </w:p>
    <w:p>
      <w:pPr>
        <w:ind w:left="1400" w:right="699" w:hanging="359"/>
        <w:spacing w:after="0" w:line="277" w:lineRule="auto"/>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factors related to our marketing, including the costs and effectiveness of Internet advertising and broad-based branding campaigns and recruiting efforts;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performance problems with our online systems;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failure to maintain institutional and specialized accreditations;</w:t>
      </w:r>
    </w:p>
    <w:p>
      <w:pPr>
        <w:spacing w:after="0" w:line="189" w:lineRule="exact"/>
        <w:rPr>
          <w:rFonts w:ascii="Arial" w:cs="Arial" w:eastAsia="Arial" w:hAnsi="Arial"/>
          <w:sz w:val="17"/>
          <w:szCs w:val="17"/>
          <w:b w:val="1"/>
          <w:bCs w:val="1"/>
          <w:color w:val="auto"/>
        </w:rPr>
      </w:pPr>
    </w:p>
    <w:p>
      <w:pPr>
        <w:ind w:left="1400" w:right="1079" w:hanging="359"/>
        <w:spacing w:after="0" w:line="277" w:lineRule="auto"/>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the requirements of the education agencies that regulate us which restrict schools’ initiation of new programs and modification of existing programs;</w:t>
      </w:r>
    </w:p>
    <w:p>
      <w:pPr>
        <w:spacing w:after="0" w:line="125" w:lineRule="exact"/>
        <w:rPr>
          <w:rFonts w:ascii="Arial" w:cs="Arial" w:eastAsia="Arial" w:hAnsi="Arial"/>
          <w:sz w:val="17"/>
          <w:szCs w:val="17"/>
          <w:b w:val="1"/>
          <w:bCs w:val="1"/>
          <w:color w:val="auto"/>
        </w:rPr>
      </w:pPr>
    </w:p>
    <w:p>
      <w:pPr>
        <w:ind w:left="1400" w:right="1159" w:hanging="359"/>
        <w:spacing w:after="0" w:line="277" w:lineRule="auto"/>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the requirements of the education agencies that regulate us which restrict the ways schools can compensate their recruitment personnel;</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increased regulation of online education, including in states in which we do not have a physical presence;</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restrictions that may be imposed on graduates of online programs that seek certification or licensure in certain states;</w:t>
      </w:r>
    </w:p>
    <w:p>
      <w:pPr>
        <w:spacing w:after="0" w:line="199" w:lineRule="exact"/>
        <w:rPr>
          <w:rFonts w:ascii="Arial" w:cs="Arial" w:eastAsia="Arial" w:hAnsi="Arial"/>
          <w:sz w:val="15"/>
          <w:szCs w:val="15"/>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student dissatisfaction with our services and programs;</w:t>
      </w:r>
    </w:p>
    <w:p>
      <w:pPr>
        <w:spacing w:after="0" w:line="176" w:lineRule="exact"/>
        <w:rPr>
          <w:rFonts w:ascii="Arial" w:cs="Arial" w:eastAsia="Arial" w:hAnsi="Arial"/>
          <w:sz w:val="17"/>
          <w:szCs w:val="17"/>
          <w:b w:val="1"/>
          <w:bCs w:val="1"/>
          <w:color w:val="auto"/>
        </w:rPr>
      </w:pPr>
    </w:p>
    <w:p>
      <w:pPr>
        <w:ind w:left="1400" w:right="1039" w:hanging="359"/>
        <w:spacing w:after="0" w:line="277" w:lineRule="auto"/>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by the Department of Education, and possible remedial actions or other liability resulting therefrom;</w:t>
      </w:r>
    </w:p>
    <w:p>
      <w:pPr>
        <w:spacing w:after="0" w:line="138" w:lineRule="exact"/>
        <w:rPr>
          <w:rFonts w:ascii="Arial" w:cs="Arial" w:eastAsia="Arial" w:hAnsi="Arial"/>
          <w:sz w:val="17"/>
          <w:szCs w:val="17"/>
          <w:b w:val="1"/>
          <w:bCs w:val="1"/>
          <w:color w:val="auto"/>
        </w:rPr>
      </w:pPr>
    </w:p>
    <w:p>
      <w:pPr>
        <w:ind w:left="1400" w:right="859" w:hanging="359"/>
        <w:spacing w:after="0" w:line="346" w:lineRule="auto"/>
        <w:tabs>
          <w:tab w:leader="none" w:pos="140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9" w:lineRule="exact"/>
        <w:rPr>
          <w:rFonts w:ascii="Arial" w:cs="Arial" w:eastAsia="Arial" w:hAnsi="Arial"/>
          <w:sz w:val="15"/>
          <w:szCs w:val="15"/>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price reductions by competitors that we are unwilling or unable to match;</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a decline in the acceptance of online education;</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an adverse economic or other development that affects job prospects in our core disciplines;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a decrease in the perceived or actual economic benefits that students derive from our programs.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37" w:lineRule="exact"/>
        <w:rPr>
          <w:sz w:val="20"/>
          <w:szCs w:val="20"/>
          <w:color w:val="auto"/>
        </w:rPr>
      </w:pPr>
    </w:p>
    <w:p>
      <w:pPr>
        <w:ind w:left="320" w:right="1039"/>
        <w:spacing w:after="0" w:line="277" w:lineRule="auto"/>
        <w:rPr>
          <w:sz w:val="20"/>
          <w:szCs w:val="20"/>
          <w:color w:val="auto"/>
        </w:rPr>
      </w:pPr>
      <w:r>
        <w:rPr>
          <w:rFonts w:ascii="Arial" w:cs="Arial" w:eastAsia="Arial" w:hAnsi="Arial"/>
          <w:sz w:val="17"/>
          <w:szCs w:val="17"/>
          <w:b w:val="1"/>
          <w:bCs w:val="1"/>
          <w:i w:val="1"/>
          <w:iCs w:val="1"/>
          <w:color w:val="auto"/>
        </w:rPr>
        <w:t>Our business may be adversely affected by a general economic slowdown or recession in the U.S. or abroad or by an economic recovery in the U.S.</w:t>
      </w:r>
    </w:p>
    <w:p>
      <w:pPr>
        <w:spacing w:after="0" w:line="126"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The U.S. and many other industrialized countries are experiencing challenging economic circumstance, including increases in unemployment, uncertainty about financial markets and, in many cases, economic recession. In addition, homeowners in the U.S. have experienced a significant reduction in their net worth due to continued declines in residential real estate values across the U.S. We believe the economic downturn in the U.S., in particular the high unemployment rate, has contributed to a portion of our increased enrollment growth as an increase number of working adults seek to continue to advance their education to improve job security or new employment prospects. This effect cannot be quantified. However, to the extent that the economic downturn and increased unemployment have increased demands for our programs, an improving economy and increased employment may negate this effect and reduce such demand as fewer learners seek to advance their education. This decline could have a material adverse effect on our business, financial condition, results of operations and cash flows. Alternatively, a worsening of economic and employment conditions may reduce the ability for employers to sponsor educational opportunities for their employees, which could adversely impact our enrollment. In addition, continued deterioration in our economy and employment opportunities could adversely affect the ability of our former students to repay student loans, which could increase our bad debt expense and our student loan cohort default rate, which would require increased focus and attention to manage these defaults, which could have a material adverse effect on our business.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operate in a highly competitive industry, and competitors with greater resources could harm our business.</w:t>
      </w:r>
    </w:p>
    <w:p>
      <w:pPr>
        <w:spacing w:after="0" w:line="176"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099"/>
        <w:spacing w:after="0" w:line="277" w:lineRule="auto"/>
        <w:rPr>
          <w:sz w:val="20"/>
          <w:szCs w:val="20"/>
          <w:color w:val="auto"/>
        </w:rPr>
      </w:pPr>
      <w:r>
        <w:rPr>
          <w:rFonts w:ascii="Arial" w:cs="Arial" w:eastAsia="Arial" w:hAnsi="Arial"/>
          <w:sz w:val="17"/>
          <w:szCs w:val="17"/>
          <w:b w:val="1"/>
          <w:bCs w:val="1"/>
          <w:i w:val="1"/>
          <w:iCs w:val="1"/>
          <w:color w:val="auto"/>
        </w:rPr>
        <w:t>Capacity constraints, system disruptions, or security breaches in our online computer networks could have a material adverse effect on our ability to attract and retain students.</w:t>
      </w:r>
    </w:p>
    <w:p>
      <w:pPr>
        <w:spacing w:after="0" w:line="139"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27" w:lineRule="exact"/>
        <w:rPr>
          <w:sz w:val="20"/>
          <w:szCs w:val="20"/>
          <w:color w:val="auto"/>
        </w:rPr>
      </w:pPr>
    </w:p>
    <w:p>
      <w:pPr>
        <w:ind w:left="320" w:right="799"/>
        <w:spacing w:after="0" w:line="277" w:lineRule="auto"/>
        <w:rPr>
          <w:sz w:val="20"/>
          <w:szCs w:val="20"/>
          <w:color w:val="auto"/>
        </w:rPr>
      </w:pPr>
      <w:r>
        <w:rPr>
          <w:rFonts w:ascii="Arial" w:cs="Arial" w:eastAsia="Arial" w:hAnsi="Arial"/>
          <w:sz w:val="17"/>
          <w:szCs w:val="17"/>
          <w:b w:val="1"/>
          <w:bCs w:val="1"/>
          <w:i w:val="1"/>
          <w:iCs w:val="1"/>
          <w:color w:val="auto"/>
        </w:rPr>
        <w:t>Our conversion to a borrower-based, non-term financial aid system has resulted in lower enrollments in a manner that materially and adversely affects our business.</w:t>
      </w:r>
    </w:p>
    <w:p>
      <w:pPr>
        <w:spacing w:after="0" w:line="126"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 in ensuring that students do not over borrow in the early years of a program, which could result in aggregate loan limits being exceeded prior to graduation. The move to BBAY has, in some circumstances, significantly reduced the amount of living expenses a student is eligible to receive. Therefore, we believe that the conversion to BBAY, although positive for the student in many respects, has caused some of our existing students to leave Grand Canyon University and some potential new students to look for educational opportunities elsewhere. The increased flexibility of BBAY has also resulted in our students more frequently taking breaks between classes which has the effect of reducing the revenues we earn in the short term. This consequence of the move to BBAY was particularly apparent during the period of time between Thanksgiving and New Years Day when a number of previously active students chose to delay the continuation of their studies until after the holidays.</w:t>
      </w:r>
    </w:p>
    <w:p>
      <w:pPr>
        <w:spacing w:after="0" w:line="153" w:lineRule="exact"/>
        <w:rPr>
          <w:sz w:val="20"/>
          <w:szCs w:val="20"/>
          <w:color w:val="auto"/>
        </w:rPr>
      </w:pPr>
    </w:p>
    <w:p>
      <w:pPr>
        <w:ind w:left="320" w:right="1339"/>
        <w:spacing w:after="0" w:line="346" w:lineRule="auto"/>
        <w:rPr>
          <w:sz w:val="20"/>
          <w:szCs w:val="20"/>
          <w:color w:val="auto"/>
        </w:rPr>
      </w:pPr>
      <w:r>
        <w:rPr>
          <w:rFonts w:ascii="Arial" w:cs="Arial" w:eastAsia="Arial" w:hAnsi="Arial"/>
          <w:sz w:val="15"/>
          <w:szCs w:val="15"/>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80"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33"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failure to keep pace with changing market needs and technology could harm our ability to attract students.</w:t>
      </w:r>
    </w:p>
    <w:p>
      <w:pPr>
        <w:spacing w:after="0" w:line="176"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If we do not maintain existing, and develop additional, relationships with employers, our future growth may be impaired.</w:t>
      </w:r>
    </w:p>
    <w:p>
      <w:pPr>
        <w:spacing w:after="0" w:line="201"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failure to effectively manage our growth could harm our business.</w:t>
      </w:r>
    </w:p>
    <w:p>
      <w:pPr>
        <w:spacing w:after="0" w:line="176"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be unable to finance our expansion activities, and interest and other expenses may increase.</w:t>
      </w:r>
    </w:p>
    <w:p>
      <w:pPr>
        <w:spacing w:after="0" w:line="176"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and there can be no guarantee that we will be able, or that it will be advantageous, to fund such expenditures or expenses with cash flow from operations. If we do not fund such activities with cash flow from operations, we will be required to finance such activities. Financing may take the form of, among other things, loans under a credit facility, sale-leaseback transactions, the issuance of equity securities, or a combination of the foregoing. There can be no guarantee that any such financing will be available on terms acceptable to us, or at all. Furthermore, our existing loan agreement contains covenants that restrict our ability to incur debt, and there can be no guarantee that we will be able to secure the consent of our lender for any financing.</w:t>
      </w:r>
    </w:p>
    <w:p>
      <w:pPr>
        <w:spacing w:after="0" w:line="200" w:lineRule="exact"/>
        <w:rPr>
          <w:sz w:val="20"/>
          <w:szCs w:val="20"/>
          <w:color w:val="auto"/>
        </w:rPr>
      </w:pPr>
    </w:p>
    <w:p>
      <w:pPr>
        <w:spacing w:after="0" w:line="32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60" w:lineRule="auto"/>
        <w:rPr>
          <w:sz w:val="20"/>
          <w:szCs w:val="20"/>
          <w:color w:val="auto"/>
        </w:rPr>
      </w:pPr>
      <w:r>
        <w:rPr>
          <w:rFonts w:ascii="Arial" w:cs="Arial" w:eastAsia="Arial" w:hAnsi="Arial"/>
          <w:sz w:val="17"/>
          <w:szCs w:val="17"/>
          <w:color w:val="auto"/>
        </w:rPr>
        <w:t>If we obtain financing, we may incur increased interest or lease expenses, or other financing charges, that could have an adverse effect on our cash flow. In addition, any financing accomplished through the issuance of any additional equity securities could be dilutive to holders of our common stock. If we are unable to fund our expansion activities, our ability to implement our business plan will be adversely affected.</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success depends upon our ability to recruit and retain key personnel.</w:t>
      </w:r>
    </w:p>
    <w:p>
      <w:pPr>
        <w:spacing w:after="0" w:line="176" w:lineRule="exact"/>
        <w:rPr>
          <w:sz w:val="20"/>
          <w:szCs w:val="20"/>
          <w:color w:val="auto"/>
        </w:rPr>
      </w:pPr>
    </w:p>
    <w:p>
      <w:pPr>
        <w:ind w:left="320" w:right="759" w:firstLine="369"/>
        <w:spacing w:after="0" w:line="272"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3" w:lineRule="exact"/>
        <w:rPr>
          <w:sz w:val="20"/>
          <w:szCs w:val="20"/>
          <w:color w:val="auto"/>
        </w:rPr>
      </w:pPr>
    </w:p>
    <w:p>
      <w:pPr>
        <w:ind w:left="320" w:right="739"/>
        <w:spacing w:after="0" w:line="264" w:lineRule="auto"/>
        <w:rPr>
          <w:sz w:val="20"/>
          <w:szCs w:val="20"/>
          <w:color w:val="auto"/>
        </w:rPr>
      </w:pPr>
      <w:r>
        <w:rPr>
          <w:rFonts w:ascii="Arial" w:cs="Arial" w:eastAsia="Arial" w:hAnsi="Arial"/>
          <w:sz w:val="17"/>
          <w:szCs w:val="17"/>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50" w:lineRule="exact"/>
        <w:rPr>
          <w:sz w:val="20"/>
          <w:szCs w:val="20"/>
          <w:color w:val="auto"/>
        </w:rPr>
      </w:pPr>
    </w:p>
    <w:p>
      <w:pPr>
        <w:ind w:left="320" w:right="819" w:firstLine="369"/>
        <w:spacing w:after="0" w:line="271"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33" w:lineRule="exact"/>
        <w:rPr>
          <w:sz w:val="20"/>
          <w:szCs w:val="20"/>
          <w:color w:val="auto"/>
        </w:rPr>
      </w:pPr>
    </w:p>
    <w:p>
      <w:pPr>
        <w:ind w:left="320" w:right="739" w:firstLine="369"/>
        <w:spacing w:after="0" w:line="274" w:lineRule="auto"/>
        <w:rPr>
          <w:sz w:val="20"/>
          <w:szCs w:val="20"/>
          <w:color w:val="auto"/>
        </w:rPr>
      </w:pPr>
      <w:r>
        <w:rPr>
          <w:rFonts w:ascii="Arial" w:cs="Arial" w:eastAsia="Arial" w:hAnsi="Arial"/>
          <w:sz w:val="16"/>
          <w:szCs w:val="16"/>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32" w:lineRule="exact"/>
        <w:rPr>
          <w:sz w:val="20"/>
          <w:szCs w:val="20"/>
          <w:color w:val="auto"/>
        </w:rPr>
      </w:pPr>
    </w:p>
    <w:p>
      <w:pPr>
        <w:ind w:left="320" w:right="799" w:firstLine="369"/>
        <w:spacing w:after="0" w:line="274" w:lineRule="auto"/>
        <w:rPr>
          <w:sz w:val="20"/>
          <w:szCs w:val="20"/>
          <w:color w:val="auto"/>
        </w:rPr>
      </w:pPr>
      <w:r>
        <w:rPr>
          <w:rFonts w:ascii="Arial" w:cs="Arial" w:eastAsia="Arial" w:hAnsi="Arial"/>
          <w:sz w:val="16"/>
          <w:szCs w:val="16"/>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999"/>
        <w:spacing w:after="0" w:line="388" w:lineRule="auto"/>
        <w:rPr>
          <w:sz w:val="20"/>
          <w:szCs w:val="20"/>
          <w:color w:val="auto"/>
        </w:rPr>
      </w:pPr>
      <w:r>
        <w:rPr>
          <w:rFonts w:ascii="Arial" w:cs="Arial" w:eastAsia="Arial" w:hAnsi="Arial"/>
          <w:sz w:val="14"/>
          <w:szCs w:val="14"/>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9"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43" w:lineRule="exact"/>
        <w:rPr>
          <w:sz w:val="20"/>
          <w:szCs w:val="20"/>
          <w:color w:val="auto"/>
        </w:rPr>
      </w:pPr>
    </w:p>
    <w:p>
      <w:pPr>
        <w:ind w:left="320" w:right="799" w:firstLine="369"/>
        <w:spacing w:after="0" w:line="281" w:lineRule="auto"/>
        <w:rPr>
          <w:sz w:val="20"/>
          <w:szCs w:val="20"/>
          <w:color w:val="auto"/>
        </w:rPr>
      </w:pPr>
      <w:r>
        <w:rPr>
          <w:rFonts w:ascii="Arial" w:cs="Arial" w:eastAsia="Arial" w:hAnsi="Arial"/>
          <w:sz w:val="16"/>
          <w:szCs w:val="16"/>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25" w:lineRule="exact"/>
        <w:rPr>
          <w:sz w:val="20"/>
          <w:szCs w:val="20"/>
          <w:color w:val="auto"/>
        </w:rPr>
      </w:pPr>
    </w:p>
    <w:p>
      <w:pPr>
        <w:ind w:left="320" w:right="679" w:firstLine="369"/>
        <w:spacing w:after="0" w:line="289" w:lineRule="auto"/>
        <w:rPr>
          <w:sz w:val="20"/>
          <w:szCs w:val="20"/>
          <w:color w:val="auto"/>
        </w:rPr>
      </w:pPr>
      <w:r>
        <w:rPr>
          <w:rFonts w:ascii="Arial" w:cs="Arial" w:eastAsia="Arial" w:hAnsi="Arial"/>
          <w:sz w:val="15"/>
          <w:szCs w:val="15"/>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may incur liability for the unauthorized duplication or distribution of class materials posted online for class discussions.</w:t>
      </w:r>
    </w:p>
    <w:p>
      <w:pPr>
        <w:spacing w:after="0" w:line="199" w:lineRule="exact"/>
        <w:rPr>
          <w:sz w:val="20"/>
          <w:szCs w:val="20"/>
          <w:color w:val="auto"/>
        </w:rPr>
      </w:pPr>
    </w:p>
    <w:p>
      <w:pPr>
        <w:jc w:val="both"/>
        <w:ind w:left="320" w:right="779" w:firstLine="369"/>
        <w:spacing w:after="0" w:line="300" w:lineRule="auto"/>
        <w:rPr>
          <w:sz w:val="20"/>
          <w:szCs w:val="20"/>
          <w:color w:val="auto"/>
        </w:rPr>
      </w:pPr>
      <w:r>
        <w:rPr>
          <w:rFonts w:ascii="Arial" w:cs="Arial" w:eastAsia="Arial" w:hAnsi="Arial"/>
          <w:sz w:val="15"/>
          <w:szCs w:val="15"/>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loan agreement may restrict our operations and our ability to complete certain transactions.</w:t>
      </w:r>
    </w:p>
    <w:p>
      <w:pPr>
        <w:spacing w:after="0" w:line="189" w:lineRule="exact"/>
        <w:rPr>
          <w:sz w:val="20"/>
          <w:szCs w:val="20"/>
          <w:color w:val="auto"/>
        </w:rPr>
      </w:pPr>
    </w:p>
    <w:p>
      <w:pPr>
        <w:ind w:left="320" w:right="999" w:firstLine="369"/>
        <w:spacing w:after="0" w:line="264" w:lineRule="auto"/>
        <w:rPr>
          <w:sz w:val="20"/>
          <w:szCs w:val="20"/>
          <w:color w:val="auto"/>
        </w:rPr>
      </w:pPr>
      <w:r>
        <w:rPr>
          <w:rFonts w:ascii="Arial" w:cs="Arial" w:eastAsia="Arial" w:hAnsi="Arial"/>
          <w:sz w:val="17"/>
          <w:szCs w:val="17"/>
          <w:color w:val="auto"/>
        </w:rPr>
        <w:t>Our loan agreement, which we entered into in connection with the purchase of our campus in April 2009, imposes certain operating and financial restrictions on us. Without the consent of our lender, these restrictions generally limit our ability to, among other things:</w:t>
      </w:r>
    </w:p>
    <w:p>
      <w:pPr>
        <w:spacing w:after="0" w:line="137" w:lineRule="exact"/>
        <w:rPr>
          <w:sz w:val="20"/>
          <w:szCs w:val="20"/>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incur additional indebtedness or liens;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sell, assign, lease, transfer or otherwise dispose of any part of our assets other than in the ordinary course of business;</w:t>
      </w:r>
    </w:p>
    <w:p>
      <w:pPr>
        <w:spacing w:after="0" w:line="200" w:lineRule="exact"/>
        <w:rPr>
          <w:sz w:val="20"/>
          <w:szCs w:val="20"/>
          <w:color w:val="auto"/>
        </w:rPr>
      </w:pPr>
    </w:p>
    <w:p>
      <w:pPr>
        <w:spacing w:after="0" w:line="38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hanging="359"/>
        <w:spacing w:after="0"/>
        <w:tabs>
          <w:tab w:leader="none" w:pos="140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make investments or capital contributions to any individual or entity;</w:t>
      </w:r>
    </w:p>
    <w:p>
      <w:pPr>
        <w:spacing w:after="0" w:line="176" w:lineRule="exact"/>
        <w:rPr>
          <w:rFonts w:ascii="Arial" w:cs="Arial" w:eastAsia="Arial" w:hAnsi="Arial"/>
          <w:sz w:val="17"/>
          <w:szCs w:val="17"/>
          <w:b w:val="1"/>
          <w:bCs w:val="1"/>
          <w:color w:val="auto"/>
        </w:rPr>
      </w:pPr>
    </w:p>
    <w:p>
      <w:pPr>
        <w:ind w:left="1400" w:right="859" w:hanging="359"/>
        <w:spacing w:after="0" w:line="277" w:lineRule="auto"/>
        <w:tabs>
          <w:tab w:leader="none" w:pos="140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enter into any consolidation, merger, or other combination, or become a partner in a partnership, a member of a joint venture, or a member of a limited liability company;</w:t>
      </w:r>
    </w:p>
    <w:p>
      <w:pPr>
        <w:spacing w:after="0" w:line="125" w:lineRule="exact"/>
        <w:rPr>
          <w:rFonts w:ascii="Arial" w:cs="Arial" w:eastAsia="Arial" w:hAnsi="Arial"/>
          <w:sz w:val="17"/>
          <w:szCs w:val="17"/>
          <w:b w:val="1"/>
          <w:bCs w:val="1"/>
          <w:color w:val="auto"/>
        </w:rPr>
      </w:pPr>
    </w:p>
    <w:p>
      <w:pPr>
        <w:ind w:left="1400" w:right="859" w:hanging="359"/>
        <w:spacing w:after="0" w:line="277" w:lineRule="auto"/>
        <w:tabs>
          <w:tab w:leader="none" w:pos="140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acquire or purchase a business or all or substantially all of the assets of a business in an aggregate amount exceeding an amount equal to 25% of our tangible net worth; and</w:t>
      </w:r>
    </w:p>
    <w:p>
      <w:pPr>
        <w:spacing w:after="0" w:line="138"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engage in any business activities substantially different from our present business.</w:t>
      </w:r>
    </w:p>
    <w:p>
      <w:pPr>
        <w:spacing w:after="0" w:line="176" w:lineRule="exact"/>
        <w:rPr>
          <w:sz w:val="20"/>
          <w:szCs w:val="20"/>
          <w:color w:val="auto"/>
        </w:rPr>
      </w:pPr>
    </w:p>
    <w:p>
      <w:pPr>
        <w:ind w:left="320" w:right="779" w:firstLine="369"/>
        <w:spacing w:after="0" w:line="275" w:lineRule="auto"/>
        <w:rPr>
          <w:sz w:val="20"/>
          <w:szCs w:val="20"/>
          <w:color w:val="auto"/>
        </w:rPr>
      </w:pPr>
      <w:r>
        <w:rPr>
          <w:rFonts w:ascii="Arial" w:cs="Arial" w:eastAsia="Arial" w:hAnsi="Arial"/>
          <w:sz w:val="16"/>
          <w:szCs w:val="16"/>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current success and future growth depend on the continued growth in users seeking educational services on the Internet.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business relies in part on the Internet for its success. A number of factors could inhibit the continued acceptance of the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Internet and adversely affect our profitability, including:</w:t>
      </w:r>
    </w:p>
    <w:p>
      <w:pPr>
        <w:spacing w:after="0" w:line="165" w:lineRule="exact"/>
        <w:rPr>
          <w:sz w:val="20"/>
          <w:szCs w:val="20"/>
          <w:color w:val="auto"/>
        </w:rPr>
      </w:pPr>
    </w:p>
    <w:p>
      <w:pPr>
        <w:ind w:left="1400" w:hanging="359"/>
        <w:spacing w:after="0"/>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inadequate Internet infrastructure;</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security and privacy concerns;</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the unavailability of cost-effective Internet service and other technological factors; and</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changes in government regulation of Internet use.</w:t>
      </w:r>
    </w:p>
    <w:p>
      <w:pPr>
        <w:spacing w:after="0" w:line="176" w:lineRule="exact"/>
        <w:rPr>
          <w:sz w:val="20"/>
          <w:szCs w:val="20"/>
          <w:color w:val="auto"/>
        </w:rPr>
      </w:pPr>
    </w:p>
    <w:p>
      <w:pPr>
        <w:ind w:left="320" w:right="879" w:firstLine="369"/>
        <w:spacing w:after="0" w:line="277" w:lineRule="auto"/>
        <w:rPr>
          <w:sz w:val="20"/>
          <w:szCs w:val="20"/>
          <w:color w:val="auto"/>
        </w:rPr>
      </w:pPr>
      <w:r>
        <w:rPr>
          <w:rFonts w:ascii="Arial" w:cs="Arial" w:eastAsia="Arial" w:hAnsi="Arial"/>
          <w:sz w:val="17"/>
          <w:szCs w:val="17"/>
          <w:color w:val="auto"/>
        </w:rPr>
        <w:t>If the number of Internet users seeking educational services on the Internet does not continue to increase, our business may not grow as planned.</w:t>
      </w:r>
    </w:p>
    <w:p>
      <w:pPr>
        <w:spacing w:after="0" w:line="139" w:lineRule="exact"/>
        <w:rPr>
          <w:sz w:val="20"/>
          <w:szCs w:val="20"/>
          <w:color w:val="auto"/>
        </w:rPr>
      </w:pPr>
    </w:p>
    <w:p>
      <w:pPr>
        <w:ind w:left="320" w:right="1039"/>
        <w:spacing w:after="0" w:line="277" w:lineRule="auto"/>
        <w:rPr>
          <w:sz w:val="20"/>
          <w:szCs w:val="20"/>
          <w:color w:val="auto"/>
        </w:rPr>
      </w:pPr>
      <w:r>
        <w:rPr>
          <w:rFonts w:ascii="Arial" w:cs="Arial" w:eastAsia="Arial" w:hAnsi="Arial"/>
          <w:sz w:val="17"/>
          <w:szCs w:val="17"/>
          <w:b w:val="1"/>
          <w:bCs w:val="1"/>
          <w:i w:val="1"/>
          <w:iCs w:val="1"/>
          <w:color w:val="auto"/>
        </w:rPr>
        <w:t>Our failure to comply with environmental laws and regulations governing our activities could result in financial penalties and other costs.</w:t>
      </w:r>
    </w:p>
    <w:p>
      <w:pPr>
        <w:spacing w:after="0" w:line="126"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failure to obtain additional capital in the future could adversely affect our ability to grow.</w:t>
      </w:r>
    </w:p>
    <w:p>
      <w:pPr>
        <w:spacing w:after="0" w:line="189"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color w:val="auto"/>
        </w:rPr>
        <w:t>We believe that funds from operations, cash on hand,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are not able to integrate acquired schools, our business could be harmed.</w:t>
      </w:r>
    </w:p>
    <w:p>
      <w:pPr>
        <w:spacing w:after="0" w:line="189"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From time to time, we may pursue acquisitions of other schools. Integrating acquired operations into our institution involves significant risks and uncertainties, including:</w:t>
      </w:r>
    </w:p>
    <w:p>
      <w:pPr>
        <w:spacing w:after="0" w:line="126" w:lineRule="exact"/>
        <w:rPr>
          <w:sz w:val="20"/>
          <w:szCs w:val="20"/>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inability to maintain uniform standards, controls, policies, and procedures;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distraction of management’s attention from normal business operations during the integration process;</w:t>
      </w:r>
    </w:p>
    <w:p>
      <w:pPr>
        <w:spacing w:after="0" w:line="189" w:lineRule="exact"/>
        <w:rPr>
          <w:rFonts w:ascii="Arial" w:cs="Arial" w:eastAsia="Arial" w:hAnsi="Arial"/>
          <w:sz w:val="17"/>
          <w:szCs w:val="17"/>
          <w:b w:val="1"/>
          <w:bCs w:val="1"/>
          <w:color w:val="auto"/>
        </w:rPr>
      </w:pPr>
    </w:p>
    <w:p>
      <w:pPr>
        <w:jc w:val="both"/>
        <w:ind w:left="1400" w:right="959" w:hanging="359"/>
        <w:spacing w:after="0" w:line="264" w:lineRule="auto"/>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13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expenses associated with the integration efforts; and</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unidentified issues not discovered in our due diligence process, including legal contingencies.</w:t>
      </w:r>
    </w:p>
    <w:p>
      <w:pPr>
        <w:spacing w:after="0" w:line="189" w:lineRule="exact"/>
        <w:rPr>
          <w:sz w:val="20"/>
          <w:szCs w:val="20"/>
          <w:color w:val="auto"/>
        </w:rPr>
      </w:pPr>
    </w:p>
    <w:p>
      <w:pPr>
        <w:ind w:left="320" w:right="859" w:firstLine="369"/>
        <w:spacing w:after="0" w:line="456" w:lineRule="auto"/>
        <w:rPr>
          <w:sz w:val="20"/>
          <w:szCs w:val="20"/>
          <w:color w:val="auto"/>
        </w:rPr>
      </w:pPr>
      <w:r>
        <w:rPr>
          <w:rFonts w:ascii="Arial" w:cs="Arial" w:eastAsia="Arial" w:hAnsi="Arial"/>
          <w:sz w:val="17"/>
          <w:szCs w:val="17"/>
          <w:color w:val="auto"/>
        </w:rPr>
        <w:t xml:space="preserve">If we complete one or more acquisitions and are unable to integrate acquired operations successfully, our business could suffer. </w:t>
      </w:r>
      <w:r>
        <w:rPr>
          <w:rFonts w:ascii="Arial" w:cs="Arial" w:eastAsia="Arial" w:hAnsi="Arial"/>
          <w:sz w:val="17"/>
          <w:szCs w:val="17"/>
          <w:b w:val="1"/>
          <w:bCs w:val="1"/>
          <w:color w:val="auto"/>
        </w:rPr>
        <w:t>Risks Related to Owning our Common Stock</w:t>
      </w:r>
    </w:p>
    <w:p>
      <w:pPr>
        <w:spacing w:after="0" w:line="1" w:lineRule="exact"/>
        <w:rPr>
          <w:sz w:val="20"/>
          <w:szCs w:val="20"/>
          <w:color w:val="auto"/>
        </w:rPr>
      </w:pPr>
    </w:p>
    <w:p>
      <w:pPr>
        <w:ind w:left="320" w:right="1139"/>
        <w:spacing w:after="0" w:line="277" w:lineRule="auto"/>
        <w:rPr>
          <w:sz w:val="20"/>
          <w:szCs w:val="20"/>
          <w:color w:val="auto"/>
        </w:rPr>
      </w:pPr>
      <w:r>
        <w:rPr>
          <w:rFonts w:ascii="Arial" w:cs="Arial" w:eastAsia="Arial" w:hAnsi="Arial"/>
          <w:sz w:val="17"/>
          <w:szCs w:val="17"/>
          <w:b w:val="1"/>
          <w:bCs w:val="1"/>
          <w:i w:val="1"/>
          <w:iCs w:val="1"/>
          <w:color w:val="auto"/>
        </w:rPr>
        <w:t>Your percentage ownership in us may be diluted by future issuances of capital stock, which could reduce your influence over matters on which stockholders vote.</w:t>
      </w:r>
    </w:p>
    <w:p>
      <w:pPr>
        <w:spacing w:after="0" w:line="139" w:lineRule="exact"/>
        <w:rPr>
          <w:sz w:val="20"/>
          <w:szCs w:val="20"/>
          <w:color w:val="auto"/>
        </w:rPr>
      </w:pPr>
    </w:p>
    <w:p>
      <w:pPr>
        <w:ind w:left="320" w:right="699" w:firstLine="369"/>
        <w:spacing w:after="0" w:line="300" w:lineRule="auto"/>
        <w:rPr>
          <w:sz w:val="20"/>
          <w:szCs w:val="20"/>
          <w:color w:val="auto"/>
        </w:rPr>
      </w:pPr>
      <w:r>
        <w:rPr>
          <w:rFonts w:ascii="Arial" w:cs="Arial" w:eastAsia="Arial" w:hAnsi="Arial"/>
          <w:sz w:val="15"/>
          <w:szCs w:val="15"/>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14" w:lineRule="exact"/>
        <w:rPr>
          <w:sz w:val="20"/>
          <w:szCs w:val="20"/>
          <w:color w:val="auto"/>
        </w:rPr>
      </w:pPr>
    </w:p>
    <w:p>
      <w:pPr>
        <w:ind w:left="320" w:right="839"/>
        <w:spacing w:after="0" w:line="277" w:lineRule="auto"/>
        <w:rPr>
          <w:sz w:val="20"/>
          <w:szCs w:val="20"/>
          <w:color w:val="auto"/>
        </w:rPr>
      </w:pPr>
      <w:r>
        <w:rPr>
          <w:rFonts w:ascii="Arial" w:cs="Arial" w:eastAsia="Arial" w:hAnsi="Arial"/>
          <w:sz w:val="17"/>
          <w:szCs w:val="17"/>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26" w:lineRule="exact"/>
        <w:rPr>
          <w:sz w:val="20"/>
          <w:szCs w:val="20"/>
          <w:color w:val="auto"/>
        </w:rPr>
      </w:pPr>
    </w:p>
    <w:p>
      <w:pPr>
        <w:ind w:left="320" w:right="799" w:firstLine="369"/>
        <w:spacing w:after="0" w:line="270"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price of our common stock may be volatile, and as a result returns on an investment in our common stock may be volatile.</w:t>
      </w:r>
    </w:p>
    <w:p>
      <w:pPr>
        <w:spacing w:after="0" w:line="212"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market price of our common stock could fluctuate significantly for various reasons, which include:</w:t>
      </w:r>
    </w:p>
    <w:p>
      <w:pPr>
        <w:spacing w:after="0" w:line="176" w:lineRule="exact"/>
        <w:rPr>
          <w:sz w:val="20"/>
          <w:szCs w:val="20"/>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our quarterly or annual earnings or earnings of other companies in our industry;</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76" w:lineRule="exact"/>
        <w:rPr>
          <w:rFonts w:ascii="Arial" w:cs="Arial" w:eastAsia="Arial" w:hAnsi="Arial"/>
          <w:sz w:val="17"/>
          <w:szCs w:val="17"/>
          <w:b w:val="1"/>
          <w:bCs w:val="1"/>
          <w:color w:val="auto"/>
        </w:rPr>
      </w:pPr>
    </w:p>
    <w:p>
      <w:pPr>
        <w:ind w:left="1400" w:right="799" w:hanging="359"/>
        <w:spacing w:after="0" w:line="277" w:lineRule="auto"/>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changes in earnings estimates or recommendations by research analysts who track our common stock or the stocks of other companies in our industry;</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changes in our number of enrolled students;</w:t>
      </w:r>
    </w:p>
    <w:p>
      <w:pPr>
        <w:spacing w:after="0" w:line="189" w:lineRule="exact"/>
        <w:rPr>
          <w:rFonts w:ascii="Arial" w:cs="Arial" w:eastAsia="Arial" w:hAnsi="Arial"/>
          <w:sz w:val="17"/>
          <w:szCs w:val="17"/>
          <w:b w:val="1"/>
          <w:bCs w:val="1"/>
          <w:color w:val="auto"/>
        </w:rPr>
      </w:pPr>
    </w:p>
    <w:p>
      <w:pPr>
        <w:ind w:left="1400" w:right="1219" w:hanging="359"/>
        <w:spacing w:after="0" w:line="277" w:lineRule="auto"/>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new or proposed laws or regulations or new or proposed interpretations of laws or regulations applicable to our business;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seasonal variations in our student population;</w:t>
      </w:r>
    </w:p>
    <w:p>
      <w:pPr>
        <w:spacing w:after="0" w:line="176" w:lineRule="exact"/>
        <w:rPr>
          <w:rFonts w:ascii="Arial" w:cs="Arial" w:eastAsia="Arial" w:hAnsi="Arial"/>
          <w:sz w:val="17"/>
          <w:szCs w:val="17"/>
          <w:b w:val="1"/>
          <w:bCs w:val="1"/>
          <w:color w:val="auto"/>
        </w:rPr>
      </w:pPr>
    </w:p>
    <w:p>
      <w:pPr>
        <w:ind w:left="1400" w:right="859" w:hanging="359"/>
        <w:spacing w:after="0" w:line="346" w:lineRule="auto"/>
        <w:tabs>
          <w:tab w:leader="none" w:pos="1400"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92" w:lineRule="exact"/>
        <w:rPr>
          <w:rFonts w:ascii="Arial" w:cs="Arial" w:eastAsia="Arial" w:hAnsi="Arial"/>
          <w:sz w:val="15"/>
          <w:szCs w:val="15"/>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the availability and cost of Title IV funds, other student financial aid, and private loans;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the failure to maintain or keep in good standing our regulatory approvals and accreditations;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changes in accounting standards, policies, guidance, interpretations, or principles;</w:t>
      </w:r>
    </w:p>
    <w:p>
      <w:pPr>
        <w:spacing w:after="0" w:line="189" w:lineRule="exact"/>
        <w:rPr>
          <w:rFonts w:ascii="Arial" w:cs="Arial" w:eastAsia="Arial" w:hAnsi="Arial"/>
          <w:sz w:val="17"/>
          <w:szCs w:val="17"/>
          <w:b w:val="1"/>
          <w:bCs w:val="1"/>
          <w:color w:val="auto"/>
        </w:rPr>
      </w:pPr>
    </w:p>
    <w:p>
      <w:pPr>
        <w:ind w:left="1400" w:right="919" w:hanging="359"/>
        <w:spacing w:after="0" w:line="277" w:lineRule="auto"/>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changes in general conditions in the U.S. and global economies or financial markets, including those resulting from war, incidents of terrorism, or responses to such events;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an adverse economic or other development that affects job prospects in our core disciplines;</w:t>
      </w:r>
    </w:p>
    <w:p>
      <w:pPr>
        <w:spacing w:after="0" w:line="176" w:lineRule="exact"/>
        <w:rPr>
          <w:rFonts w:ascii="Arial" w:cs="Arial" w:eastAsia="Arial" w:hAnsi="Arial"/>
          <w:sz w:val="17"/>
          <w:szCs w:val="17"/>
          <w:b w:val="1"/>
          <w:bCs w:val="1"/>
          <w:color w:val="auto"/>
        </w:rPr>
      </w:pPr>
    </w:p>
    <w:p>
      <w:pPr>
        <w:ind w:left="1400" w:right="699" w:hanging="359"/>
        <w:spacing w:after="0" w:line="309" w:lineRule="auto"/>
        <w:tabs>
          <w:tab w:leader="none" w:pos="140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litigation involving our University, or investigations or audits by regulators into the operations of our University or our competitors, including the ongoing program review being conducted by the Department of Education; and</w:t>
      </w:r>
    </w:p>
    <w:p>
      <w:pPr>
        <w:spacing w:after="0" w:line="115" w:lineRule="exact"/>
        <w:rPr>
          <w:rFonts w:ascii="Arial" w:cs="Arial" w:eastAsia="Arial" w:hAnsi="Arial"/>
          <w:sz w:val="16"/>
          <w:szCs w:val="16"/>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sales of common stock by our directors, executive officers, and significant stockholders.</w:t>
      </w:r>
    </w:p>
    <w:p>
      <w:pPr>
        <w:spacing w:after="0" w:line="176" w:lineRule="exact"/>
        <w:rPr>
          <w:sz w:val="20"/>
          <w:szCs w:val="20"/>
          <w:color w:val="auto"/>
        </w:rPr>
      </w:pPr>
    </w:p>
    <w:p>
      <w:pPr>
        <w:ind w:left="320" w:right="959" w:firstLine="369"/>
        <w:spacing w:after="0" w:line="258" w:lineRule="auto"/>
        <w:rPr>
          <w:sz w:val="20"/>
          <w:szCs w:val="20"/>
          <w:color w:val="auto"/>
        </w:rPr>
      </w:pPr>
      <w:r>
        <w:rPr>
          <w:rFonts w:ascii="Arial" w:cs="Arial" w:eastAsia="Arial" w:hAnsi="Arial"/>
          <w:sz w:val="17"/>
          <w:szCs w:val="17"/>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University, and these fluctuations could materially reduce our stock price.</w:t>
      </w:r>
    </w:p>
    <w:p>
      <w:pPr>
        <w:spacing w:after="0" w:line="142"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59"/>
        <w:spacing w:after="0" w:line="277"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their evaluations of our stock, the price of our stock could decline.</w:t>
      </w:r>
    </w:p>
    <w:p>
      <w:pPr>
        <w:spacing w:after="0" w:line="139" w:lineRule="exact"/>
        <w:rPr>
          <w:sz w:val="20"/>
          <w:szCs w:val="20"/>
          <w:color w:val="auto"/>
        </w:rPr>
      </w:pPr>
    </w:p>
    <w:p>
      <w:pPr>
        <w:ind w:left="320" w:right="759" w:firstLine="369"/>
        <w:spacing w:after="0" w:line="260" w:lineRule="auto"/>
        <w:rPr>
          <w:sz w:val="20"/>
          <w:szCs w:val="20"/>
          <w:color w:val="auto"/>
        </w:rPr>
      </w:pPr>
      <w:r>
        <w:rPr>
          <w:rFonts w:ascii="Arial" w:cs="Arial" w:eastAsia="Arial" w:hAnsi="Arial"/>
          <w:sz w:val="17"/>
          <w:szCs w:val="17"/>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University, we could lose visibility in the market for our stock, which in turn could cause our stock price to decline.</w:t>
      </w:r>
    </w:p>
    <w:p>
      <w:pPr>
        <w:spacing w:after="0" w:line="140" w:lineRule="exact"/>
        <w:rPr>
          <w:sz w:val="20"/>
          <w:szCs w:val="20"/>
          <w:color w:val="auto"/>
        </w:rPr>
      </w:pPr>
    </w:p>
    <w:p>
      <w:pPr>
        <w:ind w:left="320" w:right="779"/>
        <w:spacing w:after="0" w:line="277"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26"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93" w:lineRule="exact"/>
        <w:rPr>
          <w:sz w:val="20"/>
          <w:szCs w:val="20"/>
          <w:color w:val="auto"/>
        </w:rPr>
      </w:pPr>
    </w:p>
    <w:p>
      <w:pPr>
        <w:ind w:left="320" w:right="739" w:firstLine="369"/>
        <w:spacing w:after="0" w:line="272" w:lineRule="auto"/>
        <w:rPr>
          <w:sz w:val="20"/>
          <w:szCs w:val="20"/>
          <w:color w:val="auto"/>
        </w:rPr>
      </w:pPr>
      <w:r>
        <w:rPr>
          <w:rFonts w:ascii="Arial" w:cs="Arial" w:eastAsia="Arial" w:hAnsi="Arial"/>
          <w:sz w:val="16"/>
          <w:szCs w:val="16"/>
          <w:color w:val="auto"/>
        </w:rPr>
        <w:t>We own our ground campus, which is located on approximately 100 acres in the center of the Phoenix, Arizona metropolitan area, near downtown Phoenix. Our campus facilities currently consist of 43 buildings with more than 700,000 square feet of space, which include 64 classrooms, two lecture halls, a 300-seat theater, four student computer labs with 125 computers that are available to students 18 hours per day, a 155,000-volume library, a media arts complex that provides communications students with audio and video equipment, and a 55,000 square foot recreation center for both student-athletes and on-campus students. We house our ground students in an on-campus student apartment complex and dormitories that can collectively hold up to 1,200 students. A new 140,000 square foot arena will open in September 2011, a new 500 bed dormitory and a food court will be completed in August 2011. We also lease four additional facilities for employees in Arizona. We may add additional space in our Arizona locations to accommodate our growth plans in 2011 and beyond.</w:t>
      </w:r>
    </w:p>
    <w:p>
      <w:pPr>
        <w:spacing w:after="0" w:line="132"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80" w:lineRule="exact"/>
        <w:rPr>
          <w:sz w:val="20"/>
          <w:szCs w:val="20"/>
          <w:color w:val="auto"/>
        </w:rPr>
      </w:pPr>
    </w:p>
    <w:p>
      <w:pPr>
        <w:ind w:left="320" w:right="719" w:firstLine="369"/>
        <w:spacing w:after="0" w:line="300" w:lineRule="auto"/>
        <w:rPr>
          <w:sz w:val="20"/>
          <w:szCs w:val="20"/>
          <w:color w:val="auto"/>
        </w:rPr>
      </w:pPr>
      <w:r>
        <w:rPr>
          <w:rFonts w:ascii="Arial" w:cs="Arial" w:eastAsia="Arial" w:hAnsi="Arial"/>
          <w:sz w:val="15"/>
          <w:szCs w:val="15"/>
          <w:color w:val="auto"/>
        </w:rPr>
        <w:t xml:space="preserve">On August 14, 2008, the U. S. Department of Education, Office of Inspector General (“OIG”) served an administrative subpoena on Grand Canyon University requiring us to provide certain records and information related to performance reviews and salary adjustments for all of our enrollment counselors and managers from January 1, 2004 to August 2008. We cooperated with the OIG to facilitate its investigation and completed our rolling responsive document production, which commenced in September 2008, in June 2009. In light of the settlement of the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litigation described below, we believe that this investigation has effectively ended.</w:t>
      </w:r>
    </w:p>
    <w:p>
      <w:pPr>
        <w:spacing w:after="0" w:line="127" w:lineRule="exact"/>
        <w:rPr>
          <w:sz w:val="20"/>
          <w:szCs w:val="20"/>
          <w:color w:val="auto"/>
        </w:rPr>
      </w:pPr>
    </w:p>
    <w:p>
      <w:pPr>
        <w:ind w:left="320" w:right="699" w:firstLine="369"/>
        <w:spacing w:after="0" w:line="254" w:lineRule="auto"/>
        <w:rPr>
          <w:sz w:val="20"/>
          <w:szCs w:val="20"/>
          <w:color w:val="auto"/>
        </w:rPr>
      </w:pPr>
      <w:r>
        <w:rPr>
          <w:rFonts w:ascii="Arial" w:cs="Arial" w:eastAsia="Arial" w:hAnsi="Arial"/>
          <w:sz w:val="17"/>
          <w:szCs w:val="17"/>
          <w:color w:val="auto"/>
        </w:rPr>
        <w:t xml:space="preserve">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(the “Court”)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under the federal False Claims Act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August 2007 and was unsealed and served on us following the government’s decision not to intervene at that time.</w:t>
      </w:r>
    </w:p>
    <w:p>
      <w:pPr>
        <w:spacing w:after="0" w:line="200" w:lineRule="exact"/>
        <w:rPr>
          <w:sz w:val="20"/>
          <w:szCs w:val="20"/>
          <w:color w:val="auto"/>
        </w:rPr>
      </w:pPr>
    </w:p>
    <w:p>
      <w:pPr>
        <w:spacing w:after="0" w:line="3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 alleged, among other things, that we violated the False Claims Act by knowingly making false statements, and submitting false records or statements, from at least 2001 to the present, to get false or fraudulent claims paid or approved, and asserted that we improperly compensated certain of our enrollment counselors in violation of the Title IV law governing compensation of such employees, and as a result, improperly received Title IV program funds. The complaint specifically alleged that some of our compensation practices with respect to our enrollment personnel, including providing non-cash awards, violated the Title IV law governing compensation. While we believe that the compensation policies and practices at issue in the complaint were not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were not within the scope of any explicit “safe harbor” provided in the compensation regulations. The complaint sought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w:t>
      </w:r>
    </w:p>
    <w:p>
      <w:pPr>
        <w:spacing w:after="0" w:line="140" w:lineRule="exact"/>
        <w:rPr>
          <w:sz w:val="20"/>
          <w:szCs w:val="20"/>
          <w:color w:val="auto"/>
        </w:rPr>
      </w:pPr>
    </w:p>
    <w:p>
      <w:pPr>
        <w:ind w:left="320" w:right="719" w:firstLine="369"/>
        <w:spacing w:after="0" w:line="271" w:lineRule="auto"/>
        <w:rPr>
          <w:sz w:val="20"/>
          <w:szCs w:val="20"/>
          <w:color w:val="auto"/>
        </w:rPr>
      </w:pPr>
      <w:r>
        <w:rPr>
          <w:rFonts w:ascii="Arial" w:cs="Arial" w:eastAsia="Arial" w:hAnsi="Arial"/>
          <w:sz w:val="16"/>
          <w:szCs w:val="16"/>
          <w:color w:val="auto"/>
        </w:rPr>
        <w:t xml:space="preserve">Pursuant to the court’s mandatory scheduling order, the University entered into settlement discussions with respect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with the relator and, in October 2009, reached a settlement in principle with the relator pursuant to which the University agreed to pay $5.2 million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Thus, in the third quarter of 2009, the University accrued $5.2 million for the estimated litigation loss. This settlement in principle was conditioned upon obtaining the approval of the U.S. Department of Justice (which has authority to approve settlement of False Claims Act matters) and the Department of Education with respect to the issuance to the University of a full three-year Title IV program participation agreement (the University’s application for which has been pending since March 2008), resolving the OIG investigation, and finalizing the settlement terms that would release the University from other False Claims Act cases based upon the conduct covered by the settlement. Following unsuccessful attempts to finalize a settlement agreement among the University, the relator and the United States, on April 28, 2010, the University and the relator submitted a proposed settlement agreement to the Court for approval. In accordance with a scheduling order set by the Court, the United States filed certain objections to the proposed settlement agreement to which the University and the relator responded. The Court then held a hearing regarding the proposed settlement agreement, and the United States’ objections thereto, on June 10, 2010.</w:t>
      </w:r>
    </w:p>
    <w:p>
      <w:pPr>
        <w:spacing w:after="0" w:line="133" w:lineRule="exact"/>
        <w:rPr>
          <w:sz w:val="20"/>
          <w:szCs w:val="20"/>
          <w:color w:val="auto"/>
        </w:rPr>
      </w:pPr>
    </w:p>
    <w:p>
      <w:pPr>
        <w:ind w:left="320" w:right="979" w:firstLine="369"/>
        <w:spacing w:after="0" w:line="293" w:lineRule="auto"/>
        <w:rPr>
          <w:sz w:val="20"/>
          <w:szCs w:val="20"/>
          <w:color w:val="auto"/>
        </w:rPr>
      </w:pPr>
      <w:r>
        <w:rPr>
          <w:rFonts w:ascii="Arial" w:cs="Arial" w:eastAsia="Arial" w:hAnsi="Arial"/>
          <w:sz w:val="15"/>
          <w:szCs w:val="15"/>
          <w:color w:val="auto"/>
        </w:rPr>
        <w:t>Following the June 10, 2010 hearing, the Court ruled that, notwithstanding the United States’ objections, the Court would not object to the provisions of the settlement agreement proposed by the University and the relator that provide, among other things,</w:t>
      </w:r>
    </w:p>
    <w:p>
      <w:pPr>
        <w:ind w:left="320" w:right="679" w:hanging="10"/>
        <w:spacing w:after="0" w:line="291" w:lineRule="auto"/>
        <w:tabs>
          <w:tab w:leader="none" w:pos="552"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that the $5.2 million settlement amount would be payable by the University on the earlier of September 1, 2011 or the issuance by the Department of Education to the University of a full three-year Title IV program participation agreement, and (b) that the University would receive a release from future False Claims Act claims (i.e.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actions) with respect to all conduct which is of the same subject matter as the conduct that is at issue in the current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litigation (the “covered conduct”) through April 28, 2010 (the date that the settlement agreement was submitted to the Court). The Court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Department of Education to the fullest extent permitted by applicable law, from future Department of Education administrative actions with respect to the covered conduct, and (ii) a provision confirming that the University had fully complied with the OIG subpoena.</w:t>
      </w:r>
    </w:p>
    <w:p>
      <w:pPr>
        <w:spacing w:after="0" w:line="119"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color w:val="auto"/>
        </w:rPr>
        <w:t>Following the August 13, 2010 hearing, on August 17, 2010 the Court filed an order approving a settlement agreement between the University and the relator. In its August 17, 2010 order, the Court approved the inclusion of the administrative release provision in the settlement agreement, but stated that it lacked a basis for making a finding regarding the University’s compliance with the OIG subpoena. As a result, the settlement agreement provided a release to the University, given by the relator acting on behalf of the Department of Education to the fullest extent permitted by law, from future Department of Education administrative actions with respect to the covered conduct for the period from January 1, 2001 to April 28, 2010, although the Department of Education does retain the power it currently possesses to initiate other administrative actions against the University. On August 20, 2010, the Court filed an order dismissing the matter with prejudice pursuant to the settlement. As required by the settlement agreement, the University promptly deposited $5.2 million into an interest-bearing segregated account controlled by the University, for payment to the United States and the relator in accordance with the terms of the settlement agreement, as described above.</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939" w:firstLine="369"/>
        <w:spacing w:after="0" w:line="288" w:lineRule="auto"/>
        <w:rPr>
          <w:sz w:val="20"/>
          <w:szCs w:val="20"/>
          <w:color w:val="auto"/>
        </w:rPr>
      </w:pPr>
      <w:r>
        <w:rPr>
          <w:rFonts w:ascii="Arial" w:cs="Arial" w:eastAsia="Arial" w:hAnsi="Arial"/>
          <w:sz w:val="16"/>
          <w:szCs w:val="16"/>
          <w:color w:val="auto"/>
        </w:rPr>
        <w:t>On September 16, 2010, the United States filed a notice with the Court that it intended to appeal, before the U.S. Court of Appeals for the Ninth Circuit, the Court’s June 10, 2010 and August 17, 2010 orders overruling the United States’ objections to the settlement and the Courts’ August 20, 2010 order dismissing that matter with prejudice pursuant to the settlement.</w:t>
      </w:r>
    </w:p>
    <w:p>
      <w:pPr>
        <w:spacing w:after="0" w:line="133" w:lineRule="exact"/>
        <w:rPr>
          <w:sz w:val="20"/>
          <w:szCs w:val="20"/>
          <w:color w:val="auto"/>
        </w:rPr>
      </w:pPr>
    </w:p>
    <w:p>
      <w:pPr>
        <w:ind w:left="320" w:right="899" w:firstLine="369"/>
        <w:spacing w:after="0" w:line="258" w:lineRule="auto"/>
        <w:rPr>
          <w:sz w:val="20"/>
          <w:szCs w:val="20"/>
          <w:color w:val="auto"/>
        </w:rPr>
      </w:pPr>
      <w:r>
        <w:rPr>
          <w:rFonts w:ascii="Arial" w:cs="Arial" w:eastAsia="Arial" w:hAnsi="Arial"/>
          <w:sz w:val="17"/>
          <w:szCs w:val="17"/>
          <w:color w:val="auto"/>
        </w:rPr>
        <w:t xml:space="preserve">On December 27, 2010, the United States filed a motion with the Court of Appeals seeking to voluntarily dismiss its appeal of the District Court’s orders. The Court of Appeals granted this motion on December 28, 2010. As a result the settlement agreement previously approved by the District Court will take effect on the terms previously disclosed. Subject to the distribution of the settlement amount from escrow in accordance with the terms of the settlement agreement,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which was originally filed in 2007 and unsealed in 2008, is now finally resolved.</w:t>
      </w:r>
    </w:p>
    <w:p>
      <w:pPr>
        <w:spacing w:after="0" w:line="142" w:lineRule="exact"/>
        <w:rPr>
          <w:sz w:val="20"/>
          <w:szCs w:val="20"/>
          <w:color w:val="auto"/>
        </w:rPr>
      </w:pPr>
    </w:p>
    <w:p>
      <w:pPr>
        <w:ind w:left="320" w:right="839" w:firstLine="369"/>
        <w:spacing w:after="0" w:line="264" w:lineRule="auto"/>
        <w:rPr>
          <w:sz w:val="20"/>
          <w:szCs w:val="20"/>
          <w:color w:val="auto"/>
        </w:rPr>
      </w:pPr>
      <w:r>
        <w:rPr>
          <w:rFonts w:ascii="Arial" w:cs="Arial" w:eastAsia="Arial" w:hAnsi="Arial"/>
          <w:sz w:val="17"/>
          <w:szCs w:val="17"/>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3"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(Removed and Reserved)</w:t>
      </w: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II</w:t>
      </w:r>
    </w:p>
    <w:p>
      <w:pPr>
        <w:spacing w:after="0" w:line="189" w:lineRule="exact"/>
        <w:rPr>
          <w:sz w:val="20"/>
          <w:szCs w:val="20"/>
          <w:color w:val="auto"/>
        </w:rPr>
      </w:pPr>
    </w:p>
    <w:p>
      <w:pPr>
        <w:ind w:left="320" w:right="1259"/>
        <w:spacing w:after="0" w:line="458"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w:t>
      </w:r>
    </w:p>
    <w:p>
      <w:pPr>
        <w:spacing w:after="0" w:line="2"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table below sets forth the high and low sales prices for our common stock, as reported by the Nasdaq Global Market.</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High</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7"/>
                <w:szCs w:val="17"/>
                <w:b w:val="1"/>
                <w:bCs w:val="1"/>
                <w:color w:val="auto"/>
              </w:rPr>
              <w:t>Low</w:t>
            </w:r>
          </w:p>
        </w:tc>
      </w:tr>
      <w:tr>
        <w:trPr>
          <w:trHeight w:val="199"/>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2009</w:t>
            </w:r>
          </w:p>
        </w:tc>
        <w:tc>
          <w:tcPr>
            <w:tcW w:w="29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First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20.80</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12.53</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17.35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12.74</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Third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19.52</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15.69</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19.88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15.96</w:t>
            </w:r>
          </w:p>
        </w:tc>
      </w:tr>
      <w:tr>
        <w:trPr>
          <w:trHeight w:val="409"/>
        </w:trPr>
        <w:tc>
          <w:tcPr>
            <w:tcW w:w="4000" w:type="dxa"/>
            <w:vAlign w:val="bottom"/>
          </w:tcPr>
          <w:p>
            <w:pPr>
              <w:spacing w:after="0"/>
              <w:rPr>
                <w:sz w:val="20"/>
                <w:szCs w:val="20"/>
                <w:color w:val="auto"/>
              </w:rPr>
            </w:pPr>
            <w:r>
              <w:rPr>
                <w:rFonts w:ascii="Arial" w:cs="Arial" w:eastAsia="Arial" w:hAnsi="Arial"/>
                <w:sz w:val="17"/>
                <w:szCs w:val="17"/>
                <w:b w:val="1"/>
                <w:bCs w:val="1"/>
                <w:color w:val="auto"/>
              </w:rPr>
              <w:t>2010</w:t>
            </w: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First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18.15</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Second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28.46</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22.83</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24.70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15.33</w:t>
            </w:r>
          </w:p>
        </w:tc>
      </w:tr>
      <w:tr>
        <w:trPr>
          <w:trHeight w:val="216"/>
        </w:trPr>
        <w:tc>
          <w:tcPr>
            <w:tcW w:w="4000" w:type="dxa"/>
            <w:vAlign w:val="bottom"/>
          </w:tcPr>
          <w:p>
            <w:pPr>
              <w:spacing w:after="0"/>
              <w:rPr>
                <w:sz w:val="20"/>
                <w:szCs w:val="20"/>
                <w:color w:val="auto"/>
              </w:rPr>
            </w:pPr>
            <w:r>
              <w:rPr>
                <w:rFonts w:ascii="Arial" w:cs="Arial" w:eastAsia="Arial" w:hAnsi="Arial"/>
                <w:sz w:val="17"/>
                <w:szCs w:val="17"/>
                <w:color w:val="auto"/>
              </w:rPr>
              <w:t>Fourth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23.26</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16.90</w:t>
            </w:r>
          </w:p>
        </w:tc>
      </w:tr>
    </w:tbl>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Holders</w:t>
      </w:r>
    </w:p>
    <w:p>
      <w:pPr>
        <w:spacing w:after="0" w:line="180" w:lineRule="exact"/>
        <w:rPr>
          <w:sz w:val="20"/>
          <w:szCs w:val="20"/>
          <w:color w:val="auto"/>
        </w:rPr>
      </w:pPr>
    </w:p>
    <w:p>
      <w:pPr>
        <w:jc w:val="both"/>
        <w:ind w:left="320" w:right="939" w:firstLine="369"/>
        <w:spacing w:after="0" w:line="264" w:lineRule="auto"/>
        <w:rPr>
          <w:sz w:val="20"/>
          <w:szCs w:val="20"/>
          <w:color w:val="auto"/>
        </w:rPr>
      </w:pPr>
      <w:r>
        <w:rPr>
          <w:rFonts w:ascii="Arial" w:cs="Arial" w:eastAsia="Arial" w:hAnsi="Arial"/>
          <w:sz w:val="17"/>
          <w:szCs w:val="17"/>
          <w:color w:val="auto"/>
        </w:rPr>
        <w:t>As of December 31, 2010, there were approximately 21 registered holders of record of common stock. A substantially greater number of holders of common stock are “street name” or beneficial holders, whose shares are held of record by banks, brokers and other financial institutions.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Dividends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On November 19, 2008, our registration statement for our initial public offering of common stock became effective. In the initial</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public offering, we sold 10,500,000 shares of common stock at a price to the public of $12.00 per share, before underwriting discounts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and commissions. On November 26, 2008, the underwriters elected to exercise in full their option to purchase an additional 1,575,000</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shares at the initial public offering price to cover over-allotments. Aggregate net proceeds to us were approximately $134.8 million,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deducting underwriting discounts and commissions and before offering expenses. On September 26, 2008, our Board of</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Directors approved the payment of a special distribution to our stockholders of record immediately prior to the initial public offering</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be paid from the proceeds of the initial public offering (including any proceeds resulting from sales of shares pursuant to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exercise of the over-allotment option) in the amount of 75% of the gross offering proceeds. On November 25, 2008, we distributed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$94.5 million in the initial public offering and, on December 3, 2008, we distributed an additional $14.2 million in connection with the</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underwriters’ exercise of their over-allotment option. The special distribution was paid on an as converted basis to our common and</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preferred shareholders of record as of November 18, 2008.</w:t>
      </w:r>
    </w:p>
    <w:p>
      <w:pPr>
        <w:spacing w:after="0" w:line="165" w:lineRule="exact"/>
        <w:rPr>
          <w:sz w:val="20"/>
          <w:szCs w:val="20"/>
          <w:color w:val="auto"/>
        </w:rPr>
      </w:pPr>
    </w:p>
    <w:p>
      <w:pPr>
        <w:ind w:left="320" w:right="679" w:firstLine="369"/>
        <w:spacing w:after="0" w:line="277" w:lineRule="auto"/>
        <w:rPr>
          <w:sz w:val="20"/>
          <w:szCs w:val="20"/>
          <w:color w:val="auto"/>
        </w:rPr>
      </w:pPr>
      <w:r>
        <w:rPr>
          <w:rFonts w:ascii="Arial" w:cs="Arial" w:eastAsia="Arial" w:hAnsi="Arial"/>
          <w:sz w:val="17"/>
          <w:szCs w:val="17"/>
          <w:color w:val="auto"/>
        </w:rPr>
        <w:t>We currently intend to retain all future earnings for the operation and expansion of our business and do not anticipate paying cash dividends on our common stock in the foreseeable future.</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80"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 xml:space="preserve">The information required by Item 201(d) of Regulation S-K is provided under Item 12, </w:t>
      </w:r>
      <w:r>
        <w:rPr>
          <w:rFonts w:ascii="Arial" w:cs="Arial" w:eastAsia="Arial" w:hAnsi="Arial"/>
          <w:sz w:val="17"/>
          <w:szCs w:val="17"/>
          <w:i w:val="1"/>
          <w:iCs w:val="1"/>
          <w:color w:val="auto"/>
        </w:rPr>
        <w:t>Security Ownership of Certain Beneficial</w:t>
      </w:r>
      <w:r>
        <w:rPr>
          <w:rFonts w:ascii="Arial" w:cs="Arial" w:eastAsia="Arial" w:hAnsi="Arial"/>
          <w:sz w:val="17"/>
          <w:szCs w:val="17"/>
          <w:color w:val="auto"/>
        </w:rPr>
        <w:t xml:space="preserve"> </w:t>
      </w:r>
      <w:r>
        <w:rPr>
          <w:rFonts w:ascii="Arial" w:cs="Arial" w:eastAsia="Arial" w:hAnsi="Arial"/>
          <w:sz w:val="17"/>
          <w:szCs w:val="17"/>
          <w:i w:val="1"/>
          <w:iCs w:val="1"/>
          <w:color w:val="auto"/>
        </w:rPr>
        <w:t>Owners and Management and Related Stockholder Matters</w:t>
      </w:r>
      <w:r>
        <w:rPr>
          <w:rFonts w:ascii="Arial" w:cs="Arial" w:eastAsia="Arial" w:hAnsi="Arial"/>
          <w:sz w:val="17"/>
          <w:szCs w:val="17"/>
          <w:color w:val="auto"/>
        </w:rPr>
        <w:t>, “Equity Compensation Plan Information,” which is incorporated herein</w:t>
      </w:r>
      <w:r>
        <w:rPr>
          <w:rFonts w:ascii="Arial" w:cs="Arial" w:eastAsia="Arial" w:hAnsi="Arial"/>
          <w:sz w:val="17"/>
          <w:szCs w:val="17"/>
          <w:i w:val="1"/>
          <w:iCs w:val="1"/>
          <w:color w:val="auto"/>
        </w:rPr>
        <w:t xml:space="preserve"> </w:t>
      </w:r>
      <w:r>
        <w:rPr>
          <w:rFonts w:ascii="Arial" w:cs="Arial" w:eastAsia="Arial" w:hAnsi="Arial"/>
          <w:sz w:val="17"/>
          <w:szCs w:val="17"/>
          <w:color w:val="auto"/>
        </w:rPr>
        <w:t>by reference.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76" w:lineRule="exact"/>
        <w:rPr>
          <w:sz w:val="20"/>
          <w:szCs w:val="20"/>
          <w:color w:val="auto"/>
        </w:rPr>
      </w:pPr>
    </w:p>
    <w:p>
      <w:pPr>
        <w:ind w:left="320" w:right="759" w:firstLine="369"/>
        <w:spacing w:after="0" w:line="275" w:lineRule="auto"/>
        <w:rPr>
          <w:sz w:val="20"/>
          <w:szCs w:val="20"/>
          <w:color w:val="auto"/>
        </w:rPr>
      </w:pPr>
      <w:r>
        <w:rPr>
          <w:rFonts w:ascii="Arial" w:cs="Arial" w:eastAsia="Arial" w:hAnsi="Arial"/>
          <w:sz w:val="16"/>
          <w:szCs w:val="16"/>
          <w:color w:val="auto"/>
        </w:rPr>
        <w:t>On August 14, 2010, our Board of Directors adopted a stock repurchase program, pursuant to which we are authorized to repurchase up to $25.0 million of shares of common stock, from time to time, depending on market conditions and other considerations. The expiration date on the repurchase authorization is September 30, 2011 and repurchases occur at our discretion. Repurchases may be made in the open market or in privately negotiated transactions, pursuant to the applicable SEC rules. The amount and timing of future share repurchases, if any, will be made as market and business conditions warrant. No repurchases of our common stock were made in the fourth quarter of fiscal 2010.</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University Stock Performance</w:t>
      </w:r>
    </w:p>
    <w:p>
      <w:pPr>
        <w:spacing w:after="0" w:line="193"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The following graph compares the cumulative 25-month return of holders of our common stock with the cumulative total returns of the S&amp;P 500 Index, the NASDAQ Composite index, our a peer group of six companies that includes: Capella Education Company, American Public Education, Inc., Apollo Group Inc., Strayer Education Inc; Education Management Corporation and Bridgepoint Education, Inc. This chart assumes that an investment of $100 was made in our common stock, in the index, and in the peer group on November 20, 2008 and that all dividends paid by us (other than the special distribution) and such companies were reinvested, and tracks the relative performance of such investments through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92075</wp:posOffset>
            </wp:positionV>
            <wp:extent cx="4298315" cy="2825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98315" cy="282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right="819" w:hanging="10"/>
        <w:spacing w:after="0" w:line="482" w:lineRule="auto"/>
        <w:tabs>
          <w:tab w:leader="none" w:pos="6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$100 invested on 11/20/08 in stock or 10/31/08 in index, including reinvestment of dividends. Fiscal year ending December 31. Copyright© 2011 S&amp;P, a division of The McGraw-Hill Companies Inc. All rights reserved.</w:t>
      </w:r>
    </w:p>
    <w:p>
      <w:pPr>
        <w:spacing w:after="0" w:line="34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11/08</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11/08</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12/08</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1/09</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2/09</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3/09</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4/09</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5/09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125.23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158.48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146.24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143.63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145.65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137.97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114.43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740" w:type="dxa"/>
            <w:vAlign w:val="bottom"/>
            <w:gridSpan w:val="2"/>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92.83</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93.81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85.91</w:t>
            </w:r>
          </w:p>
        </w:tc>
        <w:tc>
          <w:tcPr>
            <w:tcW w:w="1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76.76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83.48</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91.47</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96.59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89.99</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92.81</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87.08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81.62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89.96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100.59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104.30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740" w:type="dxa"/>
            <w:vAlign w:val="bottom"/>
            <w:gridSpan w:val="2"/>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112.86</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110.37</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114.62</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103.04</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91.28</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77.84</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74.49</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6/09</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7/09</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8/09</w:t>
            </w:r>
          </w:p>
        </w:tc>
        <w:tc>
          <w:tcPr>
            <w:tcW w:w="180" w:type="dxa"/>
            <w:vAlign w:val="bottom"/>
          </w:tcPr>
          <w:p>
            <w:pPr>
              <w:spacing w:after="0"/>
              <w:rPr>
                <w:sz w:val="19"/>
                <w:szCs w:val="19"/>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9/09</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10/09</w:t>
            </w: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11/09</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141.60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147.76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146.84</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150.46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136.88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161.77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160.42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96.78</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104.10</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107.86</w:t>
            </w:r>
          </w:p>
        </w:tc>
        <w:tc>
          <w:tcPr>
            <w:tcW w:w="820" w:type="dxa"/>
            <w:vAlign w:val="bottom"/>
            <w:gridSpan w:val="2"/>
          </w:tcPr>
          <w:p>
            <w:pPr>
              <w:ind w:left="200"/>
              <w:spacing w:after="0"/>
              <w:rPr>
                <w:sz w:val="20"/>
                <w:szCs w:val="20"/>
                <w:color w:val="auto"/>
              </w:rPr>
            </w:pPr>
            <w:r>
              <w:rPr>
                <w:rFonts w:ascii="Arial" w:cs="Arial" w:eastAsia="Arial" w:hAnsi="Arial"/>
                <w:sz w:val="17"/>
                <w:szCs w:val="17"/>
                <w:b w:val="1"/>
                <w:bCs w:val="1"/>
                <w:color w:val="auto"/>
              </w:rPr>
              <w:t>111.88</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109.80</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116.39</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118.64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108.02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116.39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118.59</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125.08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120.89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126.96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134.06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89.68</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87.84</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84.18</w:t>
            </w:r>
          </w:p>
        </w:tc>
        <w:tc>
          <w:tcPr>
            <w:tcW w:w="640" w:type="dxa"/>
            <w:vAlign w:val="bottom"/>
          </w:tcPr>
          <w:p>
            <w:pPr>
              <w:ind w:left="260"/>
              <w:spacing w:after="0"/>
              <w:rPr>
                <w:sz w:val="20"/>
                <w:szCs w:val="20"/>
                <w:color w:val="auto"/>
              </w:rPr>
            </w:pPr>
            <w:r>
              <w:rPr>
                <w:rFonts w:ascii="Arial" w:cs="Arial" w:eastAsia="Arial" w:hAnsi="Arial"/>
                <w:sz w:val="17"/>
                <w:szCs w:val="17"/>
                <w:b w:val="1"/>
                <w:bCs w:val="1"/>
                <w:color w:val="auto"/>
                <w:w w:val="84"/>
              </w:rPr>
              <w:t>91.49</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76.19</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75.97</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80.07</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1/10</w:t>
            </w:r>
          </w:p>
        </w:tc>
        <w:tc>
          <w:tcPr>
            <w:tcW w:w="200" w:type="dxa"/>
            <w:vAlign w:val="bottom"/>
          </w:tcPr>
          <w:p>
            <w:pPr>
              <w:spacing w:after="0"/>
              <w:rPr>
                <w:sz w:val="24"/>
                <w:szCs w:val="2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2/10</w:t>
            </w:r>
          </w:p>
        </w:tc>
        <w:tc>
          <w:tcPr>
            <w:tcW w:w="180" w:type="dxa"/>
            <w:vAlign w:val="bottom"/>
          </w:tcPr>
          <w:p>
            <w:pPr>
              <w:spacing w:after="0"/>
              <w:rPr>
                <w:sz w:val="24"/>
                <w:szCs w:val="2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3/10</w:t>
            </w:r>
          </w:p>
        </w:tc>
        <w:tc>
          <w:tcPr>
            <w:tcW w:w="180" w:type="dxa"/>
            <w:vAlign w:val="bottom"/>
          </w:tcPr>
          <w:p>
            <w:pPr>
              <w:spacing w:after="0"/>
              <w:rPr>
                <w:sz w:val="24"/>
                <w:szCs w:val="2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4/10</w:t>
            </w:r>
          </w:p>
        </w:tc>
        <w:tc>
          <w:tcPr>
            <w:tcW w:w="180" w:type="dxa"/>
            <w:vAlign w:val="bottom"/>
          </w:tcPr>
          <w:p>
            <w:pPr>
              <w:spacing w:after="0"/>
              <w:rPr>
                <w:sz w:val="24"/>
                <w:szCs w:val="2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5/10</w:t>
            </w:r>
          </w:p>
        </w:tc>
        <w:tc>
          <w:tcPr>
            <w:tcW w:w="160" w:type="dxa"/>
            <w:vAlign w:val="bottom"/>
          </w:tcPr>
          <w:p>
            <w:pPr>
              <w:spacing w:after="0"/>
              <w:rPr>
                <w:sz w:val="24"/>
                <w:szCs w:val="2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6/10</w:t>
            </w:r>
          </w:p>
        </w:tc>
        <w:tc>
          <w:tcPr>
            <w:tcW w:w="180" w:type="dxa"/>
            <w:vAlign w:val="bottom"/>
          </w:tcPr>
          <w:p>
            <w:pPr>
              <w:spacing w:after="0"/>
              <w:rPr>
                <w:sz w:val="24"/>
                <w:szCs w:val="2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7/10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168.52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183.54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220.59</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204.05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207.26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197.72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204.81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114.37</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117.91</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125.03</w:t>
            </w:r>
          </w:p>
        </w:tc>
        <w:tc>
          <w:tcPr>
            <w:tcW w:w="820" w:type="dxa"/>
            <w:vAlign w:val="bottom"/>
            <w:gridSpan w:val="2"/>
          </w:tcPr>
          <w:p>
            <w:pPr>
              <w:ind w:left="180"/>
              <w:spacing w:after="0"/>
              <w:rPr>
                <w:sz w:val="20"/>
                <w:szCs w:val="20"/>
                <w:color w:val="auto"/>
              </w:rPr>
            </w:pPr>
            <w:r>
              <w:rPr>
                <w:rFonts w:ascii="Arial" w:cs="Arial" w:eastAsia="Arial" w:hAnsi="Arial"/>
                <w:sz w:val="17"/>
                <w:szCs w:val="17"/>
                <w:b w:val="1"/>
                <w:bCs w:val="1"/>
                <w:color w:val="auto"/>
              </w:rPr>
              <w:t>127.00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116.86</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110.74</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118.50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127.40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132.92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142.25</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145.46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133.36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125.34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133.98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77.94</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80.92</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86.97</w:t>
            </w:r>
          </w:p>
        </w:tc>
        <w:tc>
          <w:tcPr>
            <w:tcW w:w="640" w:type="dxa"/>
            <w:vAlign w:val="bottom"/>
          </w:tcPr>
          <w:p>
            <w:pPr>
              <w:ind w:left="260"/>
              <w:spacing w:after="0"/>
              <w:rPr>
                <w:sz w:val="20"/>
                <w:szCs w:val="20"/>
                <w:color w:val="auto"/>
              </w:rPr>
            </w:pPr>
            <w:r>
              <w:rPr>
                <w:rFonts w:ascii="Arial" w:cs="Arial" w:eastAsia="Arial" w:hAnsi="Arial"/>
                <w:sz w:val="17"/>
                <w:szCs w:val="17"/>
                <w:b w:val="1"/>
                <w:bCs w:val="1"/>
                <w:color w:val="auto"/>
                <w:w w:val="84"/>
              </w:rPr>
              <w:t>84.01</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79.13</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64.69</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71.06</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8/10</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9/10</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10/10</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11/10</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143.88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185.06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158.73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160.68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165.32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113.15</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123.25</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127.94</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127.96</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136.51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126.21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141.37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149.55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148.93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158.26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52.47</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66.91</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51.37</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50.97</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60.29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Copyright</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2011 Standard &amp; Poor’s, a division of The McGraw-Hill Companies Inc. All rights reserved.</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(www.researchdatagroup.com/S&amp;P.htm)</w:t>
      </w:r>
    </w:p>
    <w:p>
      <w:pPr>
        <w:spacing w:after="0" w:line="165" w:lineRule="exact"/>
        <w:rPr>
          <w:sz w:val="20"/>
          <w:szCs w:val="20"/>
          <w:color w:val="auto"/>
        </w:rPr>
      </w:pPr>
    </w:p>
    <w:p>
      <w:pPr>
        <w:ind w:left="320" w:right="679" w:firstLine="369"/>
        <w:spacing w:after="0" w:line="264"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and Other Data</w:t>
      </w:r>
    </w:p>
    <w:p>
      <w:pPr>
        <w:spacing w:after="0" w:line="193" w:lineRule="exact"/>
        <w:rPr>
          <w:sz w:val="20"/>
          <w:szCs w:val="20"/>
          <w:color w:val="auto"/>
        </w:rPr>
      </w:pPr>
    </w:p>
    <w:p>
      <w:pPr>
        <w:ind w:left="320" w:right="1900" w:firstLine="369"/>
        <w:spacing w:after="0" w:line="294" w:lineRule="auto"/>
        <w:rPr>
          <w:sz w:val="20"/>
          <w:szCs w:val="20"/>
          <w:color w:val="auto"/>
        </w:rPr>
      </w:pPr>
      <w:r>
        <w:rPr>
          <w:rFonts w:ascii="Arial" w:cs="Arial" w:eastAsia="Arial" w:hAnsi="Arial"/>
          <w:sz w:val="15"/>
          <w:szCs w:val="15"/>
          <w:color w:val="auto"/>
        </w:rPr>
        <w:t xml:space="preserve">The following selected financial and other data should be read in conjunction with Item 8, </w:t>
      </w:r>
      <w:r>
        <w:rPr>
          <w:rFonts w:ascii="Arial" w:cs="Arial" w:eastAsia="Arial" w:hAnsi="Arial"/>
          <w:sz w:val="15"/>
          <w:szCs w:val="15"/>
          <w:i w:val="1"/>
          <w:iCs w:val="1"/>
          <w:color w:val="auto"/>
        </w:rPr>
        <w:t>Financial Statements and</w:t>
      </w:r>
      <w:r>
        <w:rPr>
          <w:rFonts w:ascii="Arial" w:cs="Arial" w:eastAsia="Arial" w:hAnsi="Arial"/>
          <w:sz w:val="15"/>
          <w:szCs w:val="15"/>
          <w:color w:val="auto"/>
        </w:rPr>
        <w:t xml:space="preserve"> </w:t>
      </w:r>
      <w:r>
        <w:rPr>
          <w:rFonts w:ascii="Arial" w:cs="Arial" w:eastAsia="Arial" w:hAnsi="Arial"/>
          <w:sz w:val="15"/>
          <w:szCs w:val="15"/>
          <w:i w:val="1"/>
          <w:iCs w:val="1"/>
          <w:color w:val="auto"/>
        </w:rPr>
        <w:t>Supplementary Data</w:t>
      </w:r>
      <w:r>
        <w:rPr>
          <w:rFonts w:ascii="Arial" w:cs="Arial" w:eastAsia="Arial" w:hAnsi="Arial"/>
          <w:sz w:val="15"/>
          <w:szCs w:val="15"/>
          <w:color w:val="auto"/>
        </w:rPr>
        <w:t>, and Item 7,</w:t>
      </w:r>
      <w:r>
        <w:rPr>
          <w:rFonts w:ascii="Arial" w:cs="Arial" w:eastAsia="Arial" w:hAnsi="Arial"/>
          <w:sz w:val="15"/>
          <w:szCs w:val="15"/>
          <w:i w:val="1"/>
          <w:iCs w:val="1"/>
          <w:color w:val="auto"/>
        </w:rPr>
        <w:t xml:space="preserve"> Management’s Discussion and Analysis of Financial Condition and Results of Operations</w:t>
      </w:r>
      <w:r>
        <w:rPr>
          <w:rFonts w:ascii="Arial" w:cs="Arial" w:eastAsia="Arial" w:hAnsi="Arial"/>
          <w:sz w:val="15"/>
          <w:szCs w:val="15"/>
          <w:color w:val="auto"/>
        </w:rPr>
        <w:t>, to fully</w:t>
      </w:r>
      <w:r>
        <w:rPr>
          <w:rFonts w:ascii="Arial" w:cs="Arial" w:eastAsia="Arial" w:hAnsi="Arial"/>
          <w:sz w:val="15"/>
          <w:szCs w:val="15"/>
          <w:i w:val="1"/>
          <w:iCs w:val="1"/>
          <w:color w:val="auto"/>
        </w:rPr>
        <w:t xml:space="preserve"> </w:t>
      </w:r>
      <w:r>
        <w:rPr>
          <w:rFonts w:ascii="Arial" w:cs="Arial" w:eastAsia="Arial" w:hAnsi="Arial"/>
          <w:sz w:val="15"/>
          <w:szCs w:val="15"/>
          <w:color w:val="auto"/>
        </w:rPr>
        <w:t>understand factors that may affect the comparability of the information presented below. The selected income statement data and other data, excluding period end enrollment, for the years ended December 31, 2010, 2009, and 2008, and the selected balance sheet data as of December 31, 2010, and 2009, have been derived from our audited financial statements for such years, which are included herein. The selected income statement data and other data, excluding period end enrollment, for the years ended December 31, 2007 and 2006, and the selected balance sheet data as of December 31, 2007, and 2006, have been derived from our audited financial statements for such years, which are not included herein. Our historical results are not necessarily indicative of our results for any future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2006</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10"/>
          </w:tcPr>
          <w:p>
            <w:pPr>
              <w:jc w:val="right"/>
              <w:ind w:right="660"/>
              <w:spacing w:after="0"/>
              <w:rPr>
                <w:sz w:val="20"/>
                <w:szCs w:val="20"/>
                <w:color w:val="auto"/>
              </w:rPr>
            </w:pPr>
            <w:r>
              <w:rPr>
                <w:rFonts w:ascii="Arial" w:cs="Arial" w:eastAsia="Arial" w:hAnsi="Arial"/>
                <w:sz w:val="17"/>
                <w:szCs w:val="17"/>
                <w:b w:val="1"/>
                <w:bCs w:val="1"/>
                <w:i w:val="1"/>
                <w:iCs w:val="1"/>
                <w:color w:val="auto"/>
                <w:w w:val="95"/>
              </w:rPr>
              <w:t>(In thousands, except per share data)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vMerge w:val="restart"/>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Statement Data:</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Net revenue</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385,825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261,902</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161,309</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99,326</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72,111</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ind w:left="180"/>
              <w:spacing w:after="0"/>
              <w:rPr>
                <w:sz w:val="20"/>
                <w:szCs w:val="20"/>
                <w:color w:val="auto"/>
              </w:rPr>
            </w:pPr>
            <w:r>
              <w:rPr>
                <w:rFonts w:ascii="Arial" w:cs="Arial" w:eastAsia="Arial" w:hAnsi="Arial"/>
                <w:sz w:val="17"/>
                <w:szCs w:val="17"/>
                <w:color w:val="auto"/>
              </w:rPr>
              <w:t>Instructional costs and services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140,037</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87,592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54,450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39,050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31,287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promotional</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112,493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85,405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65,551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35,148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20,093</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49,980</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35,619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26,825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17,001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15,011</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Contract termination fee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9,233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ind w:left="180"/>
              <w:spacing w:after="0"/>
              <w:rPr>
                <w:sz w:val="20"/>
                <w:szCs w:val="20"/>
                <w:color w:val="auto"/>
              </w:rPr>
            </w:pPr>
            <w:r>
              <w:rPr>
                <w:rFonts w:ascii="Arial" w:cs="Arial" w:eastAsia="Arial" w:hAnsi="Arial"/>
                <w:sz w:val="17"/>
                <w:szCs w:val="17"/>
                <w:color w:val="auto"/>
              </w:rPr>
              <w:t>Litigation loss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5,200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Estimated exit costs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1,218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ind w:left="180"/>
              <w:spacing w:after="0"/>
              <w:rPr>
                <w:sz w:val="20"/>
                <w:szCs w:val="20"/>
                <w:color w:val="auto"/>
              </w:rPr>
            </w:pPr>
            <w:r>
              <w:rPr>
                <w:rFonts w:ascii="Arial" w:cs="Arial" w:eastAsia="Arial" w:hAnsi="Arial"/>
                <w:sz w:val="17"/>
                <w:szCs w:val="17"/>
                <w:color w:val="auto"/>
              </w:rPr>
              <w:t>Royalty to former owner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296</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1,686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3,782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2,678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312,297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215,330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94,981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69,069</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3160" w:type="dxa"/>
            <w:vAlign w:val="bottom"/>
            <w:gridSpan w:val="2"/>
          </w:tcPr>
          <w:p>
            <w:pPr>
              <w:ind w:left="320"/>
              <w:spacing w:after="0"/>
              <w:rPr>
                <w:sz w:val="20"/>
                <w:szCs w:val="20"/>
                <w:color w:val="auto"/>
              </w:rPr>
            </w:pPr>
            <w:r>
              <w:rPr>
                <w:rFonts w:ascii="Arial" w:cs="Arial" w:eastAsia="Arial" w:hAnsi="Arial"/>
                <w:sz w:val="17"/>
                <w:szCs w:val="17"/>
                <w:color w:val="auto"/>
              </w:rPr>
              <w:t>Operating income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73,528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46,572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12,797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4,345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3,042</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(889)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(2,827)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Interest income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1,172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912</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72,807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45,283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28,442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17,979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3,855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529</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Preferred dividends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(527)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0" w:type="dxa"/>
            <w:vAlign w:val="bottom"/>
            <w:vMerge w:val="continue"/>
          </w:tcPr>
          <w:p>
            <w:pPr>
              <w:spacing w:after="0"/>
              <w:rPr>
                <w:sz w:val="16"/>
                <w:szCs w:val="16"/>
                <w:color w:val="auto"/>
              </w:rPr>
            </w:pPr>
          </w:p>
        </w:tc>
        <w:tc>
          <w:tcPr>
            <w:tcW w:w="28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income available to common</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44,365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27,304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5,747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1,177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ind w:left="320"/>
              <w:spacing w:after="0"/>
              <w:rPr>
                <w:sz w:val="20"/>
                <w:szCs w:val="20"/>
                <w:color w:val="auto"/>
              </w:rPr>
            </w:pPr>
            <w:r>
              <w:rPr>
                <w:rFonts w:ascii="Arial" w:cs="Arial" w:eastAsia="Arial" w:hAnsi="Arial"/>
                <w:sz w:val="17"/>
                <w:szCs w:val="17"/>
                <w:color w:val="auto"/>
              </w:rPr>
              <w:t>Earnings per common share</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ind w:left="180"/>
              <w:spacing w:after="0"/>
              <w:rPr>
                <w:sz w:val="20"/>
                <w:szCs w:val="20"/>
                <w:color w:val="auto"/>
              </w:rPr>
            </w:pPr>
            <w:r>
              <w:rPr>
                <w:rFonts w:ascii="Arial" w:cs="Arial" w:eastAsia="Arial" w:hAnsi="Arial"/>
                <w:sz w:val="17"/>
                <w:szCs w:val="17"/>
                <w:color w:val="auto"/>
              </w:rPr>
              <w:t>Diluted</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0.96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0.60</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0.17</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0.03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28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Shares used in computing earnings per</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share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ind w:left="180"/>
              <w:spacing w:after="0"/>
              <w:rPr>
                <w:sz w:val="20"/>
                <w:szCs w:val="20"/>
                <w:color w:val="auto"/>
              </w:rPr>
            </w:pPr>
            <w:r>
              <w:rPr>
                <w:rFonts w:ascii="Arial" w:cs="Arial" w:eastAsia="Arial" w:hAnsi="Arial"/>
                <w:sz w:val="17"/>
                <w:szCs w:val="17"/>
                <w:color w:val="auto"/>
              </w:rPr>
              <w:t>Basic</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45,722</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45,184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22,185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18,923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18,853</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46,396</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33,430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35,143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36,858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2006</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7"/>
                <w:szCs w:val="17"/>
                <w:b w:val="1"/>
                <w:bCs w:val="1"/>
                <w:i w:val="1"/>
                <w:iCs w:val="1"/>
                <w:color w:val="auto"/>
                <w:w w:val="93"/>
              </w:rPr>
              <w:t>(In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Capital expenditures</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62,627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60,265</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8,374</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7,406</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2,387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11,812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7,664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5,095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(1)</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101,176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65,119</w:t>
            </w:r>
          </w:p>
        </w:tc>
        <w:tc>
          <w:tcPr>
            <w:tcW w:w="1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25,675</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11,723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9,074</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Period end enrollment</w:t>
            </w:r>
            <w:r>
              <w:rPr>
                <w:rFonts w:ascii="Arial" w:cs="Arial" w:eastAsia="Arial" w:hAnsi="Arial"/>
                <w:sz w:val="14"/>
                <w:szCs w:val="14"/>
                <w:color w:val="auto"/>
              </w:rPr>
              <w:t>(2)</w:t>
            </w: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tcPr>
          <w:p>
            <w:pPr>
              <w:ind w:left="180"/>
              <w:spacing w:after="0"/>
              <w:rPr>
                <w:sz w:val="20"/>
                <w:szCs w:val="20"/>
                <w:color w:val="auto"/>
              </w:rPr>
            </w:pPr>
            <w:r>
              <w:rPr>
                <w:rFonts w:ascii="Arial" w:cs="Arial" w:eastAsia="Arial" w:hAnsi="Arial"/>
                <w:sz w:val="17"/>
                <w:szCs w:val="17"/>
                <w:color w:val="auto"/>
              </w:rPr>
              <w:t>Online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37,734</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34,596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21,955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12,497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8,406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Ground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3,748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2,257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535"/>
              <w:spacing w:after="0"/>
              <w:rPr>
                <w:sz w:val="20"/>
                <w:szCs w:val="20"/>
                <w:color w:val="auto"/>
              </w:rPr>
            </w:pPr>
            <w:r>
              <w:rPr>
                <w:rFonts w:ascii="Arial" w:cs="Arial" w:eastAsia="Arial" w:hAnsi="Arial"/>
                <w:sz w:val="17"/>
                <w:szCs w:val="17"/>
                <w:color w:val="auto"/>
                <w:w w:val="94"/>
              </w:rPr>
              <w:t>70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3"/>
              </w:rPr>
              <w:t>As of December 31,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2006</w:t>
            </w:r>
          </w:p>
        </w:tc>
        <w:tc>
          <w:tcPr>
            <w:tcW w:w="80" w:type="dxa"/>
            <w:vAlign w:val="bottom"/>
          </w:tcPr>
          <w:p>
            <w:pPr>
              <w:spacing w:after="0"/>
              <w:rPr>
                <w:sz w:val="17"/>
                <w:szCs w:val="17"/>
                <w:color w:val="auto"/>
              </w:rPr>
            </w:pPr>
          </w:p>
        </w:tc>
      </w:tr>
      <w:tr>
        <w:trPr>
          <w:trHeight w:val="198"/>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b w:val="1"/>
                <w:bCs w:val="1"/>
                <w:i w:val="1"/>
                <w:iCs w:val="1"/>
                <w:color w:val="auto"/>
              </w:rPr>
              <w:t>(In thousands)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3"/>
        </w:trPr>
        <w:tc>
          <w:tcPr>
            <w:tcW w:w="2800" w:type="dxa"/>
            <w:vAlign w:val="bottom"/>
          </w:tcPr>
          <w:p>
            <w:pPr>
              <w:spacing w:after="0" w:line="193" w:lineRule="exact"/>
              <w:rPr>
                <w:sz w:val="20"/>
                <w:szCs w:val="20"/>
                <w:color w:val="auto"/>
              </w:rPr>
            </w:pPr>
            <w:r>
              <w:rPr>
                <w:rFonts w:ascii="Arial" w:cs="Arial" w:eastAsia="Arial" w:hAnsi="Arial"/>
                <w:sz w:val="17"/>
                <w:szCs w:val="17"/>
                <w:color w:val="auto"/>
              </w:rPr>
              <w:t>Cash and cash equivalents and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33,637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63,101</w:t>
            </w: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35,627</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18,930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11,535</w:t>
            </w:r>
          </w:p>
        </w:tc>
      </w:tr>
      <w:tr>
        <w:trPr>
          <w:trHeight w:val="194"/>
        </w:trPr>
        <w:tc>
          <w:tcPr>
            <w:tcW w:w="2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Restricted cash, cash equivalents and</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52,938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3,233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5,900</w:t>
            </w: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Total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284,255</w:t>
            </w:r>
          </w:p>
        </w:tc>
        <w:tc>
          <w:tcPr>
            <w:tcW w:w="1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174,738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116,990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88,568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61,232</w:t>
            </w:r>
          </w:p>
        </w:tc>
      </w:tr>
      <w:tr>
        <w:trPr>
          <w:trHeight w:val="193"/>
        </w:trPr>
        <w:tc>
          <w:tcPr>
            <w:tcW w:w="28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Capital lease obligations (including</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short-term)</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30,509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29,228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29,728</w:t>
            </w: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Notes payable (including short-term)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23,907</w:t>
            </w:r>
          </w:p>
        </w:tc>
        <w:tc>
          <w:tcPr>
            <w:tcW w:w="1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26,088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1,744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2,408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2,462</w:t>
            </w: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31,948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21,390</w:t>
            </w:r>
          </w:p>
        </w:tc>
      </w:tr>
      <w:tr>
        <w:trPr>
          <w:trHeight w:val="193"/>
        </w:trPr>
        <w:tc>
          <w:tcPr>
            <w:tcW w:w="2800" w:type="dxa"/>
            <w:vAlign w:val="bottom"/>
          </w:tcPr>
          <w:p>
            <w:pPr>
              <w:spacing w:after="0" w:line="193" w:lineRule="exact"/>
              <w:rPr>
                <w:sz w:val="20"/>
                <w:szCs w:val="20"/>
                <w:color w:val="auto"/>
              </w:rPr>
            </w:pPr>
            <w:r>
              <w:rPr>
                <w:rFonts w:ascii="Arial" w:cs="Arial" w:eastAsia="Arial" w:hAnsi="Arial"/>
                <w:sz w:val="17"/>
                <w:szCs w:val="17"/>
                <w:color w:val="auto"/>
              </w:rPr>
              <w:t>Total stockholders’/member s’ equity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7"/>
                <w:szCs w:val="17"/>
                <w:color w:val="auto"/>
              </w:rPr>
              <w:t>(deficit)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136,660</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86,028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53,590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(10,386)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114935</wp:posOffset>
            </wp:positionV>
            <wp:extent cx="10585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341" w:lineRule="exact"/>
        <w:rPr>
          <w:sz w:val="20"/>
          <w:szCs w:val="20"/>
          <w:color w:val="auto"/>
        </w:rPr>
      </w:pPr>
    </w:p>
    <w:p>
      <w:pPr>
        <w:ind w:left="680" w:right="719" w:hanging="370"/>
        <w:spacing w:after="0" w:line="256"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 as discussed in Note 2 to our financial statements that are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(ii) management fees and expenses that are no longer paid; (iii) contributions made to Arizona school tuition organizations in lieu of the payment of state income taxes, which we typically make in the fourth quarter of a fiscal year; (iv) litigation losses, if any; (v) exit costs, if any; (vi) contract termination fees, if any; and (vii) share-based compensation.</w:t>
      </w:r>
    </w:p>
    <w:p>
      <w:pPr>
        <w:spacing w:after="0" w:line="40" w:lineRule="exact"/>
        <w:rPr>
          <w:rFonts w:ascii="Arial" w:cs="Arial" w:eastAsia="Arial" w:hAnsi="Arial"/>
          <w:sz w:val="17"/>
          <w:szCs w:val="17"/>
          <w:color w:val="auto"/>
        </w:rPr>
      </w:pPr>
    </w:p>
    <w:p>
      <w:pPr>
        <w:ind w:left="680" w:right="839" w:hanging="370"/>
        <w:spacing w:after="0" w:line="264"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137" w:lineRule="exact"/>
        <w:rPr>
          <w:sz w:val="20"/>
          <w:szCs w:val="20"/>
          <w:color w:val="auto"/>
        </w:rPr>
      </w:pPr>
    </w:p>
    <w:p>
      <w:pPr>
        <w:ind w:left="320" w:right="699" w:firstLine="369"/>
        <w:spacing w:after="0" w:line="289" w:lineRule="auto"/>
        <w:rPr>
          <w:sz w:val="20"/>
          <w:szCs w:val="20"/>
          <w:color w:val="auto"/>
        </w:rPr>
      </w:pPr>
      <w:r>
        <w:rPr>
          <w:rFonts w:ascii="Arial" w:cs="Arial" w:eastAsia="Arial" w:hAnsi="Arial"/>
          <w:sz w:val="15"/>
          <w:szCs w:val="15"/>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share-based compensation, and contract termination fees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333" w:lineRule="exact"/>
        <w:rPr>
          <w:sz w:val="20"/>
          <w:szCs w:val="20"/>
          <w:color w:val="auto"/>
        </w:rPr>
      </w:pPr>
    </w:p>
    <w:p>
      <w:pPr>
        <w:ind w:left="320" w:right="799" w:firstLine="369"/>
        <w:spacing w:after="0" w:line="25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159" w:lineRule="exact"/>
        <w:rPr>
          <w:sz w:val="20"/>
          <w:szCs w:val="20"/>
          <w:color w:val="auto"/>
        </w:rPr>
      </w:pPr>
    </w:p>
    <w:p>
      <w:pPr>
        <w:ind w:left="1400" w:hanging="359"/>
        <w:spacing w:after="0"/>
        <w:tabs>
          <w:tab w:leader="none" w:pos="140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cash expenditures for capital expenditures or contractual commitments;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changes in, or cash requirement for, our working capital requirements;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hanging="359"/>
        <w:spacing w:after="0"/>
        <w:tabs>
          <w:tab w:leader="none" w:pos="140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interest expense, or the cash required to replace assets that are being depreciated or amortized; and</w:t>
      </w:r>
    </w:p>
    <w:p>
      <w:pPr>
        <w:spacing w:after="0" w:line="176" w:lineRule="exact"/>
        <w:rPr>
          <w:rFonts w:ascii="Arial" w:cs="Arial" w:eastAsia="Arial" w:hAnsi="Arial"/>
          <w:sz w:val="17"/>
          <w:szCs w:val="17"/>
          <w:b w:val="1"/>
          <w:bCs w:val="1"/>
          <w:color w:val="auto"/>
        </w:rPr>
      </w:pPr>
    </w:p>
    <w:p>
      <w:pPr>
        <w:ind w:left="1400" w:right="899" w:hanging="359"/>
        <w:spacing w:after="0" w:line="277" w:lineRule="auto"/>
        <w:tabs>
          <w:tab w:leader="none" w:pos="140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impact on our reported results of earnings or charges resulting from the items for which we make adjustments to our EBITDA, as described above and set forth in the table below.</w:t>
      </w:r>
    </w:p>
    <w:p>
      <w:pPr>
        <w:spacing w:after="0" w:line="126" w:lineRule="exact"/>
        <w:rPr>
          <w:sz w:val="20"/>
          <w:szCs w:val="20"/>
          <w:color w:val="auto"/>
        </w:rPr>
      </w:pPr>
    </w:p>
    <w:p>
      <w:pPr>
        <w:ind w:left="320" w:right="699" w:firstLine="369"/>
        <w:spacing w:after="0" w:line="275"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Annual Report on Form 10-K.</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table presents data relating to Adjusted EBITDA, for the periods indicated:</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6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80" w:type="dxa"/>
            <w:vAlign w:val="bottom"/>
          </w:tcPr>
          <w:p>
            <w:pPr>
              <w:spacing w:after="0"/>
              <w:rPr>
                <w:sz w:val="17"/>
                <w:szCs w:val="17"/>
                <w:color w:val="auto"/>
              </w:rPr>
            </w:pPr>
          </w:p>
        </w:tc>
        <w:tc>
          <w:tcPr>
            <w:tcW w:w="74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44,365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27,304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interest expense net of interest income</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1,289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2,257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income tax expense</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28,442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17,979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depreciation and amortization</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11,812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7,664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5,095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EBITDA</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85,340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54,236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17,892</w:t>
            </w:r>
          </w:p>
        </w:tc>
        <w:tc>
          <w:tcPr>
            <w:tcW w:w="0" w:type="dxa"/>
            <w:vAlign w:val="bottom"/>
          </w:tcPr>
          <w:p>
            <w:pPr>
              <w:spacing w:after="0"/>
              <w:rPr>
                <w:sz w:val="1"/>
                <w:szCs w:val="1"/>
                <w:color w:val="auto"/>
              </w:rPr>
            </w:pPr>
          </w:p>
        </w:tc>
      </w:tr>
      <w:tr>
        <w:trPr>
          <w:trHeight w:val="20"/>
        </w:trPr>
        <w:tc>
          <w:tcPr>
            <w:tcW w:w="5640" w:type="dxa"/>
            <w:vAlign w:val="bottom"/>
            <w:gridSpan w:val="4"/>
            <w:vMerge w:val="restart"/>
          </w:tcPr>
          <w:p>
            <w:pPr>
              <w:spacing w:after="0"/>
              <w:rPr>
                <w:sz w:val="20"/>
                <w:szCs w:val="20"/>
                <w:color w:val="auto"/>
              </w:rPr>
            </w:pPr>
            <w:r>
              <w:rPr>
                <w:rFonts w:ascii="Arial" w:cs="Arial" w:eastAsia="Arial" w:hAnsi="Arial"/>
                <w:sz w:val="17"/>
                <w:szCs w:val="17"/>
                <w:color w:val="auto"/>
              </w:rPr>
              <w:t>Plus: royalty to former owner</w:t>
            </w:r>
            <w:r>
              <w:rPr>
                <w:rFonts w:ascii="Arial" w:cs="Arial" w:eastAsia="Arial" w:hAnsi="Arial"/>
                <w:sz w:val="14"/>
                <w:szCs w:val="14"/>
                <w:color w:val="auto"/>
              </w:rPr>
              <w:t>(a)</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management fees and expenses</w:t>
            </w:r>
            <w:r>
              <w:rPr>
                <w:rFonts w:ascii="Arial" w:cs="Arial" w:eastAsia="Arial" w:hAnsi="Arial"/>
                <w:sz w:val="14"/>
                <w:szCs w:val="14"/>
                <w:color w:val="auto"/>
              </w:rPr>
              <w:t>(b)</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contributions made in lieu of state income taxes</w:t>
            </w:r>
            <w:r>
              <w:rPr>
                <w:rFonts w:ascii="Arial" w:cs="Arial" w:eastAsia="Arial" w:hAnsi="Arial"/>
                <w:sz w:val="14"/>
                <w:szCs w:val="14"/>
                <w:color w:val="auto"/>
              </w:rPr>
              <w:t>(c)</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litigation loss</w:t>
            </w:r>
            <w:r>
              <w:rPr>
                <w:rFonts w:ascii="Arial" w:cs="Arial" w:eastAsia="Arial" w:hAnsi="Arial"/>
                <w:sz w:val="14"/>
                <w:szCs w:val="14"/>
                <w:color w:val="auto"/>
              </w:rPr>
              <w:t>(d)</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exit costs</w:t>
            </w:r>
            <w:r>
              <w:rPr>
                <w:rFonts w:ascii="Arial" w:cs="Arial" w:eastAsia="Arial" w:hAnsi="Arial"/>
                <w:sz w:val="14"/>
                <w:szCs w:val="14"/>
                <w:color w:val="auto"/>
              </w:rPr>
              <w:t>(e)</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1,218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contract termination fee</w:t>
            </w:r>
            <w:r>
              <w:rPr>
                <w:rFonts w:ascii="Arial" w:cs="Arial" w:eastAsia="Arial" w:hAnsi="Arial"/>
                <w:sz w:val="14"/>
                <w:szCs w:val="14"/>
                <w:color w:val="auto"/>
              </w:rPr>
              <w:t>(f)</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9,233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share-based compensation</w:t>
            </w:r>
            <w:r>
              <w:rPr>
                <w:rFonts w:ascii="Arial" w:cs="Arial" w:eastAsia="Arial" w:hAnsi="Arial"/>
                <w:sz w:val="14"/>
                <w:szCs w:val="14"/>
                <w:color w:val="auto"/>
              </w:rPr>
              <w:t>(g)</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5,049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3,419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4,991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101,176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65,119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80" w:right="739" w:hanging="370"/>
        <w:spacing w:after="0" w:line="305" w:lineRule="auto"/>
        <w:tabs>
          <w:tab w:leader="none" w:pos="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we amortize over time. See Note 2 to our financial statements that are included in Item 8, </w:t>
      </w:r>
      <w:r>
        <w:rPr>
          <w:rFonts w:ascii="Arial" w:cs="Arial" w:eastAsia="Arial" w:hAnsi="Arial"/>
          <w:sz w:val="15"/>
          <w:szCs w:val="15"/>
          <w:i w:val="1"/>
          <w:iCs w:val="1"/>
          <w:color w:val="auto"/>
        </w:rPr>
        <w:t>Financial Statements and Supplementary Data</w:t>
      </w:r>
      <w:r>
        <w:rPr>
          <w:rFonts w:ascii="Arial" w:cs="Arial" w:eastAsia="Arial" w:hAnsi="Arial"/>
          <w:sz w:val="15"/>
          <w:szCs w:val="15"/>
          <w:color w:val="auto"/>
        </w:rPr>
        <w:t>.</w:t>
      </w:r>
    </w:p>
    <w:p>
      <w:pPr>
        <w:spacing w:after="0" w:line="7" w:lineRule="exact"/>
        <w:rPr>
          <w:rFonts w:ascii="Arial" w:cs="Arial" w:eastAsia="Arial" w:hAnsi="Arial"/>
          <w:sz w:val="15"/>
          <w:szCs w:val="15"/>
          <w:color w:val="auto"/>
        </w:rPr>
      </w:pPr>
    </w:p>
    <w:p>
      <w:pPr>
        <w:ind w:left="680" w:right="1299" w:hanging="370"/>
        <w:spacing w:after="0" w:line="288"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management fees and expenses to the general partner of Endeavour Capital Fund IV, L.P., one of our significant stockholders. Concurrent with the completion of the initial public offering in November 2008, the professional services agreement pursuant to which these fees and expenses were paid terminated by its terms.</w:t>
      </w:r>
    </w:p>
    <w:p>
      <w:pPr>
        <w:spacing w:after="0" w:line="17" w:lineRule="exact"/>
        <w:rPr>
          <w:rFonts w:ascii="Arial" w:cs="Arial" w:eastAsia="Arial" w:hAnsi="Arial"/>
          <w:sz w:val="16"/>
          <w:szCs w:val="16"/>
          <w:color w:val="auto"/>
        </w:rPr>
      </w:pPr>
    </w:p>
    <w:p>
      <w:pPr>
        <w:ind w:left="680" w:right="779" w:hanging="370"/>
        <w:spacing w:after="0" w:line="275"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contributions made to various Arizona school tuition organizations to assist with funding for education. In connection with such contributions made we received a dollar-for-dollar state income tax credit, which resulted in a reduction in our effective income tax rate to 39.1%, 39.7% and 36.6% for the years ended December 31, 2010, 2009 and 2008, respectively. Had these contributions not been made, our effective tax rate would have been 39.9%, 40.7% and 40.8%, for 2010, 2009 and 2008, respectively. Such contributions are viewed by our management to be made in lieu of payments of state income taxes and are therefore excluded from evaluation of our core operating performance.</w:t>
      </w:r>
    </w:p>
    <w:p>
      <w:pPr>
        <w:spacing w:after="0" w:line="29" w:lineRule="exact"/>
        <w:rPr>
          <w:rFonts w:ascii="Arial" w:cs="Arial" w:eastAsia="Arial" w:hAnsi="Arial"/>
          <w:sz w:val="16"/>
          <w:szCs w:val="16"/>
          <w:color w:val="auto"/>
        </w:rPr>
      </w:pPr>
    </w:p>
    <w:p>
      <w:pPr>
        <w:ind w:left="680" w:right="699" w:hanging="370"/>
        <w:spacing w:after="0" w:line="277"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Reflects an accrual of $5.2 million for the litigation settlement on our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which became final in December 2010. See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and Part I, Item 3,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23" w:lineRule="exact"/>
        <w:rPr>
          <w:rFonts w:ascii="Arial" w:cs="Arial" w:eastAsia="Arial" w:hAnsi="Arial"/>
          <w:sz w:val="17"/>
          <w:szCs w:val="17"/>
          <w:color w:val="auto"/>
        </w:rPr>
      </w:pPr>
    </w:p>
    <w:p>
      <w:pPr>
        <w:ind w:left="680" w:right="1219" w:hanging="370"/>
        <w:spacing w:after="0" w:line="330" w:lineRule="auto"/>
        <w:tabs>
          <w:tab w:leader="none" w:pos="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Represents exit costs related to the closure of a student services facility in Utah, including termination benefits, relocation expenses and the future lease payments, plus the write off of leasehold improvements associated with the leased space.</w:t>
      </w:r>
    </w:p>
    <w:p>
      <w:pPr>
        <w:ind w:left="680" w:right="979" w:hanging="370"/>
        <w:spacing w:after="0" w:line="277"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Represents contract termination fees related to the termination of our Mind Streams revenue sharing arrangement, which was reached in December 2010. See Item 8, </w:t>
      </w:r>
      <w:r>
        <w:rPr>
          <w:rFonts w:ascii="Arial" w:cs="Arial" w:eastAsia="Arial" w:hAnsi="Arial"/>
          <w:sz w:val="17"/>
          <w:szCs w:val="17"/>
          <w:i w:val="1"/>
          <w:iCs w:val="1"/>
          <w:color w:val="auto"/>
        </w:rPr>
        <w:t>Financial Statements and Supplementary Data.</w:t>
      </w:r>
    </w:p>
    <w:p>
      <w:pPr>
        <w:spacing w:after="0" w:line="23" w:lineRule="exact"/>
        <w:rPr>
          <w:rFonts w:ascii="Arial" w:cs="Arial" w:eastAsia="Arial" w:hAnsi="Arial"/>
          <w:sz w:val="17"/>
          <w:szCs w:val="17"/>
          <w:color w:val="auto"/>
        </w:rPr>
      </w:pPr>
    </w:p>
    <w:p>
      <w:pPr>
        <w:ind w:left="680" w:right="919" w:hanging="370"/>
        <w:spacing w:after="0" w:line="277"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Reflects share-based compensation expense relating to stock and option grants made to employees and directors in connection with our initial public offering and thereafter.</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193"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should be read in conjunction with our financial statements and related notes that appear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and</w:t>
      </w:r>
      <w:r>
        <w:rPr>
          <w:rFonts w:ascii="Arial" w:cs="Arial" w:eastAsia="Arial" w:hAnsi="Arial"/>
          <w:sz w:val="16"/>
          <w:szCs w:val="16"/>
          <w:i w:val="1"/>
          <w:iCs w:val="1"/>
          <w:color w:val="auto"/>
        </w:rPr>
        <w:t xml:space="preserve"> Forward-Looking Statements</w:t>
      </w:r>
      <w:r>
        <w:rPr>
          <w:rFonts w:ascii="Arial" w:cs="Arial" w:eastAsia="Arial" w:hAnsi="Arial"/>
          <w:sz w:val="16"/>
          <w:szCs w:val="16"/>
          <w:color w:val="auto"/>
        </w:rPr>
        <w: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Executive Overview</w:t>
      </w:r>
    </w:p>
    <w:p>
      <w:pPr>
        <w:spacing w:after="0" w:line="180" w:lineRule="exact"/>
        <w:rPr>
          <w:sz w:val="20"/>
          <w:szCs w:val="20"/>
          <w:color w:val="auto"/>
        </w:rPr>
      </w:pPr>
    </w:p>
    <w:p>
      <w:pPr>
        <w:ind w:left="320" w:right="699" w:firstLine="369"/>
        <w:spacing w:after="0" w:line="278"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100-acre traditional campus in Phoenix, Arizona and onsite at the facilities of employers. At December 31, 2010, we had approximately 41,500 students. At December 31, 2010, 91.0% of our students were enrolled in our online programs and, of those students 45.5% were pursuing master’s or doctoral degrees.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Key Trends, Developments and Challenges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circumstances and trends present opportunities, challenges and risks.</w:t>
      </w:r>
    </w:p>
    <w:p>
      <w:pPr>
        <w:spacing w:after="0" w:line="172" w:lineRule="exact"/>
        <w:rPr>
          <w:sz w:val="20"/>
          <w:szCs w:val="20"/>
          <w:color w:val="auto"/>
        </w:rPr>
      </w:pPr>
    </w:p>
    <w:p>
      <w:pPr>
        <w:ind w:left="320" w:right="939" w:firstLine="369"/>
        <w:spacing w:after="0" w:line="279"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The U.S. is in the midst of an economic downturn that has caused an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individuals to consider advancing their education. Additionally, we believe the number of non-traditional students who work, are raising a family, or are doing both while trying to earn a college degree continues to grow. Given these trends, we believe that many individuals will be attracted to our high quality academic programs at affordable tuition rates. However we believe that competition for students, especially graduate students, continues to increase.</w:t>
      </w:r>
    </w:p>
    <w:p>
      <w:pPr>
        <w:spacing w:after="0" w:line="136" w:lineRule="exact"/>
        <w:rPr>
          <w:sz w:val="20"/>
          <w:szCs w:val="20"/>
          <w:color w:val="auto"/>
        </w:rPr>
      </w:pPr>
    </w:p>
    <w:p>
      <w:pPr>
        <w:ind w:left="320" w:right="899" w:firstLine="369"/>
        <w:spacing w:after="0" w:line="259" w:lineRule="auto"/>
        <w:rPr>
          <w:sz w:val="20"/>
          <w:szCs w:val="20"/>
          <w:color w:val="auto"/>
        </w:rPr>
      </w:pPr>
      <w:r>
        <w:rPr>
          <w:rFonts w:ascii="Arial" w:cs="Arial" w:eastAsia="Arial" w:hAnsi="Arial"/>
          <w:sz w:val="17"/>
          <w:szCs w:val="17"/>
          <w:b w:val="1"/>
          <w:bCs w:val="1"/>
          <w:color w:val="auto"/>
        </w:rPr>
        <w:t xml:space="preserve">Regulation and Oversight. </w:t>
      </w:r>
      <w:r>
        <w:rPr>
          <w:rFonts w:ascii="Arial" w:cs="Arial" w:eastAsia="Arial" w:hAnsi="Arial"/>
          <w:sz w:val="17"/>
          <w:szCs w:val="17"/>
          <w:color w:val="auto"/>
        </w:rPr>
        <w:t>We are subject to extensive regulation by federal and state governmental agencies and accrediting</w:t>
      </w:r>
      <w:r>
        <w:rPr>
          <w:rFonts w:ascii="Arial" w:cs="Arial" w:eastAsia="Arial" w:hAnsi="Arial"/>
          <w:sz w:val="17"/>
          <w:szCs w:val="17"/>
          <w:b w:val="1"/>
          <w:bCs w:val="1"/>
          <w:color w:val="auto"/>
        </w:rPr>
        <w:t xml:space="preserve"> </w:t>
      </w:r>
      <w:r>
        <w:rPr>
          <w:rFonts w:ascii="Arial" w:cs="Arial" w:eastAsia="Arial" w:hAnsi="Arial"/>
          <w:sz w:val="17"/>
          <w:szCs w:val="17"/>
          <w:color w:val="auto"/>
        </w:rPr>
        <w:t>bodies. In particular, the 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w:t>
      </w:r>
    </w:p>
    <w:p>
      <w:pPr>
        <w:spacing w:after="0" w:line="138" w:lineRule="exact"/>
        <w:rPr>
          <w:sz w:val="20"/>
          <w:szCs w:val="20"/>
          <w:color w:val="auto"/>
        </w:rPr>
      </w:pPr>
    </w:p>
    <w:p>
      <w:pPr>
        <w:ind w:left="320" w:right="979" w:firstLine="369"/>
        <w:spacing w:after="0" w:line="267" w:lineRule="auto"/>
        <w:rPr>
          <w:sz w:val="20"/>
          <w:szCs w:val="20"/>
          <w:color w:val="auto"/>
        </w:rPr>
      </w:pPr>
      <w:r>
        <w:rPr>
          <w:rFonts w:ascii="Arial" w:cs="Arial" w:eastAsia="Arial" w:hAnsi="Arial"/>
          <w:sz w:val="17"/>
          <w:szCs w:val="17"/>
          <w:b w:val="1"/>
          <w:bCs w:val="1"/>
          <w:color w:val="auto"/>
        </w:rPr>
        <w:t xml:space="preserve">Final Rules Adopted by the Department of Education. </w:t>
      </w:r>
      <w:r>
        <w:rPr>
          <w:rFonts w:ascii="Arial" w:cs="Arial" w:eastAsia="Arial" w:hAnsi="Arial"/>
          <w:sz w:val="17"/>
          <w:szCs w:val="17"/>
          <w:color w:val="auto"/>
        </w:rPr>
        <w:t>In October 2010, the Department of Education issued new rules</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the incentive compensation rule and certain other “program integrity” issues. These rules, which we describe below, will largely become effective on July 1, 2011.</w:t>
      </w:r>
    </w:p>
    <w:p>
      <w:pPr>
        <w:spacing w:after="0" w:line="134" w:lineRule="exact"/>
        <w:rPr>
          <w:sz w:val="20"/>
          <w:szCs w:val="20"/>
          <w:color w:val="auto"/>
        </w:rPr>
      </w:pPr>
    </w:p>
    <w:p>
      <w:pPr>
        <w:ind w:left="320" w:right="679" w:firstLine="369"/>
        <w:spacing w:after="0" w:line="289" w:lineRule="auto"/>
        <w:rPr>
          <w:sz w:val="20"/>
          <w:szCs w:val="20"/>
          <w:color w:val="auto"/>
        </w:rPr>
      </w:pPr>
      <w:r>
        <w:rPr>
          <w:rFonts w:ascii="Arial" w:cs="Arial" w:eastAsia="Arial" w:hAnsi="Arial"/>
          <w:sz w:val="15"/>
          <w:szCs w:val="15"/>
          <w:i w:val="1"/>
          <w:iCs w:val="1"/>
          <w:color w:val="auto"/>
        </w:rPr>
        <w:t>Revised incentive compensation rule</w:t>
      </w:r>
      <w:r>
        <w:rPr>
          <w:rFonts w:ascii="Arial" w:cs="Arial" w:eastAsia="Arial" w:hAnsi="Arial"/>
          <w:sz w:val="15"/>
          <w:szCs w:val="15"/>
          <w:color w:val="auto"/>
        </w:rPr>
        <w:t>. As described above in “Item 1 — Business — Regulation,” under current Department of</w:t>
      </w:r>
      <w:r>
        <w:rPr>
          <w:rFonts w:ascii="Arial" w:cs="Arial" w:eastAsia="Arial" w:hAnsi="Arial"/>
          <w:sz w:val="15"/>
          <w:szCs w:val="15"/>
          <w:i w:val="1"/>
          <w:iCs w:val="1"/>
          <w:color w:val="auto"/>
        </w:rPr>
        <w:t xml:space="preserve"> </w:t>
      </w:r>
      <w:r>
        <w:rPr>
          <w:rFonts w:ascii="Arial" w:cs="Arial" w:eastAsia="Arial" w:hAnsi="Arial"/>
          <w:sz w:val="15"/>
          <w:szCs w:val="15"/>
          <w:color w:val="auto"/>
        </w:rPr>
        <w:t>Education regulations, there are 12 “safe harbors” that describe payments and arrangements that do not violate the incentive compensation rule. In the final rules, the 12 safe harbors under the incentive compensation rule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 (1) 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 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w:t>
      </w:r>
    </w:p>
    <w:p>
      <w:pPr>
        <w:spacing w:after="0" w:line="200" w:lineRule="exact"/>
        <w:rPr>
          <w:sz w:val="20"/>
          <w:szCs w:val="20"/>
          <w:color w:val="auto"/>
        </w:rPr>
      </w:pPr>
    </w:p>
    <w:p>
      <w:pPr>
        <w:spacing w:after="0" w:line="31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spacing w:after="0" w:line="272" w:lineRule="auto"/>
        <w:rPr>
          <w:sz w:val="20"/>
          <w:szCs w:val="20"/>
          <w:color w:val="auto"/>
        </w:rPr>
      </w:pPr>
      <w:r>
        <w:rPr>
          <w:rFonts w:ascii="Arial" w:cs="Arial" w:eastAsia="Arial" w:hAnsi="Arial"/>
          <w:sz w:val="16"/>
          <w:szCs w:val="16"/>
          <w:color w:val="auto"/>
        </w:rPr>
        <w:t>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 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 adjustments to employee compensation, but would not be permitted to consider nor base compensation directly or indirectly, in any part, on factors such as an employee’s success in securing student enrollments, the award of financial aid or institutional goals based on that success.</w:t>
      </w:r>
    </w:p>
    <w:p>
      <w:pPr>
        <w:spacing w:after="0" w:line="149"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color w:val="auto"/>
        </w:rPr>
        <w:t xml:space="preserve">While it is anticipated that the Department of Education may issue certain guidance on incentive compensation issues prior to July 1, 2011, we believe the changes imposed by the final rules, including the elimination of the safe harbors, increase the uncertainty about what constitutes incentive compensation and which employees are covered by the regulation. In light of such uncertainty, we have changed some of our compensation practices for enrollment counselors and other employees, as well as the terms of our arrangements with certain third parties whom we pay for Internet-based services related to lead generation and marketing and whose activities are also subject to the incentive compensation rules. The changes in these practices and arrangements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In addition, this lack of certainty could increase the risk of future federal False Claims Act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123"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i w:val="1"/>
          <w:iCs w:val="1"/>
          <w:color w:val="auto"/>
        </w:rPr>
        <w:t xml:space="preserve">Misrepresentation. </w:t>
      </w:r>
      <w:r>
        <w:rPr>
          <w:rFonts w:ascii="Arial" w:cs="Arial" w:eastAsia="Arial" w:hAnsi="Arial"/>
          <w:sz w:val="15"/>
          <w:szCs w:val="15"/>
          <w:color w:val="auto"/>
        </w:rPr>
        <w:t>The final rules include provisions that strengthen the Department of Education’s authority to sanction</w:t>
      </w:r>
      <w:r>
        <w:rPr>
          <w:rFonts w:ascii="Arial" w:cs="Arial" w:eastAsia="Arial" w:hAnsi="Arial"/>
          <w:sz w:val="15"/>
          <w:szCs w:val="15"/>
          <w:i w:val="1"/>
          <w:iCs w:val="1"/>
          <w:color w:val="auto"/>
        </w:rPr>
        <w:t xml:space="preserve"> </w:t>
      </w:r>
      <w:r>
        <w:rPr>
          <w:rFonts w:ascii="Arial" w:cs="Arial" w:eastAsia="Arial" w:hAnsi="Arial"/>
          <w:sz w:val="15"/>
          <w:szCs w:val="15"/>
          <w:color w:val="auto"/>
        </w:rPr>
        <w:t>institutions for 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Grand Canyon University, which would expose us to increased risk of litigation and enforcement action and applicable sanctions or other penalties up to and including termination of Title IV eligibility.</w:t>
      </w:r>
    </w:p>
    <w:p>
      <w:pPr>
        <w:spacing w:after="0" w:line="117" w:lineRule="exact"/>
        <w:rPr>
          <w:sz w:val="20"/>
          <w:szCs w:val="20"/>
          <w:color w:val="auto"/>
        </w:rPr>
      </w:pPr>
    </w:p>
    <w:p>
      <w:pPr>
        <w:ind w:left="320" w:right="679" w:firstLine="369"/>
        <w:spacing w:after="0" w:line="269" w:lineRule="auto"/>
        <w:rPr>
          <w:sz w:val="20"/>
          <w:szCs w:val="20"/>
          <w:color w:val="auto"/>
        </w:rPr>
      </w:pPr>
      <w:r>
        <w:rPr>
          <w:rFonts w:ascii="Arial" w:cs="Arial" w:eastAsia="Arial" w:hAnsi="Arial"/>
          <w:sz w:val="16"/>
          <w:szCs w:val="16"/>
          <w:i w:val="1"/>
          <w:iCs w:val="1"/>
          <w:color w:val="auto"/>
        </w:rPr>
        <w:t xml:space="preserve">State authorization. </w:t>
      </w:r>
      <w:r>
        <w:rPr>
          <w:rFonts w:ascii="Arial" w:cs="Arial" w:eastAsia="Arial" w:hAnsi="Arial"/>
          <w:sz w:val="16"/>
          <w:szCs w:val="16"/>
          <w:color w:val="auto"/>
        </w:rPr>
        <w:t>States have the authority to assert jurisdiction, to the extent they so choose, over educational institutions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online degree programs in a state but that otherwise have no physical location or other presence in that state. The final rules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19" w:firstLine="369"/>
        <w:spacing w:after="0" w:line="273" w:lineRule="auto"/>
        <w:rPr>
          <w:sz w:val="20"/>
          <w:szCs w:val="20"/>
          <w:color w:val="auto"/>
        </w:rPr>
      </w:pPr>
      <w:r>
        <w:rPr>
          <w:rFonts w:ascii="Arial" w:cs="Arial" w:eastAsia="Arial" w:hAnsi="Arial"/>
          <w:sz w:val="16"/>
          <w:szCs w:val="16"/>
          <w:i w:val="1"/>
          <w:iCs w:val="1"/>
          <w:color w:val="auto"/>
        </w:rPr>
        <w:t xml:space="preserve">Approval of new programs. </w:t>
      </w:r>
      <w:r>
        <w:rPr>
          <w:rFonts w:ascii="Arial" w:cs="Arial" w:eastAsia="Arial" w:hAnsi="Arial"/>
          <w:sz w:val="16"/>
          <w:szCs w:val="16"/>
          <w:color w:val="auto"/>
        </w:rPr>
        <w:t>The final rules include provisions regarding the approval of new programs. Although the final rules</w:t>
      </w:r>
      <w:r>
        <w:rPr>
          <w:rFonts w:ascii="Arial" w:cs="Arial" w:eastAsia="Arial" w:hAnsi="Arial"/>
          <w:sz w:val="16"/>
          <w:szCs w:val="16"/>
          <w:i w:val="1"/>
          <w:iCs w:val="1"/>
          <w:color w:val="auto"/>
        </w:rPr>
        <w:t xml:space="preserve"> </w:t>
      </w:r>
      <w:r>
        <w:rPr>
          <w:rFonts w:ascii="Arial" w:cs="Arial" w:eastAsia="Arial" w:hAnsi="Arial"/>
          <w:sz w:val="16"/>
          <w:szCs w:val="16"/>
          <w:color w:val="auto"/>
        </w:rPr>
        <w:t>relaxed the program approval standard originally proposed,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46"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i w:val="1"/>
          <w:iCs w:val="1"/>
          <w:color w:val="auto"/>
        </w:rPr>
        <w:t>Additional final rules</w:t>
      </w:r>
      <w:r>
        <w:rPr>
          <w:rFonts w:ascii="Arial" w:cs="Arial" w:eastAsia="Arial" w:hAnsi="Arial"/>
          <w:sz w:val="16"/>
          <w:szCs w:val="16"/>
          <w:color w:val="auto"/>
        </w:rPr>
        <w:t>. In addition to the program integrity issues specifically addressed above, the final rules include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definition of a credit hour;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are in the process of reviewing all of the final rules. We cannot predict how the recently released or any other resulting regulations will be interpreted, and therefore whether we will be able to comply with these requirements by the effective date. Insufficient time, or lack of sufficient guidance, for compliance with the final rules,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133"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i w:val="1"/>
          <w:iCs w:val="1"/>
          <w:color w:val="auto"/>
        </w:rPr>
        <w:t xml:space="preserve">Pending gainful employment rule. </w:t>
      </w:r>
      <w:r>
        <w:rPr>
          <w:rFonts w:ascii="Arial" w:cs="Arial" w:eastAsia="Arial" w:hAnsi="Arial"/>
          <w:sz w:val="17"/>
          <w:szCs w:val="17"/>
          <w:color w:val="auto"/>
        </w:rPr>
        <w:t>Under the Higher Education Act, proprietary schools are eligible to participate in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in respect of educational programs that lead to “gainful employment in a recognized occupation,” with the limited exception of qualified programs leading to a bachelor’s degree in liberal arts. Historically, this concept has not been defined in detail. The proposed definition of gainful employment in the July 26, 2010 NPRM described above would take into consideration whether former students are repaying their federal student loans and the relationship between total student loan debt and average earnings after completing a postsecondary program. As proposed in the NPRM, individual educational programs would be divided into three groups based on the proposed metrics:</w:t>
      </w:r>
    </w:p>
    <w:p>
      <w:pPr>
        <w:spacing w:after="0" w:line="143" w:lineRule="exact"/>
        <w:rPr>
          <w:sz w:val="20"/>
          <w:szCs w:val="20"/>
          <w:color w:val="auto"/>
        </w:rPr>
      </w:pPr>
    </w:p>
    <w:p>
      <w:pPr>
        <w:ind w:left="1400" w:right="679" w:hanging="359"/>
        <w:spacing w:after="0" w:line="260" w:lineRule="auto"/>
        <w:tabs>
          <w:tab w:leader="none" w:pos="140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14" w:lineRule="exact"/>
        <w:rPr>
          <w:rFonts w:ascii="Arial" w:cs="Arial" w:eastAsia="Arial" w:hAnsi="Arial"/>
          <w:sz w:val="17"/>
          <w:szCs w:val="17"/>
          <w:b w:val="1"/>
          <w:bCs w:val="1"/>
          <w:color w:val="auto"/>
        </w:rPr>
      </w:pPr>
    </w:p>
    <w:p>
      <w:pPr>
        <w:ind w:left="1400" w:right="719" w:hanging="359"/>
        <w:spacing w:after="0" w:line="273" w:lineRule="auto"/>
        <w:tabs>
          <w:tab w:leader="none" w:pos="14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07" w:lineRule="exact"/>
        <w:rPr>
          <w:rFonts w:ascii="Arial" w:cs="Arial" w:eastAsia="Arial" w:hAnsi="Arial"/>
          <w:sz w:val="16"/>
          <w:szCs w:val="16"/>
          <w:b w:val="1"/>
          <w:bCs w:val="1"/>
          <w:color w:val="auto"/>
        </w:rPr>
      </w:pPr>
    </w:p>
    <w:p>
      <w:pPr>
        <w:ind w:left="1400" w:right="699" w:hanging="359"/>
        <w:spacing w:after="0" w:line="264" w:lineRule="auto"/>
        <w:tabs>
          <w:tab w:leader="none" w:pos="140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color w:val="auto"/>
        </w:rPr>
        <w:t>Due to the unprecedented volume of comments received to the gainful employment NPRM, on September 24, 2010, the Department of Education announced that it would delay issuing final rules regarding the gainful employment standard until early 2011 in order to give interested parties more time to clarify their comments and respond to questions from Department of Education officials.</w:t>
      </w:r>
    </w:p>
    <w:p>
      <w:pPr>
        <w:spacing w:after="0" w:line="140"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117" w:lineRule="exact"/>
        <w:rPr>
          <w:sz w:val="20"/>
          <w:szCs w:val="20"/>
          <w:color w:val="auto"/>
        </w:rPr>
      </w:pPr>
    </w:p>
    <w:p>
      <w:pPr>
        <w:ind w:left="320" w:right="839" w:firstLine="369"/>
        <w:spacing w:after="0" w:line="271" w:lineRule="auto"/>
        <w:rPr>
          <w:sz w:val="20"/>
          <w:szCs w:val="20"/>
          <w:color w:val="auto"/>
        </w:rPr>
      </w:pPr>
      <w:r>
        <w:rPr>
          <w:rFonts w:ascii="Arial" w:cs="Arial" w:eastAsia="Arial" w:hAnsi="Arial"/>
          <w:sz w:val="16"/>
          <w:szCs w:val="16"/>
          <w:b w:val="1"/>
          <w:bCs w:val="1"/>
          <w:color w:val="auto"/>
        </w:rPr>
        <w:t>Department of Education Program Review</w:t>
      </w:r>
      <w:r>
        <w:rPr>
          <w:rFonts w:ascii="Arial" w:cs="Arial" w:eastAsia="Arial" w:hAnsi="Arial"/>
          <w:sz w:val="16"/>
          <w:szCs w:val="16"/>
          <w:color w:val="auto"/>
        </w:rPr>
        <w:t>. In connection with its administration of the Title IV federal student financial aid</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52"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the August 13, 2010 hearing in our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now-settled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action, while we believe that our compensation policies and practices are not based on success in enrolling students in violation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the Department of Education’s regulations and interpretations of the incentive compensation law do not establish clear criteria for compliance in all circumstances and some of our practices in prior years were not within the scope of any specific “safe harbor” provided in the compensation regulations.</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us in which the program review team stated the view that, prior to July 1, 2010, traditional liberal arts programs were not considered as being eligible under Title IV but then requested additional information from us that would help the Department of Education determine whether the programs offered within our College of Liberal Arts were eligible under Title IV because they did provide training to prepare students for gainful employment in a recognized occupation. While we were not informed as to which specific programs offered within our College of Liberal Arts the program review team believes may be ineligible, in August 2010 we provided the Department of Education with the requested information which we believe demonstrates that the programs offered within our College of Liberal Arts met this requirement. We have received no further communications from the Department of Education regarding the program review.</w:t>
      </w:r>
    </w:p>
    <w:p>
      <w:pPr>
        <w:spacing w:after="0" w:line="152"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19" w:lineRule="exact"/>
        <w:rPr>
          <w:sz w:val="20"/>
          <w:szCs w:val="20"/>
          <w:color w:val="auto"/>
        </w:rPr>
      </w:pPr>
    </w:p>
    <w:p>
      <w:pPr>
        <w:ind w:left="320" w:right="679" w:firstLine="369"/>
        <w:spacing w:after="0" w:line="288" w:lineRule="auto"/>
        <w:rPr>
          <w:sz w:val="20"/>
          <w:szCs w:val="20"/>
          <w:color w:val="auto"/>
        </w:rPr>
      </w:pPr>
      <w:r>
        <w:rPr>
          <w:rFonts w:ascii="Arial" w:cs="Arial" w:eastAsia="Arial" w:hAnsi="Arial"/>
          <w:sz w:val="15"/>
          <w:szCs w:val="15"/>
          <w:b w:val="1"/>
          <w:bCs w:val="1"/>
          <w:color w:val="auto"/>
        </w:rPr>
        <w:t>Congressional Hearings</w:t>
      </w:r>
      <w:r>
        <w:rPr>
          <w:rFonts w:ascii="Arial" w:cs="Arial" w:eastAsia="Arial" w:hAnsi="Arial"/>
          <w:sz w:val="15"/>
          <w:szCs w:val="15"/>
          <w:color w:val="auto"/>
        </w:rPr>
        <w:t>. During 2010 and since, there has been increased focus by Congress on the role that for-profit</w:t>
      </w:r>
      <w:r>
        <w:rPr>
          <w:rFonts w:ascii="Arial" w:cs="Arial" w:eastAsia="Arial" w:hAnsi="Arial"/>
          <w:sz w:val="15"/>
          <w:szCs w:val="15"/>
          <w:b w:val="1"/>
          <w:bCs w:val="1"/>
          <w:color w:val="auto"/>
        </w:rPr>
        <w:t xml:space="preserve"> </w:t>
      </w:r>
      <w:r>
        <w:rPr>
          <w:rFonts w:ascii="Arial" w:cs="Arial" w:eastAsia="Arial" w:hAnsi="Arial"/>
          <w:sz w:val="15"/>
          <w:szCs w:val="15"/>
          <w:color w:val="auto"/>
        </w:rPr>
        <w:t>educational institutions play in higher education. Each of the Congressional education committees held one or more hearings examining various aspects of the proprietary education industry, including the manner in which accrediting agencies review higher education institutions’ policies on credit hours and program length, student recruitment practices, and the debt levels incurred by, and drop-out rates of, students attending for-profit colleges. In addition, at the request of the Chairmen of each of these committees, the Government Accountability Office (“GAO”) conducted reviews and prepared reports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Finally, in August 2010, the Health, Education, Labor and Pensions (“HELP”) Committee of the U.S. Senate sent requests to approximately 30 for-profit colleges, including us and all of the other publicly-traded companies that operate for-profit colleges, seeking information about such matters as graduation and loan default rates, as well as internal recruiting documents and details about the use of third-party companies, such as lead generators, in the recruiting process.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 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b w:val="1"/>
          <w:bCs w:val="1"/>
          <w:color w:val="auto"/>
        </w:rPr>
        <w:t>Conversion to Borrower Based, Non-Term Financial Aid System</w:t>
      </w:r>
      <w:r>
        <w:rPr>
          <w:rFonts w:ascii="Arial" w:cs="Arial" w:eastAsia="Arial" w:hAnsi="Arial"/>
          <w:sz w:val="15"/>
          <w:szCs w:val="15"/>
          <w:color w:val="auto"/>
        </w:rPr>
        <w:t>. A significant portion of our net revenue is derived from</w:t>
      </w:r>
      <w:r>
        <w:rPr>
          <w:rFonts w:ascii="Arial" w:cs="Arial" w:eastAsia="Arial" w:hAnsi="Arial"/>
          <w:sz w:val="15"/>
          <w:szCs w:val="15"/>
          <w:b w:val="1"/>
          <w:bCs w:val="1"/>
          <w:color w:val="auto"/>
        </w:rPr>
        <w:t xml:space="preserve"> </w:t>
      </w:r>
      <w:r>
        <w:rPr>
          <w:rFonts w:ascii="Arial" w:cs="Arial" w:eastAsia="Arial" w:hAnsi="Arial"/>
          <w:sz w:val="15"/>
          <w:szCs w:val="15"/>
          <w:color w:val="auto"/>
        </w:rPr>
        <w:t>tuition financed by the Title 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 in ensuring the student does not over borrow in the early years of a program, which could result in aggregate loan limits being exceeded prior to graduation. The move to BBAY has, in some circumstances, significantly reduced the amount of living expenses a student is eligible to receive. We believe that the conversion to BBAY, although positive for the student in many respects, has caused some of our existing students to leave the University and some potential new students to look for educational opportunities elsewhere. The flexibility of BBAY has also allowed our students to take more frequent breaks between classes which has reduced the revenues we earn in the short term. The consequence of the move to BBAY was particularly apparent during the period of time between Thanksgiving and New Years Day when a number of previously active students chose to delay the continuation of their studies until after the holidays.</w:t>
      </w:r>
    </w:p>
    <w:p>
      <w:pPr>
        <w:spacing w:after="0" w:line="137"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color w:val="auto"/>
        </w:rPr>
        <w:t>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depending on which term the student begins in anywhere from 33% to 100% of a student’s academic year financial aid at the start of a term, with the majority of such amounts being treated as unrestricted cash and deferred revenue (or a student deposit liability depending on if the course had begun or not) until the revenue is recognized. In BBAY,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our move to BBAY, we receive a greater proportion of student financial aid prior to the time courses have begun, which has resulted in the shift of unrestricted cash to restricted cash and caused a significant increase in our restricted cash amount between December 31, 2009 and December 31, 2010.</w:t>
      </w:r>
    </w:p>
    <w:p>
      <w:pPr>
        <w:spacing w:after="0" w:line="121" w:lineRule="exact"/>
        <w:rPr>
          <w:sz w:val="20"/>
          <w:szCs w:val="20"/>
          <w:color w:val="auto"/>
        </w:rPr>
      </w:pPr>
    </w:p>
    <w:p>
      <w:pPr>
        <w:ind w:left="320" w:right="679" w:firstLine="369"/>
        <w:spacing w:after="0" w:line="289" w:lineRule="auto"/>
        <w:rPr>
          <w:sz w:val="20"/>
          <w:szCs w:val="20"/>
          <w:color w:val="auto"/>
        </w:rPr>
      </w:pPr>
      <w:r>
        <w:rPr>
          <w:rFonts w:ascii="Arial" w:cs="Arial" w:eastAsia="Arial" w:hAnsi="Arial"/>
          <w:sz w:val="15"/>
          <w:szCs w:val="15"/>
          <w:color w:val="auto"/>
        </w:rPr>
        <w:t>When a student who has received Title IV program funds withdraws from school, the institution 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In a term based environment, the return to Title IV is calculated based on the number of completed days in a term as a percentage of the total days in the term, with the exception that, with respect to courses offered in a modular setting (i.e. those offered to nontraditional students as two eight week courses in a term), if a student completed the first course but withdrew prior to the second course, then the full financial aid award was earned by and paid to the student and no return to Title IV calculation was done. In BBAY, we calculate returns to Title IV based on the percentage of the payment period attended in comparison to the full payment period (there is no module concept in a BBAY environment). In this environment, a student (whether undergraduate or graduate) must complete greater than 60% of the payment period in order to earn the full financial aid award. Thus, if a student completes the first course but withdraws prior to the second course and therefore does not complete greater than 60% of the payment period, then the full financial aid award is not earned by the student. In such case, we must perform a return to Title IV calculation and most, if not all, of the refund would be returned to the lender or the Department of Education. If the student withdraws after the 60% threshold, then the student is deemed to have earned 100% of the Title IV program funds he or she received. Because under BBAY, a student generally must complete two of the courses in a payment period to earn the full financial aid award, as opposed to just a single course under the term-based module approach, we have experienced an increase in the Title IV program funds that will need to be returned to lenders or the Department of Education.</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color w:val="auto"/>
        </w:rPr>
        <w:t>In accordance with University policy, all prospective students are required to select both a primary and secondary payment option with respect to amounts due to the University for tuition, fees and other expenses.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If the withdrawal occurs before the date at which the student has earned 100% of his or her financial aid, we will have a return to Title IV requirement and the student will owe us all amounts incurred that are in excess of the amount of financial aid that the student earned and that we are entitled to retain. In this case, we must collect the receivable using the student’s second payment option. We are often successful in collecting such receivables because the amounts owed by a particular student that is in excess of the amount of financial aid that the student earned and that we are entitled to retain is often quite small.</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Fiscal Year 2010 Events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addition to the items mentioned above, we experienced the following significant events in 2010:</w:t>
      </w:r>
    </w:p>
    <w:p>
      <w:pPr>
        <w:spacing w:after="0" w:line="176" w:lineRule="exact"/>
        <w:rPr>
          <w:sz w:val="20"/>
          <w:szCs w:val="20"/>
          <w:color w:val="auto"/>
        </w:rPr>
      </w:pPr>
    </w:p>
    <w:p>
      <w:pPr>
        <w:ind w:left="1400" w:right="679" w:hanging="359"/>
        <w:spacing w:after="0" w:line="270" w:lineRule="auto"/>
        <w:tabs>
          <w:tab w:leader="none" w:pos="1400" w:val="left"/>
        </w:tabs>
        <w:numPr>
          <w:ilvl w:val="0"/>
          <w:numId w:val="37"/>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Enrollment, Net Revenue, and Operating Income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 We achieved significant enrollment growth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2010 as compared to the fiscal year ended December 31, 2009 despite a change in our enrollment calculation that reduces our reported enrollment count. As part of our transition to BBAY, we calculate period end enrollment as including only individual students who attended a course during the last two months of the calendar quarter. Prior to our transition to BBAY, enrollment had been defined as individual students that attended a course in a term that was in session as of the end of the quarter. Another factor contributing to the 47.3% increase in net revenue over the same period was the significant increase in the revenue per student as a result of the number of students taking four credit courses between years, which was slightly offset by lower tuition increases. For our 2010-11 academic year, which began in May 2010, we increased tuition for students in our online and professional studies programs from 0.0% to 5.7%, depending on the program, with an estimated blended rate increase of 3.5% as compared to increases of 2.3% to 15.5%, depending on the program, with an estimated blended rate increase of 5.0% for the prior academic year. Tuition for our traditional ground programs had no increase for our 2010-11 academic year, as compared to 6.6% increase for the prior academic year. Tuition increases have not historically been, and may not in the future be, consistent across our programs due to market conditions and differences in operating costs of individual programs. Operating income was $73.5 million for the fiscal year ended December 31, 2010, an increase of 57.9% over the $46.6 million in operating income for 2009.</w:t>
      </w:r>
    </w:p>
    <w:p>
      <w:pPr>
        <w:spacing w:after="0" w:line="149" w:lineRule="exact"/>
        <w:rPr>
          <w:rFonts w:ascii="Arial" w:cs="Arial" w:eastAsia="Arial" w:hAnsi="Arial"/>
          <w:sz w:val="16"/>
          <w:szCs w:val="16"/>
          <w:b w:val="1"/>
          <w:bCs w:val="1"/>
          <w:color w:val="auto"/>
        </w:rPr>
      </w:pPr>
    </w:p>
    <w:p>
      <w:pPr>
        <w:ind w:left="1400" w:right="739" w:hanging="359"/>
        <w:spacing w:after="0" w:line="274" w:lineRule="auto"/>
        <w:tabs>
          <w:tab w:leader="none" w:pos="1400" w:val="left"/>
        </w:tabs>
        <w:numPr>
          <w:ilvl w:val="0"/>
          <w:numId w:val="37"/>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 Our capital expenditures in 2010 of $62.6 million were primarily related to the expansion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physical campus and significant investments in technology innovation to support our students and staff. In 2010, we completed construction on our 55,000 square foot recreation center for both student-athletes and on-campus students, a new dormitory that can hold up to 600 students, and a new College of Education classroom building. We started development on a 140,000 square foot arena that will open in September 2011, a new 500-bed dormitory and a food court restaurant that will be completed in August 2011. These investments are to support our growing on-campus student population as well as enhance the brand of the University.</w:t>
      </w:r>
    </w:p>
    <w:p>
      <w:pPr>
        <w:spacing w:after="0" w:line="132" w:lineRule="exact"/>
        <w:rPr>
          <w:rFonts w:ascii="Arial" w:cs="Arial" w:eastAsia="Arial" w:hAnsi="Arial"/>
          <w:sz w:val="16"/>
          <w:szCs w:val="16"/>
          <w:b w:val="1"/>
          <w:bCs w:val="1"/>
          <w:color w:val="auto"/>
        </w:rPr>
      </w:pPr>
    </w:p>
    <w:p>
      <w:pPr>
        <w:ind w:left="1400" w:right="759" w:hanging="359"/>
        <w:spacing w:after="0" w:line="300" w:lineRule="auto"/>
        <w:tabs>
          <w:tab w:leader="none" w:pos="1400" w:val="left"/>
        </w:tabs>
        <w:numPr>
          <w:ilvl w:val="0"/>
          <w:numId w:val="37"/>
        </w:numPr>
        <w:rPr>
          <w:rFonts w:ascii="Arial" w:cs="Arial" w:eastAsia="Arial" w:hAnsi="Arial"/>
          <w:sz w:val="15"/>
          <w:szCs w:val="15"/>
          <w:b w:val="1"/>
          <w:bCs w:val="1"/>
          <w:color w:val="auto"/>
        </w:rPr>
      </w:pPr>
      <w:r>
        <w:rPr>
          <w:rFonts w:ascii="Arial" w:cs="Arial" w:eastAsia="Arial" w:hAnsi="Arial"/>
          <w:sz w:val="15"/>
          <w:szCs w:val="15"/>
          <w:i w:val="1"/>
          <w:iCs w:val="1"/>
          <w:u w:val="single" w:color="auto"/>
          <w:color w:val="auto"/>
        </w:rPr>
        <w:t>Investing in Innovative Educational Tools</w:t>
      </w:r>
      <w:r>
        <w:rPr>
          <w:rFonts w:ascii="Arial" w:cs="Arial" w:eastAsia="Arial" w:hAnsi="Arial"/>
          <w:sz w:val="15"/>
          <w:szCs w:val="15"/>
          <w:i w:val="1"/>
          <w:iCs w:val="1"/>
          <w:color w:val="auto"/>
        </w:rPr>
        <w:t xml:space="preserve"> </w:t>
      </w:r>
      <w:r>
        <w:rPr>
          <w:rFonts w:ascii="Arial" w:cs="Arial" w:eastAsia="Arial" w:hAnsi="Arial"/>
          <w:sz w:val="15"/>
          <w:szCs w:val="15"/>
          <w:color w:val="auto"/>
        </w:rPr>
        <w:t>— During 2010, we entered into an agreement with an affiliated entity to</w:t>
      </w:r>
      <w:r>
        <w:rPr>
          <w:rFonts w:ascii="Arial" w:cs="Arial" w:eastAsia="Arial" w:hAnsi="Arial"/>
          <w:sz w:val="15"/>
          <w:szCs w:val="15"/>
          <w:i w:val="1"/>
          <w:iCs w:val="1"/>
          <w:color w:val="auto"/>
        </w:rPr>
        <w:t xml:space="preserve"> </w:t>
      </w:r>
      <w:r>
        <w:rPr>
          <w:rFonts w:ascii="Arial" w:cs="Arial" w:eastAsia="Arial" w:hAnsi="Arial"/>
          <w:sz w:val="15"/>
          <w:szCs w:val="15"/>
          <w:color w:val="auto"/>
        </w:rPr>
        <w:t>develop a new learning management system for use by Grand Canyon University. Through this agreement we prepaid perpetual license fees, acquired source code rights for the software developed, and prepaid maintenance and service fees for the first seven years of use for an aggregate amount of $4.9 million. We anticipate the conversion to this new learning management platform for our online delivered coursework by the third quarter of 2011.</w:t>
      </w:r>
    </w:p>
    <w:p>
      <w:pPr>
        <w:spacing w:after="0" w:line="114" w:lineRule="exact"/>
        <w:rPr>
          <w:rFonts w:ascii="Arial" w:cs="Arial" w:eastAsia="Arial" w:hAnsi="Arial"/>
          <w:sz w:val="15"/>
          <w:szCs w:val="15"/>
          <w:b w:val="1"/>
          <w:bCs w:val="1"/>
          <w:color w:val="auto"/>
        </w:rPr>
      </w:pPr>
    </w:p>
    <w:p>
      <w:pPr>
        <w:ind w:left="1400" w:right="699" w:hanging="359"/>
        <w:spacing w:after="0" w:line="272" w:lineRule="auto"/>
        <w:tabs>
          <w:tab w:leader="none" w:pos="1400" w:val="left"/>
        </w:tabs>
        <w:numPr>
          <w:ilvl w:val="0"/>
          <w:numId w:val="37"/>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Conversion to Borrower Based, Non-Term Financial Aid System</w:t>
      </w:r>
      <w:r>
        <w:rPr>
          <w:rFonts w:ascii="Arial" w:cs="Arial" w:eastAsia="Arial" w:hAnsi="Arial"/>
          <w:sz w:val="16"/>
          <w:szCs w:val="16"/>
          <w:i w:val="1"/>
          <w:iCs w:val="1"/>
          <w:color w:val="auto"/>
        </w:rPr>
        <w:t xml:space="preserve"> </w:t>
      </w:r>
      <w:r>
        <w:rPr>
          <w:rFonts w:ascii="Arial" w:cs="Arial" w:eastAsia="Arial" w:hAnsi="Arial"/>
          <w:sz w:val="16"/>
          <w:szCs w:val="16"/>
          <w:color w:val="auto"/>
        </w:rPr>
        <w:t>— In the second quarter of 2010, we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of our students records system from DataTel to Campus Vue. As described above, the move to BBAY has, in some circumstances, significantly reduced the amount of living expenses a student is eligible to receive, while allowing our students to take more frequent breaks between classes. We estimate that the conversion to BBAY resulted in lower net revenues between approximately $30 million to $37 million during the second half of 2010. In connection with this conversion, we incurred approximately $4.0 million of costs due to unanticipated delays in information processing which are included in instructional costs and services in 2010. In addition as a result of our move to BBAY, we receive a greater proportion of student financial aid prior to the time courses have begun, which has resulted in the shift of unrestricted cash to restricted cash and caused a significant increase in our restricted cash amount between December 31, 2009 and December 31, 2010.</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right="719" w:hanging="359"/>
        <w:spacing w:after="0" w:line="272" w:lineRule="auto"/>
        <w:tabs>
          <w:tab w:leader="none" w:pos="1400" w:val="left"/>
        </w:tabs>
        <w:numPr>
          <w:ilvl w:val="0"/>
          <w:numId w:val="38"/>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Settlement of Qui Tam Law Suit</w:t>
      </w:r>
      <w:r>
        <w:rPr>
          <w:rFonts w:ascii="Arial" w:cs="Arial" w:eastAsia="Arial" w:hAnsi="Arial"/>
          <w:sz w:val="16"/>
          <w:szCs w:val="16"/>
          <w:i w:val="1"/>
          <w:iCs w:val="1"/>
          <w:color w:val="auto"/>
        </w:rPr>
        <w:t xml:space="preserve"> </w:t>
      </w:r>
      <w:r>
        <w:rPr>
          <w:rFonts w:ascii="Arial" w:cs="Arial" w:eastAsia="Arial" w:hAnsi="Arial"/>
          <w:sz w:val="16"/>
          <w:szCs w:val="16"/>
          <w:color w:val="auto"/>
        </w:rPr>
        <w:t>— In recent years, several for-profit education companies have been faced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brought by current or former employees alleging that their institution had made impermissible incentive payments to admissions employees. In this regard,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During the third quarter of fiscal year 2009, we accrued $5.2 million for the proposed settlement of this litigation, which became final in December 2010. Subject to the distribution of the settlement amount from escrow in accordance with the terms of the settlement agreement, this matter is now resolved. See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and Part I, Item 3, </w:t>
      </w:r>
      <w:r>
        <w:rPr>
          <w:rFonts w:ascii="Arial" w:cs="Arial" w:eastAsia="Arial" w:hAnsi="Arial"/>
          <w:sz w:val="16"/>
          <w:szCs w:val="16"/>
          <w:i w:val="1"/>
          <w:iCs w:val="1"/>
          <w:color w:val="auto"/>
        </w:rPr>
        <w:t>Legal Proceedings</w:t>
      </w:r>
      <w:r>
        <w:rPr>
          <w:rFonts w:ascii="Arial" w:cs="Arial" w:eastAsia="Arial" w:hAnsi="Arial"/>
          <w:sz w:val="16"/>
          <w:szCs w:val="16"/>
          <w:color w:val="auto"/>
        </w:rPr>
        <w:t>.</w:t>
      </w:r>
    </w:p>
    <w:p>
      <w:pPr>
        <w:spacing w:after="0" w:line="136" w:lineRule="exact"/>
        <w:rPr>
          <w:rFonts w:ascii="Arial" w:cs="Arial" w:eastAsia="Arial" w:hAnsi="Arial"/>
          <w:sz w:val="16"/>
          <w:szCs w:val="16"/>
          <w:b w:val="1"/>
          <w:bCs w:val="1"/>
          <w:color w:val="auto"/>
        </w:rPr>
      </w:pPr>
    </w:p>
    <w:p>
      <w:pPr>
        <w:ind w:left="1400" w:right="839" w:hanging="359"/>
        <w:spacing w:after="0" w:line="290" w:lineRule="auto"/>
        <w:tabs>
          <w:tab w:leader="none" w:pos="1400" w:val="left"/>
        </w:tabs>
        <w:numPr>
          <w:ilvl w:val="0"/>
          <w:numId w:val="38"/>
        </w:numPr>
        <w:rPr>
          <w:rFonts w:ascii="Arial" w:cs="Arial" w:eastAsia="Arial" w:hAnsi="Arial"/>
          <w:sz w:val="15"/>
          <w:szCs w:val="15"/>
          <w:b w:val="1"/>
          <w:bCs w:val="1"/>
          <w:color w:val="auto"/>
        </w:rPr>
      </w:pPr>
      <w:r>
        <w:rPr>
          <w:rFonts w:ascii="Arial" w:cs="Arial" w:eastAsia="Arial" w:hAnsi="Arial"/>
          <w:sz w:val="15"/>
          <w:szCs w:val="15"/>
          <w:i w:val="1"/>
          <w:iCs w:val="1"/>
          <w:u w:val="single" w:color="auto"/>
          <w:color w:val="auto"/>
        </w:rPr>
        <w:t>Contract termination fees with a related party</w:t>
      </w:r>
      <w:r>
        <w:rPr>
          <w:rFonts w:ascii="Arial" w:cs="Arial" w:eastAsia="Arial" w:hAnsi="Arial"/>
          <w:sz w:val="15"/>
          <w:szCs w:val="15"/>
          <w:i w:val="1"/>
          <w:iCs w:val="1"/>
          <w:color w:val="auto"/>
        </w:rPr>
        <w:t xml:space="preserve"> </w:t>
      </w:r>
      <w:r>
        <w:rPr>
          <w:rFonts w:ascii="Arial" w:cs="Arial" w:eastAsia="Arial" w:hAnsi="Arial"/>
          <w:sz w:val="15"/>
          <w:szCs w:val="15"/>
          <w:color w:val="auto"/>
        </w:rPr>
        <w:t>— We were a party to a Collaboration Agreement with Mind Streams,</w:t>
      </w:r>
      <w:r>
        <w:rPr>
          <w:rFonts w:ascii="Arial" w:cs="Arial" w:eastAsia="Arial" w:hAnsi="Arial"/>
          <w:sz w:val="15"/>
          <w:szCs w:val="15"/>
          <w:i w:val="1"/>
          <w:iCs w:val="1"/>
          <w:color w:val="auto"/>
        </w:rPr>
        <w:t xml:space="preserve"> </w:t>
      </w:r>
      <w:r>
        <w:rPr>
          <w:rFonts w:ascii="Arial" w:cs="Arial" w:eastAsia="Arial" w:hAnsi="Arial"/>
          <w:sz w:val="15"/>
          <w:szCs w:val="15"/>
          <w:color w:val="auto"/>
        </w:rPr>
        <w:t>L.L.C., which is a company owned and operated, in part, by Gail Richardson, the father of Brent D. Richardson, the University’s Executive Chairman, and Christopher C. Richardson, the University’s General Counsel and a director.</w:t>
      </w:r>
    </w:p>
    <w:p>
      <w:pPr>
        <w:spacing w:after="0" w:line="1" w:lineRule="exact"/>
        <w:rPr>
          <w:rFonts w:ascii="Arial" w:cs="Arial" w:eastAsia="Arial" w:hAnsi="Arial"/>
          <w:sz w:val="15"/>
          <w:szCs w:val="15"/>
          <w:b w:val="1"/>
          <w:bCs w:val="1"/>
          <w:color w:val="auto"/>
        </w:rPr>
      </w:pPr>
    </w:p>
    <w:p>
      <w:pPr>
        <w:ind w:left="1400" w:right="719"/>
        <w:spacing w:after="0" w:line="291" w:lineRule="auto"/>
        <w:rPr>
          <w:rFonts w:ascii="Arial" w:cs="Arial" w:eastAsia="Arial" w:hAnsi="Arial"/>
          <w:sz w:val="15"/>
          <w:szCs w:val="15"/>
          <w:b w:val="1"/>
          <w:bCs w:val="1"/>
          <w:color w:val="auto"/>
        </w:rPr>
      </w:pPr>
      <w:r>
        <w:rPr>
          <w:rFonts w:ascii="Arial" w:cs="Arial" w:eastAsia="Arial" w:hAnsi="Arial"/>
          <w:sz w:val="15"/>
          <w:szCs w:val="15"/>
          <w:color w:val="auto"/>
        </w:rPr>
        <w:t>Under this agreement, Mind Streams identified qualified applicants for admission to the University in return for which it was paid a stated percentage of the net revenue (calculated as tuition actually received, less scholarships, refunds, and allowances) derived by us from those identified applicants that matriculated at the University. As a result of new rules adopted by the U.S. Department of Education and effective July 1, 2011, we determined that revenue sharing arrangement like the Collaboration Agreement, and the manner in which we pay amounts due Mind Streams under the Collaboration Agreement, will most likely no longer be permitted. Accordingly, we and Mind Streams entered into a termination agreement, dated December 30, 2010. The amount paid by us settles both the future amounts that would have been due to Mind Streams’ under the original terms of the agreement as well as the value of an acquired database of student leads. In the aggregate, we expensed $9.2 million in 2010 relating to the termination of this contract.</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Key financial metrics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revenue</w:t>
      </w:r>
    </w:p>
    <w:p>
      <w:pPr>
        <w:spacing w:after="0" w:line="176" w:lineRule="exact"/>
        <w:rPr>
          <w:sz w:val="20"/>
          <w:szCs w:val="20"/>
          <w:color w:val="auto"/>
        </w:rPr>
      </w:pPr>
    </w:p>
    <w:p>
      <w:pPr>
        <w:ind w:left="320" w:right="819" w:firstLine="369"/>
        <w:spacing w:after="0" w:line="289" w:lineRule="auto"/>
        <w:rPr>
          <w:sz w:val="20"/>
          <w:szCs w:val="20"/>
          <w:color w:val="auto"/>
        </w:rPr>
      </w:pPr>
      <w:r>
        <w:rPr>
          <w:rFonts w:ascii="Arial" w:cs="Arial" w:eastAsia="Arial" w:hAnsi="Arial"/>
          <w:sz w:val="15"/>
          <w:szCs w:val="15"/>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 (iii) our degree and program mix;</w:t>
      </w:r>
    </w:p>
    <w:p>
      <w:pPr>
        <w:spacing w:after="0" w:line="1" w:lineRule="exact"/>
        <w:rPr>
          <w:sz w:val="20"/>
          <w:szCs w:val="20"/>
          <w:color w:val="auto"/>
        </w:rPr>
      </w:pPr>
    </w:p>
    <w:p>
      <w:pPr>
        <w:ind w:left="320" w:right="919" w:hanging="10"/>
        <w:spacing w:after="0" w:line="263" w:lineRule="auto"/>
        <w:tabs>
          <w:tab w:leader="none" w:pos="609"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our tuition rates; (v) the amount of the scholarships that we offer; and (vi) the number of students housed in, and the rent charged for, our on-campus student apartments and dormitories.</w:t>
      </w:r>
    </w:p>
    <w:p>
      <w:pPr>
        <w:spacing w:after="0" w:line="137" w:lineRule="exact"/>
        <w:rPr>
          <w:sz w:val="20"/>
          <w:szCs w:val="20"/>
          <w:color w:val="auto"/>
        </w:rPr>
      </w:pPr>
    </w:p>
    <w:p>
      <w:pPr>
        <w:ind w:left="320" w:right="739" w:firstLine="369"/>
        <w:spacing w:after="0" w:line="273" w:lineRule="auto"/>
        <w:rPr>
          <w:sz w:val="20"/>
          <w:szCs w:val="20"/>
          <w:color w:val="auto"/>
        </w:rPr>
      </w:pPr>
      <w:r>
        <w:rPr>
          <w:rFonts w:ascii="Arial" w:cs="Arial" w:eastAsia="Arial" w:hAnsi="Arial"/>
          <w:sz w:val="16"/>
          <w:szCs w:val="16"/>
          <w:color w:val="auto"/>
        </w:rPr>
        <w:t>Prior to our transition to BBAY, enrollment had been defined as individual students that attended a course in a term that was in session as of the end of the period. We now define enrollment as individual students who attended a course during the last two months of the calendar quarter. We offer three 16-week semesters in a calendar year with one start available per semester for our traditional ground students. Online and professional studies students have more frequent class starts in five-, seven- or eight-week courses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200" w:lineRule="exact"/>
        <w:rPr>
          <w:sz w:val="20"/>
          <w:szCs w:val="20"/>
          <w:color w:val="auto"/>
        </w:rPr>
      </w:pPr>
    </w:p>
    <w:p>
      <w:pPr>
        <w:spacing w:after="0" w:line="31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3"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46" w:lineRule="exact"/>
        <w:rPr>
          <w:sz w:val="20"/>
          <w:szCs w:val="20"/>
          <w:color w:val="auto"/>
        </w:rPr>
      </w:pPr>
    </w:p>
    <w:p>
      <w:pPr>
        <w:ind w:left="320" w:right="919" w:firstLine="369"/>
        <w:spacing w:after="0" w:line="309" w:lineRule="auto"/>
        <w:rPr>
          <w:sz w:val="20"/>
          <w:szCs w:val="20"/>
          <w:color w:val="auto"/>
        </w:rPr>
      </w:pPr>
      <w:r>
        <w:rPr>
          <w:rFonts w:ascii="Arial" w:cs="Arial" w:eastAsia="Arial" w:hAnsi="Arial"/>
          <w:sz w:val="16"/>
          <w:szCs w:val="16"/>
          <w:color w:val="auto"/>
        </w:rPr>
        <w:t>The following is a summary of our student enrollment at December 31, 2010, 2009, and 2008 (which included fewer than 275 students pursuing non-degree certificates in each period) by degree type and by instructional delivery method:</w:t>
      </w:r>
    </w:p>
    <w:p>
      <w:pPr>
        <w:spacing w:after="0" w:line="138"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4"/>
          </w:tcPr>
          <w:p>
            <w:pPr>
              <w:jc w:val="right"/>
              <w:ind w:right="615"/>
              <w:spacing w:after="0"/>
              <w:rPr>
                <w:sz w:val="20"/>
                <w:szCs w:val="20"/>
                <w:color w:val="auto"/>
              </w:rPr>
            </w:pPr>
            <w:r>
              <w:rPr>
                <w:rFonts w:ascii="Arial" w:cs="Arial" w:eastAsia="Arial" w:hAnsi="Arial"/>
                <w:sz w:val="17"/>
                <w:szCs w:val="17"/>
                <w:b w:val="1"/>
                <w:bCs w:val="1"/>
                <w:color w:val="auto"/>
              </w:rPr>
              <w:t>2010</w:t>
            </w:r>
            <w:r>
              <w:rPr>
                <w:rFonts w:ascii="Arial" w:cs="Arial" w:eastAsia="Arial" w:hAnsi="Arial"/>
                <w:sz w:val="14"/>
                <w:szCs w:val="14"/>
                <w:color w:val="auto"/>
              </w:rPr>
              <w:t>(1)</w:t>
            </w:r>
          </w:p>
        </w:tc>
        <w:tc>
          <w:tcPr>
            <w:tcW w:w="280" w:type="dxa"/>
            <w:vAlign w:val="bottom"/>
          </w:tcPr>
          <w:p>
            <w:pPr>
              <w:spacing w:after="0"/>
              <w:rPr>
                <w:sz w:val="17"/>
                <w:szCs w:val="17"/>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2009</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2008</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w w:val="85"/>
              </w:rPr>
              <w:t># of Students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w w:val="87"/>
              </w:rPr>
              <w:t># of Students</w:t>
            </w: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w w:val="85"/>
              </w:rPr>
              <w:t># of Students</w:t>
            </w:r>
          </w:p>
        </w:tc>
        <w:tc>
          <w:tcPr>
            <w:tcW w:w="7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w w:val="91"/>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Graduate degree</w:t>
            </w:r>
            <w:r>
              <w:rPr>
                <w:rFonts w:ascii="Arial" w:cs="Arial" w:eastAsia="Arial" w:hAnsi="Arial"/>
                <w:sz w:val="14"/>
                <w:szCs w:val="14"/>
                <w:color w:val="auto"/>
              </w:rPr>
              <w:t>(2)</w:t>
            </w:r>
          </w:p>
        </w:tc>
        <w:tc>
          <w:tcPr>
            <w:tcW w:w="6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17,732</w:t>
            </w:r>
          </w:p>
        </w:tc>
        <w:tc>
          <w:tcPr>
            <w:tcW w:w="1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42.7%</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16,097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42.7%</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13,031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w w:val="94"/>
              </w:rPr>
              <w:t>Undergraduate degree</w:t>
            </w:r>
          </w:p>
        </w:tc>
        <w:tc>
          <w:tcPr>
            <w:tcW w:w="660" w:type="dxa"/>
            <w:vAlign w:val="bottom"/>
            <w:gridSpan w:val="2"/>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23,750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57.3%</w:t>
            </w:r>
          </w:p>
        </w:tc>
        <w:tc>
          <w:tcPr>
            <w:tcW w:w="1320" w:type="dxa"/>
            <w:vAlign w:val="bottom"/>
            <w:gridSpan w:val="3"/>
          </w:tcPr>
          <w:p>
            <w:pPr>
              <w:jc w:val="right"/>
              <w:ind w:right="240"/>
              <w:spacing w:after="0"/>
              <w:rPr>
                <w:sz w:val="20"/>
                <w:szCs w:val="20"/>
                <w:color w:val="auto"/>
              </w:rPr>
            </w:pPr>
            <w:r>
              <w:rPr>
                <w:rFonts w:ascii="Arial" w:cs="Arial" w:eastAsia="Arial" w:hAnsi="Arial"/>
                <w:sz w:val="17"/>
                <w:szCs w:val="17"/>
                <w:color w:val="auto"/>
              </w:rPr>
              <w:t>21,612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57.3%</w:t>
            </w:r>
          </w:p>
        </w:tc>
        <w:tc>
          <w:tcPr>
            <w:tcW w:w="1360" w:type="dxa"/>
            <w:vAlign w:val="bottom"/>
            <w:gridSpan w:val="3"/>
          </w:tcPr>
          <w:p>
            <w:pPr>
              <w:jc w:val="right"/>
              <w:ind w:right="300"/>
              <w:spacing w:after="0"/>
              <w:rPr>
                <w:sz w:val="20"/>
                <w:szCs w:val="20"/>
                <w:color w:val="auto"/>
              </w:rPr>
            </w:pPr>
            <w:r>
              <w:rPr>
                <w:rFonts w:ascii="Arial" w:cs="Arial" w:eastAsia="Arial" w:hAnsi="Arial"/>
                <w:sz w:val="17"/>
                <w:szCs w:val="17"/>
                <w:color w:val="auto"/>
              </w:rPr>
              <w:t>11,605</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1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37,709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24,636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b w:val="1"/>
                <w:bCs w:val="1"/>
                <w:color w:val="auto"/>
              </w:rPr>
              <w:t>2010</w:t>
            </w:r>
            <w:r>
              <w:rPr>
                <w:rFonts w:ascii="Arial" w:cs="Arial" w:eastAsia="Arial" w:hAnsi="Arial"/>
                <w:sz w:val="14"/>
                <w:szCs w:val="14"/>
                <w:color w:val="auto"/>
              </w:rPr>
              <w:t>(1)</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2009</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2008</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6"/>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3"/>
              </w:rPr>
              <w:t># of Students</w:t>
            </w: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 of Students</w:t>
            </w: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91"/>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Online</w:t>
            </w:r>
            <w:r>
              <w:rPr>
                <w:rFonts w:ascii="Arial" w:cs="Arial" w:eastAsia="Arial" w:hAnsi="Arial"/>
                <w:sz w:val="14"/>
                <w:szCs w:val="14"/>
                <w:color w:val="auto"/>
              </w:rPr>
              <w:t>(3)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37,734</w:t>
            </w:r>
          </w:p>
        </w:tc>
        <w:tc>
          <w:tcPr>
            <w:tcW w:w="18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34,596</w:t>
            </w:r>
          </w:p>
        </w:tc>
        <w:tc>
          <w:tcPr>
            <w:tcW w:w="280" w:type="dxa"/>
            <w:vAlign w:val="bottom"/>
            <w:tcBorders>
              <w:left w:val="single" w:sz="8" w:color="CCEEFF"/>
            </w:tcBorders>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21,955</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Ground</w:t>
            </w:r>
            <w:r>
              <w:rPr>
                <w:rFonts w:ascii="Arial" w:cs="Arial" w:eastAsia="Arial" w:hAnsi="Arial"/>
                <w:sz w:val="14"/>
                <w:szCs w:val="14"/>
                <w:color w:val="auto"/>
              </w:rPr>
              <w:t>(4)</w:t>
            </w:r>
          </w:p>
        </w:tc>
        <w:tc>
          <w:tcPr>
            <w:tcW w:w="5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3,113</w:t>
            </w:r>
          </w:p>
        </w:tc>
        <w:tc>
          <w:tcPr>
            <w:tcW w:w="28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8.3%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2,681</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1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37,709</w:t>
            </w:r>
          </w:p>
        </w:tc>
        <w:tc>
          <w:tcPr>
            <w:tcW w:w="280" w:type="dxa"/>
            <w:vAlign w:val="bottom"/>
            <w:tcBorders>
              <w:left w:val="single" w:sz="8" w:color="CCEEFF"/>
            </w:tcBorders>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24,636</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80" w:right="839" w:hanging="370"/>
        <w:spacing w:after="0" w:line="264" w:lineRule="auto"/>
        <w:tabs>
          <w:tab w:leader="none" w:pos="680" w:val="left"/>
        </w:tabs>
        <w:numPr>
          <w:ilvl w:val="0"/>
          <w:numId w:val="40"/>
        </w:numPr>
        <w:rPr>
          <w:rFonts w:ascii="Arial" w:cs="Arial" w:eastAsia="Arial" w:hAnsi="Arial"/>
          <w:sz w:val="15"/>
          <w:szCs w:val="15"/>
          <w:color w:val="auto"/>
        </w:rPr>
      </w:pPr>
      <w:r>
        <w:rPr>
          <w:rFonts w:ascii="Arial" w:cs="Arial" w:eastAsia="Arial" w:hAnsi="Arial"/>
          <w:sz w:val="17"/>
          <w:szCs w:val="17"/>
          <w:color w:val="auto"/>
        </w:rPr>
        <w:t>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4" w:lineRule="exact"/>
        <w:rPr>
          <w:rFonts w:ascii="Arial" w:cs="Arial" w:eastAsia="Arial" w:hAnsi="Arial"/>
          <w:sz w:val="15"/>
          <w:szCs w:val="15"/>
          <w:color w:val="auto"/>
        </w:rPr>
      </w:pPr>
    </w:p>
    <w:p>
      <w:pPr>
        <w:ind w:left="680" w:hanging="370"/>
        <w:spacing w:after="0"/>
        <w:tabs>
          <w:tab w:leader="none" w:pos="680" w:val="left"/>
        </w:tabs>
        <w:numPr>
          <w:ilvl w:val="0"/>
          <w:numId w:val="40"/>
        </w:numPr>
        <w:rPr>
          <w:rFonts w:ascii="Arial" w:cs="Arial" w:eastAsia="Arial" w:hAnsi="Arial"/>
          <w:sz w:val="15"/>
          <w:szCs w:val="15"/>
          <w:color w:val="auto"/>
        </w:rPr>
      </w:pPr>
      <w:r>
        <w:rPr>
          <w:rFonts w:ascii="Arial" w:cs="Arial" w:eastAsia="Arial" w:hAnsi="Arial"/>
          <w:sz w:val="17"/>
          <w:szCs w:val="17"/>
          <w:color w:val="auto"/>
        </w:rPr>
        <w:t>Includes 1,186, 315 and 56 students pursuing doctoral degrees at December 31, 2010, 2009 and 2008, respectively.</w:t>
      </w:r>
    </w:p>
    <w:p>
      <w:pPr>
        <w:spacing w:after="0" w:line="73" w:lineRule="exact"/>
        <w:rPr>
          <w:rFonts w:ascii="Arial" w:cs="Arial" w:eastAsia="Arial" w:hAnsi="Arial"/>
          <w:sz w:val="15"/>
          <w:szCs w:val="15"/>
          <w:color w:val="auto"/>
        </w:rPr>
      </w:pPr>
    </w:p>
    <w:p>
      <w:pPr>
        <w:ind w:left="680" w:right="899" w:hanging="370"/>
        <w:spacing w:after="0" w:line="277" w:lineRule="auto"/>
        <w:tabs>
          <w:tab w:leader="none" w:pos="680" w:val="left"/>
        </w:tabs>
        <w:numPr>
          <w:ilvl w:val="0"/>
          <w:numId w:val="40"/>
        </w:numPr>
        <w:rPr>
          <w:rFonts w:ascii="Arial" w:cs="Arial" w:eastAsia="Arial" w:hAnsi="Arial"/>
          <w:sz w:val="15"/>
          <w:szCs w:val="15"/>
          <w:color w:val="auto"/>
        </w:rPr>
      </w:pPr>
      <w:r>
        <w:rPr>
          <w:rFonts w:ascii="Arial" w:cs="Arial" w:eastAsia="Arial" w:hAnsi="Arial"/>
          <w:sz w:val="17"/>
          <w:szCs w:val="17"/>
          <w:color w:val="auto"/>
        </w:rPr>
        <w:t>As of December 31, 2010 and 2009, 45.5% and 44.5%, respectively, of our online students were pursuing graduate or doctoral degrees.</w:t>
      </w:r>
    </w:p>
    <w:p>
      <w:pPr>
        <w:spacing w:after="0" w:line="23" w:lineRule="exact"/>
        <w:rPr>
          <w:rFonts w:ascii="Arial" w:cs="Arial" w:eastAsia="Arial" w:hAnsi="Arial"/>
          <w:sz w:val="15"/>
          <w:szCs w:val="15"/>
          <w:color w:val="auto"/>
        </w:rPr>
      </w:pPr>
    </w:p>
    <w:p>
      <w:pPr>
        <w:ind w:left="680" w:hanging="370"/>
        <w:spacing w:after="0"/>
        <w:tabs>
          <w:tab w:leader="none" w:pos="680" w:val="left"/>
        </w:tabs>
        <w:numPr>
          <w:ilvl w:val="0"/>
          <w:numId w:val="40"/>
        </w:numPr>
        <w:rPr>
          <w:rFonts w:ascii="Arial" w:cs="Arial" w:eastAsia="Arial" w:hAnsi="Arial"/>
          <w:sz w:val="15"/>
          <w:szCs w:val="15"/>
          <w:color w:val="auto"/>
        </w:rPr>
      </w:pPr>
      <w:r>
        <w:rPr>
          <w:rFonts w:ascii="Arial" w:cs="Arial" w:eastAsia="Arial" w:hAnsi="Arial"/>
          <w:sz w:val="17"/>
          <w:szCs w:val="17"/>
          <w:color w:val="auto"/>
        </w:rPr>
        <w:t>Includes our traditional on-campus students, as well as our professional studies students.</w:t>
      </w:r>
    </w:p>
    <w:p>
      <w:pPr>
        <w:spacing w:after="0" w:line="176" w:lineRule="exact"/>
        <w:rPr>
          <w:sz w:val="20"/>
          <w:szCs w:val="20"/>
          <w:color w:val="auto"/>
        </w:rPr>
      </w:pPr>
    </w:p>
    <w:p>
      <w:pPr>
        <w:ind w:left="320" w:right="819" w:firstLine="369"/>
        <w:spacing w:after="0" w:line="271" w:lineRule="auto"/>
        <w:rPr>
          <w:sz w:val="20"/>
          <w:szCs w:val="20"/>
          <w:color w:val="auto"/>
        </w:rPr>
      </w:pPr>
      <w:r>
        <w:rPr>
          <w:rFonts w:ascii="Arial" w:cs="Arial" w:eastAsia="Arial" w:hAnsi="Arial"/>
          <w:sz w:val="16"/>
          <w:szCs w:val="16"/>
          <w:color w:val="auto"/>
        </w:rPr>
        <w:t>For the 2010-11 academic year (the academic year that began in May 2010), our prices per credit hour are $435 for undergraduate online and professional studies courses, $465 for graduate online courses (other than graduate business and graduate nursing), $510 for graduate business courses, $560 for graduate online nursing courses, $575 for doctoral programs, and $688 for undergraduate courses for ground students. For our active duty and active reserve online and professional studies students, our prices per credit hour are $250 for undergraduate and $370 for graduate.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151" w:lineRule="exact"/>
        <w:rPr>
          <w:sz w:val="20"/>
          <w:szCs w:val="20"/>
          <w:color w:val="auto"/>
        </w:rPr>
      </w:pPr>
    </w:p>
    <w:p>
      <w:pPr>
        <w:ind w:left="320" w:right="919" w:firstLine="369"/>
        <w:spacing w:after="0" w:line="288" w:lineRule="auto"/>
        <w:rPr>
          <w:sz w:val="20"/>
          <w:szCs w:val="20"/>
          <w:color w:val="auto"/>
        </w:rPr>
      </w:pPr>
      <w:r>
        <w:rPr>
          <w:rFonts w:ascii="Arial" w:cs="Arial" w:eastAsia="Arial" w:hAnsi="Arial"/>
          <w:sz w:val="15"/>
          <w:szCs w:val="15"/>
          <w:color w:val="auto"/>
        </w:rPr>
        <w:t>Based on current tuition rates, tuition for a full program would equate to between $16,500 and $20,000 for an online master’s program, approximately $52,200 for a full four-year online bachelor’s program, and approximately $57,750 for a full four-year bachelor’s program taken on our ground campus. The tuition amounts referred to above assume no reductions for transfer credits or scholarships, which many of our students utilize to reduce their total program costs. Additionally, tuition is reduced for some of our students by scholarships. For the years ended December 31, 2010, 2009 and 2008, revenue was reduced by approximately</w:t>
      </w:r>
    </w:p>
    <w:p>
      <w:pPr>
        <w:spacing w:after="0" w:line="2" w:lineRule="exact"/>
        <w:rPr>
          <w:sz w:val="20"/>
          <w:szCs w:val="20"/>
          <w:color w:val="auto"/>
        </w:rPr>
      </w:pPr>
    </w:p>
    <w:p>
      <w:pPr>
        <w:ind w:left="320" w:right="739"/>
        <w:spacing w:after="0" w:line="257" w:lineRule="auto"/>
        <w:rPr>
          <w:sz w:val="20"/>
          <w:szCs w:val="20"/>
          <w:color w:val="auto"/>
        </w:rPr>
      </w:pPr>
      <w:r>
        <w:rPr>
          <w:rFonts w:ascii="Arial" w:cs="Arial" w:eastAsia="Arial" w:hAnsi="Arial"/>
          <w:sz w:val="17"/>
          <w:szCs w:val="17"/>
          <w:color w:val="auto"/>
        </w:rPr>
        <w:t>$55.8 million, $34.2 million and $18.4 million, respectively, as a result of scholarships that we offered to our students. The increase in scholarships is due to increased revenues and a significant increase in the use of academic scholarships to attract high performing students.</w:t>
      </w:r>
    </w:p>
    <w:p>
      <w:pPr>
        <w:spacing w:after="0" w:line="200" w:lineRule="exact"/>
        <w:rPr>
          <w:sz w:val="20"/>
          <w:szCs w:val="20"/>
          <w:color w:val="auto"/>
        </w:rPr>
      </w:pPr>
    </w:p>
    <w:p>
      <w:pPr>
        <w:spacing w:after="0" w:line="31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Revenue per student increased between periods as we increased tuition prices for students in our online and professional studies programs by 0.0% to 5.7%, depending on the program, with an estimated blended rate increase of 3.5% for our 2010-11 academic year, as compared to tuition price increases for students in our online and professional studies programs from 2.3% to 15.5%, depending on the program, with an estimated blended rate increase of 5.0% for the prior academic year. Tuition for our traditional ground programs had no increase for our 2010-11 academic year, as compared to an increase of 6.6% for the prior academic year. Tuition increases have not historically been, and may not in the future be, consistent across our programs due to market conditions and differences in operating costs of individual programs. The lower increases for our programs for the current academic year generally reflect the ongoing leverage caused by increased online enrollment and a concerted effort to control costs so that debt levels of students are reasonable.</w:t>
      </w:r>
    </w:p>
    <w:p>
      <w:pPr>
        <w:spacing w:after="0" w:line="149"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color w:val="auto"/>
        </w:rPr>
        <w:t>We derive a majority of our net revenue from tuition financed by the Title IV programs. For the years ended December 31, 2010, 2009 and 2008, we derived cash receipts equal to approximately 84.9%, 79.9%, and 74.4%, respectively, of our net revenue from Title IV programs. Our students also rely on scholarships, personal savings, private loans, and employer tuition reimbursements to pay a portion of their tuition and related expenses. During fiscal 2010, payments derived from private loans constituted less than 1% of our net revenues from our income statement. Third party lenders independently determine whether a loan to a student is classified as subprime, and, based on these determinations, we derived no payments from subprime loans during the year ended December 31, 2010.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or has been proposed that could have an impact on us. See “Risk Factors” and “Regulation — Regulation of Federal Student Financial Aid Programs.” We cannot predict whether the new legislation will limit access to Title IV funding or the impact of any of these developments on future performance.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176" w:lineRule="exact"/>
        <w:rPr>
          <w:sz w:val="20"/>
          <w:szCs w:val="20"/>
          <w:color w:val="auto"/>
        </w:rPr>
      </w:pPr>
    </w:p>
    <w:p>
      <w:pPr>
        <w:ind w:left="320" w:right="779" w:firstLine="369"/>
        <w:spacing w:after="0" w:line="255" w:lineRule="auto"/>
        <w:rPr>
          <w:sz w:val="20"/>
          <w:szCs w:val="20"/>
          <w:color w:val="auto"/>
        </w:rPr>
      </w:pPr>
      <w:r>
        <w:rPr>
          <w:rFonts w:ascii="Arial" w:cs="Arial" w:eastAsia="Arial" w:hAnsi="Arial"/>
          <w:sz w:val="17"/>
          <w:szCs w:val="17"/>
          <w:i w:val="1"/>
          <w:iCs w:val="1"/>
          <w:color w:val="auto"/>
        </w:rPr>
        <w:t>Instructional cost and services</w:t>
      </w:r>
      <w:r>
        <w:rPr>
          <w:rFonts w:ascii="Arial" w:cs="Arial" w:eastAsia="Arial" w:hAnsi="Arial"/>
          <w:sz w:val="17"/>
          <w:szCs w:val="17"/>
          <w:color w:val="auto"/>
        </w:rPr>
        <w:t>. Instructional cost and services consist primarily of costs related to the administration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our educational programs, including electronic media. This expense category includes salaries and benefits for full-time and adjunct faculty and administrative personnel,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continue to increase our spending on student and academic services, and we expect instructional costs and services as a percentage of tuition and other net revenue to remain relatively consistent as these additional costs are offset by leverage of our support services that are in place over a larger tuition and enrollment base.</w:t>
      </w:r>
    </w:p>
    <w:p>
      <w:pPr>
        <w:spacing w:after="0" w:line="156" w:lineRule="exact"/>
        <w:rPr>
          <w:sz w:val="20"/>
          <w:szCs w:val="20"/>
          <w:color w:val="auto"/>
        </w:rPr>
      </w:pPr>
    </w:p>
    <w:p>
      <w:pPr>
        <w:ind w:left="320" w:right="799" w:firstLine="369"/>
        <w:spacing w:after="0" w:line="274" w:lineRule="auto"/>
        <w:rPr>
          <w:sz w:val="20"/>
          <w:szCs w:val="20"/>
          <w:color w:val="auto"/>
        </w:rPr>
      </w:pPr>
      <w:r>
        <w:rPr>
          <w:rFonts w:ascii="Arial" w:cs="Arial" w:eastAsia="Arial" w:hAnsi="Arial"/>
          <w:sz w:val="16"/>
          <w:szCs w:val="16"/>
          <w:i w:val="1"/>
          <w:iCs w:val="1"/>
          <w:color w:val="auto"/>
        </w:rPr>
        <w:t>Selling and promotional</w:t>
      </w:r>
      <w:r>
        <w:rPr>
          <w:rFonts w:ascii="Arial" w:cs="Arial" w:eastAsia="Arial" w:hAnsi="Arial"/>
          <w:sz w:val="16"/>
          <w:szCs w:val="16"/>
          <w:color w:val="auto"/>
        </w:rPr>
        <w:t>. Selling and promotional expenses include salaries and benefits of personnel engaged in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recruitment, and retention of students, as well as advertising costs associated with purchasing leads, hosting events and seminars, producing marketing materials, and our ad campaigns in Arizona.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w:t>
      </w:r>
    </w:p>
    <w:p>
      <w:pPr>
        <w:spacing w:after="0" w:line="132" w:lineRule="exact"/>
        <w:rPr>
          <w:sz w:val="20"/>
          <w:szCs w:val="20"/>
          <w:color w:val="auto"/>
        </w:rPr>
      </w:pPr>
    </w:p>
    <w:p>
      <w:pPr>
        <w:ind w:left="320" w:right="979" w:firstLine="369"/>
        <w:spacing w:after="0" w:line="28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benefits, and share-based compensation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engaged in corporate management, finance, human resources, facilities, compliance, insurance, audit fees and other corporate functions. General and administrative expenses also include bad debt expense and an allocation of depreciation, amortization, rent and occupancy costs attributable to general and administrative functions.</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consists primarily of interest charges on our notes payable and capital lease obligations.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0"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133" w:lineRule="exact"/>
        <w:rPr>
          <w:sz w:val="20"/>
          <w:szCs w:val="20"/>
          <w:color w:val="auto"/>
        </w:rPr>
      </w:pPr>
    </w:p>
    <w:p>
      <w:pPr>
        <w:ind w:left="320" w:right="1159" w:firstLine="369"/>
        <w:spacing w:after="0" w:line="277" w:lineRule="auto"/>
        <w:rPr>
          <w:sz w:val="20"/>
          <w:szCs w:val="20"/>
          <w:color w:val="auto"/>
        </w:rPr>
      </w:pPr>
      <w:r>
        <w:rPr>
          <w:rFonts w:ascii="Arial" w:cs="Arial" w:eastAsia="Arial" w:hAnsi="Arial"/>
          <w:sz w:val="17"/>
          <w:szCs w:val="17"/>
          <w:color w:val="auto"/>
        </w:rPr>
        <w:t>We believe that the following critical accounting policies involve our more significant judgments and estimates used in the preparation of our financial statements:</w:t>
      </w:r>
    </w:p>
    <w:p>
      <w:pPr>
        <w:spacing w:after="0" w:line="139"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100-acre traditional campus in Phoenix, Arizona, and onsite at facilities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we continue to recognize the tuition that was not refunded pro-rata over the term of the course and as the amount subject to refund is never greater than the amount of revenue that has been deferred, under our accounting policies revenue is not recognized with respect to amounts that could potentially be refunded. While our change in April 2010 to a non-term borrower-based institution from a term based institution for federal student financial aid funding purposes impacts the timing of our cash flows, it does not impact the timing and recognition of revenues.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39" w:lineRule="exact"/>
        <w:rPr>
          <w:sz w:val="20"/>
          <w:szCs w:val="20"/>
          <w:color w:val="auto"/>
        </w:rPr>
      </w:pPr>
    </w:p>
    <w:p>
      <w:pPr>
        <w:ind w:left="320" w:right="699" w:firstLine="369"/>
        <w:spacing w:after="0" w:line="289" w:lineRule="auto"/>
        <w:rPr>
          <w:sz w:val="20"/>
          <w:szCs w:val="20"/>
          <w:color w:val="auto"/>
        </w:rPr>
      </w:pPr>
      <w:r>
        <w:rPr>
          <w:rFonts w:ascii="Arial" w:cs="Arial" w:eastAsia="Arial" w:hAnsi="Arial"/>
          <w:sz w:val="15"/>
          <w:szCs w:val="15"/>
          <w:b w:val="1"/>
          <w:bCs w:val="1"/>
          <w:i w:val="1"/>
          <w:iCs w:val="1"/>
          <w:color w:val="auto"/>
        </w:rPr>
        <w:t>Allowance for doubtful accounts</w:t>
      </w:r>
      <w:r>
        <w:rPr>
          <w:rFonts w:ascii="Arial" w:cs="Arial" w:eastAsia="Arial" w:hAnsi="Arial"/>
          <w:sz w:val="15"/>
          <w:szCs w:val="15"/>
          <w:color w:val="auto"/>
        </w:rPr>
        <w:t>. Bad debt expense is recorded as a general and administrative expense. We record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allowance for doubtful accounts for estimated losses resulting from the inability, failure, or refusal of our students to make required payments. We determine the adequacy of our allowance for doubtful accounts based on an analysis of our aging of our accounts receivable and historical bad debt experience. Our actual experience and the qualitative factors that we use to determine the allowance for doubtful accounts are susceptible to change based on unforeseen events and uncertainties. We assess the trends that could affect our estimates and make changes to the allowance quarterly when it appears our actual bad debt experience may differ from our original estimates. We apply reserves to our receivables based upon an estimate of the risk presented by the age of the receivables. We assess the reasonableness of our estimation process by comparing actual and project write-offs as a percentage of revenue on a course-by-course basis to the bad debt expense recorded in the general ledger to determine if the composition of our accounts receivable has materially changed, which could indicate that modifications to the allowance may be required. We write off accounts receivable at the earlier of the time the balance is deemed uncollectible, or one year after the revenue is generated. We believe our reserves are adequate to cover any future write offs we may make to our current receivables. We have noticed that as a result of the current economic conditions, a higher percentage of aged receivables are not being paid. However, this deterioration in collections of aged receivables in the first half of 2010 was more than offset by changes that we have implemented with respect to our student accounts receivable collection process, which resulted in fewer accounts reaching aged status. However, the continuing economic downturn in the United States, as well as our change to BBAY beginning in April 2010, has caused us to make changes in our estimation process such that we are now reserving for accounts earlier, which has caused our bad debt expense to increase during the second half of 2010.</w:t>
      </w: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900" w:firstLine="369"/>
        <w:spacing w:after="0" w:line="278"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0" w:lineRule="exact"/>
        <w:rPr>
          <w:sz w:val="20"/>
          <w:szCs w:val="20"/>
          <w:color w:val="auto"/>
        </w:rPr>
      </w:pPr>
    </w:p>
    <w:p>
      <w:pPr>
        <w:ind w:left="320" w:right="1940" w:firstLine="369"/>
        <w:spacing w:after="0" w:line="294" w:lineRule="auto"/>
        <w:rPr>
          <w:sz w:val="20"/>
          <w:szCs w:val="20"/>
          <w:color w:val="auto"/>
        </w:rPr>
      </w:pPr>
      <w:r>
        <w:rPr>
          <w:rFonts w:ascii="Arial" w:cs="Arial" w:eastAsia="Arial" w:hAnsi="Arial"/>
          <w:sz w:val="15"/>
          <w:szCs w:val="15"/>
          <w:b w:val="1"/>
          <w:bCs w:val="1"/>
          <w:i w:val="1"/>
          <w:iCs w:val="1"/>
          <w:color w:val="auto"/>
        </w:rPr>
        <w:t>Loss Contingencies</w:t>
      </w:r>
      <w:r>
        <w:rPr>
          <w:rFonts w:ascii="Arial" w:cs="Arial" w:eastAsia="Arial" w:hAnsi="Arial"/>
          <w:sz w:val="15"/>
          <w:szCs w:val="15"/>
          <w:color w:val="auto"/>
        </w:rPr>
        <w:t>. We are subject to various claims and contingencies in the ordinary course of business and incidental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industry, including those related to regulation, litigation, business transactions and taxes, among others. We accrue for contingent obligations when it is probable that a liability has been incurred and the amount is reasonably estimable. When we become aware of a claim or potential claim, the likelihood of any loss exposure is assessed. If it is probable that a loss will result and the amount of the loss is estimable, we accrue for the estimated amount of the loss. If the loss is not probable or the amount of the potential loss is not estimable, we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w:t>
      </w:r>
    </w:p>
    <w:p>
      <w:pPr>
        <w:spacing w:after="0" w:line="117" w:lineRule="exact"/>
        <w:rPr>
          <w:sz w:val="20"/>
          <w:szCs w:val="20"/>
          <w:color w:val="auto"/>
        </w:rPr>
      </w:pPr>
    </w:p>
    <w:p>
      <w:pPr>
        <w:ind w:left="320" w:right="1900" w:firstLine="369"/>
        <w:spacing w:after="0" w:line="27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future tax consequences of events that have been recognized in our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Commencing in January 2008, we evaluate and account for uncertain tax positions using a two 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statements of operations data as a percentage of net revenue for each of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40" w:type="dxa"/>
            <w:vAlign w:val="bottom"/>
            <w:tcBorders>
              <w:bottom w:val="single" w:sz="8" w:color="auto"/>
            </w:tcBorders>
            <w:gridSpan w:val="5"/>
          </w:tcPr>
          <w:p>
            <w:pPr>
              <w:ind w:left="820"/>
              <w:spacing w:after="0"/>
              <w:rPr>
                <w:sz w:val="20"/>
                <w:szCs w:val="20"/>
                <w:color w:val="auto"/>
              </w:rPr>
            </w:pPr>
            <w:r>
              <w:rPr>
                <w:rFonts w:ascii="Arial" w:cs="Arial" w:eastAsia="Arial" w:hAnsi="Arial"/>
                <w:sz w:val="17"/>
                <w:szCs w:val="17"/>
                <w:b w:val="1"/>
                <w:bCs w:val="1"/>
                <w:color w:val="auto"/>
                <w:w w:val="95"/>
              </w:rPr>
              <w:t>Year Ended December 31,</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420" w:type="dxa"/>
            <w:vAlign w:val="bottom"/>
          </w:tcPr>
          <w:p>
            <w:pPr>
              <w:spacing w:after="0"/>
              <w:rPr>
                <w:sz w:val="17"/>
                <w:szCs w:val="17"/>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3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Operating expenses</w:t>
            </w: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Instructional cost and services</w:t>
            </w:r>
          </w:p>
        </w:tc>
        <w:tc>
          <w:tcPr>
            <w:tcW w:w="30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36.3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33.4</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7"/>
                <w:szCs w:val="17"/>
                <w:color w:val="auto"/>
              </w:rPr>
              <w:t>Selling and promotional</w:t>
            </w:r>
          </w:p>
        </w:tc>
        <w:tc>
          <w:tcPr>
            <w:tcW w:w="3060" w:type="dxa"/>
            <w:vAlign w:val="bottom"/>
            <w:gridSpan w:val="3"/>
          </w:tcPr>
          <w:p>
            <w:pPr>
              <w:jc w:val="right"/>
              <w:ind w:right="420"/>
              <w:spacing w:after="0"/>
              <w:rPr>
                <w:sz w:val="20"/>
                <w:szCs w:val="20"/>
                <w:color w:val="auto"/>
              </w:rPr>
            </w:pPr>
            <w:r>
              <w:rPr>
                <w:rFonts w:ascii="Arial" w:cs="Arial" w:eastAsia="Arial" w:hAnsi="Arial"/>
                <w:sz w:val="17"/>
                <w:szCs w:val="17"/>
                <w:color w:val="auto"/>
              </w:rPr>
              <w:t>29.2</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32.6</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40.6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30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13.0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7"/>
                <w:szCs w:val="17"/>
                <w:color w:val="auto"/>
              </w:rPr>
              <w:t>Litigation loss</w:t>
            </w:r>
          </w:p>
        </w:tc>
        <w:tc>
          <w:tcPr>
            <w:tcW w:w="3060" w:type="dxa"/>
            <w:vAlign w:val="bottom"/>
            <w:gridSpan w:val="3"/>
          </w:tcPr>
          <w:p>
            <w:pPr>
              <w:jc w:val="right"/>
              <w:ind w:right="420"/>
              <w:spacing w:after="0"/>
              <w:rPr>
                <w:sz w:val="20"/>
                <w:szCs w:val="20"/>
                <w:color w:val="auto"/>
              </w:rPr>
            </w:pPr>
            <w:r>
              <w:rPr>
                <w:rFonts w:ascii="Arial" w:cs="Arial" w:eastAsia="Arial" w:hAnsi="Arial"/>
                <w:sz w:val="17"/>
                <w:szCs w:val="17"/>
                <w:color w:val="auto"/>
              </w:rPr>
              <w:t>0.0</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Contract termination fees to related party</w:t>
            </w:r>
          </w:p>
        </w:tc>
        <w:tc>
          <w:tcPr>
            <w:tcW w:w="30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7"/>
                <w:szCs w:val="17"/>
                <w:color w:val="auto"/>
              </w:rPr>
              <w:t>Exit costs</w:t>
            </w:r>
          </w:p>
        </w:tc>
        <w:tc>
          <w:tcPr>
            <w:tcW w:w="3060" w:type="dxa"/>
            <w:vAlign w:val="bottom"/>
            <w:gridSpan w:val="3"/>
          </w:tcPr>
          <w:p>
            <w:pPr>
              <w:jc w:val="right"/>
              <w:ind w:right="420"/>
              <w:spacing w:after="0"/>
              <w:rPr>
                <w:sz w:val="20"/>
                <w:szCs w:val="20"/>
                <w:color w:val="auto"/>
              </w:rPr>
            </w:pPr>
            <w:r>
              <w:rPr>
                <w:rFonts w:ascii="Arial" w:cs="Arial" w:eastAsia="Arial" w:hAnsi="Arial"/>
                <w:sz w:val="17"/>
                <w:szCs w:val="17"/>
                <w:color w:val="auto"/>
              </w:rPr>
              <w:t>0.1</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0.5</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Royalty to former owner</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vMerge w:val="restart"/>
          </w:tcPr>
          <w:p>
            <w:pPr>
              <w:ind w:left="380"/>
              <w:spacing w:after="0"/>
              <w:rPr>
                <w:sz w:val="20"/>
                <w:szCs w:val="20"/>
                <w:color w:val="auto"/>
              </w:rPr>
            </w:pPr>
            <w:r>
              <w:rPr>
                <w:rFonts w:ascii="Arial" w:cs="Arial" w:eastAsia="Arial" w:hAnsi="Arial"/>
                <w:sz w:val="17"/>
                <w:szCs w:val="17"/>
                <w:color w:val="auto"/>
              </w:rPr>
              <w:t>Total operating expenses</w:t>
            </w:r>
          </w:p>
        </w:tc>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80.9</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82.2</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92.1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19.1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17.8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Interest expense</w:t>
            </w:r>
          </w:p>
        </w:tc>
        <w:tc>
          <w:tcPr>
            <w:tcW w:w="3060" w:type="dxa"/>
            <w:vAlign w:val="bottom"/>
            <w:gridSpan w:val="3"/>
          </w:tcPr>
          <w:p>
            <w:pPr>
              <w:jc w:val="right"/>
              <w:ind w:right="360"/>
              <w:spacing w:after="0"/>
              <w:rPr>
                <w:sz w:val="20"/>
                <w:szCs w:val="20"/>
                <w:color w:val="auto"/>
              </w:rPr>
            </w:pPr>
            <w:r>
              <w:rPr>
                <w:rFonts w:ascii="Arial" w:cs="Arial" w:eastAsia="Arial" w:hAnsi="Arial"/>
                <w:sz w:val="17"/>
                <w:szCs w:val="17"/>
                <w:color w:val="auto"/>
              </w:rPr>
              <w:t>(0.2)</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80" w:type="dxa"/>
            <w:vAlign w:val="bottom"/>
            <w:gridSpan w:val="2"/>
          </w:tcPr>
          <w:p>
            <w:pPr>
              <w:ind w:left="320"/>
              <w:spacing w:after="0"/>
              <w:rPr>
                <w:sz w:val="20"/>
                <w:szCs w:val="20"/>
                <w:color w:val="auto"/>
              </w:rPr>
            </w:pPr>
            <w:r>
              <w:rPr>
                <w:rFonts w:ascii="Arial" w:cs="Arial" w:eastAsia="Arial" w:hAnsi="Arial"/>
                <w:sz w:val="17"/>
                <w:szCs w:val="17"/>
                <w:color w:val="auto"/>
              </w:rPr>
              <w:t>Income before income taxes</w:t>
            </w:r>
          </w:p>
        </w:tc>
        <w:tc>
          <w:tcPr>
            <w:tcW w:w="174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18.9</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17.3</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20"/>
              <w:spacing w:after="0"/>
              <w:rPr>
                <w:sz w:val="20"/>
                <w:szCs w:val="20"/>
                <w:color w:val="auto"/>
              </w:rPr>
            </w:pPr>
            <w:r>
              <w:rPr>
                <w:rFonts w:ascii="Arial" w:cs="Arial" w:eastAsia="Arial" w:hAnsi="Arial"/>
                <w:sz w:val="17"/>
                <w:szCs w:val="17"/>
                <w:color w:val="auto"/>
              </w:rPr>
              <w:t>Net income</w:t>
            </w:r>
          </w:p>
        </w:tc>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11.5</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40" w:type="dxa"/>
            <w:vAlign w:val="bottom"/>
            <w:vMerge w:val="restart"/>
          </w:tcPr>
          <w:p>
            <w:pPr>
              <w:jc w:val="right"/>
              <w:ind w:right="715"/>
              <w:spacing w:after="0"/>
              <w:rPr>
                <w:sz w:val="20"/>
                <w:szCs w:val="20"/>
                <w:color w:val="auto"/>
              </w:rPr>
            </w:pPr>
            <w:r>
              <w:rPr>
                <w:rFonts w:ascii="Arial" w:cs="Arial" w:eastAsia="Arial" w:hAnsi="Arial"/>
                <w:sz w:val="17"/>
                <w:szCs w:val="17"/>
                <w:color w:val="auto"/>
              </w:rPr>
              <w:t>84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Year Ended December 31, 2010 Compared to Year Ended December 31, 2009</w:t>
      </w:r>
    </w:p>
    <w:p>
      <w:pPr>
        <w:spacing w:after="0" w:line="189" w:lineRule="exact"/>
        <w:rPr>
          <w:sz w:val="20"/>
          <w:szCs w:val="20"/>
          <w:color w:val="auto"/>
        </w:rPr>
      </w:pPr>
    </w:p>
    <w:p>
      <w:pPr>
        <w:ind w:left="320" w:right="759" w:firstLine="369"/>
        <w:spacing w:after="0" w:line="255"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2010 was $385.8 million, an increase of $123.9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47.3%, as compared to net revenue of $261.9 million for the year ended December 31, 2009.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End-of-period enrollment increased to approximately 41,500,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 as well as the change to BBAY.</w:t>
      </w:r>
    </w:p>
    <w:p>
      <w:pPr>
        <w:spacing w:after="0" w:line="146" w:lineRule="exact"/>
        <w:rPr>
          <w:sz w:val="20"/>
          <w:szCs w:val="20"/>
          <w:color w:val="auto"/>
        </w:rPr>
      </w:pPr>
    </w:p>
    <w:p>
      <w:pPr>
        <w:ind w:left="320" w:right="719" w:firstLine="369"/>
        <w:spacing w:after="0" w:line="270"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2010</w:t>
      </w:r>
      <w:r>
        <w:rPr>
          <w:rFonts w:ascii="Arial" w:cs="Arial" w:eastAsia="Arial" w:hAnsi="Arial"/>
          <w:sz w:val="16"/>
          <w:szCs w:val="16"/>
          <w:i w:val="1"/>
          <w:iCs w:val="1"/>
          <w:color w:val="auto"/>
        </w:rPr>
        <w:t xml:space="preserve"> </w:t>
      </w:r>
      <w:r>
        <w:rPr>
          <w:rFonts w:ascii="Arial" w:cs="Arial" w:eastAsia="Arial" w:hAnsi="Arial"/>
          <w:sz w:val="16"/>
          <w:szCs w:val="16"/>
          <w:color w:val="auto"/>
        </w:rPr>
        <w:t>were $140.0 million, an increase of $52.4 million, or 59.9%, as compared to instructional costs and services expenses of $87.6 million for the year ended December 31, 2009. This increase was primarily due to increases in instructional compensation and related expenses, faculty compensation, instructional supplies, non-capitalizable system conversion costs, depreciation and amortization, share-based compensation, and other miscellaneous instructional costs and services of $16.8 million, $13.9 million, $4.3 million, $4.0 million, $3.3 million, $1.2 million, and $8.9 million, respectively. These increases are primarily attributable to the increased headcount (both staff and faculty) needed to provide student instruction and support services, including increased occupancy and equipment costs for the increased headcount, to support the increase in enrollments and non-capitalizable system conversion costs of $4.0 million. Our instructional costs and services expenses as a percentage of net revenue increased by 2.9% to 36.3% for the year ended December 31, 2010, as compared to 33.4% for the year ended December 31, 2009. This increase was a result of the non-capitalizable system conversion costs, an increase in faculty compensation as a percentage of revenue as we have seen decreases in class size as the result of increasing the number of starts during 2010 and increased instructional supplies and miscellaneous instructional costs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year ended December 31, 2010 were</w:t>
      </w:r>
    </w:p>
    <w:p>
      <w:pPr>
        <w:spacing w:after="0" w:line="32" w:lineRule="exact"/>
        <w:rPr>
          <w:sz w:val="20"/>
          <w:szCs w:val="20"/>
          <w:color w:val="auto"/>
        </w:rPr>
      </w:pPr>
    </w:p>
    <w:p>
      <w:pPr>
        <w:ind w:left="320" w:right="699"/>
        <w:spacing w:after="0" w:line="270" w:lineRule="auto"/>
        <w:rPr>
          <w:sz w:val="20"/>
          <w:szCs w:val="20"/>
          <w:color w:val="auto"/>
        </w:rPr>
      </w:pPr>
      <w:r>
        <w:rPr>
          <w:rFonts w:ascii="Arial" w:cs="Arial" w:eastAsia="Arial" w:hAnsi="Arial"/>
          <w:sz w:val="16"/>
          <w:szCs w:val="16"/>
          <w:color w:val="auto"/>
        </w:rPr>
        <w:t>$112.5 million, an increase of $27.1 million, or 31.7%, as compared to selling and promotional expenses of $85.4 million for the year ended December 31, 2009. This increase was primarily due to increases in selling and promotional employee compensation and related expenses, advertising, and other selling and promotional related costs of $12.2 million, $11.9 million and $3.0 million, respectively. These increases were driven by a continued substantial expansion in our marketing efforts, which resulted in an increase in recruitment, marketing, and enrollment staffing, and expenses related to our revenue sharing arrangement. Our selling and promotional expenses as a percentage of net revenue decreased by 3.4% to 29.2% for the year ended December 31, 2010, from 32.6% for the year ended December 31, 2009. This decrease occurred as a result of slowing the growth of our enrollment counselor hiring such that our new enrollment counselors as a percentage of total enrollment counselors is less in 2010 than in 2009.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w:t>
      </w:r>
    </w:p>
    <w:p>
      <w:pPr>
        <w:spacing w:after="0" w:line="146" w:lineRule="exact"/>
        <w:rPr>
          <w:sz w:val="20"/>
          <w:szCs w:val="20"/>
          <w:color w:val="auto"/>
        </w:rPr>
      </w:pPr>
    </w:p>
    <w:p>
      <w:pPr>
        <w:ind w:left="320" w:right="819" w:firstLine="369"/>
        <w:spacing w:after="0" w:line="289"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Our general and administrative expenses for the year ended December 31, 2010 were</w:t>
      </w:r>
      <w:r>
        <w:rPr>
          <w:rFonts w:ascii="Arial" w:cs="Arial" w:eastAsia="Arial" w:hAnsi="Arial"/>
          <w:sz w:val="15"/>
          <w:szCs w:val="15"/>
          <w:i w:val="1"/>
          <w:iCs w:val="1"/>
          <w:color w:val="auto"/>
        </w:rPr>
        <w:t xml:space="preserve"> </w:t>
      </w:r>
      <w:r>
        <w:rPr>
          <w:rFonts w:ascii="Arial" w:cs="Arial" w:eastAsia="Arial" w:hAnsi="Arial"/>
          <w:sz w:val="15"/>
          <w:szCs w:val="15"/>
          <w:color w:val="auto"/>
        </w:rPr>
        <w:t>$50.0 million, an increase of $14.4 million, or 40.3%, as compared to general and administrative expenses of $35.6 million for the year ended December 31, 2009. This increase was primarily due to increases in bad debt expense, employee compensation, increases in legal, audit and corporate insurance expenses and other general and administrative expenses of $9.4 million, $2.5 million,</w:t>
      </w:r>
    </w:p>
    <w:p>
      <w:pPr>
        <w:spacing w:after="0" w:line="1" w:lineRule="exact"/>
        <w:rPr>
          <w:sz w:val="20"/>
          <w:szCs w:val="20"/>
          <w:color w:val="auto"/>
        </w:rPr>
      </w:pPr>
    </w:p>
    <w:p>
      <w:pPr>
        <w:ind w:left="320" w:right="719"/>
        <w:spacing w:after="0" w:line="291" w:lineRule="auto"/>
        <w:rPr>
          <w:sz w:val="20"/>
          <w:szCs w:val="20"/>
          <w:color w:val="auto"/>
        </w:rPr>
      </w:pPr>
      <w:r>
        <w:rPr>
          <w:rFonts w:ascii="Arial" w:cs="Arial" w:eastAsia="Arial" w:hAnsi="Arial"/>
          <w:sz w:val="15"/>
          <w:szCs w:val="15"/>
          <w:color w:val="auto"/>
        </w:rPr>
        <w:t>$1.0 million, and $1.5 million, respectively. Bad debt expense increased to $23.4 million for the year ended December 31, 2010 from $14.0 million for the year ended December 31, 2009 as a result of an increase in net revenues and the increase in aged receivables between periods as a result of current economic conditions and the conversion to BBAY. Employee compensation increased primarily as a result of headcount increases in departments such as accounting and human resources to support the increasing number of students and staff. Our general and administrative expenses as a percentage of net revenue decreased by 0.6% to 13.0% for the year ended December 31, 2010, from 13.6% for the year ended December 31, 2009. This decrease was primarily due to our ability to leverage our costs over an increasing revenue base, partially offset by an increase in bad debt expense as a percentage of revenue from 5.4% in the year ended December 31, 2009 to 6.0% for the year ended December 31, 2010.</w:t>
      </w:r>
    </w:p>
    <w:p>
      <w:pPr>
        <w:spacing w:after="0" w:line="200" w:lineRule="exact"/>
        <w:rPr>
          <w:sz w:val="20"/>
          <w:szCs w:val="20"/>
          <w:color w:val="auto"/>
        </w:rPr>
      </w:pP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 xml:space="preserve">Contract termination fees to related party. </w:t>
      </w:r>
      <w:r>
        <w:rPr>
          <w:rFonts w:ascii="Arial" w:cs="Arial" w:eastAsia="Arial" w:hAnsi="Arial"/>
          <w:sz w:val="15"/>
          <w:szCs w:val="15"/>
          <w:color w:val="auto"/>
        </w:rPr>
        <w:t>As a result of new rules adopted by the Department of Education and effective July 1,</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2011, we determined that revenue sharing arrangements like the Collaboration Agreement, and the manner in which we pay amounts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due Mind Streams under the Collaboration Agreement, will most likely no longer be permitted. Accordingly, we and Mind Streams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entered into an agreement, dated December 30, 2010, pursuant to which we agreed to pay Mind Streams an amount equal to (a)</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$8.5 million, plus (b) Mind Streams’ applicable share of any net revenue actually received by us on or before February 28, 2011 with</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respect to any qualified applicant identified by Mind Streams that matriculated at the University and began a course prior to November</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2010. In return, Mind Streams agreed to (i) accept such amounts in full and complete satisfaction of all amounts owed by us to</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Mind Streams under the Collaboration Agreement, and (ii) transfer to us a proprietary database of potential student leads. In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aggregate, we have expensed $9.2 million in 2010 relating to the termination of this contract.</w:t>
      </w:r>
    </w:p>
    <w:p>
      <w:pPr>
        <w:spacing w:after="0" w:line="178" w:lineRule="exact"/>
        <w:rPr>
          <w:sz w:val="20"/>
          <w:szCs w:val="20"/>
          <w:color w:val="auto"/>
        </w:rPr>
      </w:pPr>
    </w:p>
    <w:p>
      <w:pPr>
        <w:jc w:val="both"/>
        <w:ind w:left="320" w:right="859" w:firstLine="369"/>
        <w:spacing w:after="0" w:line="264" w:lineRule="auto"/>
        <w:rPr>
          <w:sz w:val="20"/>
          <w:szCs w:val="20"/>
          <w:color w:val="auto"/>
        </w:rPr>
      </w:pPr>
      <w:r>
        <w:rPr>
          <w:rFonts w:ascii="Arial" w:cs="Arial" w:eastAsia="Arial" w:hAnsi="Arial"/>
          <w:sz w:val="17"/>
          <w:szCs w:val="17"/>
          <w:i w:val="1"/>
          <w:iCs w:val="1"/>
          <w:color w:val="auto"/>
        </w:rPr>
        <w:t xml:space="preserve">Litigation loss. </w:t>
      </w:r>
      <w:r>
        <w:rPr>
          <w:rFonts w:ascii="Arial" w:cs="Arial" w:eastAsia="Arial" w:hAnsi="Arial"/>
          <w:sz w:val="17"/>
          <w:szCs w:val="17"/>
          <w:color w:val="auto"/>
        </w:rPr>
        <w:t>During the third quarter of fiscal year 2009, we recorded an accrual of $5.2 million for the estimated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This settlement became final in December 2010. See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and Part I, Item 3,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137"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i w:val="1"/>
          <w:iCs w:val="1"/>
          <w:color w:val="auto"/>
        </w:rPr>
        <w:t xml:space="preserve">Exit costs. </w:t>
      </w:r>
      <w:r>
        <w:rPr>
          <w:rFonts w:ascii="Arial" w:cs="Arial" w:eastAsia="Arial" w:hAnsi="Arial"/>
          <w:sz w:val="16"/>
          <w:szCs w:val="16"/>
          <w:color w:val="auto"/>
        </w:rPr>
        <w:t>In 2009, we recorded $1.2 million for exit costs related to the closure of the student services facility in Utah,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benefits, relocation expenses and the future lease payments, net of estimated sublease rentals, plus the write off of leasehold improvements associated with the leased space. During 2010, we recorded an additional $0.3 million for exit costs primarily related to our unused lease space in Utah and technology related costs that could not be utilized in other locations.</w:t>
      </w:r>
    </w:p>
    <w:p>
      <w:pPr>
        <w:spacing w:after="0" w:line="125" w:lineRule="exact"/>
        <w:rPr>
          <w:sz w:val="20"/>
          <w:szCs w:val="20"/>
          <w:color w:val="auto"/>
        </w:rPr>
      </w:pPr>
    </w:p>
    <w:p>
      <w:pPr>
        <w:ind w:left="320" w:right="839" w:firstLine="369"/>
        <w:spacing w:after="0" w:line="25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year ended December 31, 2010 was $0.9 million, a decrease of $0.7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$1.6 million for the year ended December 31, 2009, as the average level of borrowings and related interest rates were significantly lowered as a result of the repurchase of the campus land and buildings and the conversion from a capital lease obligation at an effective interest rate of approximately 8.7% to a variable rate debt with an effective interest rate of 3.8% beginning in the second quarter of 2009. Additionally, in June 2010 the loan agreement was amended to reduce the interest rate on unpaid amounts to 30-day LIBOR plus 2.25% from 30-day LIBOR plus 3.5%.</w:t>
      </w:r>
    </w:p>
    <w:p>
      <w:pPr>
        <w:spacing w:after="0" w:line="159"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2010 was $28.4 million, an increase of $10.4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$18.0 million for the year ended December 31, 2009. This increase was primarily attributable to increased income before income taxes. Our effective tax rate was 39.1% during the year ended December 31, 2010 compared to 39.7% during the year ended December 31, 2009.</w:t>
      </w:r>
    </w:p>
    <w:p>
      <w:pPr>
        <w:spacing w:after="0" w:line="140"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year ended December 31, 2010 was $44.4 million, an increase of $17.1 million,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$27.3 million for the year ended December 31, 2009, due to the factors discussed above.</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Year Ended December 31, 2009 Compared to Year Ended December 31, 2008</w:t>
      </w:r>
    </w:p>
    <w:p>
      <w:pPr>
        <w:spacing w:after="0" w:line="189" w:lineRule="exact"/>
        <w:rPr>
          <w:sz w:val="20"/>
          <w:szCs w:val="20"/>
          <w:color w:val="auto"/>
        </w:rPr>
      </w:pPr>
    </w:p>
    <w:p>
      <w:pPr>
        <w:ind w:left="320" w:right="959" w:firstLine="369"/>
        <w:spacing w:after="0" w:line="300" w:lineRule="auto"/>
        <w:rPr>
          <w:sz w:val="20"/>
          <w:szCs w:val="20"/>
          <w:color w:val="auto"/>
        </w:rPr>
      </w:pPr>
      <w:r>
        <w:rPr>
          <w:rFonts w:ascii="Arial" w:cs="Arial" w:eastAsia="Arial" w:hAnsi="Arial"/>
          <w:sz w:val="15"/>
          <w:szCs w:val="15"/>
          <w:i w:val="1"/>
          <w:iCs w:val="1"/>
          <w:color w:val="auto"/>
        </w:rPr>
        <w:t>Net revenue</w:t>
      </w:r>
      <w:r>
        <w:rPr>
          <w:rFonts w:ascii="Arial" w:cs="Arial" w:eastAsia="Arial" w:hAnsi="Arial"/>
          <w:sz w:val="15"/>
          <w:szCs w:val="15"/>
          <w:color w:val="auto"/>
        </w:rPr>
        <w:t>. Our net revenue for the year ended December 31, 2009 was $261.9 million, an increase of $100.6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62.4%, as compared to net revenue of $161.3 million for the year ended December 31, 2008. This increase was primarily due to increased enrollment and, to a lesser extent, increases in the average tuition per student caused primarily by tuition price increases, partially offset by an increase in institutional scholarships. End-of-period enrollment increased 53.1% between December 31, 2009 and 2008, as we continued our growth and increased our recruitment, marketing, and enrollment operations.</w:t>
      </w:r>
    </w:p>
    <w:p>
      <w:pPr>
        <w:spacing w:after="0" w:line="114" w:lineRule="exact"/>
        <w:rPr>
          <w:sz w:val="20"/>
          <w:szCs w:val="20"/>
          <w:color w:val="auto"/>
        </w:rPr>
      </w:pPr>
    </w:p>
    <w:p>
      <w:pPr>
        <w:ind w:left="320" w:right="739" w:firstLine="369"/>
        <w:spacing w:after="0" w:line="290" w:lineRule="auto"/>
        <w:rPr>
          <w:sz w:val="20"/>
          <w:szCs w:val="20"/>
          <w:color w:val="auto"/>
        </w:rPr>
      </w:pPr>
      <w:r>
        <w:rPr>
          <w:rFonts w:ascii="Arial" w:cs="Arial" w:eastAsia="Arial" w:hAnsi="Arial"/>
          <w:sz w:val="15"/>
          <w:szCs w:val="15"/>
          <w:i w:val="1"/>
          <w:iCs w:val="1"/>
          <w:color w:val="auto"/>
        </w:rPr>
        <w:t>Instructional cost and services expenses</w:t>
      </w:r>
      <w:r>
        <w:rPr>
          <w:rFonts w:ascii="Arial" w:cs="Arial" w:eastAsia="Arial" w:hAnsi="Arial"/>
          <w:sz w:val="15"/>
          <w:szCs w:val="15"/>
          <w:color w:val="auto"/>
        </w:rPr>
        <w:t>. Our instructional cost and services expenses for the year ended December 31, 2009</w:t>
      </w:r>
      <w:r>
        <w:rPr>
          <w:rFonts w:ascii="Arial" w:cs="Arial" w:eastAsia="Arial" w:hAnsi="Arial"/>
          <w:sz w:val="15"/>
          <w:szCs w:val="15"/>
          <w:i w:val="1"/>
          <w:iCs w:val="1"/>
          <w:color w:val="auto"/>
        </w:rPr>
        <w:t xml:space="preserve"> </w:t>
      </w:r>
      <w:r>
        <w:rPr>
          <w:rFonts w:ascii="Arial" w:cs="Arial" w:eastAsia="Arial" w:hAnsi="Arial"/>
          <w:sz w:val="15"/>
          <w:szCs w:val="15"/>
          <w:color w:val="auto"/>
        </w:rPr>
        <w:t>were $87.6 million, an increase of $33.1 million, or 60.9%, as compared to instructional cost and services expenses of $54.5 million for the year ended December 31, 2008. This increase was primarily due to increases in instructional compensation and related expenses, faculty compensation, instructional supplies, depreciation and amortization, occupancy and other miscellaneous instructional costs and services of $16.3 million, $7.6 million, $2.6 million, $2.2 million, $2.2 million, and $2.2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Our instructional cost and services expenses as a percentage of net revenue decreased by 0.4% to 33.4% for the year ended December 31, 2009, as compared to 33.8% for the year ended December 31, 2008. This decrease was a result of the continued shift of our student population to online programs and our ability to leverage the relatively fixed cost structure of our campus-based facilities and ground faculty across an increasing revenue base, as well as increased class size, partially offset by an increase in employee compensation and related expenses as a percentage of revenue as we have increased the support personnel to student ratios to further improve the customer service to our students.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year ended December 31, 2009 were</w:t>
      </w:r>
    </w:p>
    <w:p>
      <w:pPr>
        <w:spacing w:after="0" w:line="32" w:lineRule="exact"/>
        <w:rPr>
          <w:sz w:val="20"/>
          <w:szCs w:val="20"/>
          <w:color w:val="auto"/>
        </w:rPr>
      </w:pPr>
    </w:p>
    <w:p>
      <w:pPr>
        <w:ind w:left="320" w:right="859"/>
        <w:spacing w:after="0" w:line="285" w:lineRule="auto"/>
        <w:rPr>
          <w:sz w:val="20"/>
          <w:szCs w:val="20"/>
          <w:color w:val="auto"/>
        </w:rPr>
      </w:pPr>
      <w:r>
        <w:rPr>
          <w:rFonts w:ascii="Arial" w:cs="Arial" w:eastAsia="Arial" w:hAnsi="Arial"/>
          <w:sz w:val="15"/>
          <w:szCs w:val="15"/>
          <w:color w:val="auto"/>
        </w:rPr>
        <w:t>$85.4 million, an increase of $19.9 million, or 30.3%, as compared to selling and promotional expenses of $65.5 million for the year ended December 31, 2008. This increase was primarily due to increases in selling and promotional employee compensation and related expenses, advertising and revenue sharing expense, occupancy, and other selling and promotional related costs of</w:t>
      </w:r>
    </w:p>
    <w:p>
      <w:pPr>
        <w:spacing w:after="0" w:line="1" w:lineRule="exact"/>
        <w:rPr>
          <w:sz w:val="20"/>
          <w:szCs w:val="20"/>
          <w:color w:val="auto"/>
        </w:rPr>
      </w:pPr>
    </w:p>
    <w:p>
      <w:pPr>
        <w:ind w:left="320" w:right="819"/>
        <w:spacing w:after="0" w:line="271" w:lineRule="auto"/>
        <w:rPr>
          <w:sz w:val="20"/>
          <w:szCs w:val="20"/>
          <w:color w:val="auto"/>
        </w:rPr>
      </w:pPr>
      <w:r>
        <w:rPr>
          <w:rFonts w:ascii="Arial" w:cs="Arial" w:eastAsia="Arial" w:hAnsi="Arial"/>
          <w:sz w:val="16"/>
          <w:szCs w:val="16"/>
          <w:color w:val="auto"/>
        </w:rPr>
        <w:t>$11.0 million, $7.1 million, $1.5 million, and $0.3 million, respectively. These increases were driven by the continued expansion in our marketing efforts, which resulted in an increase in recruitment, marketing, and enrollment staffing, and expenses related to our revenue sharing arrangement. Our selling and promotional expenses as a percentage of net revenue decreased by 8.0% to 32.6% for the year ended December 31, 2009, from 40.6% for the year ended December 31, 2008. This decrease occurred as a result of an increase in the productivity of our enrollment counselors that were hired during 2008 and early 2009, coupled with a focus on higher quality leads.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2009 were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$35.6 million, an increase of $8.8 million, or 32.8%, as compared to general and administrative expenses of $26.8 million for the year</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ended December 31, 2008. This increase was primarily due to increases in bad debt expense, employee compensation, and share-based</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compensation, which were partially offset by decreases in legal, audit and corporate insurance of $5.5 million, $3.5 million,</w:t>
      </w:r>
    </w:p>
    <w:p>
      <w:pPr>
        <w:spacing w:after="0" w:line="10" w:lineRule="exact"/>
        <w:rPr>
          <w:sz w:val="20"/>
          <w:szCs w:val="20"/>
          <w:color w:val="auto"/>
        </w:rPr>
      </w:pPr>
    </w:p>
    <w:p>
      <w:pPr>
        <w:ind w:left="320" w:right="759"/>
        <w:spacing w:after="0" w:line="269" w:lineRule="auto"/>
        <w:rPr>
          <w:sz w:val="20"/>
          <w:szCs w:val="20"/>
          <w:color w:val="auto"/>
        </w:rPr>
      </w:pPr>
      <w:r>
        <w:rPr>
          <w:rFonts w:ascii="Arial" w:cs="Arial" w:eastAsia="Arial" w:hAnsi="Arial"/>
          <w:sz w:val="16"/>
          <w:szCs w:val="16"/>
          <w:color w:val="auto"/>
        </w:rPr>
        <w:t>$0.6 million, and $0.8 million, respectively. Bad debt expense increased to $14.0 million for the year ended December 31, 2009 from $8.5 million for the year ended December 31, 2008 as a result of an increase in net revenues and the increase in aged receivables between periods. Employee compensation increased primarily as a result of the full year impact of the additions made in July 2008 to our executive management team and the subsequent hiring of other personnel needed to operate as a public company. The decrease in legal, audit, and corporate insurance is primarily related to legal costs associated with the Sungard matter incurred in 2008 and subsequently settled in 2009. Our general and administrative expenses as a percentage of net revenue decreased by 3.0% to 13.6% for the year ended December 31, 2009, from 16.6% for the year ended December 31, 2008, primarily due to a decrease in our legal costs as a percentage of net revenue between periods during 2008 to 1.5% of net revenue during 2009 from 2.9% in 2008 and our ability to leverage our fixed infrastructure over higher net revenue. As a result of current economic conditions, a higher percentage of aged receivables are not being paid. However, this deterioration in collections of aged receivables has recently been more than offset by changes that have been implemented with respected to our student accounts receivable collection process, which has resulted in fewer accounts reaching aged status. Thus the amount of aged receivables and bad debt expense as a percentage of revenue has remained comparable between years.</w:t>
      </w:r>
    </w:p>
    <w:p>
      <w:pPr>
        <w:spacing w:after="0" w:line="200" w:lineRule="exact"/>
        <w:rPr>
          <w:sz w:val="20"/>
          <w:szCs w:val="20"/>
          <w:color w:val="auto"/>
        </w:rPr>
      </w:pPr>
    </w:p>
    <w:p>
      <w:pPr>
        <w:spacing w:after="0" w:line="31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both"/>
        <w:ind w:left="320" w:right="859" w:firstLine="369"/>
        <w:spacing w:after="0" w:line="264" w:lineRule="auto"/>
        <w:rPr>
          <w:sz w:val="20"/>
          <w:szCs w:val="20"/>
          <w:color w:val="auto"/>
        </w:rPr>
      </w:pPr>
      <w:r>
        <w:rPr>
          <w:rFonts w:ascii="Arial" w:cs="Arial" w:eastAsia="Arial" w:hAnsi="Arial"/>
          <w:sz w:val="17"/>
          <w:szCs w:val="17"/>
          <w:i w:val="1"/>
          <w:iCs w:val="1"/>
          <w:color w:val="auto"/>
        </w:rPr>
        <w:t xml:space="preserve">Litigation loss. </w:t>
      </w:r>
      <w:r>
        <w:rPr>
          <w:rFonts w:ascii="Arial" w:cs="Arial" w:eastAsia="Arial" w:hAnsi="Arial"/>
          <w:sz w:val="17"/>
          <w:szCs w:val="17"/>
          <w:color w:val="auto"/>
        </w:rPr>
        <w:t>During the third quarter of 2009, we recorded an accrual of $5.2 million for the estimated settlement of the</w:t>
      </w:r>
      <w:r>
        <w:rPr>
          <w:rFonts w:ascii="Arial" w:cs="Arial" w:eastAsia="Arial" w:hAnsi="Arial"/>
          <w:sz w:val="17"/>
          <w:szCs w:val="17"/>
          <w:i w:val="1"/>
          <w:iCs w:val="1"/>
          <w:color w:val="auto"/>
        </w:rPr>
        <w:t xml:space="preserve"> qui tam </w:t>
      </w:r>
      <w:r>
        <w:rPr>
          <w:rFonts w:ascii="Arial" w:cs="Arial" w:eastAsia="Arial" w:hAnsi="Arial"/>
          <w:sz w:val="17"/>
          <w:szCs w:val="17"/>
          <w:color w:val="auto"/>
        </w:rPr>
        <w:t>lawsuit that was settled in December 2010. See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 and Part I, Item 3,</w:t>
      </w:r>
      <w:r>
        <w:rPr>
          <w:rFonts w:ascii="Arial" w:cs="Arial" w:eastAsia="Arial" w:hAnsi="Arial"/>
          <w:sz w:val="17"/>
          <w:szCs w:val="17"/>
          <w:i w:val="1"/>
          <w:iCs w:val="1"/>
          <w:color w:val="auto"/>
        </w:rPr>
        <w:t xml:space="preserve"> Legal Proceedings</w:t>
      </w:r>
      <w:r>
        <w:rPr>
          <w:rFonts w:ascii="Arial" w:cs="Arial" w:eastAsia="Arial" w:hAnsi="Arial"/>
          <w:sz w:val="17"/>
          <w:szCs w:val="17"/>
          <w:color w:val="auto"/>
        </w:rPr>
        <w:t>.</w:t>
      </w:r>
    </w:p>
    <w:p>
      <w:pPr>
        <w:spacing w:after="0" w:line="150"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i w:val="1"/>
          <w:iCs w:val="1"/>
          <w:color w:val="auto"/>
        </w:rPr>
        <w:t xml:space="preserve">Exit costs. </w:t>
      </w:r>
      <w:r>
        <w:rPr>
          <w:rFonts w:ascii="Arial" w:cs="Arial" w:eastAsia="Arial" w:hAnsi="Arial"/>
          <w:sz w:val="17"/>
          <w:szCs w:val="17"/>
          <w:color w:val="auto"/>
        </w:rPr>
        <w:t>During the fourth quarter of 2009, we recorded $1.2 million for exit costs related to the closure of the student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Utah, including termination benefits, relocation expenses and the future lease payments, net of estimated sublease rentals, plus the write off of leasehold improvements associated with the leased space.</w:t>
      </w:r>
    </w:p>
    <w:p>
      <w:pPr>
        <w:spacing w:after="0" w:line="137"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i w:val="1"/>
          <w:iCs w:val="1"/>
          <w:color w:val="auto"/>
        </w:rPr>
        <w:t>Royalty to former owner</w:t>
      </w:r>
      <w:r>
        <w:rPr>
          <w:rFonts w:ascii="Arial" w:cs="Arial" w:eastAsia="Arial" w:hAnsi="Arial"/>
          <w:sz w:val="17"/>
          <w:szCs w:val="17"/>
          <w:color w:val="auto"/>
        </w:rPr>
        <w:t>. In connection with our royalty fee arrangement with the former owner related to online revenue, we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royalty expenses for the year ended December 31, 2009 of $0.3 million, a decrease of $1.4 million, or 82.4%, as compared to royalty expenses incurred of $1.7 million for the year ended December 31, 2008 as a result of the elimination of the obligation to pay royalties to the former owner effective April 15, 2008.</w:t>
      </w:r>
    </w:p>
    <w:p>
      <w:pPr>
        <w:spacing w:after="0" w:line="140"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year ended December 31, 2009 was $1.6 million, a decrease of $1.3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44.3%, from $2.9 million for the year ended December 31, 2008, as the average level of borrowings and related interest rates changed as a result of the purchase of the campus land and buildings in late April 2009 from an effective borrowing rate of approximately 8.7% to the 3.8% variable rate note payable as of December 31, 2009.</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Our interest income for the year ended December 31, 2009 was $0.3 million, a decrease of $0.3 million from</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$0.6 million for the year ended December 31, 2008, as a result of decreased short-term interest rates in 2009 partially offset by higher</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balance in 2009.</w:t>
      </w:r>
    </w:p>
    <w:p>
      <w:pPr>
        <w:spacing w:after="0" w:line="165" w:lineRule="exact"/>
        <w:rPr>
          <w:sz w:val="20"/>
          <w:szCs w:val="20"/>
          <w:color w:val="auto"/>
        </w:rPr>
      </w:pPr>
    </w:p>
    <w:p>
      <w:pPr>
        <w:ind w:left="320" w:right="799" w:firstLine="369"/>
        <w:spacing w:after="0" w:line="275"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year ended December 31, 2009 was $18.0 million, an increase of $14.2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$3.8 million for the year ended December 31, 2008. This increase was primarily attributable to increased income before income taxes. Our effective tax rate increased from 36.6% in 2008 to 39.7% in 2009 as the $0.8 million in contributions made to various Arizona school tuition organization in lieu of the payment of state income taxes had a greater impact on the 2008 effective tax rate than the 2009 effective tax rate due to higher income before taxes in 2009. Excluding the contributions made in lieu of state income taxes the effective tax rate would have been 40.7% and 40.8% in 2009 and 2008.</w:t>
      </w:r>
    </w:p>
    <w:p>
      <w:pPr>
        <w:spacing w:after="0" w:line="133" w:lineRule="exact"/>
        <w:rPr>
          <w:sz w:val="20"/>
          <w:szCs w:val="20"/>
          <w:color w:val="auto"/>
        </w:rPr>
      </w:pPr>
    </w:p>
    <w:p>
      <w:pPr>
        <w:ind w:left="320" w:right="779" w:firstLine="369"/>
        <w:spacing w:after="0" w:line="309"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ended December 31, 2009 was $27.3 million, an increase of $20.6 million, or 308%,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income of $6.7 million for the year ended December 31, 2008, due to the factors discussed above.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Seasonality</w:t>
      </w:r>
    </w:p>
    <w:p>
      <w:pPr>
        <w:spacing w:after="0" w:line="180" w:lineRule="exact"/>
        <w:rPr>
          <w:sz w:val="20"/>
          <w:szCs w:val="20"/>
          <w:color w:val="auto"/>
        </w:rPr>
      </w:pPr>
    </w:p>
    <w:p>
      <w:pPr>
        <w:ind w:left="320" w:right="719" w:firstLine="369"/>
        <w:spacing w:after="0" w:line="271"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we expect this summer effect to continue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Liquidity, Capital Resources, and Financial Position</w:t>
      </w:r>
    </w:p>
    <w:p>
      <w:pPr>
        <w:spacing w:after="0" w:line="193" w:lineRule="exact"/>
        <w:rPr>
          <w:sz w:val="20"/>
          <w:szCs w:val="20"/>
          <w:color w:val="auto"/>
        </w:rPr>
      </w:pPr>
    </w:p>
    <w:p>
      <w:pPr>
        <w:ind w:left="320" w:right="839" w:firstLine="369"/>
        <w:spacing w:after="0" w:line="264"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2010, we financed our operating activities and capital expenditures primarily through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Our unrestricted cash, cash equivalents, and marketable securities were $33.6 million at December 31, 2010 and our restricted cash, cash equivalents and investments were $52.9 million.</w:t>
      </w:r>
    </w:p>
    <w:p>
      <w:pPr>
        <w:spacing w:after="0" w:line="137" w:lineRule="exact"/>
        <w:rPr>
          <w:sz w:val="20"/>
          <w:szCs w:val="20"/>
          <w:color w:val="auto"/>
        </w:rPr>
      </w:pPr>
    </w:p>
    <w:p>
      <w:pPr>
        <w:ind w:left="320" w:right="859" w:firstLine="369"/>
        <w:spacing w:after="0" w:line="258" w:lineRule="auto"/>
        <w:rPr>
          <w:sz w:val="20"/>
          <w:szCs w:val="20"/>
          <w:color w:val="auto"/>
        </w:rPr>
      </w:pPr>
      <w:r>
        <w:rPr>
          <w:rFonts w:ascii="Arial" w:cs="Arial" w:eastAsia="Arial" w:hAnsi="Arial"/>
          <w:sz w:val="17"/>
          <w:szCs w:val="17"/>
          <w:color w:val="auto"/>
        </w:rPr>
        <w:t>During 2010, we completed construction on our 55,000 square foot recreation center for both student-athletes and on-campus students, a new dormitory that can hold up to 600 students, and a new College of Education Classroom building. We started development for a 140,000 square foot arena that will open in September 2011, a new 500 bed dormitory and a food court restaurant that will be completed in August 2011. These investments are to support our growing on-campus student population as well as enhance the brand of the University.</w:t>
      </w:r>
    </w:p>
    <w:p>
      <w:pPr>
        <w:spacing w:after="0" w:line="142"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up to 33% of a student’s academic year financial aid at the start of each term, with the majority of such amounts being treated as unrestricted cash and deferred revenue (or a student deposit liability depending on if the course had begun or not) until the revenue is recognized. In a non-term, borrower-based environment,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our move to BBAY, we receive a greater proportion of student financial aid prior to the time courses have begun, which has resulted in the shift of unrestricted cash to restricted cash and has caused a significant increase in the restricted cash amount between December 31, 2009 and December 31, 2010.</w:t>
      </w:r>
    </w:p>
    <w:p>
      <w:pPr>
        <w:spacing w:after="0" w:line="150"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year ended December 31, 2010 and 2009 was</w:t>
      </w:r>
    </w:p>
    <w:p>
      <w:pPr>
        <w:spacing w:after="0" w:line="21" w:lineRule="exact"/>
        <w:rPr>
          <w:sz w:val="20"/>
          <w:szCs w:val="20"/>
          <w:color w:val="auto"/>
        </w:rPr>
      </w:pPr>
    </w:p>
    <w:p>
      <w:pPr>
        <w:ind w:left="320" w:right="839"/>
        <w:spacing w:after="0" w:line="253" w:lineRule="auto"/>
        <w:rPr>
          <w:sz w:val="20"/>
          <w:szCs w:val="20"/>
          <w:color w:val="auto"/>
        </w:rPr>
      </w:pPr>
      <w:r>
        <w:rPr>
          <w:rFonts w:ascii="Arial" w:cs="Arial" w:eastAsia="Arial" w:hAnsi="Arial"/>
          <w:sz w:val="17"/>
          <w:szCs w:val="17"/>
          <w:color w:val="auto"/>
        </w:rPr>
        <w:t>$84.1 million and $61.2 million, respectively. Cash provided by operations in 2010 and 2009 resulted from our net income plus non-cash charges for provision for bad debts, depreciation and amortization, estimated settlement loss, exit costs, share-based compensation and improvement in our working capital management. Net cash provided by operating activities for the year ended December 31, 2008 was $10.2 million. Excluding the payment of $19.5 million that was made to our former owner in April 2008 to satisfy in full all past royalties due under the royalty agreement and the elimination of the existing obligation to pay royalties for online student revenues in perpetuity, net cash provided by operating activities for the year ended December 31, 2008 would have been $22.5 million.</w:t>
      </w:r>
    </w:p>
    <w:p>
      <w:pPr>
        <w:spacing w:after="0" w:line="162" w:lineRule="exact"/>
        <w:rPr>
          <w:sz w:val="20"/>
          <w:szCs w:val="20"/>
          <w:color w:val="auto"/>
        </w:rPr>
      </w:pPr>
    </w:p>
    <w:p>
      <w:pPr>
        <w:ind w:left="320" w:right="699" w:firstLine="369"/>
        <w:spacing w:after="0" w:line="292" w:lineRule="auto"/>
        <w:rPr>
          <w:sz w:val="20"/>
          <w:szCs w:val="20"/>
          <w:color w:val="auto"/>
        </w:rPr>
      </w:pPr>
      <w:r>
        <w:rPr>
          <w:rFonts w:ascii="Arial" w:cs="Arial" w:eastAsia="Arial" w:hAnsi="Arial"/>
          <w:sz w:val="15"/>
          <w:szCs w:val="15"/>
          <w:i w:val="1"/>
          <w:iCs w:val="1"/>
          <w:color w:val="auto"/>
        </w:rPr>
        <w:t>Investing Activities</w:t>
      </w:r>
      <w:r>
        <w:rPr>
          <w:rFonts w:ascii="Arial" w:cs="Arial" w:eastAsia="Arial" w:hAnsi="Arial"/>
          <w:sz w:val="15"/>
          <w:szCs w:val="15"/>
          <w:color w:val="auto"/>
        </w:rPr>
        <w:t>. Net cash used in investing activities was $111.8 million, $58.4 million, and $6.3 million for the years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2010, 2009, and 2008, respectively. Our cash used in investing activities is primarily related to the purchase of property and equipment, leasehold improvements, and changes in restricted cash and cash equivalents. In 2009, cash used in investing activities was primarily related to the acquisition of our campus land and buildings from Spirit, for $35.5 million. Other capital expenditures were $62.6 million, $24.8 million and $8.4 million for the years ended December 31, 2010, 2009, and 2008, respectively. Capital expenditures primarily consisted of campus improvements to support our growing on-campus student population, purchases of computer equipment, leasehold improvements, infrastructure licenses and software development costs to facilitate our transition from Datatel to CampusVue and Great Plains, and office furniture and fixtures to support our increasing employee headcounts. We anticipate capital expenditures as a percentage of revenue to remain at levels comparable to 2010 in 2011 and 2012 to support the continued increase in ground campus students, innovative education tools and ground campus building projects.</w:t>
      </w:r>
    </w:p>
    <w:p>
      <w:pPr>
        <w:spacing w:after="0" w:line="200" w:lineRule="exact"/>
        <w:rPr>
          <w:sz w:val="20"/>
          <w:szCs w:val="20"/>
          <w:color w:val="auto"/>
        </w:rPr>
      </w:pP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56"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provided by financing activities was $(1.2) million, $24.7 million, and $12.3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years ended December 31, 2010, 2009, and 2008, respectively. During 2009, the proceeds from the note payable associated with the acquisition of our ground campus and buildings and proceeds from our September 2009 offering of stock were partially offset by the repurchase of our shares from Spirit. During 2008, principal payments on notes payable, capital lease obligations and our line of credit were offset by private placements of securities to our stockholders, and the net proceeds from our initial public offering of common stock.</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Contractual Obligations</w:t>
      </w:r>
    </w:p>
    <w:p>
      <w:pPr>
        <w:spacing w:after="0" w:line="180" w:lineRule="exact"/>
        <w:rPr>
          <w:sz w:val="20"/>
          <w:szCs w:val="20"/>
          <w:color w:val="auto"/>
        </w:rPr>
      </w:pPr>
    </w:p>
    <w:p>
      <w:pPr>
        <w:ind w:left="320" w:right="979" w:firstLine="369"/>
        <w:spacing w:after="0" w:line="277" w:lineRule="auto"/>
        <w:rPr>
          <w:sz w:val="20"/>
          <w:szCs w:val="20"/>
          <w:color w:val="auto"/>
        </w:rPr>
      </w:pPr>
      <w:r>
        <w:rPr>
          <w:rFonts w:ascii="Arial" w:cs="Arial" w:eastAsia="Arial" w:hAnsi="Arial"/>
          <w:sz w:val="17"/>
          <w:szCs w:val="17"/>
          <w:color w:val="auto"/>
        </w:rPr>
        <w:t>The following table sets forth, as of December 31, 2010, the aggregate amounts of our significant contractual obligations and commitments with definitive payment terms due in each of the periods presented (in millions):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7"/>
                <w:szCs w:val="17"/>
                <w:b w:val="1"/>
                <w:bCs w:val="1"/>
                <w:color w:val="auto"/>
                <w:w w:val="93"/>
              </w:rPr>
              <w:t>Payments Due by Period</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line="183" w:lineRule="exact"/>
              <w:rPr>
                <w:sz w:val="20"/>
                <w:szCs w:val="20"/>
                <w:color w:val="auto"/>
              </w:rPr>
            </w:pPr>
            <w:r>
              <w:rPr>
                <w:rFonts w:ascii="Arial" w:cs="Arial" w:eastAsia="Arial" w:hAnsi="Arial"/>
                <w:sz w:val="17"/>
                <w:szCs w:val="17"/>
                <w:b w:val="1"/>
                <w:bCs w:val="1"/>
                <w:color w:val="auto"/>
              </w:rPr>
              <w:t>Less than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spacing w:after="0" w:line="183" w:lineRule="exact"/>
              <w:rPr>
                <w:sz w:val="20"/>
                <w:szCs w:val="20"/>
                <w:color w:val="auto"/>
              </w:rPr>
            </w:pPr>
            <w:r>
              <w:rPr>
                <w:rFonts w:ascii="Arial" w:cs="Arial" w:eastAsia="Arial" w:hAnsi="Arial"/>
                <w:sz w:val="17"/>
                <w:szCs w:val="17"/>
                <w:b w:val="1"/>
                <w:bCs w:val="1"/>
                <w:color w:val="auto"/>
              </w:rPr>
              <w:t>More than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 Year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9"/>
              </w:rPr>
              <w:t>2-3 Years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7"/>
              </w:rPr>
              <w:t>4-5 Years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2"/>
              </w:rPr>
              <w:t>5 Years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Long term notes payable</w:t>
            </w:r>
            <w:r>
              <w:rPr>
                <w:rFonts w:ascii="Arial" w:cs="Arial" w:eastAsia="Arial" w:hAnsi="Arial"/>
                <w:sz w:val="14"/>
                <w:szCs w:val="14"/>
                <w:color w:val="auto"/>
              </w:rPr>
              <w:t>(1)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Capital lease obligations</w:t>
            </w:r>
            <w:r>
              <w:rPr>
                <w:rFonts w:ascii="Arial" w:cs="Arial" w:eastAsia="Arial" w:hAnsi="Arial"/>
                <w:sz w:val="14"/>
                <w:szCs w:val="14"/>
                <w:color w:val="auto"/>
              </w:rPr>
              <w:t>(2)</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Purchase obligations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right="1319" w:hanging="370"/>
        <w:spacing w:after="0" w:line="330" w:lineRule="auto"/>
        <w:tabs>
          <w:tab w:leader="none" w:pos="6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See Note 7, “Notes Payable and Other Noncurrent Liabilities,” to our financial statements, included in Item 8,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and Supplementary Data</w:t>
      </w:r>
      <w:r>
        <w:rPr>
          <w:rFonts w:ascii="Arial" w:cs="Arial" w:eastAsia="Arial" w:hAnsi="Arial"/>
          <w:sz w:val="15"/>
          <w:szCs w:val="15"/>
          <w:color w:val="auto"/>
        </w:rPr>
        <w:t>, for a discussion of our long term notes payable and other obligations.</w:t>
      </w:r>
    </w:p>
    <w:p>
      <w:pPr>
        <w:ind w:left="680" w:right="1719" w:hanging="370"/>
        <w:spacing w:after="0" w:line="277"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See Note 8, “Capital Lease Obligations,” to our financial statements, included in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for a discussion of our capital lease obligations.</w:t>
      </w:r>
    </w:p>
    <w:p>
      <w:pPr>
        <w:spacing w:after="0" w:line="23" w:lineRule="exact"/>
        <w:rPr>
          <w:rFonts w:ascii="Arial" w:cs="Arial" w:eastAsia="Arial" w:hAnsi="Arial"/>
          <w:sz w:val="17"/>
          <w:szCs w:val="17"/>
          <w:color w:val="auto"/>
        </w:rPr>
      </w:pPr>
    </w:p>
    <w:p>
      <w:pPr>
        <w:ind w:left="680" w:right="1219" w:hanging="370"/>
        <w:spacing w:after="0" w:line="277"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See Note 9, “Commitments and Contingencies,” to our financial statements, included in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for a discussion of our operating lease obligations.</w:t>
      </w:r>
    </w:p>
    <w:p>
      <w:pPr>
        <w:spacing w:after="0" w:line="126"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color w:val="auto"/>
        </w:rPr>
        <w:t>The foregoing obligations exclude potential royalty payments to Blanchard Education, LLC under our license agreement, the amounts of which are contingent on tuition revenue from certain of our business programs.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Off-Balance Sheet Arrangements</w:t>
      </w:r>
    </w:p>
    <w:p>
      <w:pPr>
        <w:spacing w:after="0" w:line="180" w:lineRule="exact"/>
        <w:rPr>
          <w:sz w:val="20"/>
          <w:szCs w:val="20"/>
          <w:color w:val="auto"/>
        </w:rPr>
      </w:pPr>
    </w:p>
    <w:p>
      <w:pPr>
        <w:ind w:left="320" w:right="979" w:firstLine="369"/>
        <w:spacing w:after="0" w:line="264"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Non-GAAP Discussion</w:t>
      </w:r>
    </w:p>
    <w:p>
      <w:pPr>
        <w:spacing w:after="0" w:line="193" w:lineRule="exact"/>
        <w:rPr>
          <w:sz w:val="20"/>
          <w:szCs w:val="20"/>
          <w:color w:val="auto"/>
        </w:rPr>
      </w:pPr>
    </w:p>
    <w:p>
      <w:pPr>
        <w:ind w:left="320" w:right="679" w:firstLine="369"/>
        <w:spacing w:after="0" w:line="278" w:lineRule="auto"/>
        <w:rPr>
          <w:sz w:val="20"/>
          <w:szCs w:val="20"/>
          <w:color w:val="auto"/>
        </w:rPr>
      </w:pPr>
      <w:r>
        <w:rPr>
          <w:rFonts w:ascii="Arial" w:cs="Arial" w:eastAsia="Arial" w:hAnsi="Arial"/>
          <w:sz w:val="16"/>
          <w:szCs w:val="16"/>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6"/>
          <w:szCs w:val="16"/>
          <w:i w:val="1"/>
          <w:iCs w:val="1"/>
          <w:color w:val="auto"/>
        </w:rPr>
        <w:t>Selected Financial and Other Data,</w:t>
      </w:r>
      <w:r>
        <w:rPr>
          <w:rFonts w:ascii="Arial" w:cs="Arial" w:eastAsia="Arial" w:hAnsi="Arial"/>
          <w:sz w:val="16"/>
          <w:szCs w:val="16"/>
          <w:color w:val="auto"/>
        </w:rPr>
        <w:t xml:space="preserve"> for a discussion of our Adjusted EBITDA computation and reconciliation.</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See Note 2, Summary of Significant Accounting Policies, in Item 8, </w:t>
      </w:r>
      <w:r>
        <w:rPr>
          <w:rFonts w:ascii="Arial" w:cs="Arial" w:eastAsia="Arial" w:hAnsi="Arial"/>
          <w:sz w:val="17"/>
          <w:szCs w:val="17"/>
          <w:i w:val="1"/>
          <w:iCs w:val="1"/>
          <w:color w:val="auto"/>
        </w:rPr>
        <w:t>Financial Statements and Supplementary Data</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93" w:lineRule="exact"/>
        <w:rPr>
          <w:sz w:val="20"/>
          <w:szCs w:val="20"/>
          <w:color w:val="auto"/>
        </w:rPr>
      </w:pPr>
    </w:p>
    <w:p>
      <w:pPr>
        <w:ind w:left="320" w:right="879" w:firstLine="369"/>
        <w:spacing w:after="0" w:line="264"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2010, 2009, or 2008. There can be no assurance that future inflation will not have an adverse impact on our operating results and financial condition.</w:t>
      </w:r>
    </w:p>
    <w:p>
      <w:pPr>
        <w:spacing w:after="0" w:line="137" w:lineRule="exact"/>
        <w:rPr>
          <w:sz w:val="20"/>
          <w:szCs w:val="20"/>
          <w:color w:val="auto"/>
        </w:rPr>
      </w:pPr>
    </w:p>
    <w:p>
      <w:pPr>
        <w:ind w:left="320" w:right="779" w:firstLine="369"/>
        <w:spacing w:after="0" w:line="294" w:lineRule="auto"/>
        <w:rPr>
          <w:sz w:val="20"/>
          <w:szCs w:val="20"/>
          <w:color w:val="auto"/>
        </w:rPr>
      </w:pPr>
      <w:r>
        <w:rPr>
          <w:rFonts w:ascii="Arial" w:cs="Arial" w:eastAsia="Arial" w:hAnsi="Arial"/>
          <w:sz w:val="15"/>
          <w:szCs w:val="15"/>
          <w:i w:val="1"/>
          <w:iCs w:val="1"/>
          <w:color w:val="auto"/>
        </w:rPr>
        <w:t>Market risk</w:t>
      </w:r>
      <w:r>
        <w:rPr>
          <w:rFonts w:ascii="Arial" w:cs="Arial" w:eastAsia="Arial" w:hAnsi="Arial"/>
          <w:sz w:val="15"/>
          <w:szCs w:val="15"/>
          <w:color w:val="auto"/>
        </w:rPr>
        <w:t>. On June 30, 2009, we entered into two derivative agreements to manage our 30-day LIBOR interest exposure from</w:t>
      </w:r>
      <w:r>
        <w:rPr>
          <w:rFonts w:ascii="Arial" w:cs="Arial" w:eastAsia="Arial" w:hAnsi="Arial"/>
          <w:sz w:val="15"/>
          <w:szCs w:val="15"/>
          <w:i w:val="1"/>
          <w:iCs w:val="1"/>
          <w:color w:val="auto"/>
        </w:rPr>
        <w:t xml:space="preserve"> </w:t>
      </w:r>
      <w:r>
        <w:rPr>
          <w:rFonts w:ascii="Arial" w:cs="Arial" w:eastAsia="Arial" w:hAnsi="Arial"/>
          <w:sz w:val="15"/>
          <w:szCs w:val="15"/>
          <w:color w:val="auto"/>
        </w:rPr>
        <w:t>the variable rate note payable. A corridor instrument hedges our variable interest rate risk from July 1, 2009 through April 30, 2014 with a notional amount of $11.5 million as of December 31, 2010 and permits us to hedge our interest rate risk at several thresholds. Under this arrangement, in addition to the credit spread we will pay variable interest rates based on the 30-day LIBOR rates monthly until that index reaches 4%. If 30-day LIBOR is equal to 4% through 6%, we will continue to pay 4%. If the 30-day LIBOR exceeds 6%, we will pay actual 30-day LIBOR less 2%. In addition, an interest rate swap commenced on May 1, 2010, continues each month thereafter until April 30, 2014, and has a notional amount of $11.5 million as of December 31, 2010. Under this arrangement, we will receive 30-day LIBOR and pay 3.245% fixed rate on the amortizing notional amount plus the credit spread.</w:t>
      </w:r>
    </w:p>
    <w:p>
      <w:pPr>
        <w:spacing w:after="0" w:line="117"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50"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AAA rated marketable 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December 31, 2010, a 10% increase or decrease in interest rates would not have a material impact on our future earnings, fair values, or cash flows. For information regarding our variable rate notes payable, see “Market risk” above.</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5"/>
        </w:trPr>
        <w:tc>
          <w:tcPr>
            <w:tcW w:w="8540" w:type="dxa"/>
            <w:vAlign w:val="bottom"/>
            <w:gridSpan w:val="14"/>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04"/>
        </w:trPr>
        <w:tc>
          <w:tcPr>
            <w:tcW w:w="320" w:type="dxa"/>
            <w:vAlign w:val="bottom"/>
          </w:tcPr>
          <w:p>
            <w:pPr>
              <w:spacing w:after="0"/>
              <w:rPr>
                <w:sz w:val="24"/>
                <w:szCs w:val="24"/>
                <w:color w:val="auto"/>
              </w:rPr>
            </w:pPr>
          </w:p>
        </w:tc>
        <w:tc>
          <w:tcPr>
            <w:tcW w:w="8220" w:type="dxa"/>
            <w:vAlign w:val="bottom"/>
            <w:gridSpan w:val="13"/>
          </w:tcPr>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7"/>
                <w:szCs w:val="17"/>
                <w:b w:val="1"/>
                <w:bCs w:val="1"/>
                <w:color w:val="auto"/>
              </w:rPr>
              <w:t>Page</w:t>
            </w:r>
          </w:p>
        </w:tc>
      </w:tr>
      <w:tr>
        <w:trPr>
          <w:trHeight w:val="161"/>
        </w:trPr>
        <w:tc>
          <w:tcPr>
            <w:tcW w:w="320" w:type="dxa"/>
            <w:vAlign w:val="bottom"/>
          </w:tcPr>
          <w:p>
            <w:pPr>
              <w:spacing w:after="0"/>
              <w:rPr>
                <w:sz w:val="13"/>
                <w:szCs w:val="13"/>
                <w:color w:val="auto"/>
              </w:rPr>
            </w:pPr>
          </w:p>
        </w:tc>
        <w:tc>
          <w:tcPr>
            <w:tcW w:w="8220" w:type="dxa"/>
            <w:vAlign w:val="bottom"/>
            <w:gridSpan w:val="13"/>
          </w:tcPr>
          <w:p>
            <w:pPr>
              <w:spacing w:after="0" w:line="161" w:lineRule="exact"/>
              <w:rPr>
                <w:rFonts w:ascii="Arial" w:cs="Arial" w:eastAsia="Arial" w:hAnsi="Arial"/>
                <w:sz w:val="17"/>
                <w:szCs w:val="17"/>
                <w:color w:val="0000EE"/>
              </w:rPr>
            </w:pPr>
            <w:hyperlink w:anchor="page95">
              <w:r>
                <w:rPr>
                  <w:rFonts w:ascii="Arial" w:cs="Arial" w:eastAsia="Arial" w:hAnsi="Arial"/>
                  <w:sz w:val="17"/>
                  <w:szCs w:val="17"/>
                  <w:color w:val="0000EE"/>
                </w:rPr>
                <w:t>Report of Independent Registered Public Accounting Firm</w:t>
              </w:r>
            </w:hyperlink>
          </w:p>
        </w:tc>
        <w:tc>
          <w:tcPr>
            <w:tcW w:w="92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auto"/>
              </w:rPr>
              <w:t>93</w:t>
            </w:r>
          </w:p>
        </w:tc>
        <w:tc>
          <w:tcPr>
            <w:tcW w:w="196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20" w:type="dxa"/>
            <w:vAlign w:val="bottom"/>
          </w:tcPr>
          <w:p>
            <w:pPr>
              <w:spacing w:after="0"/>
              <w:rPr>
                <w:sz w:val="24"/>
                <w:szCs w:val="24"/>
                <w:color w:val="auto"/>
              </w:rPr>
            </w:pPr>
          </w:p>
        </w:tc>
        <w:tc>
          <w:tcPr>
            <w:tcW w:w="710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96">
              <w:r>
                <w:rPr>
                  <w:rFonts w:ascii="Arial" w:cs="Arial" w:eastAsia="Arial" w:hAnsi="Arial"/>
                  <w:sz w:val="17"/>
                  <w:szCs w:val="17"/>
                  <w:color w:val="0000EE"/>
                  <w:w w:val="92"/>
                </w:rPr>
                <w:t>Report of Independent Registered Public Accounting Firm on Internal Control over Financial Reporting</w:t>
              </w:r>
            </w:hyperlink>
          </w:p>
        </w:tc>
        <w:tc>
          <w:tcPr>
            <w:tcW w:w="1120" w:type="dxa"/>
            <w:vAlign w:val="bottom"/>
            <w:gridSpan w:val="2"/>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94</w:t>
            </w:r>
          </w:p>
        </w:tc>
      </w:tr>
      <w:tr>
        <w:trPr>
          <w:trHeight w:val="390"/>
        </w:trPr>
        <w:tc>
          <w:tcPr>
            <w:tcW w:w="320" w:type="dxa"/>
            <w:vAlign w:val="bottom"/>
          </w:tcPr>
          <w:p>
            <w:pPr>
              <w:spacing w:after="0"/>
              <w:rPr>
                <w:sz w:val="24"/>
                <w:szCs w:val="24"/>
                <w:color w:val="auto"/>
              </w:rPr>
            </w:pPr>
          </w:p>
        </w:tc>
        <w:tc>
          <w:tcPr>
            <w:tcW w:w="3460" w:type="dxa"/>
            <w:vAlign w:val="bottom"/>
            <w:tcBorders>
              <w:bottom w:val="single" w:sz="8" w:color="0000EE"/>
            </w:tcBorders>
            <w:gridSpan w:val="6"/>
          </w:tcPr>
          <w:p>
            <w:pPr>
              <w:spacing w:after="0"/>
              <w:rPr>
                <w:rFonts w:ascii="Arial" w:cs="Arial" w:eastAsia="Arial" w:hAnsi="Arial"/>
                <w:sz w:val="17"/>
                <w:szCs w:val="17"/>
                <w:color w:val="0000EE"/>
                <w:w w:val="88"/>
              </w:rPr>
            </w:pPr>
            <w:hyperlink w:anchor="page97">
              <w:r>
                <w:rPr>
                  <w:rFonts w:ascii="Arial" w:cs="Arial" w:eastAsia="Arial" w:hAnsi="Arial"/>
                  <w:sz w:val="17"/>
                  <w:szCs w:val="17"/>
                  <w:color w:val="0000EE"/>
                  <w:w w:val="88"/>
                </w:rPr>
                <w:t>Balance Sheets as of December 31, 2010 and 2009</w:t>
              </w:r>
            </w:hyperlink>
          </w:p>
        </w:tc>
        <w:tc>
          <w:tcPr>
            <w:tcW w:w="4760" w:type="dxa"/>
            <w:vAlign w:val="bottom"/>
            <w:gridSpan w:val="7"/>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95</w:t>
            </w:r>
          </w:p>
        </w:tc>
      </w:tr>
      <w:tr>
        <w:trPr>
          <w:trHeight w:val="390"/>
        </w:trPr>
        <w:tc>
          <w:tcPr>
            <w:tcW w:w="320" w:type="dxa"/>
            <w:vAlign w:val="bottom"/>
          </w:tcPr>
          <w:p>
            <w:pPr>
              <w:spacing w:after="0"/>
              <w:rPr>
                <w:sz w:val="24"/>
                <w:szCs w:val="24"/>
                <w:color w:val="auto"/>
              </w:rPr>
            </w:pPr>
          </w:p>
        </w:tc>
        <w:tc>
          <w:tcPr>
            <w:tcW w:w="8220" w:type="dxa"/>
            <w:vAlign w:val="bottom"/>
            <w:gridSpan w:val="13"/>
          </w:tcPr>
          <w:p>
            <w:pPr>
              <w:spacing w:after="0"/>
              <w:rPr>
                <w:rFonts w:ascii="Arial" w:cs="Arial" w:eastAsia="Arial" w:hAnsi="Arial"/>
                <w:sz w:val="17"/>
                <w:szCs w:val="17"/>
                <w:color w:val="0000EE"/>
              </w:rPr>
            </w:pPr>
            <w:hyperlink w:anchor="page98">
              <w:r>
                <w:rPr>
                  <w:rFonts w:ascii="Arial" w:cs="Arial" w:eastAsia="Arial" w:hAnsi="Arial"/>
                  <w:sz w:val="17"/>
                  <w:szCs w:val="17"/>
                  <w:color w:val="0000EE"/>
                </w:rPr>
                <w:t>Income Statements for the years ended December 31, 2010, 2009 and 2008</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96</w:t>
            </w:r>
          </w:p>
        </w:tc>
      </w:tr>
      <w:tr>
        <w:trPr>
          <w:trHeight w:val="20"/>
        </w:trPr>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20" w:type="dxa"/>
            <w:vAlign w:val="bottom"/>
          </w:tcPr>
          <w:p>
            <w:pPr>
              <w:spacing w:after="0"/>
              <w:rPr>
                <w:sz w:val="24"/>
                <w:szCs w:val="24"/>
                <w:color w:val="auto"/>
              </w:rPr>
            </w:pPr>
          </w:p>
        </w:tc>
        <w:tc>
          <w:tcPr>
            <w:tcW w:w="8220" w:type="dxa"/>
            <w:vAlign w:val="bottom"/>
            <w:gridSpan w:val="13"/>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Statements of Comprehensive Income for the years ended December 31, 2010, 2009 and 2008</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97</w:t>
            </w:r>
          </w:p>
        </w:tc>
      </w:tr>
      <w:tr>
        <w:trPr>
          <w:trHeight w:val="20"/>
        </w:trPr>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0"/>
        </w:trPr>
        <w:tc>
          <w:tcPr>
            <w:tcW w:w="320" w:type="dxa"/>
            <w:vAlign w:val="bottom"/>
          </w:tcPr>
          <w:p>
            <w:pPr>
              <w:spacing w:after="0"/>
              <w:rPr>
                <w:sz w:val="24"/>
                <w:szCs w:val="24"/>
                <w:color w:val="auto"/>
              </w:rPr>
            </w:pPr>
          </w:p>
        </w:tc>
        <w:tc>
          <w:tcPr>
            <w:tcW w:w="8220" w:type="dxa"/>
            <w:vAlign w:val="bottom"/>
            <w:gridSpan w:val="13"/>
          </w:tcPr>
          <w:p>
            <w:pPr>
              <w:spacing w:after="0"/>
              <w:rPr>
                <w:rFonts w:ascii="Arial" w:cs="Arial" w:eastAsia="Arial" w:hAnsi="Arial"/>
                <w:sz w:val="17"/>
                <w:szCs w:val="17"/>
                <w:color w:val="0000EE"/>
                <w:w w:val="94"/>
              </w:rPr>
            </w:pPr>
            <w:hyperlink w:anchor="page100">
              <w:r>
                <w:rPr>
                  <w:rFonts w:ascii="Arial" w:cs="Arial" w:eastAsia="Arial" w:hAnsi="Arial"/>
                  <w:sz w:val="17"/>
                  <w:szCs w:val="17"/>
                  <w:color w:val="0000EE"/>
                  <w:w w:val="94"/>
                </w:rPr>
                <w:t>Statements of Preferred Stock and Stockholders’ Equity (Deficit) for the years ended December 31, 2010, 2009 and</w:t>
              </w:r>
            </w:hyperlink>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5"/>
        </w:trPr>
        <w:tc>
          <w:tcPr>
            <w:tcW w:w="340" w:type="dxa"/>
            <w:vAlign w:val="bottom"/>
            <w:gridSpan w:val="2"/>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bottom w:val="single" w:sz="8" w:color="0000EE"/>
            </w:tcBorders>
          </w:tcPr>
          <w:p>
            <w:pPr>
              <w:jc w:val="right"/>
              <w:spacing w:after="0" w:line="185" w:lineRule="exact"/>
              <w:rPr>
                <w:rFonts w:ascii="Arial" w:cs="Arial" w:eastAsia="Arial" w:hAnsi="Arial"/>
                <w:sz w:val="17"/>
                <w:szCs w:val="17"/>
                <w:color w:val="0000EE"/>
                <w:w w:val="84"/>
              </w:rPr>
            </w:pPr>
            <w:hyperlink w:anchor="page100">
              <w:r>
                <w:rPr>
                  <w:rFonts w:ascii="Arial" w:cs="Arial" w:eastAsia="Arial" w:hAnsi="Arial"/>
                  <w:sz w:val="17"/>
                  <w:szCs w:val="17"/>
                  <w:color w:val="0000EE"/>
                  <w:w w:val="84"/>
                </w:rPr>
                <w:t>2008</w:t>
              </w:r>
            </w:hyperlink>
          </w:p>
        </w:tc>
        <w:tc>
          <w:tcPr>
            <w:tcW w:w="44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2"/>
          </w:tcPr>
          <w:p>
            <w:pPr>
              <w:jc w:val="right"/>
              <w:ind w:right="1960"/>
              <w:spacing w:after="0" w:line="185" w:lineRule="exact"/>
              <w:rPr>
                <w:sz w:val="20"/>
                <w:szCs w:val="20"/>
                <w:color w:val="auto"/>
              </w:rPr>
            </w:pPr>
            <w:r>
              <w:rPr>
                <w:rFonts w:ascii="Arial" w:cs="Arial" w:eastAsia="Arial" w:hAnsi="Arial"/>
                <w:sz w:val="17"/>
                <w:szCs w:val="17"/>
                <w:color w:val="auto"/>
              </w:rPr>
              <w:t>98</w:t>
            </w:r>
          </w:p>
        </w:tc>
      </w:tr>
      <w:tr>
        <w:trPr>
          <w:trHeight w:val="390"/>
        </w:trPr>
        <w:tc>
          <w:tcPr>
            <w:tcW w:w="320" w:type="dxa"/>
            <w:vAlign w:val="bottom"/>
          </w:tcPr>
          <w:p>
            <w:pPr>
              <w:spacing w:after="0"/>
              <w:rPr>
                <w:sz w:val="24"/>
                <w:szCs w:val="24"/>
                <w:color w:val="auto"/>
              </w:rPr>
            </w:pPr>
          </w:p>
        </w:tc>
        <w:tc>
          <w:tcPr>
            <w:tcW w:w="8220" w:type="dxa"/>
            <w:vAlign w:val="bottom"/>
            <w:gridSpan w:val="13"/>
          </w:tcPr>
          <w:p>
            <w:pPr>
              <w:spacing w:after="0"/>
              <w:rPr>
                <w:rFonts w:ascii="Arial" w:cs="Arial" w:eastAsia="Arial" w:hAnsi="Arial"/>
                <w:sz w:val="17"/>
                <w:szCs w:val="17"/>
                <w:color w:val="0000EE"/>
              </w:rPr>
            </w:pPr>
            <w:hyperlink w:anchor="page102">
              <w:r>
                <w:rPr>
                  <w:rFonts w:ascii="Arial" w:cs="Arial" w:eastAsia="Arial" w:hAnsi="Arial"/>
                  <w:sz w:val="17"/>
                  <w:szCs w:val="17"/>
                  <w:color w:val="0000EE"/>
                </w:rPr>
                <w:t>Statements of Cash Flows for the years ended December 31, 2010, 2009 and 2008</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99</w:t>
            </w:r>
          </w:p>
        </w:tc>
      </w:tr>
      <w:tr>
        <w:trPr>
          <w:trHeight w:val="390"/>
        </w:trPr>
        <w:tc>
          <w:tcPr>
            <w:tcW w:w="320" w:type="dxa"/>
            <w:vAlign w:val="bottom"/>
          </w:tcPr>
          <w:p>
            <w:pPr>
              <w:spacing w:after="0"/>
              <w:rPr>
                <w:sz w:val="24"/>
                <w:szCs w:val="24"/>
                <w:color w:val="auto"/>
              </w:rPr>
            </w:pPr>
          </w:p>
        </w:tc>
        <w:tc>
          <w:tcPr>
            <w:tcW w:w="5600" w:type="dxa"/>
            <w:vAlign w:val="bottom"/>
            <w:tcBorders>
              <w:top w:val="single" w:sz="8" w:color="0000EE"/>
            </w:tcBorders>
            <w:gridSpan w:val="9"/>
          </w:tcPr>
          <w:p>
            <w:pPr>
              <w:spacing w:after="0"/>
              <w:rPr>
                <w:rFonts w:ascii="Arial" w:cs="Arial" w:eastAsia="Arial" w:hAnsi="Arial"/>
                <w:sz w:val="17"/>
                <w:szCs w:val="17"/>
                <w:color w:val="0000EE"/>
              </w:rPr>
            </w:pPr>
            <w:hyperlink w:anchor="page104">
              <w:r>
                <w:rPr>
                  <w:rFonts w:ascii="Arial" w:cs="Arial" w:eastAsia="Arial" w:hAnsi="Arial"/>
                  <w:sz w:val="17"/>
                  <w:szCs w:val="17"/>
                  <w:color w:val="0000EE"/>
                </w:rPr>
                <w:t>Notes to Financial Statements</w:t>
              </w:r>
            </w:hyperlink>
          </w:p>
        </w:tc>
        <w:tc>
          <w:tcPr>
            <w:tcW w:w="2620" w:type="dxa"/>
            <w:vAlign w:val="bottom"/>
            <w:gridSpan w:val="4"/>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101</w:t>
            </w:r>
          </w:p>
        </w:tc>
      </w:tr>
      <w:tr>
        <w:trPr>
          <w:trHeight w:val="774"/>
        </w:trPr>
        <w:tc>
          <w:tcPr>
            <w:tcW w:w="340" w:type="dxa"/>
            <w:vAlign w:val="bottom"/>
            <w:gridSpan w:val="2"/>
          </w:tcPr>
          <w:p>
            <w:pPr>
              <w:spacing w:after="0"/>
              <w:rPr>
                <w:sz w:val="24"/>
                <w:szCs w:val="24"/>
                <w:color w:val="auto"/>
              </w:rPr>
            </w:pPr>
          </w:p>
        </w:tc>
        <w:tc>
          <w:tcPr>
            <w:tcW w:w="2020" w:type="dxa"/>
            <w:vAlign w:val="bottom"/>
            <w:tcBorders>
              <w:top w:val="single" w:sz="8" w:color="0000EE"/>
            </w:tcBorders>
            <w:gridSpan w:val="4"/>
          </w:tcPr>
          <w:p>
            <w:pPr>
              <w:spacing w:after="0"/>
              <w:rPr>
                <w:sz w:val="24"/>
                <w:szCs w:val="24"/>
                <w:color w:val="auto"/>
              </w:rPr>
            </w:pPr>
          </w:p>
        </w:tc>
        <w:tc>
          <w:tcPr>
            <w:tcW w:w="3080" w:type="dxa"/>
            <w:vAlign w:val="bottom"/>
            <w:gridSpan w:val="3"/>
          </w:tcPr>
          <w:p>
            <w:pPr>
              <w:jc w:val="right"/>
              <w:ind w:right="420"/>
              <w:spacing w:after="0"/>
              <w:rPr>
                <w:sz w:val="20"/>
                <w:szCs w:val="20"/>
                <w:color w:val="auto"/>
              </w:rPr>
            </w:pPr>
            <w:r>
              <w:rPr>
                <w:rFonts w:ascii="Arial" w:cs="Arial" w:eastAsia="Arial" w:hAnsi="Arial"/>
                <w:sz w:val="17"/>
                <w:szCs w:val="17"/>
                <w:color w:val="auto"/>
              </w:rPr>
              <w:t>92</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of Directors and Stockholders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Grand Canyon Education, Inc.</w:t>
      </w:r>
    </w:p>
    <w:p>
      <w:pPr>
        <w:spacing w:after="0" w:line="165" w:lineRule="exact"/>
        <w:rPr>
          <w:sz w:val="20"/>
          <w:szCs w:val="20"/>
          <w:color w:val="auto"/>
        </w:rPr>
      </w:pPr>
    </w:p>
    <w:p>
      <w:pPr>
        <w:ind w:left="320" w:right="799" w:firstLine="369"/>
        <w:spacing w:after="0" w:line="305" w:lineRule="auto"/>
        <w:rPr>
          <w:sz w:val="20"/>
          <w:szCs w:val="20"/>
          <w:color w:val="auto"/>
        </w:rPr>
      </w:pPr>
      <w:r>
        <w:rPr>
          <w:rFonts w:ascii="Arial" w:cs="Arial" w:eastAsia="Arial" w:hAnsi="Arial"/>
          <w:sz w:val="15"/>
          <w:szCs w:val="15"/>
          <w:color w:val="auto"/>
        </w:rPr>
        <w:t>We have audited the accompanying balance sheets of Grand Canyon Education, Inc. (the “Company”) as of December 31, 2010 and 2009, and the related statements of income, comprehensive income, preferred stock and stockholders’ equity (deficit),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110" w:lineRule="exact"/>
        <w:rPr>
          <w:sz w:val="20"/>
          <w:szCs w:val="20"/>
          <w:color w:val="auto"/>
        </w:rPr>
      </w:pPr>
    </w:p>
    <w:p>
      <w:pPr>
        <w:ind w:left="320" w:right="679" w:firstLine="369"/>
        <w:spacing w:after="0" w:line="30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7" w:lineRule="exact"/>
        <w:rPr>
          <w:sz w:val="20"/>
          <w:szCs w:val="20"/>
          <w:color w:val="auto"/>
        </w:rPr>
      </w:pPr>
    </w:p>
    <w:p>
      <w:pPr>
        <w:ind w:left="320" w:right="779" w:firstLine="369"/>
        <w:spacing w:after="0" w:line="28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Grand Canyon Education, Inc. at December 31, 2010 and 2009, and the results of its operations and its cash flows for each of the three years in the period ended December 31, 2010, in conformity with U.S. generally accepted accounting principles.</w:t>
      </w:r>
    </w:p>
    <w:p>
      <w:pPr>
        <w:spacing w:after="0" w:line="120" w:lineRule="exact"/>
        <w:rPr>
          <w:sz w:val="20"/>
          <w:szCs w:val="20"/>
          <w:color w:val="auto"/>
        </w:rPr>
      </w:pPr>
    </w:p>
    <w:p>
      <w:pPr>
        <w:jc w:val="both"/>
        <w:ind w:left="320" w:right="939" w:firstLine="369"/>
        <w:spacing w:after="0" w:line="28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Grand Canyon Education, Inc.’s internal control over financial reporting as of December 31, 2010, based on criteria established in Internal Control — Integrated Framework issued by the Committee of Sponsoring Organizations of the Treadway Commission and our report dated February 22, 2011 expressed an unqualified opinion thereon.</w:t>
      </w:r>
    </w:p>
    <w:p>
      <w:pPr>
        <w:spacing w:after="0" w:line="16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Ernst &amp; Young LLP</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Phoenix, Arizona</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February 22, 2011</w:t>
      </w:r>
    </w:p>
    <w:p>
      <w:pPr>
        <w:spacing w:after="0" w:line="200" w:lineRule="exact"/>
        <w:rPr>
          <w:sz w:val="20"/>
          <w:szCs w:val="20"/>
          <w:color w:val="auto"/>
        </w:rPr>
      </w:pPr>
    </w:p>
    <w:p>
      <w:pPr>
        <w:spacing w:after="0" w:line="35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Report of Independent Registered Public Accounting Firm on Internal Control Over Financial Reporting</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of Directors and Stockholders of Grand Canyon Education, Inc.:</w:t>
      </w:r>
    </w:p>
    <w:p>
      <w:pPr>
        <w:spacing w:after="0" w:line="176" w:lineRule="exact"/>
        <w:rPr>
          <w:sz w:val="20"/>
          <w:szCs w:val="20"/>
          <w:color w:val="auto"/>
        </w:rPr>
      </w:pPr>
    </w:p>
    <w:p>
      <w:pPr>
        <w:ind w:left="320" w:right="699" w:firstLine="369"/>
        <w:spacing w:after="0" w:line="297" w:lineRule="auto"/>
        <w:rPr>
          <w:sz w:val="20"/>
          <w:szCs w:val="20"/>
          <w:color w:val="auto"/>
        </w:rPr>
      </w:pPr>
      <w:r>
        <w:rPr>
          <w:rFonts w:ascii="Arial" w:cs="Arial" w:eastAsia="Arial" w:hAnsi="Arial"/>
          <w:sz w:val="15"/>
          <w:szCs w:val="15"/>
          <w:color w:val="auto"/>
        </w:rPr>
        <w:t>We have audited Grand Canyon Education, Inc.’s internal control over financial reporting as of December 31, 2010, based on criteria established in Internal Control — Integrated Framework issued by the Committee of Sponsoring Organizations of the Treadway Commission (the COSO criteria). Grand Canyon Education, Inc.’s management is responsible for maintaining effective internal control over financial reporting, and for its assessment of the effectiveness of internal control over financial reporting included in the accompanying Report of Management on Grand Canyon Education, Inc.’s Internal Control over Financial Reporting. Our responsibility is to express an opinion on the company’s internal control over financial reporting based on our audit.</w:t>
      </w:r>
    </w:p>
    <w:p>
      <w:pPr>
        <w:spacing w:after="0" w:line="117" w:lineRule="exact"/>
        <w:rPr>
          <w:sz w:val="20"/>
          <w:szCs w:val="20"/>
          <w:color w:val="auto"/>
        </w:rPr>
      </w:pPr>
    </w:p>
    <w:p>
      <w:pPr>
        <w:ind w:left="320" w:right="699" w:firstLine="369"/>
        <w:spacing w:after="0" w:line="275"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ind w:left="320" w:right="1099" w:firstLine="369"/>
        <w:spacing w:after="0" w:line="290"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left="320" w:right="759" w:hanging="10"/>
        <w:spacing w:after="0" w:line="254" w:lineRule="auto"/>
        <w:tabs>
          <w:tab w:leader="none" w:pos="562" w:val="left"/>
        </w:tabs>
        <w:numPr>
          <w:ilvl w:val="0"/>
          <w:numId w:val="4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ind w:left="320" w:right="779" w:firstLine="369"/>
        <w:spacing w:after="0" w:line="28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ind w:left="320" w:right="1199" w:firstLine="369"/>
        <w:spacing w:after="0" w:line="277" w:lineRule="auto"/>
        <w:rPr>
          <w:sz w:val="20"/>
          <w:szCs w:val="20"/>
          <w:color w:val="auto"/>
        </w:rPr>
      </w:pPr>
      <w:r>
        <w:rPr>
          <w:rFonts w:ascii="Arial" w:cs="Arial" w:eastAsia="Arial" w:hAnsi="Arial"/>
          <w:sz w:val="17"/>
          <w:szCs w:val="17"/>
          <w:color w:val="auto"/>
        </w:rPr>
        <w:t>In our opinion, Grand Canyon Education, Inc. maintained, in all material respects, effective internal control over financial reporting as of December 31, 2010, based on the COSO criteria.</w:t>
      </w:r>
    </w:p>
    <w:p>
      <w:pPr>
        <w:spacing w:after="0" w:line="139" w:lineRule="exact"/>
        <w:rPr>
          <w:sz w:val="20"/>
          <w:szCs w:val="20"/>
          <w:color w:val="auto"/>
        </w:rPr>
      </w:pPr>
    </w:p>
    <w:p>
      <w:pPr>
        <w:ind w:left="320" w:right="759" w:firstLine="369"/>
        <w:spacing w:after="0" w:line="30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accompanying balance sheets of Grand Canyon Education, Inc. as of December 31, 2010 and 2009, and the related statements of income, comprehensive income, preferred stock and stockholders’ equity (deficit), and cash flows for each of the three years in the period ended December 31, 2010 and our report dated February 22, 2011 expressed an unqualified opinion thereon.</w:t>
      </w:r>
    </w:p>
    <w:p>
      <w:pPr>
        <w:spacing w:after="0" w:line="14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Ernst &amp; Young LLP</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Phoenix, Arizona</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February 22, 2011</w:t>
      </w:r>
    </w:p>
    <w:p>
      <w:pPr>
        <w:spacing w:after="0" w:line="200" w:lineRule="exact"/>
        <w:rPr>
          <w:sz w:val="20"/>
          <w:szCs w:val="20"/>
          <w:color w:val="auto"/>
        </w:rPr>
      </w:pPr>
    </w:p>
    <w:p>
      <w:pPr>
        <w:spacing w:after="0" w:line="35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696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680" w:type="dxa"/>
            <w:vAlign w:val="bottom"/>
          </w:tcPr>
          <w:p>
            <w:pPr>
              <w:jc w:val="center"/>
              <w:ind w:left="1535"/>
              <w:spacing w:after="0"/>
              <w:rPr>
                <w:sz w:val="20"/>
                <w:szCs w:val="20"/>
                <w:color w:val="auto"/>
              </w:rPr>
            </w:pPr>
            <w:r>
              <w:rPr>
                <w:rFonts w:ascii="Arial" w:cs="Arial" w:eastAsia="Arial" w:hAnsi="Arial"/>
                <w:sz w:val="17"/>
                <w:szCs w:val="17"/>
                <w:b w:val="1"/>
                <w:bCs w:val="1"/>
                <w:color w:val="auto"/>
                <w:w w:val="93"/>
              </w:rPr>
              <w:t>Grand Canyon Education, Inc.</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80" w:type="dxa"/>
            <w:vAlign w:val="bottom"/>
          </w:tcPr>
          <w:p>
            <w:pPr>
              <w:jc w:val="center"/>
              <w:ind w:left="1515"/>
              <w:spacing w:after="0"/>
              <w:rPr>
                <w:sz w:val="20"/>
                <w:szCs w:val="20"/>
                <w:color w:val="auto"/>
              </w:rPr>
            </w:pPr>
            <w:r>
              <w:rPr>
                <w:rFonts w:ascii="Arial" w:cs="Arial" w:eastAsia="Arial" w:hAnsi="Arial"/>
                <w:sz w:val="17"/>
                <w:szCs w:val="17"/>
                <w:b w:val="1"/>
                <w:bCs w:val="1"/>
                <w:color w:val="auto"/>
                <w:w w:val="85"/>
              </w:rPr>
              <w:t>Balance Sheets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right"/>
              <w:ind w:right="48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9"/>
        </w:trPr>
        <w:tc>
          <w:tcPr>
            <w:tcW w:w="6960" w:type="dxa"/>
            <w:vAlign w:val="bottom"/>
            <w:gridSpan w:val="3"/>
          </w:tcPr>
          <w:p>
            <w:pPr>
              <w:ind w:left="320"/>
              <w:spacing w:after="0"/>
              <w:rPr>
                <w:sz w:val="20"/>
                <w:szCs w:val="20"/>
                <w:color w:val="auto"/>
              </w:rPr>
            </w:pPr>
            <w:r>
              <w:rPr>
                <w:rFonts w:ascii="Arial" w:cs="Arial" w:eastAsia="Arial" w:hAnsi="Arial"/>
                <w:sz w:val="17"/>
                <w:szCs w:val="17"/>
                <w:i w:val="1"/>
                <w:iCs w:val="1"/>
                <w:color w:val="auto"/>
              </w:rPr>
              <w:t>(In thousands, except par value)</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680" w:type="dxa"/>
            <w:vAlign w:val="bottom"/>
            <w:tcBorders>
              <w:top w:val="single" w:sz="8" w:color="auto"/>
            </w:tcBorders>
            <w:shd w:val="clear" w:color="auto" w:fill="CCEEFF"/>
          </w:tcPr>
          <w:p>
            <w:pPr>
              <w:jc w:val="center"/>
              <w:ind w:left="1535"/>
              <w:spacing w:after="0"/>
              <w:rPr>
                <w:sz w:val="20"/>
                <w:szCs w:val="20"/>
                <w:color w:val="auto"/>
              </w:rPr>
            </w:pPr>
            <w:r>
              <w:rPr>
                <w:rFonts w:ascii="Arial" w:cs="Arial" w:eastAsia="Arial" w:hAnsi="Arial"/>
                <w:sz w:val="17"/>
                <w:szCs w:val="17"/>
                <w:b w:val="1"/>
                <w:bCs w:val="1"/>
                <w:color w:val="auto"/>
                <w:w w:val="94"/>
              </w:rPr>
              <w:t>ASSETS:</w:t>
            </w:r>
          </w:p>
        </w:tc>
        <w:tc>
          <w:tcPr>
            <w:tcW w:w="2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4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33,637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62,571</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640" w:type="dxa"/>
            <w:vAlign w:val="bottom"/>
            <w:gridSpan w:val="2"/>
          </w:tcPr>
          <w:p>
            <w:pPr>
              <w:ind w:left="180"/>
              <w:spacing w:after="0" w:line="193" w:lineRule="exact"/>
              <w:rPr>
                <w:sz w:val="20"/>
                <w:szCs w:val="20"/>
                <w:color w:val="auto"/>
              </w:rPr>
            </w:pPr>
            <w:r>
              <w:rPr>
                <w:rFonts w:ascii="Arial" w:cs="Arial" w:eastAsia="Arial" w:hAnsi="Arial"/>
                <w:sz w:val="17"/>
                <w:szCs w:val="17"/>
                <w:color w:val="auto"/>
              </w:rPr>
              <w:t>Restricted cash, cash equivalents and investments (of which $170 is unrestricted at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640" w:type="dxa"/>
            <w:vAlign w:val="bottom"/>
            <w:gridSpan w:val="2"/>
          </w:tcPr>
          <w:p>
            <w:pPr>
              <w:ind w:left="380"/>
              <w:spacing w:after="0"/>
              <w:rPr>
                <w:sz w:val="20"/>
                <w:szCs w:val="20"/>
                <w:color w:val="auto"/>
              </w:rPr>
            </w:pPr>
            <w:r>
              <w:rPr>
                <w:rFonts w:ascii="Arial" w:cs="Arial" w:eastAsia="Arial" w:hAnsi="Arial"/>
                <w:sz w:val="17"/>
                <w:szCs w:val="17"/>
                <w:color w:val="auto"/>
              </w:rPr>
              <w:t>December 31, 2009)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52,178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64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Accounts receivable, net of allowance for doubtful accounts of $14,961 and $7,553 at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66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December 31, 2010 and 2009, respectively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13,802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Income taxes receivable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8,415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9,886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4,834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3,785</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current assets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142,284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90,246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123,999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67,370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Investments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royalties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7,311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2,941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2,941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5,956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4,892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284,255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174,738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80" w:type="dxa"/>
            <w:vAlign w:val="bottom"/>
            <w:vMerge w:val="restart"/>
          </w:tcPr>
          <w:p>
            <w:pPr>
              <w:jc w:val="center"/>
              <w:ind w:left="1515"/>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Accounts payable</w:t>
            </w:r>
          </w:p>
        </w:tc>
        <w:tc>
          <w:tcPr>
            <w:tcW w:w="4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15,693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8,762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Accrued compensation and benefits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13,633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11,898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9,477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6,205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Accrued litigation loss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5,200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Accrued exit costs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taxes payable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Student deposits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48,873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5,149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18,055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Due to related parties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10,346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Current portion of capital lease obligations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Current portion of notes payable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2,105</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current liabilities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122,848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62,392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Capital lease obligations, less current portion</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151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Notes payable, less current portion and other</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21,881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23,983</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147,595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88,710</w:t>
            </w:r>
          </w:p>
        </w:tc>
        <w:tc>
          <w:tcPr>
            <w:tcW w:w="0" w:type="dxa"/>
            <w:vAlign w:val="bottom"/>
          </w:tcPr>
          <w:p>
            <w:pPr>
              <w:spacing w:after="0"/>
              <w:rPr>
                <w:sz w:val="1"/>
                <w:szCs w:val="1"/>
                <w:color w:val="auto"/>
              </w:rPr>
            </w:pPr>
          </w:p>
        </w:tc>
      </w:tr>
      <w:tr>
        <w:trPr>
          <w:trHeight w:val="209"/>
        </w:trPr>
        <w:tc>
          <w:tcPr>
            <w:tcW w:w="6960" w:type="dxa"/>
            <w:vAlign w:val="bottom"/>
            <w:gridSpan w:val="3"/>
          </w:tcPr>
          <w:p>
            <w:pPr>
              <w:ind w:left="32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640" w:type="dxa"/>
            <w:vAlign w:val="bottom"/>
            <w:gridSpan w:val="2"/>
          </w:tcPr>
          <w:p>
            <w:pPr>
              <w:spacing w:after="0" w:line="193" w:lineRule="exact"/>
              <w:rPr>
                <w:sz w:val="20"/>
                <w:szCs w:val="20"/>
                <w:color w:val="auto"/>
              </w:rPr>
            </w:pPr>
            <w:r>
              <w:rPr>
                <w:rFonts w:ascii="Arial" w:cs="Arial" w:eastAsia="Arial" w:hAnsi="Arial"/>
                <w:sz w:val="17"/>
                <w:szCs w:val="17"/>
                <w:color w:val="auto"/>
                <w:w w:val="92"/>
              </w:rPr>
              <w:t>Preferred stock, $0.01 par value, 10,000 shares authorized; 0 shares issued and outstanding at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December 31, 2010 and 2009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6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88"/>
              </w:rPr>
              <w:t>Common stock, $0.01 par value, 100,000 shares authorized; 45,811 and 45,658 shares issued and</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6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45,761 and 45,658 shares outstanding at December 31, 2010 and 2009, respectively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640" w:type="dxa"/>
            <w:vAlign w:val="bottom"/>
            <w:gridSpan w:val="2"/>
          </w:tcPr>
          <w:p>
            <w:pPr>
              <w:spacing w:after="0" w:line="193" w:lineRule="exact"/>
              <w:rPr>
                <w:sz w:val="20"/>
                <w:szCs w:val="20"/>
                <w:color w:val="auto"/>
              </w:rPr>
            </w:pPr>
            <w:r>
              <w:rPr>
                <w:rFonts w:ascii="Arial" w:cs="Arial" w:eastAsia="Arial" w:hAnsi="Arial"/>
                <w:sz w:val="17"/>
                <w:szCs w:val="17"/>
                <w:color w:val="auto"/>
                <w:w w:val="96"/>
              </w:rPr>
              <w:t>Treasury stock, at cost, 50 and 0 shares of common stock at December 31, 2010 and 2009,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640" w:type="dxa"/>
            <w:vAlign w:val="bottom"/>
            <w:gridSpan w:val="2"/>
          </w:tcPr>
          <w:p>
            <w:pPr>
              <w:ind w:left="18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77,449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70,100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(445)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earnings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59,980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15,615</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Total stockholders’ equity</w:t>
            </w: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136,660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86,028</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284,255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174,738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0219"/>
          </w:cols>
          <w:pgMar w:left="240" w:top="393"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372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24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5"/>
              </w:rPr>
              <w:t>Grand Canyon Education, Inc.</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4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Income Statements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ind w:left="320"/>
              <w:spacing w:after="0"/>
              <w:rPr>
                <w:sz w:val="20"/>
                <w:szCs w:val="20"/>
                <w:color w:val="auto"/>
              </w:rPr>
            </w:pPr>
            <w:r>
              <w:rPr>
                <w:rFonts w:ascii="Arial" w:cs="Arial" w:eastAsia="Arial" w:hAnsi="Arial"/>
                <w:sz w:val="17"/>
                <w:szCs w:val="17"/>
                <w:i w:val="1"/>
                <w:iCs w:val="1"/>
                <w:color w:val="auto"/>
              </w:rPr>
              <w:t>(In thousands, except per share amounts)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19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385,825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261,902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161,309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Instructional costs and services</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140,037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87,592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54,450</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840" w:type="dxa"/>
            <w:vAlign w:val="bottom"/>
            <w:gridSpan w:val="5"/>
          </w:tcPr>
          <w:p>
            <w:pPr>
              <w:ind w:left="180"/>
              <w:spacing w:after="0" w:line="193" w:lineRule="exact"/>
              <w:rPr>
                <w:sz w:val="20"/>
                <w:szCs w:val="20"/>
                <w:color w:val="auto"/>
              </w:rPr>
            </w:pPr>
            <w:r>
              <w:rPr>
                <w:rFonts w:ascii="Arial" w:cs="Arial" w:eastAsia="Arial" w:hAnsi="Arial"/>
                <w:sz w:val="17"/>
                <w:szCs w:val="17"/>
                <w:color w:val="auto"/>
              </w:rPr>
              <w:t>Selling and promotional, including $8,777 in 2010; $6,736 in 2009; and</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3400" w:type="dxa"/>
            <w:vAlign w:val="bottom"/>
            <w:gridSpan w:val="2"/>
          </w:tcPr>
          <w:p>
            <w:pPr>
              <w:ind w:left="380"/>
              <w:spacing w:after="0"/>
              <w:rPr>
                <w:sz w:val="20"/>
                <w:szCs w:val="20"/>
                <w:color w:val="auto"/>
              </w:rPr>
            </w:pPr>
            <w:r>
              <w:rPr>
                <w:rFonts w:ascii="Arial" w:cs="Arial" w:eastAsia="Arial" w:hAnsi="Arial"/>
                <w:sz w:val="17"/>
                <w:szCs w:val="17"/>
                <w:color w:val="auto"/>
              </w:rPr>
              <w:t>$5,895 in 2008, to related parties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112,493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85,405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65,551</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49,980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35,619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26,825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Litigation loss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5,200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Contract termination fees to related party</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9,233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Exit costs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258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1,218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Royalty to former owner</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Total costs and expenses</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312,297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215,330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148,512</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73,528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46,572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12,797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Interest expense</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(889)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(1,613)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(2,897)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Income before income taxes</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72,807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45,283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10,540</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28,442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17,979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3,855</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Net income</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44,365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27,304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Preferred dividends</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w w:val="90"/>
              </w:rPr>
              <w:t>Net income available to common stockholders</w:t>
            </w:r>
          </w:p>
        </w:tc>
        <w:tc>
          <w:tcPr>
            <w:tcW w:w="22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3"/>
            <w:vMerge w:val="continue"/>
          </w:tcPr>
          <w:p>
            <w:pPr>
              <w:spacing w:after="0"/>
              <w:rPr>
                <w:sz w:val="18"/>
                <w:szCs w:val="18"/>
                <w:color w:val="auto"/>
              </w:rPr>
            </w:pPr>
          </w:p>
        </w:tc>
        <w:tc>
          <w:tcPr>
            <w:tcW w:w="24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44,365</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27,304</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5,747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7"/>
                <w:szCs w:val="17"/>
                <w:b w:val="1"/>
                <w:bCs w:val="1"/>
                <w:color w:val="auto"/>
              </w:rPr>
              <w:t>Basic income per share</w:t>
            </w:r>
          </w:p>
        </w:tc>
        <w:tc>
          <w:tcPr>
            <w:tcW w:w="24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0.97</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0.60</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Diluted income per share</w:t>
            </w:r>
          </w:p>
        </w:tc>
        <w:tc>
          <w:tcPr>
            <w:tcW w:w="24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0.96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0.60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w w:val="95"/>
              </w:rPr>
              <w:t>Basic weighted average shares outstanding</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45,722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45,184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22,185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2"/>
              </w:rPr>
              <w:t>Diluted weighted average shares outstanding</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45,503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33,430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5"/>
        </w:trPr>
        <w:tc>
          <w:tcPr>
            <w:tcW w:w="374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24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4"/>
              </w:rPr>
              <w:t>Grand Canyon Education, Inc.</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20" w:type="dxa"/>
            <w:vAlign w:val="bottom"/>
            <w:gridSpan w:val="6"/>
          </w:tcPr>
          <w:p>
            <w:pPr>
              <w:jc w:val="right"/>
              <w:ind w:right="800"/>
              <w:spacing w:after="0"/>
              <w:rPr>
                <w:sz w:val="20"/>
                <w:szCs w:val="20"/>
                <w:color w:val="auto"/>
              </w:rPr>
            </w:pPr>
            <w:r>
              <w:rPr>
                <w:rFonts w:ascii="Arial" w:cs="Arial" w:eastAsia="Arial" w:hAnsi="Arial"/>
                <w:sz w:val="17"/>
                <w:szCs w:val="17"/>
                <w:b w:val="1"/>
                <w:bCs w:val="1"/>
                <w:color w:val="auto"/>
              </w:rPr>
              <w:t>Statements of Comprehensive Income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740" w:type="dxa"/>
            <w:vAlign w:val="bottom"/>
            <w:gridSpan w:val="3"/>
          </w:tcPr>
          <w:p>
            <w:pPr>
              <w:ind w:left="320"/>
              <w:spacing w:after="0"/>
              <w:rPr>
                <w:sz w:val="20"/>
                <w:szCs w:val="20"/>
                <w:color w:val="auto"/>
              </w:rPr>
            </w:pPr>
            <w:r>
              <w:rPr>
                <w:rFonts w:ascii="Arial" w:cs="Arial" w:eastAsia="Arial" w:hAnsi="Arial"/>
                <w:sz w:val="17"/>
                <w:szCs w:val="17"/>
                <w:i w:val="1"/>
                <w:iCs w:val="1"/>
                <w:color w:val="auto"/>
              </w:rPr>
              <w:t>(In thousands)</w:t>
            </w: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9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44,365</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27,304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7"/>
                <w:szCs w:val="17"/>
                <w:b w:val="1"/>
                <w:bCs w:val="1"/>
                <w:color w:val="auto"/>
                <w:w w:val="89"/>
              </w:rPr>
              <w:t>Other comprehensive income (loss), net of tax:</w:t>
            </w: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Unrealized losses on hedging derivatives</w:t>
            </w:r>
          </w:p>
        </w:tc>
        <w:tc>
          <w:tcPr>
            <w:tcW w:w="1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840" w:type="dxa"/>
            <w:vAlign w:val="bottom"/>
            <w:gridSpan w:val="5"/>
          </w:tcPr>
          <w:p>
            <w:pPr>
              <w:ind w:left="180"/>
              <w:spacing w:after="0"/>
              <w:rPr>
                <w:sz w:val="20"/>
                <w:szCs w:val="20"/>
                <w:color w:val="auto"/>
              </w:rPr>
            </w:pPr>
            <w:r>
              <w:rPr>
                <w:rFonts w:ascii="Arial" w:cs="Arial" w:eastAsia="Arial" w:hAnsi="Arial"/>
                <w:sz w:val="17"/>
                <w:szCs w:val="17"/>
                <w:color w:val="auto"/>
              </w:rPr>
              <w:t>Unrealized gains (losses) on available for sale securities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3"/>
              </w:rPr>
              <w:t>Realized gains on available for sale securities</w:t>
            </w:r>
          </w:p>
        </w:tc>
        <w:tc>
          <w:tcPr>
            <w:tcW w:w="1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Comprehensive income</w:t>
            </w:r>
          </w:p>
        </w:tc>
        <w:tc>
          <w:tcPr>
            <w:tcW w:w="22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3"/>
            <w:vMerge w:val="continue"/>
          </w:tcPr>
          <w:p>
            <w:pPr>
              <w:spacing w:after="0"/>
              <w:rPr>
                <w:sz w:val="18"/>
                <w:szCs w:val="18"/>
                <w:color w:val="auto"/>
              </w:rPr>
            </w:pPr>
          </w:p>
        </w:tc>
        <w:tc>
          <w:tcPr>
            <w:tcW w:w="24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44,064</w:t>
            </w: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27,144</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6,622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sectPr>
      </w:pPr>
    </w:p>
    <w:bookmarkStart w:id="99" w:name="page100"/>
    <w:bookmarkEnd w:id="99"/>
    <w:p>
      <w:pPr>
        <w:spacing w:after="0" w:line="6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Statements of Preferred Stock and Stockholders’ Equity (Deficit)</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7"/>
                <w:szCs w:val="17"/>
                <w:b w:val="1"/>
                <w:bCs w:val="1"/>
                <w:color w:val="auto"/>
              </w:rPr>
              <w:t>Preferred Stock</w:t>
            </w: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7"/>
                <w:szCs w:val="17"/>
                <w:b w:val="1"/>
                <w:bCs w:val="1"/>
                <w:color w:val="auto"/>
                <w:w w:val="91"/>
              </w:rPr>
              <w:t>Stockholders’ (Deficit) Equity</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120"/>
              <w:spacing w:after="0" w:line="182" w:lineRule="exact"/>
              <w:rPr>
                <w:sz w:val="20"/>
                <w:szCs w:val="20"/>
                <w:color w:val="auto"/>
              </w:rPr>
            </w:pPr>
            <w:r>
              <w:rPr>
                <w:rFonts w:ascii="Arial" w:cs="Arial" w:eastAsia="Arial" w:hAnsi="Arial"/>
                <w:sz w:val="17"/>
                <w:szCs w:val="17"/>
                <w:b w:val="1"/>
                <w:bCs w:val="1"/>
                <w:color w:val="auto"/>
                <w:w w:val="89"/>
              </w:rPr>
              <w:t>Accumulated</w:t>
            </w: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1900" w:type="dxa"/>
            <w:vAlign w:val="bottom"/>
            <w:gridSpan w:val="5"/>
          </w:tcPr>
          <w:p>
            <w:pPr>
              <w:jc w:val="right"/>
              <w:ind w:right="260"/>
              <w:spacing w:after="0"/>
              <w:rPr>
                <w:sz w:val="20"/>
                <w:szCs w:val="20"/>
                <w:color w:val="auto"/>
              </w:rPr>
            </w:pPr>
            <w:r>
              <w:rPr>
                <w:rFonts w:ascii="Arial" w:cs="Arial" w:eastAsia="Arial" w:hAnsi="Arial"/>
                <w:sz w:val="17"/>
                <w:szCs w:val="17"/>
                <w:b w:val="1"/>
                <w:bCs w:val="1"/>
                <w:color w:val="auto"/>
                <w:w w:val="97"/>
              </w:rPr>
              <w:t>Series A Convertible</w:t>
            </w:r>
          </w:p>
        </w:tc>
        <w:tc>
          <w:tcPr>
            <w:tcW w:w="136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w w:val="88"/>
              </w:rPr>
              <w:t>Series C</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8"/>
              </w:rPr>
              <w:t>Additional</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6"/>
              </w:rPr>
              <w:t>Other</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rPr>
              <w:t>Preferred Stock</w:t>
            </w:r>
          </w:p>
        </w:tc>
        <w:tc>
          <w:tcPr>
            <w:tcW w:w="136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w w:val="91"/>
              </w:rPr>
              <w:t>Preferred Stock</w:t>
            </w:r>
          </w:p>
        </w:tc>
        <w:tc>
          <w:tcPr>
            <w:tcW w:w="1340" w:type="dxa"/>
            <w:vAlign w:val="bottom"/>
            <w:gridSpan w:val="6"/>
          </w:tcPr>
          <w:p>
            <w:pPr>
              <w:ind w:left="40"/>
              <w:spacing w:after="0"/>
              <w:rPr>
                <w:sz w:val="20"/>
                <w:szCs w:val="20"/>
                <w:color w:val="auto"/>
              </w:rPr>
            </w:pPr>
            <w:r>
              <w:rPr>
                <w:rFonts w:ascii="Arial" w:cs="Arial" w:eastAsia="Arial" w:hAnsi="Arial"/>
                <w:sz w:val="17"/>
                <w:szCs w:val="17"/>
                <w:b w:val="1"/>
                <w:bCs w:val="1"/>
                <w:color w:val="auto"/>
              </w:rPr>
              <w:t>Common Stock</w:t>
            </w:r>
          </w:p>
        </w:tc>
        <w:tc>
          <w:tcPr>
            <w:tcW w:w="1300" w:type="dxa"/>
            <w:vAlign w:val="bottom"/>
            <w:gridSpan w:val="6"/>
          </w:tcPr>
          <w:p>
            <w:pPr>
              <w:ind w:left="40"/>
              <w:spacing w:after="0"/>
              <w:rPr>
                <w:sz w:val="20"/>
                <w:szCs w:val="20"/>
                <w:color w:val="auto"/>
              </w:rPr>
            </w:pPr>
            <w:r>
              <w:rPr>
                <w:rFonts w:ascii="Arial" w:cs="Arial" w:eastAsia="Arial" w:hAnsi="Arial"/>
                <w:sz w:val="17"/>
                <w:szCs w:val="17"/>
                <w:b w:val="1"/>
                <w:bCs w:val="1"/>
                <w:color w:val="auto"/>
              </w:rPr>
              <w:t>Treasury Stock</w:t>
            </w:r>
          </w:p>
        </w:tc>
        <w:tc>
          <w:tcPr>
            <w:tcW w:w="140" w:type="dxa"/>
            <w:vAlign w:val="bottom"/>
          </w:tcPr>
          <w:p>
            <w:pPr>
              <w:spacing w:after="0"/>
              <w:rPr>
                <w:sz w:val="19"/>
                <w:szCs w:val="19"/>
                <w:color w:val="auto"/>
              </w:rPr>
            </w:pPr>
          </w:p>
        </w:tc>
        <w:tc>
          <w:tcPr>
            <w:tcW w:w="3520" w:type="dxa"/>
            <w:vAlign w:val="bottom"/>
            <w:gridSpan w:val="8"/>
          </w:tcPr>
          <w:p>
            <w:pPr>
              <w:ind w:left="40"/>
              <w:spacing w:after="0"/>
              <w:rPr>
                <w:sz w:val="20"/>
                <w:szCs w:val="20"/>
                <w:color w:val="auto"/>
              </w:rPr>
            </w:pPr>
            <w:r>
              <w:rPr>
                <w:rFonts w:ascii="Arial" w:cs="Arial" w:eastAsia="Arial" w:hAnsi="Arial"/>
                <w:sz w:val="17"/>
                <w:szCs w:val="17"/>
                <w:b w:val="1"/>
                <w:bCs w:val="1"/>
                <w:color w:val="auto"/>
              </w:rPr>
              <w:t>Paid-in   Comprehensive   Accumulated</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10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7"/>
                <w:szCs w:val="17"/>
                <w:b w:val="1"/>
                <w:bCs w:val="1"/>
                <w:color w:val="auto"/>
                <w:w w:val="84"/>
              </w:rPr>
              <w:t>Shares</w:t>
            </w:r>
          </w:p>
        </w:tc>
        <w:tc>
          <w:tcPr>
            <w:tcW w:w="6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6"/>
              </w:rPr>
              <w:t>Amount</w:t>
            </w:r>
          </w:p>
        </w:tc>
        <w:tc>
          <w:tcPr>
            <w:tcW w:w="120" w:type="dxa"/>
            <w:vAlign w:val="bottom"/>
          </w:tcPr>
          <w:p>
            <w:pPr>
              <w:spacing w:after="0"/>
              <w:rPr>
                <w:sz w:val="17"/>
                <w:szCs w:val="17"/>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w w:val="81"/>
              </w:rPr>
              <w:t>Shares</w:t>
            </w: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Pr>
          <w:p>
            <w:pPr>
              <w:spacing w:after="0"/>
              <w:rPr>
                <w:sz w:val="17"/>
                <w:szCs w:val="17"/>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w w:val="98"/>
              </w:rPr>
              <w:t>Shares</w:t>
            </w:r>
          </w:p>
        </w:tc>
        <w:tc>
          <w:tcPr>
            <w:tcW w:w="64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87"/>
              </w:rPr>
              <w:t>Amount</w:t>
            </w:r>
          </w:p>
        </w:tc>
        <w:tc>
          <w:tcPr>
            <w:tcW w:w="12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Shares</w:t>
            </w:r>
          </w:p>
        </w:tc>
        <w:tc>
          <w:tcPr>
            <w:tcW w:w="64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87"/>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b w:val="1"/>
                <w:bCs w:val="1"/>
                <w:color w:val="auto"/>
              </w:rPr>
              <w:t>Capital</w:t>
            </w:r>
          </w:p>
        </w:tc>
        <w:tc>
          <w:tcPr>
            <w:tcW w:w="12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Income (Loss)</w:t>
            </w: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w w:val="99"/>
              </w:rPr>
              <w:t>Earnings (Deficit)</w:t>
            </w: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2007</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18,610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13,338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19,036</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7,719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(18,374)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(10,386)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6,685</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Unrealized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available for-</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taxes of</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$42</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Undeclared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dividends 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Series C</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Preferred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Stock</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938</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(938)</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Issuance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Blanchard</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2,994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Cancellation of</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IAS warrant,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8"/>
              </w:rPr>
              <w:t>net of $2,316</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deferred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taxes</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(3,684)</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(3,684)</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warrant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Conversion of</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Series A and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Series C</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Convertible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Preferred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Stock to</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Common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Stock</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(18,610)</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(14,276)</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13,104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131</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32,755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32,886</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 issued in</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initial public</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offering,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issuance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12,075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128,635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128,756</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Special</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distribution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to</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stockholders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from initial</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public</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offering</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proceeds</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(108,675)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0"/>
              </w:rPr>
              <w:t>(108,675)</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Restricted stock</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granted to</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Chief</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Executive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Officer</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1,311</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2"/>
              </w:rPr>
              <w:t>compensation</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3,563</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3,563</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stock options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Excess tax</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benefit from</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0"/>
              <w:spacing w:after="0"/>
              <w:rPr>
                <w:sz w:val="20"/>
                <w:szCs w:val="20"/>
                <w:color w:val="auto"/>
              </w:rPr>
            </w:pPr>
            <w:r>
              <w:rPr>
                <w:rFonts w:ascii="Arial" w:cs="Arial" w:eastAsia="Arial" w:hAnsi="Arial"/>
                <w:sz w:val="17"/>
                <w:szCs w:val="17"/>
                <w:color w:val="auto"/>
                <w:w w:val="92"/>
              </w:rPr>
              <w:t>compensation</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2008</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45,465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455</w:t>
            </w:r>
          </w:p>
        </w:tc>
        <w:tc>
          <w:tcPr>
            <w:tcW w:w="86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64,808</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53,590</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27,304</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27,304</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Unrealized</w:t>
            </w:r>
          </w:p>
        </w:tc>
        <w:tc>
          <w:tcPr>
            <w:tcW w:w="110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(167)</w:t>
            </w: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405" w:right="139"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hedging</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derivatives,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of taxes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$111</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w w:val="93"/>
              </w:rPr>
              <w:t>Unrealized gains</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on available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for-sale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5"/>
              </w:rPr>
              <w:t>of taxes of $5</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4"/>
              </w:rPr>
              <w:t>Repurchase and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retirement of</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the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Company’s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common</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(909)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(14,486)</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(14,495)</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Stock issued in</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offering,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 issuance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costs</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14,870</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14,880</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Share-based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compensation</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3,419</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3,419</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Exercise of</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8"/>
              </w:rPr>
              <w:t>stock options</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1,225</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1,226</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Excess tax</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benefit</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264</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w:t>
            </w: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2009</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45,658</w:t>
            </w: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457</w:t>
            </w:r>
          </w:p>
        </w:tc>
        <w:tc>
          <w:tcPr>
            <w:tcW w:w="780" w:type="dxa"/>
            <w:vAlign w:val="bottom"/>
            <w:gridSpan w:val="4"/>
          </w:tcPr>
          <w:p>
            <w:pPr>
              <w:ind w:left="320"/>
              <w:spacing w:after="0"/>
              <w:rPr>
                <w:sz w:val="20"/>
                <w:szCs w:val="20"/>
                <w:color w:val="auto"/>
              </w:rPr>
            </w:pPr>
            <w:r>
              <w:rPr>
                <w:rFonts w:ascii="Arial" w:cs="Arial" w:eastAsia="Arial" w:hAnsi="Arial"/>
                <w:sz w:val="17"/>
                <w:szCs w:val="17"/>
                <w:color w:val="auto"/>
              </w:rPr>
              <w:t>— $</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  $</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70,100</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(144)</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15,615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86,028</w:t>
            </w:r>
          </w:p>
        </w:tc>
      </w:tr>
      <w:tr>
        <w:trPr>
          <w:trHeight w:val="20"/>
        </w:trPr>
        <w:tc>
          <w:tcPr>
            <w:tcW w:w="1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44,365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44,365</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Unrealized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hedging</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derivatives,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net of taxes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of $273</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(278)</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(278)</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Unrealized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available for-</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of taxes of $3</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Realized gains</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on available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for-sale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 taxes of</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$12</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(19)</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Common stock</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4"/>
              </w:rPr>
              <w:t>purchased for</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treasury</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(782)</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2"/>
              </w:rPr>
              <w:t>compensation</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5,049</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5,049</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stock options</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1,746</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1,747</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Excess tax</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1200" w:type="dxa"/>
            <w:vAlign w:val="bottom"/>
          </w:tcPr>
          <w:p>
            <w:pPr>
              <w:ind w:left="200"/>
              <w:spacing w:after="0"/>
              <w:rPr>
                <w:sz w:val="20"/>
                <w:szCs w:val="20"/>
                <w:color w:val="auto"/>
              </w:rPr>
            </w:pPr>
            <w:r>
              <w:rPr>
                <w:rFonts w:ascii="Arial" w:cs="Arial" w:eastAsia="Arial" w:hAnsi="Arial"/>
                <w:sz w:val="17"/>
                <w:szCs w:val="17"/>
                <w:color w:val="auto"/>
              </w:rPr>
              <w:t>benefits</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554</w:t>
            </w:r>
          </w:p>
        </w:tc>
        <w:tc>
          <w:tcPr>
            <w:tcW w:w="4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554</w:t>
            </w:r>
          </w:p>
        </w:tc>
      </w:tr>
      <w:tr>
        <w:trPr>
          <w:trHeight w:val="193"/>
        </w:trPr>
        <w:tc>
          <w:tcPr>
            <w:tcW w:w="1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2010</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45,811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458</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50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(782) $</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77,449</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(445)</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59,980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136,660</w:t>
            </w:r>
          </w:p>
        </w:tc>
      </w:tr>
      <w:tr>
        <w:trPr>
          <w:trHeight w:val="20"/>
        </w:trPr>
        <w:tc>
          <w:tcPr>
            <w:tcW w:w="1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1520"/>
          </w:cols>
          <w:pgMar w:left="240" w:top="137" w:right="1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520"/>
          </w:cols>
          <w:pgMar w:left="240" w:top="137" w:right="1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5960" w:type="dxa"/>
            <w:vAlign w:val="bottom"/>
            <w:gridSpan w:val="4"/>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880" w:type="dxa"/>
            <w:vAlign w:val="bottom"/>
            <w:gridSpan w:val="3"/>
          </w:tcPr>
          <w:p>
            <w:pPr>
              <w:jc w:val="center"/>
              <w:ind w:left="2335"/>
              <w:spacing w:after="0"/>
              <w:rPr>
                <w:sz w:val="20"/>
                <w:szCs w:val="20"/>
                <w:color w:val="auto"/>
              </w:rPr>
            </w:pPr>
            <w:r>
              <w:rPr>
                <w:rFonts w:ascii="Arial" w:cs="Arial" w:eastAsia="Arial" w:hAnsi="Arial"/>
                <w:sz w:val="17"/>
                <w:szCs w:val="17"/>
                <w:b w:val="1"/>
                <w:bCs w:val="1"/>
                <w:color w:val="auto"/>
                <w:w w:val="93"/>
              </w:rPr>
              <w:t>Grand Canyon Education, Inc.</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80" w:type="dxa"/>
            <w:vAlign w:val="bottom"/>
            <w:gridSpan w:val="2"/>
          </w:tcPr>
          <w:p>
            <w:pPr>
              <w:jc w:val="center"/>
              <w:ind w:left="2515"/>
              <w:spacing w:after="0"/>
              <w:rPr>
                <w:sz w:val="20"/>
                <w:szCs w:val="20"/>
                <w:color w:val="auto"/>
              </w:rPr>
            </w:pPr>
            <w:r>
              <w:rPr>
                <w:rFonts w:ascii="Arial" w:cs="Arial" w:eastAsia="Arial" w:hAnsi="Arial"/>
                <w:sz w:val="17"/>
                <w:szCs w:val="17"/>
                <w:b w:val="1"/>
                <w:bCs w:val="1"/>
                <w:color w:val="auto"/>
                <w:w w:val="88"/>
              </w:rPr>
              <w:t>Statements of Cash Flows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960" w:type="dxa"/>
            <w:vAlign w:val="bottom"/>
            <w:gridSpan w:val="4"/>
          </w:tcPr>
          <w:p>
            <w:pPr>
              <w:ind w:left="3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provided by operating activities:</w:t>
            </w: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44,365</w:t>
            </w:r>
          </w:p>
        </w:tc>
        <w:tc>
          <w:tcPr>
            <w:tcW w:w="22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27,304</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64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Share-based compensation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3,419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4,991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Excess tax benefits from share-based compensation</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Amortization of notes payable issuance costs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Provision for bad debts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14,016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8,465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12,108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7,960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5,095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Non-capitalizable system conversion costs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Litigation loss</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5,200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Exit costs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(2,523)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Changes in assets and liabilities: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Accounts receivable</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(46,905)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(18,376)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(10,793)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380"/>
              <w:spacing w:after="0"/>
              <w:rPr>
                <w:sz w:val="20"/>
                <w:szCs w:val="20"/>
                <w:color w:val="auto"/>
              </w:rPr>
            </w:pPr>
            <w:r>
              <w:rPr>
                <w:rFonts w:ascii="Arial" w:cs="Arial" w:eastAsia="Arial" w:hAnsi="Arial"/>
                <w:sz w:val="17"/>
                <w:szCs w:val="17"/>
                <w:color w:val="auto"/>
              </w:rPr>
              <w:t>Prepaid expenses and other</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(4,746)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Due to/from related parties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38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2,155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Accrued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3,596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380"/>
              <w:spacing w:after="0"/>
              <w:rPr>
                <w:sz w:val="20"/>
                <w:szCs w:val="20"/>
                <w:color w:val="auto"/>
              </w:rPr>
            </w:pPr>
            <w:r>
              <w:rPr>
                <w:rFonts w:ascii="Arial" w:cs="Arial" w:eastAsia="Arial" w:hAnsi="Arial"/>
                <w:sz w:val="17"/>
                <w:szCs w:val="17"/>
                <w:color w:val="auto"/>
              </w:rPr>
              <w:t>Income taxes receivable/payable</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(9,293)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3,929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7,419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5,392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380"/>
              <w:spacing w:after="0"/>
              <w:rPr>
                <w:sz w:val="20"/>
                <w:szCs w:val="20"/>
                <w:color w:val="auto"/>
              </w:rPr>
            </w:pPr>
            <w:r>
              <w:rPr>
                <w:rFonts w:ascii="Arial" w:cs="Arial" w:eastAsia="Arial" w:hAnsi="Arial"/>
                <w:sz w:val="17"/>
                <w:szCs w:val="17"/>
                <w:color w:val="auto"/>
              </w:rPr>
              <w:t>Student deposits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43,724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1,523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Prepaid royalties to former owner</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(5,920)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380"/>
              <w:spacing w:after="0"/>
              <w:rPr>
                <w:sz w:val="20"/>
                <w:szCs w:val="20"/>
                <w:color w:val="auto"/>
              </w:rPr>
            </w:pPr>
            <w:r>
              <w:rPr>
                <w:rFonts w:ascii="Arial" w:cs="Arial" w:eastAsia="Arial" w:hAnsi="Arial"/>
                <w:sz w:val="17"/>
                <w:szCs w:val="17"/>
                <w:color w:val="auto"/>
              </w:rPr>
              <w:t>Royalty payable to former owner</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(7,428)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Deposit with former owner</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Net cash provided by operating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61,167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10,232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Capital expenditures</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(62,627)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(60,265)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(8,374)</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Change in restricted cash and cash equivalents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(49,666)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Purchases of investments</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(2,627)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Proceeds from sale or maturity of investments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(111,806)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(58,421)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(6,348)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Cash flows (used in) provided by financing activities:</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Principal payments on notes payable and capital lease obligations</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(2,933)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(2,415)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Repayment on line of credit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Proceeds from notes payable and line of credit</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25,547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Notes payable issuance costs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Repurchase of outstanding shares</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(14,495)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Repurchase of Institute Warrant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Repayment of Institute Note Payable</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Proceeds from related party payable on preferred stock</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5,725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Net proceeds from issuance of common stock</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14,880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128,756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Payment of special distribution</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(108,675)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Proceeds from exercise of warrant</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Net proceeds from exercise of stock options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Excess tax benefits from share-based compensation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12,338</w:t>
            </w: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(28,934)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27,419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16,222</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35,152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18,930</w:t>
            </w: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Cash and cash equivalents, end of year</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4"/>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33,637</w:t>
            </w: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62,571</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35,152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393" w:right="1440" w:bottom="1440" w:gutter="0" w:footer="0" w:header="0"/>
        </w:sectPr>
      </w:pPr>
    </w:p>
    <w:p>
      <w:pPr>
        <w:spacing w:after="0" w:line="33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5960" w:type="dxa"/>
            <w:vAlign w:val="bottom"/>
            <w:gridSpan w:val="4"/>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880" w:type="dxa"/>
            <w:vAlign w:val="bottom"/>
            <w:gridSpan w:val="3"/>
          </w:tcPr>
          <w:p>
            <w:pPr>
              <w:jc w:val="right"/>
              <w:ind w:right="25"/>
              <w:spacing w:after="0"/>
              <w:rPr>
                <w:sz w:val="20"/>
                <w:szCs w:val="20"/>
                <w:color w:val="auto"/>
              </w:rPr>
            </w:pPr>
            <w:r>
              <w:rPr>
                <w:rFonts w:ascii="Arial" w:cs="Arial" w:eastAsia="Arial" w:hAnsi="Arial"/>
                <w:sz w:val="17"/>
                <w:szCs w:val="17"/>
                <w:b w:val="1"/>
                <w:bCs w:val="1"/>
                <w:color w:val="auto"/>
              </w:rPr>
              <w:t>Grand Canyon Education, Inc.</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0" w:type="dxa"/>
            <w:vAlign w:val="bottom"/>
            <w:gridSpan w:val="5"/>
          </w:tcPr>
          <w:p>
            <w:pPr>
              <w:jc w:val="right"/>
              <w:ind w:right="820"/>
              <w:spacing w:after="0"/>
              <w:rPr>
                <w:sz w:val="20"/>
                <w:szCs w:val="20"/>
                <w:color w:val="auto"/>
              </w:rPr>
            </w:pPr>
            <w:r>
              <w:rPr>
                <w:rFonts w:ascii="Arial" w:cs="Arial" w:eastAsia="Arial" w:hAnsi="Arial"/>
                <w:sz w:val="17"/>
                <w:szCs w:val="17"/>
                <w:b w:val="1"/>
                <w:bCs w:val="1"/>
                <w:color w:val="auto"/>
              </w:rPr>
              <w:t>Statement of Cash Flows (continued)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5960" w:type="dxa"/>
            <w:vAlign w:val="bottom"/>
            <w:gridSpan w:val="4"/>
          </w:tcPr>
          <w:p>
            <w:pPr>
              <w:ind w:left="3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r>
      <w:tr>
        <w:trPr>
          <w:trHeight w:val="198"/>
        </w:trPr>
        <w:tc>
          <w:tcPr>
            <w:tcW w:w="320" w:type="dxa"/>
            <w:vAlign w:val="bottom"/>
          </w:tcPr>
          <w:p>
            <w:pPr>
              <w:spacing w:after="0"/>
              <w:rPr>
                <w:sz w:val="17"/>
                <w:szCs w:val="17"/>
                <w:color w:val="auto"/>
              </w:rPr>
            </w:pPr>
          </w:p>
        </w:tc>
        <w:tc>
          <w:tcPr>
            <w:tcW w:w="5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Cash paid during the year for interest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769</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1,802</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3,709</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Cash paid during the year for income taxes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37,703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16,307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5,274</w:t>
            </w:r>
          </w:p>
        </w:tc>
      </w:tr>
      <w:tr>
        <w:trPr>
          <w:trHeight w:val="205"/>
        </w:trPr>
        <w:tc>
          <w:tcPr>
            <w:tcW w:w="320" w:type="dxa"/>
            <w:vAlign w:val="bottom"/>
          </w:tcPr>
          <w:p>
            <w:pPr>
              <w:spacing w:after="0"/>
              <w:rPr>
                <w:sz w:val="17"/>
                <w:szCs w:val="17"/>
                <w:color w:val="auto"/>
              </w:rPr>
            </w:pPr>
          </w:p>
        </w:tc>
        <w:tc>
          <w:tcPr>
            <w:tcW w:w="5640" w:type="dxa"/>
            <w:vAlign w:val="bottom"/>
            <w:gridSpan w:val="3"/>
          </w:tcPr>
          <w:p>
            <w:pPr>
              <w:spacing w:after="0"/>
              <w:rPr>
                <w:sz w:val="20"/>
                <w:szCs w:val="20"/>
                <w:color w:val="auto"/>
              </w:rPr>
            </w:pPr>
            <w:r>
              <w:rPr>
                <w:rFonts w:ascii="Arial" w:cs="Arial" w:eastAsia="Arial" w:hAnsi="Arial"/>
                <w:sz w:val="17"/>
                <w:szCs w:val="17"/>
                <w:b w:val="1"/>
                <w:bCs w:val="1"/>
                <w:color w:val="auto"/>
                <w:w w:val="97"/>
              </w:rPr>
              <w:t>Supplemental disclosure of non-cash investing and financing activities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6"/>
              </w:rPr>
              <w:t>Purchase of equipment through notes payable and capital lease obligations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2,481</w:t>
            </w:r>
          </w:p>
        </w:tc>
      </w:tr>
      <w:tr>
        <w:trPr>
          <w:trHeight w:val="193"/>
        </w:trPr>
        <w:tc>
          <w:tcPr>
            <w:tcW w:w="320" w:type="dxa"/>
            <w:vAlign w:val="bottom"/>
          </w:tcPr>
          <w:p>
            <w:pPr>
              <w:spacing w:after="0"/>
              <w:rPr>
                <w:sz w:val="16"/>
                <w:szCs w:val="16"/>
                <w:color w:val="auto"/>
              </w:rPr>
            </w:pPr>
          </w:p>
        </w:tc>
        <w:tc>
          <w:tcPr>
            <w:tcW w:w="5640" w:type="dxa"/>
            <w:vAlign w:val="bottom"/>
            <w:gridSpan w:val="3"/>
          </w:tcPr>
          <w:p>
            <w:pPr>
              <w:ind w:left="180"/>
              <w:spacing w:after="0" w:line="193" w:lineRule="exact"/>
              <w:rPr>
                <w:sz w:val="20"/>
                <w:szCs w:val="20"/>
                <w:color w:val="auto"/>
              </w:rPr>
            </w:pPr>
            <w:r>
              <w:rPr>
                <w:rFonts w:ascii="Arial" w:cs="Arial" w:eastAsia="Arial" w:hAnsi="Arial"/>
                <w:sz w:val="17"/>
                <w:szCs w:val="17"/>
                <w:color w:val="auto"/>
              </w:rPr>
              <w:t>Purchases of property and equipment included in accounts payable and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320" w:type="dxa"/>
            <w:vAlign w:val="bottom"/>
          </w:tcPr>
          <w:p>
            <w:pPr>
              <w:spacing w:after="0"/>
              <w:rPr>
                <w:sz w:val="18"/>
                <w:szCs w:val="18"/>
                <w:color w:val="auto"/>
              </w:rPr>
            </w:pPr>
          </w:p>
        </w:tc>
        <w:tc>
          <w:tcPr>
            <w:tcW w:w="5640" w:type="dxa"/>
            <w:vAlign w:val="bottom"/>
            <w:gridSpan w:val="3"/>
          </w:tcPr>
          <w:p>
            <w:pPr>
              <w:ind w:left="380"/>
              <w:spacing w:after="0"/>
              <w:rPr>
                <w:sz w:val="20"/>
                <w:szCs w:val="20"/>
                <w:color w:val="auto"/>
              </w:rPr>
            </w:pPr>
            <w:r>
              <w:rPr>
                <w:rFonts w:ascii="Arial" w:cs="Arial" w:eastAsia="Arial" w:hAnsi="Arial"/>
                <w:sz w:val="17"/>
                <w:szCs w:val="17"/>
                <w:color w:val="auto"/>
              </w:rPr>
              <w:t>deferred rent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4,421</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1,098</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1,292</w:t>
            </w:r>
          </w:p>
        </w:tc>
      </w:tr>
      <w:tr>
        <w:trPr>
          <w:trHeight w:val="206"/>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Settlement of capital lease obligation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30,020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Removal of Utah leasehold improvements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274</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Accretion of dividends on Series C convertible preferred stock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938</w:t>
            </w: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Value assigned to Blanchard shares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2,996</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Assumption of future obligations under gift annuities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w:t>
            </w: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Deferred tax on repurchase of Institute Warrant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2,316</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Conversion of Series A and Series C convertible preferred stock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32,886</w:t>
            </w:r>
          </w:p>
        </w:tc>
      </w:tr>
    </w:tbl>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 Nature of Business</w:t>
      </w:r>
    </w:p>
    <w:p>
      <w:pPr>
        <w:spacing w:after="0" w:line="180" w:lineRule="exact"/>
        <w:rPr>
          <w:sz w:val="20"/>
          <w:szCs w:val="20"/>
          <w:color w:val="auto"/>
        </w:rPr>
      </w:pPr>
    </w:p>
    <w:p>
      <w:pPr>
        <w:ind w:left="320" w:right="819" w:firstLine="369"/>
        <w:spacing w:after="0" w:line="305" w:lineRule="auto"/>
        <w:rPr>
          <w:sz w:val="20"/>
          <w:szCs w:val="20"/>
          <w:color w:val="auto"/>
        </w:rPr>
      </w:pPr>
      <w:r>
        <w:rPr>
          <w:rFonts w:ascii="Arial" w:cs="Arial" w:eastAsia="Arial" w:hAnsi="Arial"/>
          <w:sz w:val="15"/>
          <w:szCs w:val="15"/>
          <w:color w:val="auto"/>
        </w:rPr>
        <w:t>Grand Canyon Education, Inc.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23" w:lineRule="exact"/>
        <w:rPr>
          <w:sz w:val="20"/>
          <w:szCs w:val="20"/>
          <w:color w:val="auto"/>
        </w:rPr>
      </w:pPr>
    </w:p>
    <w:p>
      <w:pPr>
        <w:ind w:left="320" w:right="859" w:firstLine="369"/>
        <w:spacing w:after="0" w:line="281" w:lineRule="auto"/>
        <w:rPr>
          <w:sz w:val="20"/>
          <w:szCs w:val="20"/>
          <w:color w:val="auto"/>
        </w:rPr>
      </w:pPr>
      <w:r>
        <w:rPr>
          <w:rFonts w:ascii="Arial" w:cs="Arial" w:eastAsia="Arial" w:hAnsi="Arial"/>
          <w:sz w:val="16"/>
          <w:szCs w:val="16"/>
          <w:color w:val="auto"/>
        </w:rPr>
        <w:t>The University is a regionally accredited provider of postsecondary education services focused on offering graduate and undergraduate degree programs in its core disciplines of education, business, healthcare, and liberal arts. In addition to online programs, the University offers courses at its campus in Phoenix, Arizona and onsite at the facilities of employers. The University is accredited by the Higher Learning Commission of the North Central Association of Colleges and Schools.</w:t>
      </w:r>
    </w:p>
    <w:p>
      <w:pPr>
        <w:spacing w:after="0" w:line="125" w:lineRule="exact"/>
        <w:rPr>
          <w:sz w:val="20"/>
          <w:szCs w:val="20"/>
          <w:color w:val="auto"/>
        </w:rPr>
      </w:pPr>
    </w:p>
    <w:p>
      <w:pPr>
        <w:ind w:left="320" w:right="779" w:firstLine="369"/>
        <w:spacing w:after="0" w:line="288" w:lineRule="auto"/>
        <w:rPr>
          <w:sz w:val="20"/>
          <w:szCs w:val="20"/>
          <w:color w:val="auto"/>
        </w:rPr>
      </w:pPr>
      <w:r>
        <w:rPr>
          <w:rFonts w:ascii="Arial" w:cs="Arial" w:eastAsia="Arial" w:hAnsi="Arial"/>
          <w:sz w:val="16"/>
          <w:szCs w:val="16"/>
          <w:color w:val="auto"/>
        </w:rPr>
        <w:t>Except as otherwise indicated, all information presented in the accompanying financial statements has been adjusted to reflect the 1,826 for one split of common stock and conversion of formerly outstanding shares of preferred stock into common stock, both of which occurred in connection with the University’s November 18, 2008 initial public offering of common stock.</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Formation and Transactions with Former Owner</w:t>
      </w:r>
    </w:p>
    <w:p>
      <w:pPr>
        <w:spacing w:after="0" w:line="176" w:lineRule="exact"/>
        <w:rPr>
          <w:sz w:val="20"/>
          <w:szCs w:val="20"/>
          <w:color w:val="auto"/>
        </w:rPr>
      </w:pPr>
    </w:p>
    <w:p>
      <w:pPr>
        <w:ind w:left="320" w:right="699" w:firstLine="369"/>
        <w:spacing w:after="0" w:line="293" w:lineRule="auto"/>
        <w:rPr>
          <w:sz w:val="20"/>
          <w:szCs w:val="20"/>
          <w:color w:val="auto"/>
        </w:rPr>
      </w:pPr>
      <w:r>
        <w:rPr>
          <w:rFonts w:ascii="Arial" w:cs="Arial" w:eastAsia="Arial" w:hAnsi="Arial"/>
          <w:sz w:val="15"/>
          <w:szCs w:val="15"/>
          <w:color w:val="auto"/>
        </w:rPr>
        <w:t>On January 29, 2004, the University entered into an asset purchase agreement (the “Purchase Agreement”) with the Grand Canyon University Institute for Advanced Studies (the “Institute” or “former owner”), an Arizona nonprofit corporation, pursuant to which the University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University paid the Institute $500 in cash, assumed certain liabilities, and agreed to pay the Institute a royalty equal to 5% of the revenue generated by the University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University commenced its operations.</w:t>
      </w:r>
    </w:p>
    <w:p>
      <w:pPr>
        <w:spacing w:after="0" w:line="118"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On June 25, 2004, the University entered into an ancillary agreement (the “Ancillary Agreement”) with the Institute, pursuant to which the University agreed to purchase the ground campus and related buildings (the “Campus”) excluding one building and the underlying real estate, from the Institute for the following consideration:</w:t>
      </w:r>
    </w:p>
    <w:p>
      <w:pPr>
        <w:spacing w:after="0" w:line="150" w:lineRule="exact"/>
        <w:rPr>
          <w:sz w:val="20"/>
          <w:szCs w:val="20"/>
          <w:color w:val="auto"/>
        </w:rPr>
      </w:pPr>
    </w:p>
    <w:p>
      <w:pPr>
        <w:ind w:left="1400" w:hanging="359"/>
        <w:spacing w:after="0"/>
        <w:tabs>
          <w:tab w:leader="none" w:pos="140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$26,750 in cash;</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the assumption of a $1,500 note payable to a third party (the “Kirksville Note”);</w:t>
      </w:r>
    </w:p>
    <w:p>
      <w:pPr>
        <w:spacing w:after="0" w:line="176" w:lineRule="exact"/>
        <w:rPr>
          <w:rFonts w:ascii="Arial" w:cs="Arial" w:eastAsia="Arial" w:hAnsi="Arial"/>
          <w:sz w:val="17"/>
          <w:szCs w:val="17"/>
          <w:b w:val="1"/>
          <w:bCs w:val="1"/>
          <w:color w:val="auto"/>
        </w:rPr>
      </w:pPr>
    </w:p>
    <w:p>
      <w:pPr>
        <w:ind w:left="1400" w:right="779" w:hanging="359"/>
        <w:spacing w:after="0" w:line="288" w:lineRule="auto"/>
        <w:tabs>
          <w:tab w:leader="none" w:pos="140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the issuance by the University to the Institute of a warrant (the “Institute Warrant”) to purchase a 10.0% non-dilutable equity interest in the University for an exercise price of $1 during a one month period beginning in July 1, 2011 subject to a right for the University to repurchase the warrant at any time prior to its exercise for $6,000.</w:t>
      </w:r>
    </w:p>
    <w:p>
      <w:pPr>
        <w:spacing w:after="0" w:line="133" w:lineRule="exact"/>
        <w:rPr>
          <w:sz w:val="20"/>
          <w:szCs w:val="20"/>
          <w:color w:val="auto"/>
        </w:rPr>
      </w:pPr>
    </w:p>
    <w:p>
      <w:pPr>
        <w:ind w:left="320" w:right="759" w:firstLine="369"/>
        <w:spacing w:after="0" w:line="277" w:lineRule="auto"/>
        <w:rPr>
          <w:sz w:val="20"/>
          <w:szCs w:val="20"/>
          <w:color w:val="auto"/>
        </w:rPr>
      </w:pPr>
      <w:r>
        <w:rPr>
          <w:rFonts w:ascii="Arial" w:cs="Arial" w:eastAsia="Arial" w:hAnsi="Arial"/>
          <w:sz w:val="17"/>
          <w:szCs w:val="17"/>
          <w:color w:val="auto"/>
        </w:rPr>
        <w:t>The value of the warrant was estimated at $420 which approximates 10% of the estimated fair value of the University at the date of grant and was included as a component of the cost of the campus and related buildings.</w:t>
      </w:r>
    </w:p>
    <w:p>
      <w:pPr>
        <w:spacing w:after="0" w:line="126" w:lineRule="exact"/>
        <w:rPr>
          <w:sz w:val="20"/>
          <w:szCs w:val="20"/>
          <w:color w:val="auto"/>
        </w:rPr>
      </w:pPr>
    </w:p>
    <w:p>
      <w:pPr>
        <w:ind w:left="320" w:right="779" w:firstLine="369"/>
        <w:spacing w:after="0" w:line="281" w:lineRule="auto"/>
        <w:rPr>
          <w:sz w:val="20"/>
          <w:szCs w:val="20"/>
          <w:color w:val="auto"/>
        </w:rPr>
      </w:pPr>
      <w:r>
        <w:rPr>
          <w:rFonts w:ascii="Arial" w:cs="Arial" w:eastAsia="Arial" w:hAnsi="Arial"/>
          <w:sz w:val="16"/>
          <w:szCs w:val="16"/>
          <w:color w:val="auto"/>
        </w:rPr>
        <w:t>In connection with the Ancillary Agreement, (i) the University assigned its right to purchase the Campus to Spirit Finance Acquisitions, LLC (“Spirit”), (ii) following such assignment, Spirit acquired the Campus from the Institute for cash, (iii) Spirit leased the Campus to the University under a long-term lease (the “Spirit Lease”) in connection with which the University issued to Spirit a warrant, and (iv) the Institute loaned the University $1,250 payable over seven years (the “Institute Loan”).</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1900" w:firstLine="369"/>
        <w:spacing w:after="0" w:line="274" w:lineRule="auto"/>
        <w:rPr>
          <w:sz w:val="20"/>
          <w:szCs w:val="20"/>
          <w:color w:val="auto"/>
        </w:rPr>
      </w:pPr>
      <w:r>
        <w:rPr>
          <w:rFonts w:ascii="Arial" w:cs="Arial" w:eastAsia="Arial" w:hAnsi="Arial"/>
          <w:sz w:val="16"/>
          <w:szCs w:val="16"/>
          <w:color w:val="auto"/>
        </w:rPr>
        <w:t>Shortly after the completion of the acquisition, the University and the Institute became involved in certain disputes, with the University alleging breaches of representations and warranties concerning the campus operations, its compliance with Department of Education regulations, and the Institute’s failure to adequately disclose liabilities in the Purchase Agreement and the Ancillary Agreement. In addition, the University withheld payment of amounts due under the Royalty Agreement and the Institute Loan. At December 31, 2007, the University had withheld payment of approximately $7,428 in payments due under the Royalty Agreement and approximately $840 of principal and interest payments under the Institute Loan. As a result of these disputes, the University commenced legal proceedings in March 2006 and the Institute brought counterclaims.</w:t>
      </w:r>
    </w:p>
    <w:p>
      <w:pPr>
        <w:spacing w:after="0" w:line="132" w:lineRule="exact"/>
        <w:rPr>
          <w:sz w:val="20"/>
          <w:szCs w:val="20"/>
          <w:color w:val="auto"/>
        </w:rPr>
      </w:pPr>
    </w:p>
    <w:p>
      <w:pPr>
        <w:ind w:left="320" w:right="1900" w:firstLine="369"/>
        <w:spacing w:after="0" w:line="260" w:lineRule="auto"/>
        <w:rPr>
          <w:sz w:val="20"/>
          <w:szCs w:val="20"/>
          <w:color w:val="auto"/>
        </w:rPr>
      </w:pPr>
      <w:r>
        <w:rPr>
          <w:rFonts w:ascii="Arial" w:cs="Arial" w:eastAsia="Arial" w:hAnsi="Arial"/>
          <w:sz w:val="17"/>
          <w:szCs w:val="17"/>
          <w:color w:val="auto"/>
        </w:rPr>
        <w:t>In September 2007, the University and the Institute entered into a standstill agreement pursuant to which they agreed to stay all legal proceedings through April 15, 2008. In accordance with the terms of the standstill agreement, the University made an initial non-refundable, non-creditable $3,000 payment to the Institute and received an option to pay an additional $19,500 to the Institute by April 15, 2008, which would serve, in its entirety, as consideration for:</w:t>
      </w:r>
    </w:p>
    <w:p>
      <w:pPr>
        <w:spacing w:after="0" w:line="153" w:lineRule="exact"/>
        <w:rPr>
          <w:sz w:val="20"/>
          <w:szCs w:val="20"/>
          <w:color w:val="auto"/>
        </w:rPr>
      </w:pPr>
    </w:p>
    <w:p>
      <w:pPr>
        <w:ind w:left="1400" w:right="2000" w:hanging="359"/>
        <w:spacing w:after="0" w:line="277" w:lineRule="auto"/>
        <w:tabs>
          <w:tab w:leader="none" w:pos="140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satisfaction in full of all past royalties due to the Institute under the Royalty Agreement and the elimination of the existing obligation to pay royalties for online student revenues in perpetuity;</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repurchase of the Institute Warrant;</w:t>
      </w:r>
    </w:p>
    <w:p>
      <w:pPr>
        <w:spacing w:after="0" w:line="176" w:lineRule="exact"/>
        <w:rPr>
          <w:rFonts w:ascii="Arial" w:cs="Arial" w:eastAsia="Arial" w:hAnsi="Arial"/>
          <w:sz w:val="17"/>
          <w:szCs w:val="17"/>
          <w:b w:val="1"/>
          <w:bCs w:val="1"/>
          <w:color w:val="auto"/>
        </w:rPr>
      </w:pPr>
    </w:p>
    <w:p>
      <w:pPr>
        <w:ind w:left="1400" w:right="2100" w:hanging="359"/>
        <w:spacing w:after="0" w:line="277" w:lineRule="auto"/>
        <w:tabs>
          <w:tab w:leader="none" w:pos="140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acquisition by the University of the real property and related building located on the Campus that was owned by the Institute and not transferred in connection with the Ancillary Agreement;</w:t>
      </w:r>
    </w:p>
    <w:p>
      <w:pPr>
        <w:spacing w:after="0" w:line="138"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termination of a sublease agreement pursuant to which the Institute leased office space on the Campus;</w:t>
      </w:r>
    </w:p>
    <w:p>
      <w:pPr>
        <w:spacing w:after="0" w:line="176" w:lineRule="exact"/>
        <w:rPr>
          <w:rFonts w:ascii="Arial" w:cs="Arial" w:eastAsia="Arial" w:hAnsi="Arial"/>
          <w:sz w:val="17"/>
          <w:szCs w:val="17"/>
          <w:b w:val="1"/>
          <w:bCs w:val="1"/>
          <w:color w:val="auto"/>
        </w:rPr>
      </w:pPr>
    </w:p>
    <w:p>
      <w:pPr>
        <w:ind w:left="1400" w:right="1880" w:hanging="359"/>
        <w:spacing w:after="0" w:line="277" w:lineRule="auto"/>
        <w:tabs>
          <w:tab w:leader="none" w:pos="140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assumption by the Company of all future payment obligations in respect to certain gift annuities made to the school by donors prior to the acquisition; and</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satisfaction in full of the $1,250 Institute Loan (including all accrued and unpaid interest thereon).</w:t>
      </w:r>
    </w:p>
    <w:p>
      <w:pPr>
        <w:spacing w:after="0" w:line="189" w:lineRule="exact"/>
        <w:rPr>
          <w:sz w:val="20"/>
          <w:szCs w:val="20"/>
          <w:color w:val="auto"/>
        </w:rPr>
      </w:pPr>
    </w:p>
    <w:p>
      <w:pPr>
        <w:ind w:left="320" w:right="2020" w:firstLine="369"/>
        <w:spacing w:after="0" w:line="264" w:lineRule="auto"/>
        <w:rPr>
          <w:sz w:val="20"/>
          <w:szCs w:val="20"/>
          <w:color w:val="auto"/>
        </w:rPr>
      </w:pPr>
      <w:r>
        <w:rPr>
          <w:rFonts w:ascii="Arial" w:cs="Arial" w:eastAsia="Arial" w:hAnsi="Arial"/>
          <w:sz w:val="17"/>
          <w:szCs w:val="17"/>
          <w:color w:val="auto"/>
        </w:rPr>
        <w:t>On April 15, 2008, the University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Accounting for the April 15, 2008 Settlement of the Standstill Agreement</w:t>
      </w:r>
    </w:p>
    <w:p>
      <w:pPr>
        <w:spacing w:after="0" w:line="176" w:lineRule="exact"/>
        <w:rPr>
          <w:sz w:val="20"/>
          <w:szCs w:val="20"/>
          <w:color w:val="auto"/>
        </w:rPr>
      </w:pPr>
    </w:p>
    <w:p>
      <w:pPr>
        <w:ind w:left="320" w:right="2200" w:firstLine="369"/>
        <w:spacing w:after="0" w:line="309" w:lineRule="auto"/>
        <w:rPr>
          <w:sz w:val="20"/>
          <w:szCs w:val="20"/>
          <w:color w:val="auto"/>
        </w:rPr>
      </w:pPr>
      <w:r>
        <w:rPr>
          <w:rFonts w:ascii="Arial" w:cs="Arial" w:eastAsia="Arial" w:hAnsi="Arial"/>
          <w:sz w:val="16"/>
          <w:szCs w:val="16"/>
          <w:color w:val="auto"/>
        </w:rPr>
        <w:t>The following table provides a tabular depiction of the University’s allocation of the $22,500 total payment to the Institute to each of the assets acquired, obligations settled, and liabilities assumed, based on the University’s fair value estimates.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Payment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Optional Payment</w:t>
            </w: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19,500</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Total Payment to be allocated</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22,500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2"/>
            <w:vMerge w:val="restart"/>
          </w:tcPr>
          <w:p>
            <w:pPr>
              <w:jc w:val="right"/>
              <w:spacing w:after="0"/>
              <w:rPr>
                <w:sz w:val="20"/>
                <w:szCs w:val="20"/>
                <w:color w:val="auto"/>
              </w:rPr>
            </w:pPr>
            <w:r>
              <w:rPr>
                <w:rFonts w:ascii="Arial" w:cs="Arial" w:eastAsia="Arial" w:hAnsi="Arial"/>
                <w:sz w:val="17"/>
                <w:szCs w:val="17"/>
                <w:i w:val="1"/>
                <w:iCs w:val="1"/>
                <w:color w:val="auto"/>
              </w:rPr>
              <w:t>1)</w:t>
            </w:r>
          </w:p>
        </w:tc>
        <w:tc>
          <w:tcPr>
            <w:tcW w:w="65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Obligations settled</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vMerge w:val="continue"/>
          </w:tcPr>
          <w:p>
            <w:pPr>
              <w:spacing w:after="0"/>
              <w:rPr>
                <w:sz w:val="17"/>
                <w:szCs w:val="17"/>
                <w:color w:val="auto"/>
              </w:rPr>
            </w:pPr>
          </w:p>
        </w:tc>
        <w:tc>
          <w:tcPr>
            <w:tcW w:w="65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royalties due under Royalty Agreement (as of April 15, 2008)</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8,730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—Repurchase of Institute Warrant</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 of Institute Loan, including accrued interest</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—Other amounts due to the Institute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327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w w:val="79"/>
              </w:rPr>
              <w:t>2)</w:t>
            </w: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Liabilities assumed</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—Assumption of gift annuities obligation, at fair value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(887)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w w:val="79"/>
              </w:rPr>
              <w:t>3)</w:t>
            </w: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Cost to be allocated to assets acquired</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—Real property and prepaid royalty asset</w:t>
            </w: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6,073</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Total fair value estimates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22,500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vMerge w:val="restart"/>
          </w:tcPr>
          <w:p>
            <w:pPr>
              <w:ind w:left="4320"/>
              <w:spacing w:after="0"/>
              <w:rPr>
                <w:sz w:val="20"/>
                <w:szCs w:val="20"/>
                <w:color w:val="auto"/>
              </w:rPr>
            </w:pPr>
            <w:r>
              <w:rPr>
                <w:rFonts w:ascii="Arial" w:cs="Arial" w:eastAsia="Arial" w:hAnsi="Arial"/>
                <w:sz w:val="17"/>
                <w:szCs w:val="17"/>
                <w:color w:val="auto"/>
              </w:rPr>
              <w:t>102</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54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719" w:firstLine="369"/>
        <w:spacing w:after="0" w:line="315" w:lineRule="auto"/>
        <w:rPr>
          <w:sz w:val="20"/>
          <w:szCs w:val="20"/>
          <w:color w:val="auto"/>
        </w:rPr>
      </w:pPr>
      <w:r>
        <w:rPr>
          <w:rFonts w:ascii="Arial" w:cs="Arial" w:eastAsia="Arial" w:hAnsi="Arial"/>
          <w:sz w:val="15"/>
          <w:szCs w:val="15"/>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103" w:lineRule="exact"/>
        <w:rPr>
          <w:sz w:val="20"/>
          <w:szCs w:val="20"/>
          <w:color w:val="auto"/>
        </w:rPr>
      </w:pPr>
    </w:p>
    <w:p>
      <w:pPr>
        <w:jc w:val="both"/>
        <w:ind w:left="320" w:right="979" w:firstLine="369"/>
        <w:spacing w:after="0" w:line="264" w:lineRule="auto"/>
        <w:rPr>
          <w:sz w:val="20"/>
          <w:szCs w:val="20"/>
          <w:color w:val="auto"/>
        </w:rPr>
      </w:pPr>
      <w:r>
        <w:rPr>
          <w:rFonts w:ascii="Arial" w:cs="Arial" w:eastAsia="Arial" w:hAnsi="Arial"/>
          <w:sz w:val="17"/>
          <w:szCs w:val="17"/>
          <w:color w:val="auto"/>
        </w:rPr>
        <w:t>The standstill agreement also required the University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150" w:lineRule="exact"/>
        <w:rPr>
          <w:sz w:val="20"/>
          <w:szCs w:val="20"/>
          <w:color w:val="auto"/>
        </w:rPr>
      </w:pPr>
    </w:p>
    <w:p>
      <w:pPr>
        <w:ind w:left="320" w:right="939" w:firstLine="369"/>
        <w:spacing w:after="0" w:line="281" w:lineRule="auto"/>
        <w:rPr>
          <w:sz w:val="20"/>
          <w:szCs w:val="20"/>
          <w:color w:val="auto"/>
        </w:rPr>
      </w:pPr>
      <w:r>
        <w:rPr>
          <w:rFonts w:ascii="Arial" w:cs="Arial" w:eastAsia="Arial" w:hAnsi="Arial"/>
          <w:sz w:val="16"/>
          <w:szCs w:val="16"/>
          <w:color w:val="auto"/>
        </w:rPr>
        <w:t>The remaining $6,073 of the total payment was allocated to the remaining acquired assets based on their individual fair value relative to the total fair value of those assets. The University recognized the real property (</w:t>
      </w:r>
      <w:r>
        <w:rPr>
          <w:rFonts w:ascii="Arial" w:cs="Arial" w:eastAsia="Arial" w:hAnsi="Arial"/>
          <w:sz w:val="16"/>
          <w:szCs w:val="16"/>
          <w:i w:val="1"/>
          <w:iCs w:val="1"/>
          <w:color w:val="auto"/>
        </w:rPr>
        <w:t>i.e</w:t>
      </w:r>
      <w:r>
        <w:rPr>
          <w:rFonts w:ascii="Arial" w:cs="Arial" w:eastAsia="Arial" w:hAnsi="Arial"/>
          <w:sz w:val="16"/>
          <w:szCs w:val="16"/>
          <w:color w:val="auto"/>
        </w:rPr>
        <w:t>., land) and related building acquired from the Institute in the transaction as an asset at the option exercise date and these assets totaling $129 and $24, respectively, have been classified within “Property and Equipment” in the University’s balance sheets.</w:t>
      </w:r>
    </w:p>
    <w:p>
      <w:pPr>
        <w:spacing w:after="0" w:line="125"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The $5,920 value of the settlement of future royalty payment obligations to the Institute was determined based on its relative fair value at the option exercise date and is included in the accompanying balance sheet at December 31, 2008 as a “Prepaid Royalty,” and is being amortized on a straight line basis over a period of 20 years.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Spirit Transaction</w:t>
      </w:r>
    </w:p>
    <w:p>
      <w:pPr>
        <w:spacing w:after="0" w:line="189" w:lineRule="exact"/>
        <w:rPr>
          <w:sz w:val="20"/>
          <w:szCs w:val="20"/>
          <w:color w:val="auto"/>
        </w:rPr>
      </w:pPr>
    </w:p>
    <w:p>
      <w:pPr>
        <w:ind w:left="320" w:right="719" w:firstLine="369"/>
        <w:spacing w:after="0" w:line="275" w:lineRule="auto"/>
        <w:rPr>
          <w:sz w:val="20"/>
          <w:szCs w:val="20"/>
          <w:color w:val="auto"/>
        </w:rPr>
      </w:pPr>
      <w:r>
        <w:rPr>
          <w:rFonts w:ascii="Arial" w:cs="Arial" w:eastAsia="Arial" w:hAnsi="Arial"/>
          <w:sz w:val="16"/>
          <w:szCs w:val="16"/>
          <w:color w:val="auto"/>
        </w:rPr>
        <w:t>In April 2009, the University acquired the land and buildings that comprise its ground campus and 909,348 shares of its common stock from Spirit Master Funding, LLC and Spirit Management Company, respectively (collectively, “Spirit”) for an aggregate purchase price of $50,000. Prior to the acquisition, the University had leased the land and buildings from Spirit, accounting for the land as an operating lease and the buildings and improvements as capital lease obligations. To finance a portion of the purchase, the University entered into a loan agreement with a financial institution pursuant which it borrowed $25,675. See Note 7, Notes Payable and Other Noncurrent Liabilities and Note 12, Preferred Stock and Equity Transactions.</w:t>
      </w:r>
    </w:p>
    <w:p>
      <w:pPr>
        <w:spacing w:after="0" w:line="133" w:lineRule="exact"/>
        <w:rPr>
          <w:sz w:val="20"/>
          <w:szCs w:val="20"/>
          <w:color w:val="auto"/>
        </w:rPr>
      </w:pPr>
    </w:p>
    <w:p>
      <w:pPr>
        <w:jc w:val="both"/>
        <w:ind w:left="320" w:right="799" w:firstLine="369"/>
        <w:spacing w:after="0" w:line="315" w:lineRule="auto"/>
        <w:rPr>
          <w:sz w:val="20"/>
          <w:szCs w:val="20"/>
          <w:color w:val="auto"/>
        </w:rPr>
      </w:pPr>
      <w:r>
        <w:rPr>
          <w:rFonts w:ascii="Arial" w:cs="Arial" w:eastAsia="Arial" w:hAnsi="Arial"/>
          <w:sz w:val="15"/>
          <w:szCs w:val="15"/>
          <w:color w:val="auto"/>
        </w:rPr>
        <w:t>The University allocated $14,495 of the purchase price to the repurchase of its common stock and the remaining $35,505 to the land and buildings. Additionally, the University removed the building and improvement assets and related capital lease obligations of $30,020 and applied the deferred gain of $1,429 as a reduction to the new building value. See Note 6, Property and Equipment.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89" w:lineRule="exact"/>
        <w:rPr>
          <w:sz w:val="20"/>
          <w:szCs w:val="20"/>
          <w:color w:val="auto"/>
        </w:rPr>
      </w:pPr>
    </w:p>
    <w:p>
      <w:pPr>
        <w:ind w:left="320" w:right="679" w:firstLine="369"/>
        <w:spacing w:after="0" w:line="264"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Certain reclassifications have been made to prior year balances to conform to the current period.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6"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The University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Restricted Cash and Cash Equivalents</w:t>
      </w:r>
    </w:p>
    <w:p>
      <w:pPr>
        <w:spacing w:after="0" w:line="176"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 xml:space="preserve">A significant portion of the University’s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These funds are received subsequent to the completion of the authorization and disbursement process for the benefit of the student. The U.S. Department of Education requires Title IV funds collected in advance of student billings to be segregated in a separate cash or cash equivalent account until the students are billed for their portion. The University also classifies the $5,200 that is agreed to pay to settle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as restricted cash, subject to the distribution of the settlement amount from escrow in accordance with the terms of the settlement agreement. The University records all of these amounts as a current asset in restricted cash and cash equivalents. Restricted cash and cash equivalents is excluded from cash and cash equivalents until the cash is no longer restricted. The majority of these funds remain as restricted cash and cash equivalents for an average of 60 to 90 days from the date of receipt.</w:t>
      </w:r>
    </w:p>
    <w:p>
      <w:pPr>
        <w:spacing w:after="0" w:line="146"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In the fourth quarter of 2010, the counterparty to the University’s interest rate swap made a collateral call and the University posted $760 of pledged collateral as noncurrent restricted cash.</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Investments</w:t>
      </w:r>
    </w:p>
    <w:p>
      <w:pPr>
        <w:spacing w:after="0" w:line="176" w:lineRule="exact"/>
        <w:rPr>
          <w:sz w:val="20"/>
          <w:szCs w:val="20"/>
          <w:color w:val="auto"/>
        </w:rPr>
      </w:pPr>
    </w:p>
    <w:p>
      <w:pPr>
        <w:ind w:left="320" w:right="739" w:firstLine="369"/>
        <w:spacing w:after="0" w:line="300" w:lineRule="auto"/>
        <w:rPr>
          <w:sz w:val="20"/>
          <w:szCs w:val="20"/>
          <w:color w:val="auto"/>
        </w:rPr>
      </w:pPr>
      <w:r>
        <w:rPr>
          <w:rFonts w:ascii="Arial" w:cs="Arial" w:eastAsia="Arial" w:hAnsi="Arial"/>
          <w:sz w:val="15"/>
          <w:szCs w:val="15"/>
          <w:color w:val="auto"/>
        </w:rPr>
        <w:t>The University considers its investments in marketable securities as available-for-sale securities. Available-for-sale securities are carried at fair value as determined by quoted market prices, with unrealized gains and losses, net of tax, reported as a separate component of comprehensive income and stockholders’ equity.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76" w:lineRule="exact"/>
        <w:rPr>
          <w:sz w:val="20"/>
          <w:szCs w:val="20"/>
          <w:color w:val="auto"/>
        </w:rPr>
      </w:pPr>
    </w:p>
    <w:p>
      <w:pPr>
        <w:ind w:left="320" w:right="799" w:firstLine="369"/>
        <w:spacing w:after="0" w:line="295" w:lineRule="auto"/>
        <w:rPr>
          <w:sz w:val="20"/>
          <w:szCs w:val="20"/>
          <w:color w:val="auto"/>
        </w:rPr>
      </w:pPr>
      <w:r>
        <w:rPr>
          <w:rFonts w:ascii="Arial" w:cs="Arial" w:eastAsia="Arial" w:hAnsi="Arial"/>
          <w:sz w:val="15"/>
          <w:szCs w:val="15"/>
          <w:color w:val="auto"/>
        </w:rPr>
        <w:t>The carrying value of cash and cash equivalents, accounts receivable, accounts payable, accrued compensation and benefits and accrued expenses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Financial Accounting Standards Board (“FASB”) Accounting Standards Codification (“Codification”), with the use of inputs other than quoted prices that are observable for the asset or liability. See Note 10, Derivative Instruments.</w:t>
      </w:r>
    </w:p>
    <w:p>
      <w:pPr>
        <w:spacing w:after="0" w:line="118" w:lineRule="exact"/>
        <w:rPr>
          <w:sz w:val="20"/>
          <w:szCs w:val="20"/>
          <w:color w:val="auto"/>
        </w:rPr>
      </w:pPr>
    </w:p>
    <w:p>
      <w:pPr>
        <w:ind w:left="320" w:right="719" w:firstLine="369"/>
        <w:spacing w:after="0" w:line="315" w:lineRule="auto"/>
        <w:rPr>
          <w:sz w:val="20"/>
          <w:szCs w:val="20"/>
          <w:color w:val="auto"/>
        </w:rPr>
      </w:pPr>
      <w:r>
        <w:rPr>
          <w:rFonts w:ascii="Arial" w:cs="Arial" w:eastAsia="Arial" w:hAnsi="Arial"/>
          <w:sz w:val="15"/>
          <w:szCs w:val="15"/>
          <w:color w:val="auto"/>
        </w:rPr>
        <w:t>The fair value of investments, primarily municipal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w:t>
      </w:r>
    </w:p>
    <w:p>
      <w:pPr>
        <w:spacing w:after="0" w:line="116" w:lineRule="exact"/>
        <w:rPr>
          <w:sz w:val="20"/>
          <w:szCs w:val="20"/>
          <w:color w:val="auto"/>
        </w:rPr>
      </w:pPr>
    </w:p>
    <w:p>
      <w:pPr>
        <w:ind w:left="320" w:right="739" w:firstLine="369"/>
        <w:spacing w:after="0" w:line="300" w:lineRule="auto"/>
        <w:rPr>
          <w:sz w:val="20"/>
          <w:szCs w:val="20"/>
          <w:color w:val="auto"/>
        </w:rPr>
      </w:pPr>
      <w:r>
        <w:rPr>
          <w:rFonts w:ascii="Arial" w:cs="Arial" w:eastAsia="Arial" w:hAnsi="Arial"/>
          <w:sz w:val="15"/>
          <w:szCs w:val="15"/>
          <w:color w:val="auto"/>
        </w:rPr>
        <w:t>The fair value of the prepaid royalty asset relating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200" w:lineRule="exact"/>
        <w:rPr>
          <w:sz w:val="20"/>
          <w:szCs w:val="20"/>
          <w:color w:val="auto"/>
        </w:rPr>
      </w:pP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76" w:lineRule="exact"/>
        <w:rPr>
          <w:sz w:val="20"/>
          <w:szCs w:val="20"/>
          <w:color w:val="auto"/>
        </w:rPr>
      </w:pPr>
    </w:p>
    <w:p>
      <w:pPr>
        <w:ind w:left="320" w:right="719" w:firstLine="369"/>
        <w:spacing w:after="0" w:line="295" w:lineRule="auto"/>
        <w:rPr>
          <w:sz w:val="20"/>
          <w:szCs w:val="20"/>
          <w:color w:val="auto"/>
        </w:rPr>
      </w:pPr>
      <w:r>
        <w:rPr>
          <w:rFonts w:ascii="Arial" w:cs="Arial" w:eastAsia="Arial" w:hAnsi="Arial"/>
          <w:sz w:val="15"/>
          <w:szCs w:val="15"/>
          <w:color w:val="auto"/>
        </w:rPr>
        <w:t>The University records an allowance for doubtful accounts for estimated losses resulting from the inability, failure or refusal of its students to make required payments. The University determines the adequacy of its allowance for doubtful accounts based on an analysis of its historical bad debt experience and the aging of the accounts receivable. The University applies reserves to its receivables based upon an estimate of the risk presented by the age of the receivables. The University writes off accounts receivable at the earlier of the time the balance is deemed uncollectible, or one year after the revenue is generated. However, the University continues to reflect accounts receivable with an offsetting allowance as long as management believes there is a reasonable possibility of collection. Bad debt expense is recorded as a general and administrative expense in the income statement.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76"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3.1% in 2010, 5.4% in 2009 and 8.7% in 2008, given the amount of the specific debt exceeded the in process value of the project at all times. Interest cost capitalized and incurred in the years ended December 31, 2010, 2009, and</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2008 are as follows: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Interest incurred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Interest capitalized</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1139" w:firstLine="369"/>
        <w:spacing w:after="0" w:line="260"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Leases</w:t>
      </w:r>
    </w:p>
    <w:p>
      <w:pPr>
        <w:spacing w:after="0" w:line="176"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Deferred Loan Costs</w:t>
      </w:r>
    </w:p>
    <w:p>
      <w:pPr>
        <w:spacing w:after="0" w:line="189"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6"/>
          <w:szCs w:val="16"/>
          <w:color w:val="auto"/>
        </w:rPr>
        <w:t>The University capitalized expenses paid to third parties from a note agreement with a financial institution and these costs, which totaled $317 are amortized over the five year life of the note using the straight-line method, which approximates the effective interest method. Accumulated amortization was $105 and $42 as of December 31, 2010 and 2009, respectively.</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Assets</w:t>
      </w:r>
    </w:p>
    <w:p>
      <w:pPr>
        <w:spacing w:after="0" w:line="176" w:lineRule="exact"/>
        <w:rPr>
          <w:sz w:val="20"/>
          <w:szCs w:val="20"/>
          <w:color w:val="auto"/>
        </w:rPr>
      </w:pPr>
    </w:p>
    <w:p>
      <w:pPr>
        <w:ind w:left="320" w:right="679" w:firstLine="369"/>
        <w:spacing w:after="0" w:line="258" w:lineRule="auto"/>
        <w:rPr>
          <w:sz w:val="20"/>
          <w:szCs w:val="20"/>
          <w:color w:val="auto"/>
        </w:rPr>
      </w:pPr>
      <w:r>
        <w:rPr>
          <w:rFonts w:ascii="Arial" w:cs="Arial" w:eastAsia="Arial" w:hAnsi="Arial"/>
          <w:sz w:val="17"/>
          <w:szCs w:val="17"/>
          <w:color w:val="auto"/>
        </w:rPr>
        <w:t>During 2010, the University entered into an agreement with an affiliated entity to develop a new learning management system for use by the University. Through this agreement, the University prepaid perpetual license fees, acquired source code rights for the software developed, and prepaid maintenance and service fees for the first seven years of use for an aggregate amount of $4,900. As of December 31, 2010, the University has paid $4,500. The University anticipates full conversion to this new learning management platform for online delivered coursework by the third quarter of 2011.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76" w:lineRule="exact"/>
        <w:rPr>
          <w:sz w:val="20"/>
          <w:szCs w:val="20"/>
          <w:color w:val="auto"/>
        </w:rPr>
      </w:pPr>
    </w:p>
    <w:p>
      <w:pPr>
        <w:ind w:left="320" w:right="699" w:firstLine="369"/>
        <w:spacing w:after="0" w:line="278"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Goodwill</w:t>
      </w:r>
    </w:p>
    <w:p>
      <w:pPr>
        <w:spacing w:after="0" w:line="189"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Goodwill represents the excess of the cost over the fair market value of net assets acquired, including identified intangible assets. Goodwill is tested annually or more frequently if circumstances indicate potential impairment, by comparing its fair value to its carrying amount.</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76" w:lineRule="exact"/>
        <w:rPr>
          <w:sz w:val="20"/>
          <w:szCs w:val="20"/>
          <w:color w:val="auto"/>
        </w:rPr>
      </w:pPr>
    </w:p>
    <w:p>
      <w:pPr>
        <w:jc w:val="both"/>
        <w:ind w:left="320" w:right="719" w:firstLine="369"/>
        <w:spacing w:after="0" w:line="264" w:lineRule="auto"/>
        <w:rPr>
          <w:sz w:val="20"/>
          <w:szCs w:val="20"/>
          <w:color w:val="auto"/>
        </w:rPr>
      </w:pPr>
      <w:r>
        <w:rPr>
          <w:rFonts w:ascii="Arial" w:cs="Arial" w:eastAsia="Arial" w:hAnsi="Arial"/>
          <w:sz w:val="17"/>
          <w:szCs w:val="17"/>
          <w:color w:val="auto"/>
        </w:rPr>
        <w:t>The University measures and recognizes compensation expense for share-based payment awards made to employees, consultants and directors, including employee stock options. Prior to the University’s initial public offering in November 2008, the University had no share-based awards.</w:t>
      </w:r>
    </w:p>
    <w:p>
      <w:pPr>
        <w:spacing w:after="0" w:line="150" w:lineRule="exact"/>
        <w:rPr>
          <w:sz w:val="20"/>
          <w:szCs w:val="20"/>
          <w:color w:val="auto"/>
        </w:rPr>
      </w:pPr>
    </w:p>
    <w:p>
      <w:pPr>
        <w:ind w:left="320" w:right="799" w:firstLine="369"/>
        <w:spacing w:after="0" w:line="274" w:lineRule="auto"/>
        <w:rPr>
          <w:sz w:val="20"/>
          <w:szCs w:val="20"/>
          <w:color w:val="auto"/>
        </w:rPr>
      </w:pPr>
      <w:r>
        <w:rPr>
          <w:rFonts w:ascii="Arial" w:cs="Arial" w:eastAsia="Arial" w:hAnsi="Arial"/>
          <w:sz w:val="16"/>
          <w:szCs w:val="16"/>
          <w:color w:val="auto"/>
        </w:rPr>
        <w:t>The University calculates the fair value of share-based awards on the date of grant. The University uses the Black-Scholes-Merton option pricing model to estimate fair value. The option pricing model requires the University to estimate certain key assumptions such as expected life, volatility, risk free interest rates, and dividend yield to determine the fair value of share-based awards, based on historical information and management judgment.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w:t>
      </w:r>
    </w:p>
    <w:p>
      <w:pPr>
        <w:spacing w:after="0" w:line="132" w:lineRule="exact"/>
        <w:rPr>
          <w:sz w:val="20"/>
          <w:szCs w:val="20"/>
          <w:color w:val="auto"/>
        </w:rPr>
      </w:pPr>
    </w:p>
    <w:p>
      <w:pPr>
        <w:jc w:val="both"/>
        <w:ind w:left="320" w:right="719" w:firstLine="369"/>
        <w:spacing w:after="0" w:line="264" w:lineRule="auto"/>
        <w:rPr>
          <w:sz w:val="20"/>
          <w:szCs w:val="20"/>
          <w:color w:val="auto"/>
        </w:rPr>
      </w:pPr>
      <w:r>
        <w:rPr>
          <w:rFonts w:ascii="Arial" w:cs="Arial" w:eastAsia="Arial" w:hAnsi="Arial"/>
          <w:sz w:val="17"/>
          <w:szCs w:val="17"/>
          <w:color w:val="auto"/>
        </w:rPr>
        <w:t>The University has analyzed the circumstances in which the simplified method is allowed and is utilizing the simplified method for all stock options granted since November 2008. The simplified method for estimating the expected life uses the mid-point between the vesting term and the contractual term of the stock option.</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189" w:lineRule="exact"/>
        <w:rPr>
          <w:sz w:val="20"/>
          <w:szCs w:val="20"/>
          <w:color w:val="auto"/>
        </w:rPr>
      </w:pPr>
    </w:p>
    <w:p>
      <w:pPr>
        <w:ind w:left="320" w:right="779" w:firstLine="369"/>
        <w:spacing w:after="0" w:line="27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27" w:lineRule="exact"/>
        <w:rPr>
          <w:sz w:val="20"/>
          <w:szCs w:val="20"/>
          <w:color w:val="auto"/>
        </w:rPr>
      </w:pPr>
    </w:p>
    <w:p>
      <w:pPr>
        <w:ind w:left="320" w:right="739" w:firstLine="369"/>
        <w:spacing w:after="0" w:line="258"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679" w:firstLine="369"/>
        <w:spacing w:after="0" w:line="258" w:lineRule="auto"/>
        <w:rPr>
          <w:sz w:val="20"/>
          <w:szCs w:val="20"/>
          <w:color w:val="auto"/>
        </w:rPr>
      </w:pPr>
      <w:r>
        <w:rPr>
          <w:rFonts w:ascii="Arial" w:cs="Arial" w:eastAsia="Arial" w:hAnsi="Arial"/>
          <w:sz w:val="17"/>
          <w:szCs w:val="17"/>
          <w:color w:val="auto"/>
        </w:rPr>
        <w:t>As of December 31, 2010 no derivative ineffectiveness was identified. Any ineffectiveness in the University’s derivative instruments designated as hedges would be reported in interest expense in the income statement. As of December 31, 2010 $4 of credit default risk interest income was recorded in interest expense in the income statement. At December 31, 2010, the University does not expect to reclassify any gains or losses on derivative instruments from accumulated other comprehensive income (loss) into earnings during the next 12 months.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189"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color w:val="auto"/>
        </w:rPr>
        <w:t>The University accounts for income taxes payable or refundable for the current year and deferred tax assets and liabilities for future tax consequences of events that have been recognized in the University’s financial statements or tax returns. Deferred tax assets and liabilities are measured using enacted tax rates in effect for the year in which the temporary differences are expected to be realized.</w:t>
      </w:r>
    </w:p>
    <w:p>
      <w:pPr>
        <w:spacing w:after="0" w:line="140" w:lineRule="exact"/>
        <w:rPr>
          <w:sz w:val="20"/>
          <w:szCs w:val="20"/>
          <w:color w:val="auto"/>
        </w:rPr>
      </w:pPr>
    </w:p>
    <w:p>
      <w:pPr>
        <w:ind w:left="320" w:right="699" w:firstLine="369"/>
        <w:spacing w:after="0" w:line="258" w:lineRule="auto"/>
        <w:rPr>
          <w:sz w:val="20"/>
          <w:szCs w:val="20"/>
          <w:color w:val="auto"/>
        </w:rPr>
      </w:pPr>
      <w:r>
        <w:rPr>
          <w:rFonts w:ascii="Arial" w:cs="Arial" w:eastAsia="Arial" w:hAnsi="Arial"/>
          <w:sz w:val="17"/>
          <w:szCs w:val="17"/>
          <w:color w:val="auto"/>
        </w:rPr>
        <w:t>In January 2008, the University adopted a more-likely-than-not threshold for financial statement recognition and measurement of an uncertain tax position taken or expected to be taken in a tax return. The University recognizes interest and penalties related to uncertain tax positions in income tax expense. The University has reserved approximately $388 and $568 for uncertain tax positions including interest and penalties, which is classified within accrued liabilities on the accompanying balance sheet as of December 31, 2010 and 2009, respectively.</w:t>
      </w:r>
    </w:p>
    <w:p>
      <w:pPr>
        <w:spacing w:after="0" w:line="142" w:lineRule="exact"/>
        <w:rPr>
          <w:sz w:val="20"/>
          <w:szCs w:val="20"/>
          <w:color w:val="auto"/>
        </w:rPr>
      </w:pPr>
    </w:p>
    <w:p>
      <w:pPr>
        <w:ind w:left="320" w:right="879" w:firstLine="369"/>
        <w:spacing w:after="0" w:line="315" w:lineRule="auto"/>
        <w:rPr>
          <w:sz w:val="20"/>
          <w:szCs w:val="20"/>
          <w:color w:val="auto"/>
        </w:rPr>
      </w:pPr>
      <w:r>
        <w:rPr>
          <w:rFonts w:ascii="Arial" w:cs="Arial" w:eastAsia="Arial" w:hAnsi="Arial"/>
          <w:sz w:val="15"/>
          <w:szCs w:val="15"/>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76"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The University accrues for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89" w:lineRule="exact"/>
        <w:rPr>
          <w:sz w:val="20"/>
          <w:szCs w:val="20"/>
          <w:color w:val="auto"/>
        </w:rPr>
      </w:pPr>
    </w:p>
    <w:p>
      <w:pPr>
        <w:ind w:left="320" w:right="719" w:firstLine="369"/>
        <w:spacing w:after="0" w:line="288" w:lineRule="auto"/>
        <w:rPr>
          <w:sz w:val="20"/>
          <w:szCs w:val="20"/>
          <w:color w:val="auto"/>
        </w:rPr>
      </w:pPr>
      <w:r>
        <w:rPr>
          <w:rFonts w:ascii="Arial" w:cs="Arial" w:eastAsia="Arial" w:hAnsi="Arial"/>
          <w:sz w:val="15"/>
          <w:szCs w:val="15"/>
          <w:color w:val="auto"/>
        </w:rPr>
        <w:t>Net revenues consist primarily of tuition and fees derived from courses taught by the University online, at its 100 acre traditional campus in Phoenix, Arizona, and onsite at the facilities of employers, as well as from related educational resources such as access to online materials. Tuition revenue and most fees and related educational resources are recognized pro-rata over the applicable period of instruction, net of scholarships provided by the University. For the years ended December 31, 2010, 2009 and 2008, the University’s revenue was reduced by approximately $55,833, $34,155 and $18,381,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The University’s change in April 2010 to a non-term borrower-based institution from a term based institution for federal student financial aid funding purposes does not have any impact on the timing and recognition of revenues. Deferred revenue and student deposits in any period represent the excess of tuition, fees, and other student payments received as compared to amounts recognized as revenue on the income statement and are reflected as current liabilities in the accompanying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10" w:name="page111"/>
    <w:bookmarkEnd w:id="1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Instructional Costs and Services</w:t>
      </w:r>
    </w:p>
    <w:p>
      <w:pPr>
        <w:spacing w:after="0" w:line="176"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 In the second quarter of 2010, the University completed the conversion of its student records system from DataTel to CampusVue. In connection with this conversion, the University incurred approximately $4,013 of costs due to unanticipated delays in information processing which are included in instructional costs and services for the year ended December 31, 2010.</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and Promotional</w:t>
      </w:r>
    </w:p>
    <w:p>
      <w:pPr>
        <w:spacing w:after="0" w:line="176" w:lineRule="exact"/>
        <w:rPr>
          <w:sz w:val="20"/>
          <w:szCs w:val="20"/>
          <w:color w:val="auto"/>
        </w:rPr>
      </w:pPr>
    </w:p>
    <w:p>
      <w:pPr>
        <w:ind w:left="320" w:right="719" w:firstLine="369"/>
        <w:spacing w:after="0" w:line="275" w:lineRule="auto"/>
        <w:rPr>
          <w:sz w:val="20"/>
          <w:szCs w:val="20"/>
          <w:color w:val="auto"/>
        </w:rPr>
      </w:pPr>
      <w:r>
        <w:rPr>
          <w:rFonts w:ascii="Arial" w:cs="Arial" w:eastAsia="Arial" w:hAnsi="Arial"/>
          <w:sz w:val="16"/>
          <w:szCs w:val="16"/>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 Advertising costs, which include marketing leads, events, and promotional materials for the years ended December 31, 2010, 2009, and 2008 were $35,550, $24,820, and $18,541, respectively.</w:t>
      </w:r>
    </w:p>
    <w:p>
      <w:pPr>
        <w:spacing w:after="0" w:line="13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Through December 2010, the University was a party to a revenue sharing arrangement (the Collaboration Agreement) with Mind Streams, L.L.C. (Mind Streams), a related party pursuant to which it pays a percentage of the net revenue that it actually receives from applicants recruited by those entities that matriculate at Grand Canyon University. Mind Streams bears all costs associated with the recruitment of these applicants. Additionally in 2010, Gail Richardson, the father of Brent D. Richardson, the University’s Executive Chairman, and Christopher C. Richardson, the University’s General Counsel and a director, formed a new entity, Lifetime Learning, which plans to generate and sell leads to the University and other entities in the education sector. For the years ended December 31, 2010, 2009, and 2008, the University expensed approximately $8,777, $6,736, and $5,895, respectively, pursuant to these arrangements, exclusive of the settlement arrangement discussed in the following paragraph. As of December 31, 2010 and 2009, $9,367, and $305, respectively, were due to these related parties.</w:t>
      </w:r>
    </w:p>
    <w:p>
      <w:pPr>
        <w:spacing w:after="0" w:line="149"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color w:val="auto"/>
        </w:rPr>
        <w:t>As a result of new rules adopted by the U.S. Department of Education and effective July 1, 2011, the University determined that revenue sharing arrangements like the Collaboration Agreement, and the manner in which it pays amounts under the Collaboration Agreement, will most likely no longer be permitted. Accordingly, the University and Mind Streams entered into an agreement, dated December 30, 2010, pursuant to which the University agreed to pay Mind Streams an amount equal to (a) $8,500, plus (b) Mind Streams’ applicable share of any net revenue actually received by the University on or before February 28, 2011 with respect to any such Mind Streams identified students commencing University courses prior to November 1, 2010. In return, Mind Streams has agreed to (i) accept such amounts in full and complete satisfaction of all amounts owed by the University to Mind Streams under the Collaboration Agreement, and (ii) transfer to the University a proprietary database of potential student leads. In the aggregate, the University has expensed $9,233 in 2010 relating to this agreement.</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76"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Exit Costs</w:t>
      </w:r>
    </w:p>
    <w:p>
      <w:pPr>
        <w:spacing w:after="0" w:line="176"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color w:val="auto"/>
        </w:rPr>
        <w:t>In November 2009, the University finalized a plan to centralize its student services operations in Arizona and, as a result, closed its student services facility in Utah. The exit costs expected to be incurred in connection with this decision have been expensed and are presented separately on the income statement. The costs incurred include severance payments; relocation expense; lease payments; and the write off of leasehold improvements associated with this leased space.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is a summary of the University’s exit activities: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Costs at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Costs at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7"/>
                <w:szCs w:val="17"/>
                <w:b w:val="1"/>
                <w:bCs w:val="1"/>
                <w:color w:val="auto"/>
              </w:rPr>
              <w:t>Payments to</w:t>
            </w:r>
          </w:p>
        </w:tc>
        <w:tc>
          <w:tcPr>
            <w:tcW w:w="1080" w:type="dxa"/>
            <w:vAlign w:val="bottom"/>
            <w:gridSpan w:val="3"/>
          </w:tcPr>
          <w:p>
            <w:pPr>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2009</w:t>
            </w:r>
          </w:p>
        </w:tc>
        <w:tc>
          <w:tcPr>
            <w:tcW w:w="36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Exit Costs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Date</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Severance payments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20"/>
                <w:szCs w:val="20"/>
                <w:color w:val="auto"/>
              </w:rPr>
            </w:pPr>
            <w:r>
              <w:rPr>
                <w:rFonts w:ascii="Arial" w:cs="Arial" w:eastAsia="Arial" w:hAnsi="Arial"/>
                <w:sz w:val="17"/>
                <w:szCs w:val="17"/>
                <w:color w:val="auto"/>
                <w:w w:val="97"/>
              </w:rPr>
              <w:t>Future lease payments, lease terminated in October 2010</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107</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(395)</w:t>
            </w:r>
          </w:p>
        </w:tc>
        <w:tc>
          <w:tcPr>
            <w:tcW w:w="1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 and other</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832</w:t>
            </w:r>
          </w:p>
        </w:tc>
        <w:tc>
          <w:tcPr>
            <w:tcW w:w="36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258</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(1,026)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Costs at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Costs at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7"/>
                <w:szCs w:val="17"/>
                <w:b w:val="1"/>
                <w:bCs w:val="1"/>
                <w:color w:val="auto"/>
              </w:rPr>
              <w:t>Payments to</w:t>
            </w:r>
          </w:p>
        </w:tc>
        <w:tc>
          <w:tcPr>
            <w:tcW w:w="1080" w:type="dxa"/>
            <w:vAlign w:val="bottom"/>
            <w:gridSpan w:val="3"/>
          </w:tcPr>
          <w:p>
            <w:pPr>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2008</w:t>
            </w:r>
          </w:p>
        </w:tc>
        <w:tc>
          <w:tcPr>
            <w:tcW w:w="36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Exit Costs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Date</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Severance payments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615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20"/>
                <w:szCs w:val="20"/>
                <w:color w:val="auto"/>
              </w:rPr>
            </w:pPr>
            <w:r>
              <w:rPr>
                <w:rFonts w:ascii="Arial" w:cs="Arial" w:eastAsia="Arial" w:hAnsi="Arial"/>
                <w:sz w:val="17"/>
                <w:szCs w:val="17"/>
                <w:color w:val="auto"/>
                <w:w w:val="98"/>
              </w:rPr>
              <w:t>Future lease payments, net of estimated sublease rentals</w:t>
            </w:r>
          </w:p>
        </w:tc>
        <w:tc>
          <w:tcPr>
            <w:tcW w:w="14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288</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 and other</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315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(274)</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1,218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(386)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Insurance/Self-Insurance</w:t>
      </w:r>
    </w:p>
    <w:p>
      <w:pPr>
        <w:spacing w:after="0" w:line="176"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Expected loss accruals are based on estimates, and while the University believes the amounts accrued are adequate, the ultimate loss may differ from the amounts provided.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89" w:lineRule="exact"/>
        <w:rPr>
          <w:sz w:val="20"/>
          <w:szCs w:val="20"/>
          <w:color w:val="auto"/>
        </w:rPr>
      </w:pPr>
    </w:p>
    <w:p>
      <w:pPr>
        <w:ind w:left="320" w:right="679" w:firstLine="369"/>
        <w:spacing w:after="0" w:line="294" w:lineRule="auto"/>
        <w:rPr>
          <w:sz w:val="20"/>
          <w:szCs w:val="20"/>
          <w:color w:val="auto"/>
        </w:rPr>
      </w:pPr>
      <w:r>
        <w:rPr>
          <w:rFonts w:ascii="Arial" w:cs="Arial" w:eastAsia="Arial" w:hAnsi="Arial"/>
          <w:sz w:val="15"/>
          <w:szCs w:val="15"/>
          <w:color w:val="auto"/>
        </w:rPr>
        <w:t>The University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859" w:firstLine="369"/>
        <w:spacing w:after="0" w:line="281" w:lineRule="auto"/>
        <w:rPr>
          <w:sz w:val="20"/>
          <w:szCs w:val="20"/>
          <w:color w:val="auto"/>
        </w:rPr>
      </w:pPr>
      <w:r>
        <w:rPr>
          <w:rFonts w:ascii="Arial" w:cs="Arial" w:eastAsia="Arial" w:hAnsi="Arial"/>
          <w:sz w:val="16"/>
          <w:szCs w:val="16"/>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89" w:lineRule="exact"/>
        <w:rPr>
          <w:sz w:val="20"/>
          <w:szCs w:val="20"/>
          <w:color w:val="auto"/>
        </w:rPr>
      </w:pPr>
    </w:p>
    <w:p>
      <w:pPr>
        <w:ind w:left="320" w:right="879" w:firstLine="369"/>
        <w:spacing w:after="0" w:line="260" w:lineRule="auto"/>
        <w:rPr>
          <w:sz w:val="20"/>
          <w:szCs w:val="20"/>
          <w:color w:val="auto"/>
        </w:rPr>
      </w:pPr>
      <w:r>
        <w:rPr>
          <w:rFonts w:ascii="Arial" w:cs="Arial" w:eastAsia="Arial" w:hAnsi="Arial"/>
          <w:sz w:val="17"/>
          <w:szCs w:val="17"/>
          <w:color w:val="auto"/>
        </w:rPr>
        <w:t>The University operates as a single educational delivery operation using a core infrastructure that serves the curriculum and educational delivery needs of both its ground and online students regardless of geography. The University’s chief operating decision maker manages the University’s operations as a whole and no expense or operating income information is generated or evaluated on any component level.</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6"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In June 2009, the Financial Accounting Standards Board (“FASB”) issued guidance that modifies how a company determines when an entity that is insufficiently capitalized or is not controlled through voting (or similar rights) should be consolidated. This guidance clarifies that the determination of whether a company is required to consolidate an entity is based on, among other things, an entity’s purpose and design and a company’s ability to direct the activities of the entity that most significantly impact the entity’s economic performance. This guidance requires an ongoing reassessment of whether a company is the primary beneficiary of a variable interest entity and additional disclosures about a company’s involvement in variable interest entities and any significant changes in risk exposure due to that involvement. This guidance is effective for fiscal years beginning after November 15, 2009. The adoption had no impact on the University’s financial position or results of operations.</w:t>
      </w:r>
    </w:p>
    <w:p>
      <w:pPr>
        <w:spacing w:after="0" w:line="146" w:lineRule="exact"/>
        <w:rPr>
          <w:sz w:val="20"/>
          <w:szCs w:val="20"/>
          <w:color w:val="auto"/>
        </w:rPr>
      </w:pPr>
    </w:p>
    <w:p>
      <w:pPr>
        <w:ind w:left="320" w:right="759" w:firstLine="369"/>
        <w:spacing w:after="0" w:line="260" w:lineRule="auto"/>
        <w:rPr>
          <w:sz w:val="20"/>
          <w:szCs w:val="20"/>
          <w:color w:val="auto"/>
        </w:rPr>
      </w:pPr>
      <w:r>
        <w:rPr>
          <w:rFonts w:ascii="Arial" w:cs="Arial" w:eastAsia="Arial" w:hAnsi="Arial"/>
          <w:sz w:val="17"/>
          <w:szCs w:val="17"/>
          <w:color w:val="auto"/>
        </w:rPr>
        <w:t>In June 2009, the FASB set forth certain financial reporting requirements by enterprises involved with variable interest entities and to provide more relevant information to users of financial statements. This guidance became effective for the University’s interim and annual reporting periods beginning January 1, 2010. The adoption had no impact on the University’s financial position or results of operations.</w:t>
      </w:r>
    </w:p>
    <w:p>
      <w:pPr>
        <w:spacing w:after="0" w:line="140" w:lineRule="exact"/>
        <w:rPr>
          <w:sz w:val="20"/>
          <w:szCs w:val="20"/>
          <w:color w:val="auto"/>
        </w:rPr>
      </w:pPr>
    </w:p>
    <w:p>
      <w:pPr>
        <w:ind w:left="320" w:right="679" w:firstLine="369"/>
        <w:spacing w:after="0" w:line="258" w:lineRule="auto"/>
        <w:rPr>
          <w:sz w:val="20"/>
          <w:szCs w:val="20"/>
          <w:color w:val="auto"/>
        </w:rPr>
      </w:pPr>
      <w:r>
        <w:rPr>
          <w:rFonts w:ascii="Arial" w:cs="Arial" w:eastAsia="Arial" w:hAnsi="Arial"/>
          <w:sz w:val="17"/>
          <w:szCs w:val="17"/>
          <w:color w:val="auto"/>
        </w:rPr>
        <w:t>In January 2010, previously released guidance on fair value measurements and disclosures was amended. The amendment requires disclosure of transfers into and out of Level 1 and Level 2 fair value measurements, and also requires more detailed disclosure about the activity within Level 3 fair value measurements. The guidance became effective for the University’s interim and annual reporting periods beginning January 1, 2010. The adoption had no impact on the University’s financial position or results of operations.</w:t>
      </w:r>
    </w:p>
    <w:p>
      <w:pPr>
        <w:spacing w:after="0" w:line="142"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In February 2010, the FASB issued new guidance relating to subsequent events. This update removes the requirement for an SEC filer to disclose the date through which subsequent events have been evaluated and became effective for the University’s interim and annual reporting periods beginning January 1, 2010. The adoption had no impact on the University’s financial position or results of operations.</w:t>
      </w:r>
    </w:p>
    <w:p>
      <w:pPr>
        <w:spacing w:after="0" w:line="153" w:lineRule="exact"/>
        <w:rPr>
          <w:sz w:val="20"/>
          <w:szCs w:val="20"/>
          <w:color w:val="auto"/>
        </w:rPr>
      </w:pPr>
    </w:p>
    <w:p>
      <w:pPr>
        <w:ind w:left="320" w:right="759" w:firstLine="369"/>
        <w:spacing w:after="0" w:line="277" w:lineRule="auto"/>
        <w:rPr>
          <w:sz w:val="20"/>
          <w:szCs w:val="20"/>
          <w:color w:val="auto"/>
        </w:rPr>
      </w:pPr>
      <w:r>
        <w:rPr>
          <w:rFonts w:ascii="Arial" w:cs="Arial" w:eastAsia="Arial" w:hAnsi="Arial"/>
          <w:sz w:val="17"/>
          <w:szCs w:val="17"/>
          <w:color w:val="auto"/>
        </w:rPr>
        <w:t>The University has determined that all other recently issued accounting standards will not have a material impact on its financial statements, or do not apply to its operations.</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3. Initial Public Offering, Special Distribution and Secondary Offering</w:t>
      </w:r>
    </w:p>
    <w:p>
      <w:pPr>
        <w:spacing w:after="0" w:line="180" w:lineRule="exact"/>
        <w:rPr>
          <w:sz w:val="20"/>
          <w:szCs w:val="20"/>
          <w:color w:val="auto"/>
        </w:rPr>
      </w:pPr>
    </w:p>
    <w:p>
      <w:pPr>
        <w:ind w:left="320" w:right="799" w:firstLine="369"/>
        <w:spacing w:after="0" w:line="256" w:lineRule="auto"/>
        <w:rPr>
          <w:sz w:val="20"/>
          <w:szCs w:val="20"/>
          <w:color w:val="auto"/>
        </w:rPr>
      </w:pPr>
      <w:r>
        <w:rPr>
          <w:rFonts w:ascii="Arial" w:cs="Arial" w:eastAsia="Arial" w:hAnsi="Arial"/>
          <w:sz w:val="17"/>
          <w:szCs w:val="17"/>
          <w:color w:val="auto"/>
        </w:rPr>
        <w:t>In November 2008, the University completed an initial public offering of common stock. In the initial public offering, the University sold 11,575,000 shares of common stock at a price to the public of $12.00 per share, before underwriting discounts and commissions. Net proceeds to the University were approximately $128,756, after deducting underwriting discounts and commissions and offering expenses. Upon the closing of the offering, all of the University’s then outstanding Series A Preferred Stock converted into 10,870,178 shares of common stock and all of the University’s then outstanding Series C Preferred Stock converted into 2,233,333 shares of common stock.</w:t>
      </w:r>
    </w:p>
    <w:p>
      <w:pPr>
        <w:spacing w:after="0" w:line="159"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color w:val="auto"/>
        </w:rPr>
        <w:t>On September 26, 2008 the University’s Board of Directors approved the payment of a special distribution to its stockholders of record as of September 26, 2008 to be paid from the proceeds of the initial public offering (including any proceeds resulting from sales of shares pursuant to the underwriters’ exercise of their over-allotment option) in the amount of 75% of the gross offering proceeds. On November 3, 2008, the University’s Board of Directors approved the revision of the record date for determining those stockholders entitled to receive the possible special distribution described above to November 18, 2008. The University’s registration statement for the initial public offering became effective on November 19, 2008. In the fourth quarter of 2008, the University distributed $108,675, which is equal to 75% of the total gross proceeds from the sale of common stock, including the underwriters’ exercise of the over-allotment option. The special distribution was paid on an as if converted basis to all common and preferred shareholders of record as of November 18, 2008.</w:t>
      </w:r>
    </w:p>
    <w:p>
      <w:pPr>
        <w:spacing w:after="0" w:line="136" w:lineRule="exact"/>
        <w:rPr>
          <w:sz w:val="20"/>
          <w:szCs w:val="20"/>
          <w:color w:val="auto"/>
        </w:rPr>
      </w:pPr>
    </w:p>
    <w:p>
      <w:pPr>
        <w:ind w:left="320" w:right="859" w:firstLine="369"/>
        <w:spacing w:after="0" w:line="281" w:lineRule="auto"/>
        <w:rPr>
          <w:sz w:val="20"/>
          <w:szCs w:val="20"/>
          <w:color w:val="auto"/>
        </w:rPr>
      </w:pPr>
      <w:r>
        <w:rPr>
          <w:rFonts w:ascii="Arial" w:cs="Arial" w:eastAsia="Arial" w:hAnsi="Arial"/>
          <w:sz w:val="16"/>
          <w:szCs w:val="16"/>
          <w:color w:val="auto"/>
        </w:rPr>
        <w:t>In September 2009, the University completed a public offering of shares of its common stock. In the offering 6,900,000 shares were sold, consisting of 1,000,000 shares sold by the University and 5,900,000 shares sold by certain stockholders of the University. Total net proceeds to the University were $14,880, net of underwriting discounts and commissions and offering expenses. The University did not receive any of the proceeds from the sale of common stock sold by the selling stockholders.</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4340" w:type="dxa"/>
            <w:vAlign w:val="bottom"/>
          </w:tcPr>
          <w:p>
            <w:pPr>
              <w:spacing w:after="0"/>
              <w:rPr>
                <w:sz w:val="20"/>
                <w:szCs w:val="20"/>
                <w:color w:val="auto"/>
              </w:rPr>
            </w:pPr>
            <w:r>
              <w:rPr>
                <w:rFonts w:ascii="Arial" w:cs="Arial" w:eastAsia="Arial" w:hAnsi="Arial"/>
                <w:sz w:val="17"/>
                <w:szCs w:val="17"/>
                <w:b w:val="1"/>
                <w:bCs w:val="1"/>
                <w:color w:val="auto"/>
              </w:rPr>
              <w:t>4. Valuation and Qualifying Accounts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340" w:type="dxa"/>
            <w:vAlign w:val="bottom"/>
          </w:tcPr>
          <w:p>
            <w:pPr>
              <w:spacing w:after="0"/>
              <w:rPr>
                <w:sz w:val="24"/>
                <w:szCs w:val="2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9"/>
              </w:rPr>
              <w:t>Balance at</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9"/>
              </w:rPr>
              <w:t>Balance at</w:t>
            </w:r>
          </w:p>
        </w:tc>
        <w:tc>
          <w:tcPr>
            <w:tcW w:w="0" w:type="dxa"/>
            <w:vAlign w:val="bottom"/>
          </w:tcPr>
          <w:p>
            <w:pPr>
              <w:spacing w:after="0"/>
              <w:rPr>
                <w:sz w:val="1"/>
                <w:szCs w:val="1"/>
                <w:color w:val="auto"/>
              </w:rPr>
            </w:pPr>
          </w:p>
        </w:tc>
      </w:tr>
      <w:tr>
        <w:trPr>
          <w:trHeight w:val="205"/>
        </w:trPr>
        <w:tc>
          <w:tcPr>
            <w:tcW w:w="43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7"/>
                <w:szCs w:val="17"/>
                <w:b w:val="1"/>
                <w:bCs w:val="1"/>
                <w:color w:val="auto"/>
              </w:rPr>
              <w:t>Beginning of</w:t>
            </w:r>
          </w:p>
        </w:tc>
        <w:tc>
          <w:tcPr>
            <w:tcW w:w="12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3"/>
              </w:rPr>
              <w:t>Charged to</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w w:val="89"/>
              </w:rPr>
              <w:t>Deductions</w:t>
            </w:r>
            <w:r>
              <w:rPr>
                <w:rFonts w:ascii="Arial" w:cs="Arial" w:eastAsia="Arial" w:hAnsi="Arial"/>
                <w:sz w:val="14"/>
                <w:szCs w:val="14"/>
                <w:b w:val="1"/>
                <w:bCs w:val="1"/>
                <w:color w:val="auto"/>
                <w:w w:val="89"/>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End of</w:t>
            </w:r>
          </w:p>
        </w:tc>
        <w:tc>
          <w:tcPr>
            <w:tcW w:w="0" w:type="dxa"/>
            <w:vAlign w:val="bottom"/>
          </w:tcPr>
          <w:p>
            <w:pPr>
              <w:spacing w:after="0"/>
              <w:rPr>
                <w:sz w:val="1"/>
                <w:szCs w:val="1"/>
                <w:color w:val="auto"/>
              </w:rPr>
            </w:pPr>
          </w:p>
        </w:tc>
      </w:tr>
      <w:tr>
        <w:trPr>
          <w:trHeight w:val="221"/>
        </w:trPr>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w w:val="92"/>
              </w:rPr>
              <w:t>Year</w:t>
            </w:r>
          </w:p>
        </w:tc>
        <w:tc>
          <w:tcPr>
            <w:tcW w:w="12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Expense</w:t>
            </w: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Year</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 accounts receivable:</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rPr>
                <w:sz w:val="20"/>
                <w:szCs w:val="20"/>
                <w:color w:val="auto"/>
              </w:rPr>
            </w:pPr>
            <w:r>
              <w:rPr>
                <w:rFonts w:ascii="Arial" w:cs="Arial" w:eastAsia="Arial" w:hAnsi="Arial"/>
                <w:sz w:val="17"/>
                <w:szCs w:val="17"/>
                <w:color w:val="auto"/>
              </w:rPr>
              <w:t>Year ended December 31, 2010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7,553</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23,360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(15,952)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14,961</w:t>
            </w:r>
          </w:p>
        </w:tc>
        <w:tc>
          <w:tcPr>
            <w:tcW w:w="0" w:type="dxa"/>
            <w:vAlign w:val="bottom"/>
          </w:tcPr>
          <w:p>
            <w:pPr>
              <w:spacing w:after="0"/>
              <w:rPr>
                <w:sz w:val="1"/>
                <w:szCs w:val="1"/>
                <w:color w:val="auto"/>
              </w:rPr>
            </w:pPr>
          </w:p>
        </w:tc>
      </w:tr>
      <w:tr>
        <w:trPr>
          <w:trHeight w:val="205"/>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6,356</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14,016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7,553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7"/>
                <w:szCs w:val="17"/>
                <w:color w:val="auto"/>
              </w:rPr>
              <w:t>Year ended December 31, 2008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12,158</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8,465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(14,267)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6,356</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80" w:hanging="370"/>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Deductions represent accounts written off, net of recoveries.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5. Investments</w:t>
      </w:r>
    </w:p>
    <w:p>
      <w:pPr>
        <w:spacing w:after="0" w:line="180" w:lineRule="exact"/>
        <w:rPr>
          <w:sz w:val="20"/>
          <w:szCs w:val="20"/>
          <w:color w:val="auto"/>
        </w:rPr>
      </w:pPr>
    </w:p>
    <w:p>
      <w:pPr>
        <w:ind w:left="320" w:right="719" w:firstLine="369"/>
        <w:spacing w:after="0" w:line="277" w:lineRule="auto"/>
        <w:rPr>
          <w:sz w:val="20"/>
          <w:szCs w:val="20"/>
          <w:color w:val="auto"/>
        </w:rPr>
      </w:pPr>
      <w:r>
        <w:rPr>
          <w:rFonts w:ascii="Arial" w:cs="Arial" w:eastAsia="Arial" w:hAnsi="Arial"/>
          <w:sz w:val="17"/>
          <w:szCs w:val="17"/>
          <w:color w:val="auto"/>
        </w:rPr>
        <w:t>The University had no investments as of December 31, 2010. The following is a summary of amounts included in investments as of December 31, 2009. The University considered all investments as available for sale.</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rPr>
              <w:t>As of December 31, 2009</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line="183" w:lineRule="exact"/>
              <w:rPr>
                <w:sz w:val="20"/>
                <w:szCs w:val="20"/>
                <w:color w:val="auto"/>
              </w:rPr>
            </w:pPr>
            <w:r>
              <w:rPr>
                <w:rFonts w:ascii="Arial" w:cs="Arial" w:eastAsia="Arial" w:hAnsi="Arial"/>
                <w:sz w:val="17"/>
                <w:szCs w:val="17"/>
                <w:b w:val="1"/>
                <w:bCs w:val="1"/>
                <w:color w:val="auto"/>
                <w:w w:val="85"/>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20"/>
              <w:spacing w:after="0" w:line="183" w:lineRule="exact"/>
              <w:rPr>
                <w:sz w:val="20"/>
                <w:szCs w:val="20"/>
                <w:color w:val="auto"/>
              </w:rPr>
            </w:pPr>
            <w:r>
              <w:rPr>
                <w:rFonts w:ascii="Arial" w:cs="Arial" w:eastAsia="Arial" w:hAnsi="Arial"/>
                <w:sz w:val="17"/>
                <w:szCs w:val="17"/>
                <w:b w:val="1"/>
                <w:bCs w:val="1"/>
                <w:color w:val="auto"/>
                <w:w w:val="85"/>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5"/>
              <w:spacing w:after="0" w:line="183" w:lineRule="exact"/>
              <w:rPr>
                <w:sz w:val="20"/>
                <w:szCs w:val="20"/>
                <w:color w:val="auto"/>
              </w:rPr>
            </w:pPr>
            <w:r>
              <w:rPr>
                <w:rFonts w:ascii="Arial" w:cs="Arial" w:eastAsia="Arial" w:hAnsi="Arial"/>
                <w:sz w:val="17"/>
                <w:szCs w:val="17"/>
                <w:b w:val="1"/>
                <w:bCs w:val="1"/>
                <w:color w:val="auto"/>
                <w:w w:val="91"/>
              </w:rPr>
              <w:t>Estimated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Adjusted</w:t>
            </w:r>
          </w:p>
        </w:tc>
        <w:tc>
          <w:tcPr>
            <w:tcW w:w="20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2"/>
              </w:rPr>
              <w:t>Unrealized</w:t>
            </w:r>
          </w:p>
        </w:tc>
        <w:tc>
          <w:tcPr>
            <w:tcW w:w="18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2"/>
              </w:rPr>
              <w:t>Unrealized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8"/>
              </w:rPr>
              <w:t>Gains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2"/>
              </w:rPr>
              <w:t>(Losses)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Value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Municipal Securities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640"/>
              <w:spacing w:after="0"/>
              <w:rPr>
                <w:sz w:val="20"/>
                <w:szCs w:val="20"/>
                <w:color w:val="auto"/>
              </w:rPr>
            </w:pPr>
            <w:r>
              <w:rPr>
                <w:rFonts w:ascii="Arial" w:cs="Arial" w:eastAsia="Arial" w:hAnsi="Arial"/>
                <w:sz w:val="17"/>
                <w:szCs w:val="17"/>
                <w:color w:val="auto"/>
                <w:w w:val="84"/>
              </w:rPr>
              <w:t>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739" w:firstLine="369"/>
        <w:spacing w:after="0" w:line="288" w:lineRule="auto"/>
        <w:rPr>
          <w:sz w:val="20"/>
          <w:szCs w:val="20"/>
          <w:color w:val="auto"/>
        </w:rPr>
      </w:pPr>
      <w:r>
        <w:rPr>
          <w:rFonts w:ascii="Arial" w:cs="Arial" w:eastAsia="Arial" w:hAnsi="Arial"/>
          <w:sz w:val="16"/>
          <w:szCs w:val="16"/>
          <w:color w:val="auto"/>
        </w:rPr>
        <w:t>Gross realized gains and losses resulting from the sale of available-for-sale securities were $31, $0, and $110 for the years ended December 31, 2010, 2009 and 2008, respectively. For the years ended December 31, 2010, 2009, and 2008, the net unrealized gain (loss) on available-for-sale securities were $(4), $7, and $(63), net of tax effect, respectively.</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95"/>
        </w:trPr>
        <w:tc>
          <w:tcPr>
            <w:tcW w:w="714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860" w:type="dxa"/>
            <w:vAlign w:val="bottom"/>
          </w:tcPr>
          <w:p>
            <w:pPr>
              <w:jc w:val="center"/>
              <w:ind w:left="1355"/>
              <w:spacing w:after="0"/>
              <w:rPr>
                <w:sz w:val="20"/>
                <w:szCs w:val="20"/>
                <w:color w:val="auto"/>
              </w:rPr>
            </w:pPr>
            <w:r>
              <w:rPr>
                <w:rFonts w:ascii="Arial" w:cs="Arial" w:eastAsia="Arial" w:hAnsi="Arial"/>
                <w:sz w:val="17"/>
                <w:szCs w:val="17"/>
                <w:b w:val="1"/>
                <w:bCs w:val="1"/>
                <w:color w:val="auto"/>
                <w:w w:val="93"/>
              </w:rPr>
              <w:t>Grand Canyon Education,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60" w:type="dxa"/>
            <w:vAlign w:val="bottom"/>
          </w:tcPr>
          <w:p>
            <w:pPr>
              <w:jc w:val="center"/>
              <w:ind w:left="1335"/>
              <w:spacing w:after="0"/>
              <w:rPr>
                <w:sz w:val="20"/>
                <w:szCs w:val="20"/>
                <w:color w:val="auto"/>
              </w:rPr>
            </w:pPr>
            <w:r>
              <w:rPr>
                <w:rFonts w:ascii="Arial" w:cs="Arial" w:eastAsia="Arial" w:hAnsi="Arial"/>
                <w:sz w:val="17"/>
                <w:szCs w:val="17"/>
                <w:b w:val="1"/>
                <w:bCs w:val="1"/>
                <w:color w:val="auto"/>
                <w:w w:val="88"/>
              </w:rPr>
              <w:t>Notes to 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60" w:type="dxa"/>
            <w:vAlign w:val="bottom"/>
          </w:tcPr>
          <w:p>
            <w:pPr>
              <w:jc w:val="center"/>
              <w:ind w:left="1355"/>
              <w:spacing w:after="0"/>
              <w:rPr>
                <w:sz w:val="20"/>
                <w:szCs w:val="20"/>
                <w:color w:val="auto"/>
              </w:rPr>
            </w:pPr>
            <w:r>
              <w:rPr>
                <w:rFonts w:ascii="Arial" w:cs="Arial" w:eastAsia="Arial" w:hAnsi="Arial"/>
                <w:sz w:val="17"/>
                <w:szCs w:val="17"/>
                <w:b w:val="1"/>
                <w:bCs w:val="1"/>
                <w:color w:val="auto"/>
                <w:w w:val="89"/>
              </w:rPr>
              <w:t>(In thousands of dollars, except share and per share data)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140" w:type="dxa"/>
            <w:vAlign w:val="bottom"/>
            <w:gridSpan w:val="3"/>
          </w:tcPr>
          <w:p>
            <w:pPr>
              <w:ind w:left="320"/>
              <w:spacing w:after="0"/>
              <w:rPr>
                <w:sz w:val="20"/>
                <w:szCs w:val="20"/>
                <w:color w:val="auto"/>
              </w:rPr>
            </w:pPr>
            <w:r>
              <w:rPr>
                <w:rFonts w:ascii="Arial" w:cs="Arial" w:eastAsia="Arial" w:hAnsi="Arial"/>
                <w:sz w:val="17"/>
                <w:szCs w:val="17"/>
                <w:b w:val="1"/>
                <w:bCs w:val="1"/>
                <w:color w:val="auto"/>
              </w:rPr>
              <w:t>6. Property and Equipment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6820" w:type="dxa"/>
            <w:vAlign w:val="bottom"/>
            <w:gridSpan w:val="2"/>
          </w:tcPr>
          <w:p>
            <w:pPr>
              <w:ind w:left="360"/>
              <w:spacing w:after="0"/>
              <w:rPr>
                <w:sz w:val="20"/>
                <w:szCs w:val="20"/>
                <w:color w:val="auto"/>
              </w:rPr>
            </w:pPr>
            <w:r>
              <w:rPr>
                <w:rFonts w:ascii="Arial" w:cs="Arial" w:eastAsia="Arial" w:hAnsi="Arial"/>
                <w:sz w:val="17"/>
                <w:szCs w:val="17"/>
                <w:color w:val="auto"/>
              </w:rPr>
              <w:t>Property and equipment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right"/>
              <w:ind w:right="48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w:t>
            </w:r>
          </w:p>
        </w:tc>
        <w:tc>
          <w:tcPr>
            <w:tcW w:w="3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8,282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7,230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Land improvements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1,597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1,597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48,323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25,176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Equipment under capital leases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4,502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3,545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3,692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Computer equipment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36,742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22,327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11,401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7,750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Internally developed software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3,825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Construction in progress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21,349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7,712</w:t>
            </w: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148,426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80,460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(24,427)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(13,090)</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123,999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67,370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2260" w:firstLine="369"/>
        <w:spacing w:after="0" w:line="277" w:lineRule="auto"/>
        <w:rPr>
          <w:sz w:val="20"/>
          <w:szCs w:val="20"/>
          <w:color w:val="auto"/>
        </w:rPr>
      </w:pPr>
      <w:r>
        <w:rPr>
          <w:rFonts w:ascii="Arial" w:cs="Arial" w:eastAsia="Arial" w:hAnsi="Arial"/>
          <w:sz w:val="17"/>
          <w:szCs w:val="17"/>
          <w:color w:val="auto"/>
        </w:rPr>
        <w:t>Depreciation and amortization expense associated with property and equipment, including assets under capital lease, totaled $11,376, $7,228, and $4,592 for the years ended December 31, 2010, 2009, and 2008, respectively.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7. Notes Payable and Other Noncurrent Liabilities</w:t>
      </w:r>
    </w:p>
    <w:p>
      <w:pPr>
        <w:spacing w:after="0" w:line="180" w:lineRule="exact"/>
        <w:rPr>
          <w:sz w:val="20"/>
          <w:szCs w:val="20"/>
          <w:color w:val="auto"/>
        </w:rPr>
      </w:pPr>
    </w:p>
    <w:p>
      <w:pPr>
        <w:ind w:left="320" w:right="1980" w:firstLine="369"/>
        <w:spacing w:after="0" w:line="291" w:lineRule="auto"/>
        <w:rPr>
          <w:sz w:val="20"/>
          <w:szCs w:val="20"/>
          <w:color w:val="auto"/>
        </w:rPr>
      </w:pPr>
      <w:r>
        <w:rPr>
          <w:rFonts w:ascii="Arial" w:cs="Arial" w:eastAsia="Arial" w:hAnsi="Arial"/>
          <w:sz w:val="15"/>
          <w:szCs w:val="15"/>
          <w:color w:val="auto"/>
        </w:rPr>
        <w:t>To finance a portion of the campus land and building purchase from Spirit, the University entered into a loan agreement in April 2009 with a financial institution pursuant to which it borrowed $25,675. The note agreement contains standard covenants, including covenants that, among other things, restrict the University’s ability to incur additional indebtedness or liens; sell, assign, lease, transfer or otherwise dispose of any part of the University’s assets other than in the ordinary course of business; make investments or capital contributions to any individual or entity; enter into any consolidation, merger, or other combination, or become a partner in a partnership, a member of a joint venture, or a member of a limited liability company; acquire or purchase a business or all or substantially all of the assets of a business in an aggregate amount exceeding an amount equal to 25% of the University’s tangible net worth; and engage in any business activities substantially different from the University’s present business. In addition the loan agreement requires the University to maintain compliance with certain applicable regulatory standards, and requires the University to maintain a certain financial condition. Indebtedness under the note agreement is collateralized by the land and buildings that comprise the University’s ground campus. As of December 31, 2010, the University is in compliance with its debt covenants.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ind w:left="200"/>
              <w:spacing w:after="0"/>
              <w:rPr>
                <w:sz w:val="20"/>
                <w:szCs w:val="20"/>
                <w:color w:val="auto"/>
              </w:rPr>
            </w:pPr>
            <w:r>
              <w:rPr>
                <w:rFonts w:ascii="Arial" w:cs="Arial" w:eastAsia="Arial" w:hAnsi="Arial"/>
                <w:sz w:val="17"/>
                <w:szCs w:val="17"/>
                <w:b w:val="1"/>
                <w:bCs w:val="1"/>
                <w:color w:val="auto"/>
              </w:rPr>
              <w:t>As of December 31,</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Notes Payable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740" w:type="dxa"/>
            <w:vAlign w:val="bottom"/>
          </w:tcPr>
          <w:p>
            <w:pPr>
              <w:spacing w:after="0" w:line="193" w:lineRule="exact"/>
              <w:rPr>
                <w:sz w:val="20"/>
                <w:szCs w:val="20"/>
                <w:color w:val="auto"/>
              </w:rPr>
            </w:pPr>
            <w:r>
              <w:rPr>
                <w:rFonts w:ascii="Arial" w:cs="Arial" w:eastAsia="Arial" w:hAnsi="Arial"/>
                <w:sz w:val="17"/>
                <w:szCs w:val="17"/>
                <w:color w:val="auto"/>
              </w:rPr>
              <w:t>Note payable, monthly payment of $143; interest at 30 day LIBOR plus 2.25% (2.51% at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740" w:type="dxa"/>
            <w:vAlign w:val="bottom"/>
          </w:tcPr>
          <w:p>
            <w:pPr>
              <w:ind w:left="180"/>
              <w:spacing w:after="0"/>
              <w:rPr>
                <w:sz w:val="20"/>
                <w:szCs w:val="20"/>
                <w:color w:val="auto"/>
              </w:rPr>
            </w:pPr>
            <w:r>
              <w:rPr>
                <w:rFonts w:ascii="Arial" w:cs="Arial" w:eastAsia="Arial" w:hAnsi="Arial"/>
                <w:sz w:val="17"/>
                <w:szCs w:val="17"/>
                <w:color w:val="auto"/>
              </w:rPr>
              <w:t>December 31, 2010) through April 30, 2014</w:t>
            </w:r>
          </w:p>
        </w:tc>
        <w:tc>
          <w:tcPr>
            <w:tcW w:w="3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22,829</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24,565</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Note payable; monthly payments of $20; interest at 3.9% through September 2011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color w:val="auto"/>
                <w:w w:val="99"/>
              </w:rPr>
              <w:t>Various Gift Annuities; quarterly payments of $34 extending through 2019; interest at 10%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744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802</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5"/>
              </w:rPr>
              <w:t>Equipment note; monthly payments of $6 extending through December 2011; interest at 6.6%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740" w:type="dxa"/>
            <w:vAlign w:val="bottom"/>
          </w:tcPr>
          <w:p>
            <w:pPr>
              <w:spacing w:after="0" w:line="193" w:lineRule="exact"/>
              <w:rPr>
                <w:sz w:val="20"/>
                <w:szCs w:val="20"/>
                <w:color w:val="auto"/>
              </w:rPr>
            </w:pPr>
            <w:r>
              <w:rPr>
                <w:rFonts w:ascii="Arial" w:cs="Arial" w:eastAsia="Arial" w:hAnsi="Arial"/>
                <w:sz w:val="17"/>
                <w:szCs w:val="17"/>
                <w:color w:val="auto"/>
                <w:w w:val="94"/>
              </w:rPr>
              <w:t>Notes payable for vehicles requiring monthly payments with interest rates ranging from 8.8% to</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740" w:type="dxa"/>
            <w:vAlign w:val="bottom"/>
          </w:tcPr>
          <w:p>
            <w:pPr>
              <w:ind w:left="180"/>
              <w:spacing w:after="0"/>
              <w:rPr>
                <w:sz w:val="20"/>
                <w:szCs w:val="20"/>
                <w:color w:val="auto"/>
              </w:rPr>
            </w:pPr>
            <w:r>
              <w:rPr>
                <w:rFonts w:ascii="Arial" w:cs="Arial" w:eastAsia="Arial" w:hAnsi="Arial"/>
                <w:sz w:val="17"/>
                <w:szCs w:val="17"/>
                <w:color w:val="auto"/>
              </w:rPr>
              <w:t>11.0% extending into March 2013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23,907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26,088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2,105</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21,881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23,983</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915"/>
              <w:spacing w:after="0"/>
              <w:rPr>
                <w:sz w:val="20"/>
                <w:szCs w:val="20"/>
                <w:color w:val="auto"/>
              </w:rPr>
            </w:pPr>
            <w:r>
              <w:rPr>
                <w:rFonts w:ascii="Arial" w:cs="Arial" w:eastAsia="Arial" w:hAnsi="Arial"/>
                <w:sz w:val="17"/>
                <w:szCs w:val="17"/>
                <w:color w:val="auto"/>
              </w:rPr>
              <w:t>112</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7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67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5"/>
        </w:trPr>
        <w:tc>
          <w:tcPr>
            <w:tcW w:w="778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500" w:type="dxa"/>
            <w:vAlign w:val="bottom"/>
          </w:tcPr>
          <w:p>
            <w:pPr>
              <w:jc w:val="center"/>
              <w:ind w:left="715"/>
              <w:spacing w:after="0"/>
              <w:rPr>
                <w:sz w:val="20"/>
                <w:szCs w:val="20"/>
                <w:color w:val="auto"/>
              </w:rPr>
            </w:pPr>
            <w:r>
              <w:rPr>
                <w:rFonts w:ascii="Arial" w:cs="Arial" w:eastAsia="Arial" w:hAnsi="Arial"/>
                <w:sz w:val="17"/>
                <w:szCs w:val="17"/>
                <w:b w:val="1"/>
                <w:bCs w:val="1"/>
                <w:color w:val="auto"/>
                <w:w w:val="93"/>
              </w:rPr>
              <w:t>Grand Canyon Education, Inc.</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00" w:type="dxa"/>
            <w:vAlign w:val="bottom"/>
          </w:tcPr>
          <w:p>
            <w:pPr>
              <w:jc w:val="center"/>
              <w:ind w:left="695"/>
              <w:spacing w:after="0"/>
              <w:rPr>
                <w:sz w:val="20"/>
                <w:szCs w:val="20"/>
                <w:color w:val="auto"/>
              </w:rPr>
            </w:pPr>
            <w:r>
              <w:rPr>
                <w:rFonts w:ascii="Arial" w:cs="Arial" w:eastAsia="Arial" w:hAnsi="Arial"/>
                <w:sz w:val="17"/>
                <w:szCs w:val="17"/>
                <w:b w:val="1"/>
                <w:bCs w:val="1"/>
                <w:color w:val="auto"/>
                <w:w w:val="88"/>
              </w:rPr>
              <w:t>Notes to Financial Statements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00" w:type="dxa"/>
            <w:vAlign w:val="bottom"/>
          </w:tcPr>
          <w:p>
            <w:pPr>
              <w:jc w:val="center"/>
              <w:ind w:left="715"/>
              <w:spacing w:after="0"/>
              <w:rPr>
                <w:sz w:val="20"/>
                <w:szCs w:val="20"/>
                <w:color w:val="auto"/>
              </w:rPr>
            </w:pPr>
            <w:r>
              <w:rPr>
                <w:rFonts w:ascii="Arial" w:cs="Arial" w:eastAsia="Arial" w:hAnsi="Arial"/>
                <w:sz w:val="17"/>
                <w:szCs w:val="17"/>
                <w:b w:val="1"/>
                <w:bCs w:val="1"/>
                <w:color w:val="auto"/>
                <w:w w:val="89"/>
              </w:rPr>
              <w:t>(In thousands of dollars, except share and per share data)</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7460" w:type="dxa"/>
            <w:vAlign w:val="bottom"/>
            <w:gridSpan w:val="2"/>
          </w:tcPr>
          <w:p>
            <w:pPr>
              <w:ind w:left="360"/>
              <w:spacing w:after="0"/>
              <w:rPr>
                <w:sz w:val="20"/>
                <w:szCs w:val="20"/>
                <w:color w:val="auto"/>
              </w:rPr>
            </w:pPr>
            <w:r>
              <w:rPr>
                <w:rFonts w:ascii="Arial" w:cs="Arial" w:eastAsia="Arial" w:hAnsi="Arial"/>
                <w:sz w:val="17"/>
                <w:szCs w:val="17"/>
                <w:color w:val="auto"/>
              </w:rPr>
              <w:t>Payments due under the notes payable obligations are as follows as of December 31, 2010:</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6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2012</w:t>
            </w:r>
          </w:p>
        </w:tc>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1,783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6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1,750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2014</w:t>
            </w:r>
          </w:p>
        </w:tc>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17,903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6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23,907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Long-term deferred rent included in other noncurrent liabilities as of December 31, 2010 and 2009 was $2,029 and $1,239, respectively. The derivative liability for the forward interest rate swap included in other noncurrent liabilities as of December 31, 2010 and 2009 was $686 and $228, respectively.</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6700" w:type="dxa"/>
            <w:vAlign w:val="bottom"/>
          </w:tcPr>
          <w:p>
            <w:pPr>
              <w:spacing w:after="0"/>
              <w:rPr>
                <w:sz w:val="20"/>
                <w:szCs w:val="20"/>
                <w:color w:val="auto"/>
              </w:rPr>
            </w:pPr>
            <w:r>
              <w:rPr>
                <w:rFonts w:ascii="Arial" w:cs="Arial" w:eastAsia="Arial" w:hAnsi="Arial"/>
                <w:sz w:val="17"/>
                <w:szCs w:val="17"/>
                <w:b w:val="1"/>
                <w:bCs w:val="1"/>
                <w:color w:val="auto"/>
              </w:rPr>
              <w:t>8. Capital Lease Obligations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2"/>
        </w:trPr>
        <w:tc>
          <w:tcPr>
            <w:tcW w:w="6700" w:type="dxa"/>
            <w:vAlign w:val="bottom"/>
          </w:tcPr>
          <w:p>
            <w:pPr>
              <w:ind w:left="360"/>
              <w:spacing w:after="0"/>
              <w:rPr>
                <w:sz w:val="20"/>
                <w:szCs w:val="20"/>
                <w:color w:val="auto"/>
              </w:rPr>
            </w:pPr>
            <w:r>
              <w:rPr>
                <w:rFonts w:ascii="Arial" w:cs="Arial" w:eastAsia="Arial" w:hAnsi="Arial"/>
                <w:sz w:val="17"/>
                <w:szCs w:val="17"/>
                <w:color w:val="auto"/>
              </w:rPr>
              <w:t>Capital lease obligations consist of the following:</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ind w:left="200"/>
              <w:spacing w:after="0"/>
              <w:rPr>
                <w:sz w:val="20"/>
                <w:szCs w:val="20"/>
                <w:color w:val="auto"/>
              </w:rPr>
            </w:pPr>
            <w:r>
              <w:rPr>
                <w:rFonts w:ascii="Arial" w:cs="Arial" w:eastAsia="Arial" w:hAnsi="Arial"/>
                <w:sz w:val="17"/>
                <w:szCs w:val="17"/>
                <w:b w:val="1"/>
                <w:bCs w:val="1"/>
                <w:color w:val="auto"/>
              </w:rPr>
              <w:t>As of December 31,</w:t>
            </w:r>
          </w:p>
        </w:tc>
      </w:tr>
      <w:tr>
        <w:trPr>
          <w:trHeight w:val="199"/>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r>
      <w:tr>
        <w:trPr>
          <w:trHeight w:val="198"/>
        </w:trPr>
        <w:tc>
          <w:tcPr>
            <w:tcW w:w="6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Capital Lease Obligations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3"/>
        </w:trPr>
        <w:tc>
          <w:tcPr>
            <w:tcW w:w="6700" w:type="dxa"/>
            <w:vAlign w:val="bottom"/>
          </w:tcPr>
          <w:p>
            <w:pPr>
              <w:spacing w:after="0" w:line="193" w:lineRule="exact"/>
              <w:rPr>
                <w:sz w:val="20"/>
                <w:szCs w:val="20"/>
                <w:color w:val="auto"/>
              </w:rPr>
            </w:pPr>
            <w:r>
              <w:rPr>
                <w:rFonts w:ascii="Arial" w:cs="Arial" w:eastAsia="Arial" w:hAnsi="Arial"/>
                <w:sz w:val="17"/>
                <w:szCs w:val="17"/>
                <w:color w:val="auto"/>
                <w:w w:val="97"/>
              </w:rPr>
              <w:t>Capital leases for equipment (various leases extending into 2012, with implicit interest rates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6700" w:type="dxa"/>
            <w:vAlign w:val="bottom"/>
          </w:tcPr>
          <w:p>
            <w:pPr>
              <w:ind w:left="180"/>
              <w:spacing w:after="0"/>
              <w:rPr>
                <w:sz w:val="20"/>
                <w:szCs w:val="20"/>
                <w:color w:val="auto"/>
              </w:rPr>
            </w:pPr>
            <w:r>
              <w:rPr>
                <w:rFonts w:ascii="Arial" w:cs="Arial" w:eastAsia="Arial" w:hAnsi="Arial"/>
                <w:sz w:val="17"/>
                <w:szCs w:val="17"/>
                <w:color w:val="auto"/>
                <w:w w:val="95"/>
              </w:rPr>
              <w:t>ranging from 4.0% to 6.9%, monthly payments totaling $62 and quarterly payments totaling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6700" w:type="dxa"/>
            <w:vAlign w:val="bottom"/>
          </w:tcPr>
          <w:p>
            <w:pPr>
              <w:ind w:left="180"/>
              <w:spacing w:after="0"/>
              <w:rPr>
                <w:sz w:val="20"/>
                <w:szCs w:val="20"/>
                <w:color w:val="auto"/>
              </w:rPr>
            </w:pPr>
            <w:r>
              <w:rPr>
                <w:rFonts w:ascii="Arial" w:cs="Arial" w:eastAsia="Arial" w:hAnsi="Arial"/>
                <w:sz w:val="17"/>
                <w:szCs w:val="17"/>
                <w:color w:val="auto"/>
              </w:rPr>
              <w:t>$239)</w:t>
            </w:r>
          </w:p>
        </w:tc>
        <w:tc>
          <w:tcPr>
            <w:tcW w:w="2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1,824</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1,619</w:t>
            </w:r>
          </w:p>
        </w:tc>
      </w:tr>
      <w:tr>
        <w:trPr>
          <w:trHeight w:val="26"/>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5"/>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1,619</w:t>
            </w:r>
          </w:p>
        </w:tc>
      </w:tr>
      <w:tr>
        <w:trPr>
          <w:trHeight w:val="205"/>
        </w:trPr>
        <w:tc>
          <w:tcPr>
            <w:tcW w:w="6700" w:type="dxa"/>
            <w:vAlign w:val="bottom"/>
          </w:tcPr>
          <w:p>
            <w:pPr>
              <w:spacing w:after="0"/>
              <w:rPr>
                <w:sz w:val="20"/>
                <w:szCs w:val="20"/>
                <w:color w:val="auto"/>
              </w:rPr>
            </w:pPr>
            <w:r>
              <w:rPr>
                <w:rFonts w:ascii="Arial" w:cs="Arial" w:eastAsia="Arial" w:hAnsi="Arial"/>
                <w:sz w:val="17"/>
                <w:szCs w:val="17"/>
                <w:color w:val="auto"/>
              </w:rPr>
              <w:t>Less: Current portion of capital lease obligations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1,673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751</w:t>
            </w:r>
          </w:p>
        </w:tc>
      </w:tr>
      <w:tr>
        <w:trPr>
          <w:trHeight w:val="26"/>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5"/>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868</w:t>
            </w: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Payments due under future minimum lease payments under the capital lease obligations are as follows as of December 31, 2010:</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1,703</w:t>
            </w:r>
          </w:p>
        </w:tc>
      </w:tr>
      <w:tr>
        <w:trPr>
          <w:trHeight w:val="211"/>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2012 and thereafter</w:t>
            </w:r>
          </w:p>
        </w:tc>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80" w:type="dxa"/>
            <w:vAlign w:val="bottom"/>
            <w:shd w:val="clear" w:color="auto" w:fill="CCEEFF"/>
          </w:tcPr>
          <w:p>
            <w:pPr>
              <w:spacing w:after="0"/>
              <w:rPr>
                <w:sz w:val="17"/>
                <w:szCs w:val="17"/>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7"/>
                <w:szCs w:val="17"/>
                <w:color w:val="auto"/>
              </w:rPr>
              <w:t>Less: Portion representing interest</w:t>
            </w:r>
          </w:p>
        </w:tc>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minimum lease payments</w:t>
            </w: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1,824</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9. Commitments and Contingencies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Leases</w:t>
      </w:r>
    </w:p>
    <w:p>
      <w:pPr>
        <w:spacing w:after="0" w:line="176" w:lineRule="exact"/>
        <w:rPr>
          <w:sz w:val="20"/>
          <w:szCs w:val="20"/>
          <w:color w:val="auto"/>
        </w:rPr>
      </w:pPr>
    </w:p>
    <w:p>
      <w:pPr>
        <w:ind w:left="320" w:right="1079" w:firstLine="369"/>
        <w:spacing w:after="0" w:line="346" w:lineRule="auto"/>
        <w:rPr>
          <w:sz w:val="20"/>
          <w:szCs w:val="20"/>
          <w:color w:val="auto"/>
        </w:rPr>
      </w:pPr>
      <w:r>
        <w:rPr>
          <w:rFonts w:ascii="Arial" w:cs="Arial" w:eastAsia="Arial" w:hAnsi="Arial"/>
          <w:sz w:val="15"/>
          <w:szCs w:val="15"/>
          <w:color w:val="auto"/>
        </w:rPr>
        <w:t>The University leases certain land, buildings and equipment under non-cancelable operating leases expiring at various dates through 2023. Future minimum lease payments under operating leases due each year are as follows at December 31, 2010:</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3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4,754</w:t>
            </w: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2012</w:t>
            </w: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5,874</w:t>
            </w: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3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6,802</w:t>
            </w: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2014</w:t>
            </w: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6,506</w:t>
            </w: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3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5,628</w:t>
            </w:r>
          </w:p>
        </w:tc>
      </w:tr>
      <w:tr>
        <w:trPr>
          <w:trHeight w:val="211"/>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Thereafter</w:t>
            </w:r>
          </w:p>
        </w:tc>
        <w:tc>
          <w:tcPr>
            <w:tcW w:w="3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24,072</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Total minimum payments</w:t>
            </w:r>
          </w:p>
        </w:tc>
        <w:tc>
          <w:tcPr>
            <w:tcW w:w="3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53,636</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Total rent expense and related taxes and operating expenses under operating leases for the years ended December 31, 2010, 2009 and 2008 was $5,287, $4,541, and $2,375, respectively.</w:t>
      </w:r>
    </w:p>
    <w:p>
      <w:pPr>
        <w:sectPr>
          <w:pgSz w:w="11900" w:h="16838" w:orient="portrait"/>
          <w:cols w:equalWidth="0" w:num="1">
            <w:col w:w="10219"/>
          </w:cols>
          <w:pgMar w:left="240" w:top="39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type w:val="continuous"/>
        </w:sectPr>
      </w:pPr>
    </w:p>
    <w:bookmarkStart w:id="116" w:name="page117"/>
    <w:bookmarkEnd w:id="1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Legal Matters</w:t>
      </w:r>
    </w:p>
    <w:p>
      <w:pPr>
        <w:spacing w:after="0" w:line="176" w:lineRule="exact"/>
        <w:rPr>
          <w:sz w:val="20"/>
          <w:szCs w:val="20"/>
          <w:color w:val="auto"/>
        </w:rPr>
      </w:pPr>
    </w:p>
    <w:p>
      <w:pPr>
        <w:ind w:left="320" w:right="699" w:firstLine="369"/>
        <w:spacing w:after="0" w:line="295" w:lineRule="auto"/>
        <w:rPr>
          <w:sz w:val="20"/>
          <w:szCs w:val="20"/>
          <w:color w:val="auto"/>
        </w:rPr>
      </w:pPr>
      <w:r>
        <w:rPr>
          <w:rFonts w:ascii="Arial" w:cs="Arial" w:eastAsia="Arial" w:hAnsi="Arial"/>
          <w:sz w:val="15"/>
          <w:szCs w:val="15"/>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31"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color w:val="auto"/>
        </w:rPr>
        <w:t xml:space="preserve">On August 14, 2008, the U. S. Department of Education (“Department of Education”), Office of Inspector General (“OIG”) served an administrative subpoena on the University requiring it to provide certain records and information related to performance reviews and salary adjustments for all of its enrollment counselors and managers from January 1, 2004 to August 2008. The University has cooperated with the OIG to facilitate its investigation and completed its rolling responsive document production, which commenced in September 2008, in June 2009. In light of the settlement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described below, the University believes that this investigation has effectively ended.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On September 11, 2008, the University was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the University in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August 2007 in the United States District Court for the District of Arizona (the “Court”) by a then-current employee on behalf of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federal government. All proceedings in the lawsuit had been under seal until September 5, 2008, when the court unsealed the first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amended complaint, which had been filed on August 11, 2008. A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case is a civil lawsuit brought under the federal False Claims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Act by one or more individuals (a “relator”) on behalf of the federal government for an alleged submission to the government of a</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false claim for payment. The relator, often a current or former employee, is entitled to a share of the government’s recovery in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case. A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 is always filed under seal and remains under seal until the government decides whether to intervene in the case.</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the government intervenes, it takes over primary control of the litigation. If the government declines to intervene in the case,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relator may nonetheless elect to continue to pursue the litigation at his or her own expense on behalf of the government. In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University’s case,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was initially filed under seal in August 2007 and was unsealed and served on the University</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the government’s decision not to intervene at that time.</w:t>
      </w:r>
    </w:p>
    <w:p>
      <w:pPr>
        <w:spacing w:after="0" w:line="165" w:lineRule="exact"/>
        <w:rPr>
          <w:sz w:val="20"/>
          <w:szCs w:val="20"/>
          <w:color w:val="auto"/>
        </w:rPr>
      </w:pPr>
    </w:p>
    <w:p>
      <w:pPr>
        <w:ind w:left="320" w:right="719" w:firstLine="369"/>
        <w:spacing w:after="0" w:line="27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alleged, among other things, that the University violated the False Claims Act by knowingly making false statements, and submitting false records or statements, from at least 2001 to the present, to get false or fraudulent claims paid or approved, and asserted that the University improperly compensated certain of its enrollment counselors in violation of the Title IV law governing compensation of such employees, and as a result, improperly received Title IV program funds. The complaint specifically alleged that some of the University’s compensation practices with respect to its enrollment personnel, including providing non-cash awards, violated the Title IV law governing compensation. While the University believes that the compensation policies and practices at issue in the complaint were not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were not within the scope of any explicit “safe harbor” provided in the compensation regulations. The complaint sought treble the amount of unspecified damages sustained by the federal government in connection with the University’s receipt of Title IV funding, a civil penalty for each violation of the False Claims Act, attorneys’ fees, costs, and interest. The University filed a motion to dismiss this case in November 2008, which was denied by the court in February 2009.</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 xml:space="preserve">Pursuant to the court’s mandatory scheduling order, the University entered into settlement discussions with respect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with the relator and, in October 2009, reached a settlement in principle with the relator pursuant to which the University agreed to pay $5,200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Thus, in the third quarter of 2009, the University accrued $5,200 for the estimated litigation loss. This settlement in principle was conditioned upon obtaining the approval of the U.S. Department of Justice (which has authority to approve settlement of False Claims Act matters) and the Department of Education with respect to the issuance to the University of a full three-year Title IV program participation agreement (the University’s application for which has been pending since March 2008), resolving the OIG investigation, and finalizing the settlement terms that would release the University from other False Claims Act cases based upon the conduct covered by the settlement. Following unsuccessful attempts to finalize a settlement agreement among the University, the relator and the United States, on April 28, 2010, the University and the relator submitted a proposed settlement agreement to the Court for approval. In accordance with a scheduling order set by the Court, the United States filed certain objections to the proposed settlement agreement to which the University and the relator responded. The Court then held a hearing regarding the proposed settlement agreement, and the United States’ objections thereto, on June 10, 2010.</w:t>
      </w:r>
    </w:p>
    <w:p>
      <w:pPr>
        <w:spacing w:after="0" w:line="133" w:lineRule="exact"/>
        <w:rPr>
          <w:sz w:val="20"/>
          <w:szCs w:val="20"/>
          <w:color w:val="auto"/>
        </w:rPr>
      </w:pPr>
    </w:p>
    <w:p>
      <w:pPr>
        <w:ind w:left="320" w:right="979" w:firstLine="369"/>
        <w:spacing w:after="0" w:line="293" w:lineRule="auto"/>
        <w:rPr>
          <w:sz w:val="20"/>
          <w:szCs w:val="20"/>
          <w:color w:val="auto"/>
        </w:rPr>
      </w:pPr>
      <w:r>
        <w:rPr>
          <w:rFonts w:ascii="Arial" w:cs="Arial" w:eastAsia="Arial" w:hAnsi="Arial"/>
          <w:sz w:val="15"/>
          <w:szCs w:val="15"/>
          <w:color w:val="auto"/>
        </w:rPr>
        <w:t>Following the June 10, 2010 hearing, the Court ruled that, notwithstanding the United States’ objections, the Court would not object to the provisions of the settlement agreement proposed by the University and the relator that provide, among other things,</w:t>
      </w:r>
    </w:p>
    <w:p>
      <w:pPr>
        <w:ind w:left="320" w:right="699" w:hanging="10"/>
        <w:spacing w:after="0" w:line="291" w:lineRule="auto"/>
        <w:tabs>
          <w:tab w:leader="none" w:pos="552"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that the $5,200 settlement amount would be payable by the University on the earlier of September 1, 2011 or the issuance by the Department of Education to the University of a full three-year Title IV program participation agreement, and (b) that the University would receive a release from future False Claims Act claims (i.e.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actions) with respect to all conduct which is of the same subject matter as the conduct that is at issue in the current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litigation (the “covered conduct”) through April 28, 2010 (the date that the settlement agreement was submitted to the Court). The Court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Department of Education to the fullest extent permitted by applicable law, from future Department of Education administrative actions with respect to the covered conduct, and (ii) a provision confirming that the University had fully complied with the OIG subpoena.</w:t>
      </w:r>
    </w:p>
    <w:p>
      <w:pPr>
        <w:spacing w:after="0" w:line="132"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color w:val="auto"/>
        </w:rPr>
        <w:t>Following the August 13, 2010 hearing, on August 17, 2010 the Court filed an order approving a settlement agreement between the University and the relator. In its August 17, 2010 order, the Court approved the inclusion of the administrative release provision in the settlement agreement, but stated that it lacked a basis for making a finding regarding the University’s compliance with the OIG subpoena. As a result, the settlement agreement provided a release to the University, given by the relator acting on behalf of the Department of Education to the fullest extent permitted by law, from future Department of Education administrative actions with respect to the covered conduct for the period from January 1, 2001 to April 28, 2010, although the Department of Education does retain the power it currently possesses to initiate other administrative actions against the University. On August 20, 2010, the Court filed an order dismissing the matter with prejudice pursuant to the settlement. As required by the settlement agreement, the University promptly deposited $5,200 into an interest-bearing segregated account controlled by the University, for payment to the United States and the relator in accordance with the terms of the settlement agreement, as described above.</w:t>
      </w:r>
    </w:p>
    <w:p>
      <w:pPr>
        <w:spacing w:after="0" w:line="119"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 xml:space="preserve">On September 16, 2010, the United States filed a notice with the Court that it intended to appeal, before the U.S. Court of Appeals for the Ninth Circuit, the Court’s June 10, 2010 and August 17, 2010 orders overruling the United States’ objections to the settlement and the Courts’ August 20, 2010 order dismissing that matter with prejudice pursuant to the settlement. On December 27, 2010 the United States filed a motion with the Court of Appeals seeking to voluntarily dismiss its appeal of the District Court’s orders. The Court of Appeals granted this motion on December 28, 2010. As a result, the settlement agreement previously approved by the District Court took effect on the terms previously disclosed. Subject to the distribution of the settlement amount from escrow in accordance with the terms of the settlement agreement, the University management believes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which was originally filed in 2007 and unsealed in 2008, is now resolved.</w:t>
      </w:r>
    </w:p>
    <w:p>
      <w:pPr>
        <w:spacing w:after="0" w:line="133" w:lineRule="exact"/>
        <w:rPr>
          <w:sz w:val="20"/>
          <w:szCs w:val="20"/>
          <w:color w:val="auto"/>
        </w:rPr>
      </w:pPr>
    </w:p>
    <w:p>
      <w:pPr>
        <w:jc w:val="both"/>
        <w:ind w:left="320" w:right="1079" w:firstLine="369"/>
        <w:spacing w:after="0" w:line="264" w:lineRule="auto"/>
        <w:rPr>
          <w:sz w:val="20"/>
          <w:szCs w:val="20"/>
          <w:color w:val="auto"/>
        </w:rPr>
      </w:pPr>
      <w:r>
        <w:rPr>
          <w:rFonts w:ascii="Arial" w:cs="Arial" w:eastAsia="Arial" w:hAnsi="Arial"/>
          <w:sz w:val="17"/>
          <w:szCs w:val="17"/>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Tax Reserves, Non-Income Tax Related</w:t>
      </w:r>
    </w:p>
    <w:p>
      <w:pPr>
        <w:spacing w:after="0" w:line="176" w:lineRule="exact"/>
        <w:rPr>
          <w:sz w:val="20"/>
          <w:szCs w:val="20"/>
          <w:color w:val="auto"/>
        </w:rPr>
      </w:pPr>
    </w:p>
    <w:p>
      <w:pPr>
        <w:ind w:left="320" w:right="719" w:firstLine="369"/>
        <w:spacing w:after="0" w:line="275"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At December 31, 2010 and 2009, the University has reserved approximately $92 and $229 for tax matters where its ultimate exposure is considered probable and the potential loss can be reasonably estimated. During 2009, a non-income tax related matter related to the University’s classification of its online faculty as independent contractors was resolved with the Internal Revenue Service (“IRS”) and, effective July 1, 2009, all faculty for the University have been treated as employees. The University had reserved $235 in 2008 related to this matter, which approximated the amount paid in 2009.</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 Derivative Instruments</w:t>
      </w:r>
    </w:p>
    <w:p>
      <w:pPr>
        <w:spacing w:after="0" w:line="180" w:lineRule="exact"/>
        <w:rPr>
          <w:sz w:val="20"/>
          <w:szCs w:val="20"/>
          <w:color w:val="auto"/>
        </w:rPr>
      </w:pPr>
    </w:p>
    <w:p>
      <w:pPr>
        <w:ind w:left="320" w:right="699" w:firstLine="369"/>
        <w:spacing w:after="0" w:line="289" w:lineRule="auto"/>
        <w:rPr>
          <w:sz w:val="20"/>
          <w:szCs w:val="20"/>
          <w:color w:val="auto"/>
        </w:rPr>
      </w:pPr>
      <w:r>
        <w:rPr>
          <w:rFonts w:ascii="Arial" w:cs="Arial" w:eastAsia="Arial" w:hAnsi="Arial"/>
          <w:sz w:val="15"/>
          <w:szCs w:val="15"/>
          <w:color w:val="auto"/>
        </w:rPr>
        <w:t>On June 30, 2009, the University entered into two derivative agreements to manage its 30-day LIBOR interest exposure related to its variable rate note payable. Neither of these instruments contained financing elements. The contractual terms of the University’s derivative instruments have not been structured to ensure that net payments will be made by one party in the earlier periods and subsequently returned by the counterparty in later periods of the derivative’s term. Neither of the University’s derivative instruments have been amended or modified since their inception. The interest rate corridor required an upfront payment of $164 by the University to the counterparty solely for the time value of an out-of-the-money option contract based on the forward LIBOR rate curve at the instrument’s inception. Accordingly, the fair value of the corridor derivative asset at inception was $164. The fair value for the interest rate corridor was determined using a hypothetical derivative transaction and Level 2 of the hierarchy of valuation inputs. The fair value as of December 31, 2010 and 2009 with adjustment for credit risk was $27 and $113, respectively, and this derivative asset is included in other assets in the accompanying balance sheet. The interest rate swap instrument was an out-of-the-money option contract based on the forward LIBOR rate curve at the instrument’s inception. The fair value of the interest rate swap, with adjustment for credit risk, is a liability of $686 and $228 as of December 31, 2010 and 2009, respectively, and is included in other noncurrent liabilities in the accompanying balance sheet. These derivative instruments were designated as cash flow hedges of variable rate note payable obligations. Accordingly, the adjustment of $551 and $278 for the year ended December 31, 2010 and 2009, respectively, for the effective portion of the loss on the derivatives is included as a component of other comprehensive income, net of taxes.</w:t>
      </w:r>
    </w:p>
    <w:p>
      <w:pPr>
        <w:spacing w:after="0" w:line="128" w:lineRule="exact"/>
        <w:rPr>
          <w:sz w:val="20"/>
          <w:szCs w:val="20"/>
          <w:color w:val="auto"/>
        </w:rPr>
      </w:pPr>
    </w:p>
    <w:p>
      <w:pPr>
        <w:ind w:left="320" w:right="679" w:firstLine="369"/>
        <w:spacing w:after="0" w:line="278" w:lineRule="auto"/>
        <w:rPr>
          <w:sz w:val="20"/>
          <w:szCs w:val="20"/>
          <w:color w:val="auto"/>
        </w:rPr>
      </w:pPr>
      <w:r>
        <w:rPr>
          <w:rFonts w:ascii="Arial" w:cs="Arial" w:eastAsia="Arial" w:hAnsi="Arial"/>
          <w:sz w:val="16"/>
          <w:szCs w:val="16"/>
          <w:color w:val="auto"/>
        </w:rPr>
        <w:t>The interest rate corridor instrument hedges variable interest rate risk starting July 1, 2009 through April 30, 2014 with a notional amount of $11,482 as of December 31, 2010. The corridor instrument permits the University to hedge its interest rate risk at several thresholds; the University will pay variable interest rates based on the 30-day LIBOR rates monthly until that index reaches 4%. If 30-day LIBOR is equal to 4% through 6%, the University will pay 4%. If 30-day LIBOR exceeds 6%, the University will pay actual 30-day LIBOR less 2%. This reduces the University’s exposure to potential increases in interest rates.</w:t>
      </w:r>
    </w:p>
    <w:p>
      <w:pPr>
        <w:spacing w:after="0" w:line="140" w:lineRule="exact"/>
        <w:rPr>
          <w:sz w:val="20"/>
          <w:szCs w:val="20"/>
          <w:color w:val="auto"/>
        </w:rPr>
      </w:pPr>
    </w:p>
    <w:p>
      <w:pPr>
        <w:ind w:left="320" w:right="859" w:firstLine="369"/>
        <w:spacing w:after="0" w:line="278"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$11,482 as of December 31, 2010. The University will receive 30-day LIBOR and pay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December 31, 2010 in the amount of $760.</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11. Earnings Per Share</w:t>
      </w:r>
    </w:p>
    <w:p>
      <w:pPr>
        <w:spacing w:after="0" w:line="180" w:lineRule="exact"/>
        <w:rPr>
          <w:sz w:val="20"/>
          <w:szCs w:val="20"/>
          <w:color w:val="auto"/>
        </w:rPr>
      </w:pPr>
    </w:p>
    <w:p>
      <w:pPr>
        <w:ind w:left="320" w:right="779" w:firstLine="369"/>
        <w:spacing w:after="0" w:line="275"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12), is also included in the diluted shares computation if enrollment levels have been attained, unless anti-dilutive.</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959" w:firstLine="369"/>
        <w:spacing w:after="0" w:line="277" w:lineRule="auto"/>
        <w:rPr>
          <w:sz w:val="20"/>
          <w:szCs w:val="20"/>
          <w:color w:val="auto"/>
        </w:rPr>
      </w:pPr>
      <w:r>
        <w:rPr>
          <w:rFonts w:ascii="Arial" w:cs="Arial" w:eastAsia="Arial" w:hAnsi="Arial"/>
          <w:sz w:val="17"/>
          <w:szCs w:val="17"/>
          <w:color w:val="auto"/>
        </w:rPr>
        <w:t>The table below reflects the calculation of the weighted average number of common shares outstanding, on an as if converted basis, used in computing basic and diluted earnings per common share.</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2700" w:type="dxa"/>
            <w:vAlign w:val="bottom"/>
            <w:tcBorders>
              <w:bottom w:val="single" w:sz="8" w:color="auto"/>
            </w:tcBorders>
            <w:gridSpan w:val="5"/>
          </w:tcPr>
          <w:p>
            <w:pPr>
              <w:ind w:left="800"/>
              <w:spacing w:after="0"/>
              <w:rPr>
                <w:sz w:val="20"/>
                <w:szCs w:val="20"/>
                <w:color w:val="auto"/>
              </w:rPr>
            </w:pPr>
            <w:r>
              <w:rPr>
                <w:rFonts w:ascii="Arial" w:cs="Arial" w:eastAsia="Arial" w:hAnsi="Arial"/>
                <w:sz w:val="17"/>
                <w:szCs w:val="17"/>
                <w:b w:val="1"/>
                <w:bCs w:val="1"/>
                <w:color w:val="auto"/>
                <w:w w:val="90"/>
              </w:rPr>
              <w:t>Year Ended December 31,</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5640" w:type="dxa"/>
            <w:vAlign w:val="bottom"/>
          </w:tcPr>
          <w:p>
            <w:pPr>
              <w:spacing w:after="0"/>
              <w:rPr>
                <w:sz w:val="17"/>
                <w:szCs w:val="17"/>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r>
      <w:tr>
        <w:trPr>
          <w:trHeight w:val="198"/>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5640" w:type="dxa"/>
            <w:vAlign w:val="bottom"/>
          </w:tcPr>
          <w:p>
            <w:pPr>
              <w:ind w:left="180"/>
              <w:spacing w:after="0"/>
              <w:rPr>
                <w:sz w:val="20"/>
                <w:szCs w:val="20"/>
                <w:color w:val="auto"/>
              </w:rPr>
            </w:pPr>
            <w:r>
              <w:rPr>
                <w:rFonts w:ascii="Arial" w:cs="Arial" w:eastAsia="Arial" w:hAnsi="Arial"/>
                <w:sz w:val="17"/>
                <w:szCs w:val="17"/>
                <w:color w:val="auto"/>
              </w:rPr>
              <w:t>Basic common shares outstanding</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45,721,999</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45,184,186</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22,184,766</w:t>
            </w:r>
          </w:p>
        </w:tc>
      </w:tr>
      <w:tr>
        <w:trPr>
          <w:trHeight w:val="205"/>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dilutive preferred stock</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9,559,801</w:t>
            </w:r>
          </w:p>
        </w:tc>
      </w:tr>
      <w:tr>
        <w:trPr>
          <w:trHeight w:val="205"/>
        </w:trPr>
        <w:tc>
          <w:tcPr>
            <w:tcW w:w="5640" w:type="dxa"/>
            <w:vAlign w:val="bottom"/>
          </w:tcPr>
          <w:p>
            <w:pPr>
              <w:ind w:left="180"/>
              <w:spacing w:after="0"/>
              <w:rPr>
                <w:sz w:val="20"/>
                <w:szCs w:val="20"/>
                <w:color w:val="auto"/>
              </w:rPr>
            </w:pPr>
            <w:r>
              <w:rPr>
                <w:rFonts w:ascii="Arial" w:cs="Arial" w:eastAsia="Arial" w:hAnsi="Arial"/>
                <w:sz w:val="17"/>
                <w:szCs w:val="17"/>
                <w:color w:val="auto"/>
              </w:rPr>
              <w:t>Effect of dilutive warrants</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1,666,312</w:t>
            </w:r>
          </w:p>
        </w:tc>
      </w:tr>
      <w:tr>
        <w:trPr>
          <w:trHeight w:val="205"/>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contingently issuable common stock</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19,010</w:t>
            </w:r>
          </w:p>
        </w:tc>
      </w:tr>
      <w:tr>
        <w:trPr>
          <w:trHeight w:val="205"/>
        </w:trPr>
        <w:tc>
          <w:tcPr>
            <w:tcW w:w="5640" w:type="dxa"/>
            <w:vAlign w:val="bottom"/>
          </w:tcPr>
          <w:p>
            <w:pPr>
              <w:ind w:left="180"/>
              <w:spacing w:after="0"/>
              <w:rPr>
                <w:sz w:val="20"/>
                <w:szCs w:val="20"/>
                <w:color w:val="auto"/>
              </w:rPr>
            </w:pPr>
            <w:r>
              <w:rPr>
                <w:rFonts w:ascii="Arial" w:cs="Arial" w:eastAsia="Arial" w:hAnsi="Arial"/>
                <w:sz w:val="17"/>
                <w:szCs w:val="17"/>
                <w:color w:val="auto"/>
              </w:rPr>
              <w:t>Effect of dilutive stock options and restricted stock</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673,917</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318,639</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6"/>
        </w:trPr>
        <w:tc>
          <w:tcPr>
            <w:tcW w:w="5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5"/>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common shares outstanding</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46,395,916</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45,502,825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33,429,889</w:t>
            </w:r>
          </w:p>
        </w:tc>
      </w:tr>
      <w:tr>
        <w:trPr>
          <w:trHeight w:val="20"/>
        </w:trPr>
        <w:tc>
          <w:tcPr>
            <w:tcW w:w="5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color w:val="auto"/>
        </w:rPr>
        <w:t>Diluted weighted average shares outstanding exclude the incremental effect of shares that would be issued upon the assumed exercise of stock options. For the year ended December 31, 2010 and 2009, approximately 1,020,863 and 196,804, respectively, of the University’s stock options outstanding were excluded from the calculation of diluted earnings per share as their inclusion would have been anti-dilutive. These options could be dilutive in the future.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 Preferred Stock and Equity Transactions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6" w:lineRule="exact"/>
        <w:rPr>
          <w:sz w:val="20"/>
          <w:szCs w:val="20"/>
          <w:color w:val="auto"/>
        </w:rPr>
      </w:pPr>
    </w:p>
    <w:p>
      <w:pPr>
        <w:jc w:val="both"/>
        <w:ind w:left="320" w:right="679" w:firstLine="369"/>
        <w:spacing w:after="0" w:line="260" w:lineRule="auto"/>
        <w:rPr>
          <w:sz w:val="20"/>
          <w:szCs w:val="20"/>
          <w:color w:val="auto"/>
        </w:rPr>
      </w:pPr>
      <w:r>
        <w:rPr>
          <w:rFonts w:ascii="Arial" w:cs="Arial" w:eastAsia="Arial" w:hAnsi="Arial"/>
          <w:sz w:val="17"/>
          <w:szCs w:val="17"/>
          <w:color w:val="auto"/>
        </w:rPr>
        <w:t>As of December 31, 2010 and 2009, the University had 10,000,000 shares of authorized but unissued and undesignated preferred stock. As of December 31, 2007, the following series of preferred stock had been authorized, all of which were previously repurchased or converted into shares of the University’s common stock in connection with the University’s initial public offering of common stock in November 2008.</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176" w:lineRule="exact"/>
        <w:rPr>
          <w:sz w:val="20"/>
          <w:szCs w:val="20"/>
          <w:color w:val="auto"/>
        </w:rPr>
      </w:pPr>
    </w:p>
    <w:p>
      <w:pPr>
        <w:ind w:left="320" w:right="719" w:firstLine="369"/>
        <w:spacing w:after="0" w:line="297" w:lineRule="auto"/>
        <w:rPr>
          <w:sz w:val="20"/>
          <w:szCs w:val="20"/>
          <w:color w:val="auto"/>
        </w:rPr>
      </w:pPr>
      <w:r>
        <w:rPr>
          <w:rFonts w:ascii="Arial" w:cs="Arial" w:eastAsia="Arial" w:hAnsi="Arial"/>
          <w:sz w:val="15"/>
          <w:szCs w:val="15"/>
          <w:color w:val="auto"/>
        </w:rPr>
        <w:t>The University entered into a Series A convertible preferred stock (the “Series A”) purchase agreement on August 24, 2005. The holders of Series A were entitled to vote and to receive dividends, when and as declared by the board of directors from time to time, in each case on an as-converted to common stock basis. The Series A was originally convertible into common stock on a one for one basis, but, as a result of the stock split that occurred in connection with the University’s initial public offering of common stock, the Series A ultimately converted at a ratio of 1,826 shares of common stock for each share of Series A, or a total of 10,870,178 shares of common stock, upon the completion of the University’s initial public offering of common stock in November 2008.</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Series C Preferred Stock</w:t>
      </w:r>
    </w:p>
    <w:p>
      <w:pPr>
        <w:spacing w:after="0" w:line="189" w:lineRule="exact"/>
        <w:rPr>
          <w:sz w:val="20"/>
          <w:szCs w:val="20"/>
          <w:color w:val="auto"/>
        </w:rPr>
      </w:pPr>
    </w:p>
    <w:p>
      <w:pPr>
        <w:ind w:left="320" w:right="739" w:firstLine="369"/>
        <w:spacing w:after="0" w:line="273" w:lineRule="auto"/>
        <w:rPr>
          <w:sz w:val="20"/>
          <w:szCs w:val="20"/>
          <w:color w:val="auto"/>
        </w:rPr>
      </w:pPr>
      <w:r>
        <w:rPr>
          <w:rFonts w:ascii="Arial" w:cs="Arial" w:eastAsia="Arial" w:hAnsi="Arial"/>
          <w:sz w:val="16"/>
          <w:szCs w:val="16"/>
          <w:color w:val="auto"/>
        </w:rPr>
        <w:t>On December 18, 2007, the University entered into a Series C preferred stock purchase agreement and subscription agreement. The holders of Series C were entitled to receive, in preference to the holders of the all other classes of stock, when and as declared by the board of directors or upon a liquidation event, cumulative dividends at a rate of 8.0% per year, less the amount of any dividends actually paid. Such dividends accrued whether or not declared by the board of directors, whether or not there were funds legally available to pay dividends, and compounded on an annual basis. In the event of liquidation, or a change in control, as defined, the holders of the Series C were entitled to receive, in preference to all other shareholders, any distributions of the assets of the University equal to two times the original purchase price of the shares, or $7,000 per share, subject to certain adjustments, plus all accumulated but unpaid dividends. The Series C was non-voting.</w:t>
      </w:r>
    </w:p>
    <w:p>
      <w:pPr>
        <w:spacing w:after="0" w:line="133" w:lineRule="exact"/>
        <w:rPr>
          <w:sz w:val="20"/>
          <w:szCs w:val="20"/>
          <w:color w:val="auto"/>
        </w:rPr>
      </w:pPr>
    </w:p>
    <w:p>
      <w:pPr>
        <w:ind w:left="320" w:right="919" w:firstLine="369"/>
        <w:spacing w:after="0" w:line="309" w:lineRule="auto"/>
        <w:rPr>
          <w:sz w:val="20"/>
          <w:szCs w:val="20"/>
          <w:color w:val="auto"/>
        </w:rPr>
      </w:pPr>
      <w:r>
        <w:rPr>
          <w:rFonts w:ascii="Arial" w:cs="Arial" w:eastAsia="Arial" w:hAnsi="Arial"/>
          <w:sz w:val="16"/>
          <w:szCs w:val="16"/>
          <w:color w:val="auto"/>
        </w:rPr>
        <w:t>On December 18, 2007 the University issued 1,359 shares of Series C stock and received net proceeds of $4,720 in cash and a subscription receivable of $5,725 for the remaining 1,636 shares, which were paid for and issued in January 2008.</w:t>
      </w: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In May 2008, the board of directors and stockholders of the University authorized an amendment to be made to the University’s certificate of incorporation that provided for the Series C preferred stock to convert automatically into common stock upon the closing of a qualified public offering. In November 2008, the board of directors and stockholders of the University revised such amendment to clarify that, upon conversion to common stock, accrued and unpaid dividends would be disregarded and not paid. The amendment was filed on November 19, 2008, and became effective prior to the effectiveness of the registration statement relating to the University’s initial public offering. The number of shares of common stock issued upon conversion of the Series C in connection with the initial public offering was equal to the aggregate liquidation preference of the Series C preferred stock divided by the public offering price of the common stock, which equaled $26,800 divided by $12.00, or 2,233,333 shares of common stock. The accrued but unpaid dividends related to the Series C were accretive through November 19, 2008 resulting in cumulative undeclared dividends on the Series C of $938 upon conversion.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Common Stock</w:t>
      </w:r>
    </w:p>
    <w:p>
      <w:pPr>
        <w:spacing w:after="0" w:line="189" w:lineRule="exact"/>
        <w:rPr>
          <w:sz w:val="20"/>
          <w:szCs w:val="20"/>
          <w:color w:val="auto"/>
        </w:rPr>
      </w:pPr>
    </w:p>
    <w:p>
      <w:pPr>
        <w:ind w:left="320" w:right="679" w:firstLine="369"/>
        <w:spacing w:after="0" w:line="274" w:lineRule="auto"/>
        <w:rPr>
          <w:sz w:val="20"/>
          <w:szCs w:val="20"/>
          <w:color w:val="auto"/>
        </w:rPr>
      </w:pPr>
      <w:r>
        <w:rPr>
          <w:rFonts w:ascii="Arial" w:cs="Arial" w:eastAsia="Arial" w:hAnsi="Arial"/>
          <w:sz w:val="16"/>
          <w:szCs w:val="16"/>
          <w:color w:val="auto"/>
        </w:rPr>
        <w:t>On September 26, 2008 the University’s Board of Directors approved an amendment to the Company’s charter to increase the Company’s authorized common stock to 100,000,000 common shares. This charter amendment was approved by the University’s stockholders on September 27, 2008 and became effective on September 29, 2008. On September 26, 2008, the University’s Board of Directors declared a 1,826 for one stock split of its outstanding common stock, which became effective on 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132" w:lineRule="exact"/>
        <w:rPr>
          <w:sz w:val="20"/>
          <w:szCs w:val="20"/>
          <w:color w:val="auto"/>
        </w:rPr>
      </w:pPr>
    </w:p>
    <w:p>
      <w:pPr>
        <w:ind w:left="320" w:right="779" w:firstLine="369"/>
        <w:spacing w:after="0" w:line="271" w:lineRule="auto"/>
        <w:rPr>
          <w:sz w:val="20"/>
          <w:szCs w:val="20"/>
          <w:color w:val="auto"/>
        </w:rPr>
      </w:pPr>
      <w:r>
        <w:rPr>
          <w:rFonts w:ascii="Arial" w:cs="Arial" w:eastAsia="Arial" w:hAnsi="Arial"/>
          <w:sz w:val="16"/>
          <w:szCs w:val="16"/>
          <w:color w:val="auto"/>
        </w:rPr>
        <w:t>In June 2004, the University entered into a license agreement with Blanchard relating to the University’s use of the Ken Blanchard name for its College of Business. Under the terms of that agreement the University agreed to pay Blanchard a royalty generated on net tuition from certain programs in the University’s College of Business and to issue to Blanchard up to 909,348 shares of common stock with the actual number issued to be contingent upon the University’s achievement of stated enrollment levels in its College of Business during the term of the agreement. As of December 31, 2006, the University deemed it probable that 182,600 shares would be earned and, as of August 15, 2007, those 182,600 shares were earned and due to Blanchard under this agreement, On May 9, 2008, the University and Blanchard amended the terms of the agreement pursuant to which Blanchard was issued 365,200 shares of the University’s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 Included in due to related parties is $875 and $869 at December 31, 2010 and 2009, respectively, related to the royalty arrangement.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Treasury Stock</w:t>
      </w:r>
    </w:p>
    <w:p>
      <w:pPr>
        <w:spacing w:after="0" w:line="189" w:lineRule="exact"/>
        <w:rPr>
          <w:sz w:val="20"/>
          <w:szCs w:val="20"/>
          <w:color w:val="auto"/>
        </w:rPr>
      </w:pPr>
    </w:p>
    <w:p>
      <w:pPr>
        <w:ind w:left="320" w:right="679" w:firstLine="369"/>
        <w:spacing w:after="0" w:line="295" w:lineRule="auto"/>
        <w:rPr>
          <w:sz w:val="20"/>
          <w:szCs w:val="20"/>
          <w:color w:val="auto"/>
        </w:rPr>
      </w:pPr>
      <w:r>
        <w:rPr>
          <w:rFonts w:ascii="Arial" w:cs="Arial" w:eastAsia="Arial" w:hAnsi="Arial"/>
          <w:sz w:val="15"/>
          <w:szCs w:val="15"/>
          <w:color w:val="auto"/>
        </w:rPr>
        <w:t>On August 16, 2010, the University announced that its Board of Directors had authorized the University to repurchase up to $25,000 of common stock, from time to time, depending on market conditions and other considerations. The expiration date on the repurchase authorizations is September 30, 2011 and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50,000 common stock shares at an aggregate cost of $782, which are recorded at cost in the accompanying December 31, 2010 balance sheet and statement of stockholders’ equity (deficit).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6" w:lineRule="exact"/>
        <w:rPr>
          <w:sz w:val="20"/>
          <w:szCs w:val="20"/>
          <w:color w:val="auto"/>
        </w:rPr>
      </w:pPr>
    </w:p>
    <w:p>
      <w:pPr>
        <w:ind w:left="320" w:right="759" w:firstLine="369"/>
        <w:spacing w:after="0" w:line="258" w:lineRule="auto"/>
        <w:rPr>
          <w:sz w:val="20"/>
          <w:szCs w:val="20"/>
          <w:color w:val="auto"/>
        </w:rPr>
      </w:pPr>
      <w:r>
        <w:rPr>
          <w:rFonts w:ascii="Arial" w:cs="Arial" w:eastAsia="Arial" w:hAnsi="Arial"/>
          <w:sz w:val="17"/>
          <w:szCs w:val="17"/>
          <w:color w:val="auto"/>
        </w:rPr>
        <w:t>The Company’s charter, which became effective upon the completion of the University’s initial public offering,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Warrants to Purchase Common Stock</w:t>
      </w:r>
    </w:p>
    <w:p>
      <w:pPr>
        <w:spacing w:after="0" w:line="176" w:lineRule="exact"/>
        <w:rPr>
          <w:sz w:val="20"/>
          <w:szCs w:val="20"/>
          <w:color w:val="auto"/>
        </w:rPr>
      </w:pPr>
    </w:p>
    <w:p>
      <w:pPr>
        <w:ind w:left="320" w:right="2100" w:firstLine="369"/>
        <w:spacing w:after="0" w:line="278" w:lineRule="auto"/>
        <w:rPr>
          <w:sz w:val="20"/>
          <w:szCs w:val="20"/>
          <w:color w:val="auto"/>
        </w:rPr>
      </w:pPr>
      <w:r>
        <w:rPr>
          <w:rFonts w:ascii="Arial" w:cs="Arial" w:eastAsia="Arial" w:hAnsi="Arial"/>
          <w:sz w:val="16"/>
          <w:szCs w:val="16"/>
          <w:color w:val="auto"/>
        </w:rPr>
        <w:t>In 2004, the Company issued the Institute Warrant to purchase a 10.0% non-dilutive membership interest (later amended to be common stock), at an exercise price of $1. The Institute Warrant was to have been exercisable for a one month period beginning on July 1, 2011. The University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2004, the University issued the Spirit Warrant, which was exercisable for 909,348 shares for an aggregate exercise price of</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$526. On November 18, 2008, the Spirit Warrant was exercised. The shares issued upon exercise of the Spirit Warrant were subject to</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repurchase at a fixed price of $16,000 at any time prior to three years after the date the Spirit Warrant was exercised, or November 18,</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2011. The University exercised this right in April 2009 and repurchased the 909,348 shares for an allocated purchase price of $14,495.</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shares were retired. See Note 2, Spirit Transaction.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Investor Rights Agreement</w:t>
      </w:r>
    </w:p>
    <w:p>
      <w:pPr>
        <w:spacing w:after="0" w:line="176" w:lineRule="exact"/>
        <w:rPr>
          <w:sz w:val="20"/>
          <w:szCs w:val="20"/>
          <w:color w:val="auto"/>
        </w:rPr>
      </w:pPr>
    </w:p>
    <w:p>
      <w:pPr>
        <w:ind w:left="320" w:right="1940" w:firstLine="369"/>
        <w:spacing w:after="0" w:line="271" w:lineRule="auto"/>
        <w:rPr>
          <w:sz w:val="20"/>
          <w:szCs w:val="20"/>
          <w:color w:val="auto"/>
        </w:rPr>
      </w:pPr>
      <w:r>
        <w:rPr>
          <w:rFonts w:ascii="Arial" w:cs="Arial" w:eastAsia="Arial" w:hAnsi="Arial"/>
          <w:sz w:val="16"/>
          <w:szCs w:val="16"/>
          <w:color w:val="auto"/>
        </w:rPr>
        <w:t>The University is a party to an investor rights agreement with certain of its investors, pursuant to which the University has granted those persons or entities the right to register shares of common stock held by them under the Securities Act of 1933, as amended (the “Securities Act”). Certain of the holders of these rights are entitled to demand that the University register their shares of common stock under the Securities Act, while others are entitled to “piggyback” registration rights in which they may require the University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University is generally required to bear all of the expenses of these registrations, except underwriting commissions, selling discounts, and transfer taxes.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13. Income Taxes</w:t>
      </w:r>
    </w:p>
    <w:p>
      <w:pPr>
        <w:spacing w:after="0" w:line="180" w:lineRule="exact"/>
        <w:rPr>
          <w:sz w:val="20"/>
          <w:szCs w:val="20"/>
          <w:color w:val="auto"/>
        </w:rPr>
      </w:pPr>
    </w:p>
    <w:p>
      <w:pPr>
        <w:ind w:left="320" w:right="1900" w:firstLine="369"/>
        <w:spacing w:after="0" w:line="258" w:lineRule="auto"/>
        <w:rPr>
          <w:sz w:val="20"/>
          <w:szCs w:val="20"/>
          <w:color w:val="auto"/>
        </w:rPr>
      </w:pPr>
      <w:r>
        <w:rPr>
          <w:rFonts w:ascii="Arial" w:cs="Arial" w:eastAsia="Arial" w:hAnsi="Arial"/>
          <w:sz w:val="17"/>
          <w:szCs w:val="17"/>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University has no valuation allowance at December 31, 2010 and 2009.</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components of income tax expense (benefit)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3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7"/>
                <w:szCs w:val="17"/>
                <w:color w:val="auto"/>
              </w:rPr>
              <w:t>Federal</w:t>
            </w:r>
          </w:p>
        </w:tc>
        <w:tc>
          <w:tcPr>
            <w:tcW w:w="3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22,522</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16,587</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3,564</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State</w:t>
            </w:r>
          </w:p>
        </w:tc>
        <w:tc>
          <w:tcPr>
            <w:tcW w:w="3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5,163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432</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27,685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20,102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3,996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3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7"/>
                <w:szCs w:val="17"/>
                <w:color w:val="auto"/>
              </w:rPr>
              <w:t>Federal</w:t>
            </w: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1,321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(1,498)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190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State</w:t>
            </w:r>
          </w:p>
        </w:tc>
        <w:tc>
          <w:tcPr>
            <w:tcW w:w="3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(331)</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756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(2,123)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28,441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17,979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3,855</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60" w:type="dxa"/>
            <w:vAlign w:val="bottom"/>
            <w:vMerge w:val="restart"/>
          </w:tcPr>
          <w:p>
            <w:pPr>
              <w:jc w:val="right"/>
              <w:ind w:right="815"/>
              <w:spacing w:after="0"/>
              <w:rPr>
                <w:sz w:val="20"/>
                <w:szCs w:val="20"/>
                <w:color w:val="auto"/>
              </w:rPr>
            </w:pPr>
            <w:r>
              <w:rPr>
                <w:rFonts w:ascii="Arial" w:cs="Arial" w:eastAsia="Arial" w:hAnsi="Arial"/>
                <w:sz w:val="17"/>
                <w:szCs w:val="17"/>
                <w:color w:val="auto"/>
              </w:rPr>
              <w:t>119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30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 reconciliation of income tax computed at the U.S. statutory rate to the effective income tax rate is as follows: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500" w:type="dxa"/>
            <w:vAlign w:val="bottom"/>
          </w:tcPr>
          <w:p>
            <w:pPr>
              <w:spacing w:after="0"/>
              <w:rPr>
                <w:sz w:val="19"/>
                <w:szCs w:val="19"/>
                <w:color w:val="auto"/>
              </w:rPr>
            </w:pPr>
          </w:p>
        </w:tc>
        <w:tc>
          <w:tcPr>
            <w:tcW w:w="2840" w:type="dxa"/>
            <w:vAlign w:val="bottom"/>
            <w:tcBorders>
              <w:bottom w:val="single" w:sz="8" w:color="auto"/>
            </w:tcBorders>
            <w:gridSpan w:val="5"/>
          </w:tcPr>
          <w:p>
            <w:pPr>
              <w:ind w:left="820"/>
              <w:spacing w:after="0"/>
              <w:rPr>
                <w:sz w:val="20"/>
                <w:szCs w:val="20"/>
                <w:color w:val="auto"/>
              </w:rPr>
            </w:pPr>
            <w:r>
              <w:rPr>
                <w:rFonts w:ascii="Arial" w:cs="Arial" w:eastAsia="Arial" w:hAnsi="Arial"/>
                <w:sz w:val="17"/>
                <w:szCs w:val="17"/>
                <w:b w:val="1"/>
                <w:bCs w:val="1"/>
                <w:color w:val="auto"/>
                <w:w w:val="95"/>
              </w:rPr>
              <w:t>Year Ended December 31,</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500" w:type="dxa"/>
            <w:vAlign w:val="bottom"/>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420" w:type="dxa"/>
            <w:vAlign w:val="bottom"/>
          </w:tcPr>
          <w:p>
            <w:pPr>
              <w:spacing w:after="0"/>
              <w:rPr>
                <w:sz w:val="17"/>
                <w:szCs w:val="17"/>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Statutory U.S. federal income tax rate (benefit)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5"/>
        </w:trPr>
        <w:tc>
          <w:tcPr>
            <w:tcW w:w="5500" w:type="dxa"/>
            <w:vAlign w:val="bottom"/>
          </w:tcPr>
          <w:p>
            <w:pPr>
              <w:spacing w:after="0"/>
              <w:rPr>
                <w:sz w:val="20"/>
                <w:szCs w:val="20"/>
                <w:color w:val="auto"/>
              </w:rPr>
            </w:pPr>
            <w:r>
              <w:rPr>
                <w:rFonts w:ascii="Arial" w:cs="Arial" w:eastAsia="Arial" w:hAnsi="Arial"/>
                <w:sz w:val="17"/>
                <w:szCs w:val="17"/>
                <w:color w:val="auto"/>
              </w:rPr>
              <w:t>State income taxes, net of federal tax benefit</w:t>
            </w: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5.5</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credits, net of federal effect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5"/>
        </w:trPr>
        <w:tc>
          <w:tcPr>
            <w:tcW w:w="5500" w:type="dxa"/>
            <w:vAlign w:val="bottom"/>
          </w:tcPr>
          <w:p>
            <w:pPr>
              <w:spacing w:after="0"/>
              <w:rPr>
                <w:sz w:val="20"/>
                <w:szCs w:val="20"/>
                <w:color w:val="auto"/>
              </w:rPr>
            </w:pPr>
            <w:r>
              <w:rPr>
                <w:rFonts w:ascii="Arial" w:cs="Arial" w:eastAsia="Arial" w:hAnsi="Arial"/>
                <w:sz w:val="17"/>
                <w:szCs w:val="17"/>
                <w:color w:val="auto"/>
              </w:rPr>
              <w:t>Non deductible expenses</w:t>
            </w: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0.3</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Effective income tax rate (benefit)</w:t>
            </w: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39.1%</w:t>
            </w:r>
          </w:p>
        </w:tc>
        <w:tc>
          <w:tcPr>
            <w:tcW w:w="1340" w:type="dxa"/>
            <w:vAlign w:val="bottom"/>
            <w:gridSpan w:val="2"/>
          </w:tcPr>
          <w:p>
            <w:pPr>
              <w:jc w:val="right"/>
              <w:ind w:right="280"/>
              <w:spacing w:after="0"/>
              <w:rPr>
                <w:sz w:val="20"/>
                <w:szCs w:val="20"/>
                <w:color w:val="auto"/>
              </w:rPr>
            </w:pPr>
            <w:r>
              <w:rPr>
                <w:rFonts w:ascii="Arial" w:cs="Arial" w:eastAsia="Arial" w:hAnsi="Arial"/>
                <w:sz w:val="17"/>
                <w:szCs w:val="17"/>
                <w:color w:val="auto"/>
              </w:rPr>
              <w:t>39.7%</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2180" w:firstLine="369"/>
        <w:spacing w:after="0" w:line="277" w:lineRule="auto"/>
        <w:rPr>
          <w:sz w:val="20"/>
          <w:szCs w:val="20"/>
          <w:color w:val="auto"/>
        </w:rPr>
      </w:pPr>
      <w:r>
        <w:rPr>
          <w:rFonts w:ascii="Arial" w:cs="Arial" w:eastAsia="Arial" w:hAnsi="Arial"/>
          <w:sz w:val="17"/>
          <w:szCs w:val="17"/>
          <w:color w:val="auto"/>
        </w:rPr>
        <w:t>Significant components of the Company’s deferred income tax assets and liabilities as of December 31, 2010 and 2009 are as follows: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jc w:val="right"/>
              <w:ind w:right="48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Current deferred tax asset (liability):</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Arial" w:cs="Arial" w:eastAsia="Arial" w:hAnsi="Arial"/>
                <w:sz w:val="17"/>
                <w:szCs w:val="17"/>
                <w:color w:val="auto"/>
              </w:rPr>
              <w:t>Accounts receivable allowance for doubtful accounts</w:t>
            </w:r>
          </w:p>
        </w:tc>
        <w:tc>
          <w:tcPr>
            <w:tcW w:w="17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8,219</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3,315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 taxes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Arial" w:cs="Arial" w:eastAsia="Arial" w:hAnsi="Arial"/>
                <w:sz w:val="17"/>
                <w:szCs w:val="17"/>
                <w:color w:val="auto"/>
              </w:rPr>
              <w:t>Estimated litigation loss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2,275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360"/>
              <w:spacing w:after="0"/>
              <w:rPr>
                <w:sz w:val="20"/>
                <w:szCs w:val="20"/>
                <w:color w:val="auto"/>
              </w:rPr>
            </w:pPr>
            <w:r>
              <w:rPr>
                <w:rFonts w:ascii="Arial" w:cs="Arial" w:eastAsia="Arial" w:hAnsi="Arial"/>
                <w:sz w:val="17"/>
                <w:szCs w:val="17"/>
                <w:color w:val="auto"/>
              </w:rPr>
              <w:t>Current deferred tax asset</w:t>
            </w: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9,886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Non-current deferred tax asset (liability):</w:t>
            </w:r>
          </w:p>
        </w:tc>
        <w:tc>
          <w:tcPr>
            <w:tcW w:w="15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Arial" w:cs="Arial" w:eastAsia="Arial" w:hAnsi="Arial"/>
                <w:sz w:val="17"/>
                <w:szCs w:val="17"/>
                <w:color w:val="auto"/>
              </w:rPr>
              <w:t>Depreciation and leases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(7,719)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Share-based compensation</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Arial" w:cs="Arial" w:eastAsia="Arial" w:hAnsi="Arial"/>
                <w:sz w:val="17"/>
                <w:szCs w:val="17"/>
                <w:color w:val="auto"/>
              </w:rPr>
              <w:t>Unrealized gains on available for sale securities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rent</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Arial" w:cs="Arial" w:eastAsia="Arial" w:hAnsi="Arial"/>
                <w:sz w:val="17"/>
                <w:szCs w:val="17"/>
                <w:color w:val="auto"/>
              </w:rPr>
              <w:t>Intangibles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4,977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3,812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360"/>
              <w:spacing w:after="0"/>
              <w:rPr>
                <w:sz w:val="20"/>
                <w:szCs w:val="20"/>
                <w:color w:val="auto"/>
              </w:rPr>
            </w:pPr>
            <w:r>
              <w:rPr>
                <w:rFonts w:ascii="Arial" w:cs="Arial" w:eastAsia="Arial" w:hAnsi="Arial"/>
                <w:sz w:val="17"/>
                <w:szCs w:val="17"/>
                <w:color w:val="auto"/>
              </w:rPr>
              <w:t>Non-current deferred tax asset</w:t>
            </w: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2,800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5,956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12,686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1920" w:firstLine="369"/>
        <w:spacing w:after="0" w:line="300" w:lineRule="auto"/>
        <w:rPr>
          <w:sz w:val="20"/>
          <w:szCs w:val="20"/>
          <w:color w:val="auto"/>
        </w:rPr>
      </w:pPr>
      <w:r>
        <w:rPr>
          <w:rFonts w:ascii="Arial" w:cs="Arial" w:eastAsia="Arial" w:hAnsi="Arial"/>
          <w:sz w:val="15"/>
          <w:szCs w:val="15"/>
          <w:color w:val="auto"/>
        </w:rPr>
        <w:t>In January 2008, the University began its accounting for uncertainty in tax positions. The University will recognize the impact of a tax position in its financial statements if that position is more-likely-than-not of being sustained on audit, based on the technical merits of the position. The University discloses all unrecognized tax benefits, which includes the reserves recorded for uncertain tax positions on filed tax returns and the unrecognized portion of affirmative claims. No adjustment was made to opening retained earnings. The University recognizes interest and penalties related to uncertain tax positions in income tax expense.</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reconciliation of the beginning and ending balance of unrecognized tax benefits at December 31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year</w:t>
            </w:r>
          </w:p>
        </w:tc>
        <w:tc>
          <w:tcPr>
            <w:tcW w:w="29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1,066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Tax positions taken during the current year</w:t>
            </w: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Increases</w:t>
            </w: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tcPr>
          <w:p>
            <w:pPr>
              <w:ind w:left="180"/>
              <w:spacing w:after="0"/>
              <w:rPr>
                <w:sz w:val="20"/>
                <w:szCs w:val="20"/>
                <w:color w:val="auto"/>
              </w:rPr>
            </w:pPr>
            <w:r>
              <w:rPr>
                <w:rFonts w:ascii="Arial" w:cs="Arial" w:eastAsia="Arial" w:hAnsi="Arial"/>
                <w:sz w:val="17"/>
                <w:szCs w:val="17"/>
                <w:color w:val="auto"/>
              </w:rPr>
              <w:t>Decreases</w:t>
            </w: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Tax positions taken during a prior year</w:t>
            </w: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tcPr>
          <w:p>
            <w:pPr>
              <w:ind w:left="180"/>
              <w:spacing w:after="0"/>
              <w:rPr>
                <w:sz w:val="20"/>
                <w:szCs w:val="20"/>
                <w:color w:val="auto"/>
              </w:rPr>
            </w:pPr>
            <w:r>
              <w:rPr>
                <w:rFonts w:ascii="Arial" w:cs="Arial" w:eastAsia="Arial" w:hAnsi="Arial"/>
                <w:sz w:val="17"/>
                <w:szCs w:val="17"/>
                <w:color w:val="auto"/>
              </w:rPr>
              <w:t>Increases</w:t>
            </w: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Decreases</w:t>
            </w: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Decreases for settlements during the period</w:t>
            </w: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(75)</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w w:val="98"/>
              </w:rPr>
              <w:t>Reductions for lapses of applicable statute of limitations</w:t>
            </w:r>
          </w:p>
        </w:tc>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320"/>
              <w:spacing w:after="0"/>
              <w:rPr>
                <w:sz w:val="20"/>
                <w:szCs w:val="20"/>
                <w:color w:val="auto"/>
              </w:rPr>
            </w:pPr>
            <w:r>
              <w:rPr>
                <w:rFonts w:ascii="Arial" w:cs="Arial" w:eastAsia="Arial" w:hAnsi="Arial"/>
                <w:sz w:val="17"/>
                <w:szCs w:val="17"/>
                <w:color w:val="auto"/>
              </w:rPr>
              <w:t>Unrecognized tax benefits, end of year</w:t>
            </w:r>
          </w:p>
        </w:tc>
        <w:tc>
          <w:tcPr>
            <w:tcW w:w="2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604</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1,066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60" w:type="dxa"/>
            <w:vAlign w:val="bottom"/>
            <w:vMerge w:val="restart"/>
          </w:tcPr>
          <w:p>
            <w:pPr>
              <w:jc w:val="right"/>
              <w:ind w:right="2095"/>
              <w:spacing w:after="0"/>
              <w:rPr>
                <w:sz w:val="20"/>
                <w:szCs w:val="20"/>
                <w:color w:val="auto"/>
              </w:rPr>
            </w:pPr>
            <w:r>
              <w:rPr>
                <w:rFonts w:ascii="Arial" w:cs="Arial" w:eastAsia="Arial" w:hAnsi="Arial"/>
                <w:sz w:val="17"/>
                <w:szCs w:val="17"/>
                <w:color w:val="auto"/>
              </w:rPr>
              <w:t>120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3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4160" w:type="dxa"/>
            <w:vAlign w:val="bottom"/>
            <w:tcBorders>
              <w:bottom w:val="single" w:sz="8" w:color="808080"/>
            </w:tcBorders>
          </w:tcPr>
          <w:p>
            <w:pPr>
              <w:spacing w:after="0"/>
              <w:rPr>
                <w:sz w:val="18"/>
                <w:szCs w:val="18"/>
                <w:color w:val="auto"/>
              </w:rPr>
            </w:pPr>
          </w:p>
        </w:tc>
        <w:tc>
          <w:tcPr>
            <w:tcW w:w="27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As of December 31, 2010 and 2009, the unrecognized tax benefit recorded of $388 and $619, respectively, if reversed, would</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impact the effective tax rate. During the years ended December 31, 2010, 2009, and 2008, the University recognized approximately</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$80, $52 and $116, respectively, in interest and penalties. At December 31, 2010 and 2009, the University had accrued $160 and $148,</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respectively, in interest and $30 and $30, respectively, in penalties. It is reasonably possible that the amount of the unrecognized tax</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benefit will change during the next 12 months, however management does not expect the potential change to have a material effect on</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results of operations or financial position.</w:t>
      </w:r>
    </w:p>
    <w:p>
      <w:pPr>
        <w:spacing w:after="0" w:line="165" w:lineRule="exact"/>
        <w:rPr>
          <w:sz w:val="20"/>
          <w:szCs w:val="20"/>
          <w:color w:val="auto"/>
        </w:rPr>
      </w:pPr>
    </w:p>
    <w:p>
      <w:pPr>
        <w:ind w:left="320" w:right="959" w:firstLine="369"/>
        <w:spacing w:after="0" w:line="300" w:lineRule="auto"/>
        <w:rPr>
          <w:sz w:val="20"/>
          <w:szCs w:val="20"/>
          <w:color w:val="auto"/>
        </w:rPr>
      </w:pPr>
      <w:r>
        <w:rPr>
          <w:rFonts w:ascii="Arial" w:cs="Arial" w:eastAsia="Arial" w:hAnsi="Arial"/>
          <w:sz w:val="15"/>
          <w:szCs w:val="15"/>
          <w:color w:val="auto"/>
        </w:rPr>
        <w:t>The University’s uncertain tax positions are related to tax years that remain subject to examination by tax authorities. As of December 31, 2010, the earliest tax year still subject to examination for federal and state purposes is 2007 and 2005, respectively. During 2008, the IRS commenced an examination of the University’s 2005 income tax return and subsequently opened 2006 for examination. The University has finalized the federal income tax audits of 2005 and 2006 and as a result of the audit findings, paid $67 and $20 in tax and interest, respectively, for 2005 and $159 and $31 in tax and interest, respectively, for 2006 during 2010.</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14. Regulatory</w:t>
      </w:r>
    </w:p>
    <w:p>
      <w:pPr>
        <w:spacing w:after="0" w:line="180" w:lineRule="exact"/>
        <w:rPr>
          <w:sz w:val="20"/>
          <w:szCs w:val="20"/>
          <w:color w:val="auto"/>
        </w:rPr>
      </w:pPr>
    </w:p>
    <w:p>
      <w:pPr>
        <w:ind w:left="320" w:right="699" w:firstLine="369"/>
        <w:spacing w:after="0" w:line="258" w:lineRule="auto"/>
        <w:rPr>
          <w:sz w:val="20"/>
          <w:szCs w:val="20"/>
          <w:color w:val="auto"/>
        </w:rPr>
      </w:pPr>
      <w:r>
        <w:rPr>
          <w:rFonts w:ascii="Arial" w:cs="Arial" w:eastAsia="Arial" w:hAnsi="Arial"/>
          <w:sz w:val="17"/>
          <w:szCs w:val="17"/>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2" w:lineRule="exact"/>
        <w:rPr>
          <w:sz w:val="20"/>
          <w:szCs w:val="20"/>
          <w:color w:val="auto"/>
        </w:rPr>
      </w:pPr>
    </w:p>
    <w:p>
      <w:pPr>
        <w:ind w:left="320" w:right="699" w:firstLine="369"/>
        <w:spacing w:after="0" w:line="292" w:lineRule="auto"/>
        <w:rPr>
          <w:sz w:val="20"/>
          <w:szCs w:val="20"/>
          <w:color w:val="auto"/>
        </w:rPr>
      </w:pPr>
      <w:r>
        <w:rPr>
          <w:rFonts w:ascii="Arial" w:cs="Arial" w:eastAsia="Arial" w:hAnsi="Arial"/>
          <w:sz w:val="15"/>
          <w:szCs w:val="15"/>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has been automatically extended on a month-to-month basis until the Department of Education makes its decision. As of December 31, 2010, management believes the University is in compliance with the applicable regulations in all material respects.</w:t>
      </w:r>
    </w:p>
    <w:p>
      <w:pPr>
        <w:spacing w:after="0" w:line="132" w:lineRule="exact"/>
        <w:rPr>
          <w:sz w:val="20"/>
          <w:szCs w:val="20"/>
          <w:color w:val="auto"/>
        </w:rPr>
      </w:pPr>
    </w:p>
    <w:p>
      <w:pPr>
        <w:ind w:left="320" w:right="859" w:firstLine="369"/>
        <w:spacing w:after="0" w:line="275"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33"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the University. Accordingly, at this point, the program review remains open and the University intends to continue to cooperate with the review team until the program review is completed.</w:t>
      </w: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739" w:firstLine="369"/>
        <w:spacing w:after="0" w:line="271" w:lineRule="auto"/>
        <w:rPr>
          <w:sz w:val="20"/>
          <w:szCs w:val="20"/>
          <w:color w:val="auto"/>
        </w:rPr>
      </w:pPr>
      <w:r>
        <w:rPr>
          <w:rFonts w:ascii="Arial" w:cs="Arial" w:eastAsia="Arial" w:hAnsi="Arial"/>
          <w:sz w:val="16"/>
          <w:szCs w:val="16"/>
          <w:color w:val="auto"/>
        </w:rPr>
        <w:t xml:space="preserve">While the University has not yet received notification of the timing of its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an August 13, 2010 hearing related to the recently-settled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the University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the University has previously disclosed in the context of its now-settled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it believes that the University’s compensation policies and practices at issue in the program review were not based on success in enrolling students in violation of applicable law, the Department of Education’s regulations and interpretations of the incentive compensation law do not establish clear criteria for compliance in all circumstances and some of the University’s practices in prior years were not within the scope of any of the specific “safe harbors” provided in the compensation regulations and applicable during that period.</w:t>
      </w:r>
    </w:p>
    <w:p>
      <w:pPr>
        <w:spacing w:after="0" w:line="138"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Subsequent to the filing of the affidavit by the program review team member expressing this preliminary finding,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pacing w:after="0" w:line="150" w:lineRule="exact"/>
        <w:rPr>
          <w:sz w:val="20"/>
          <w:szCs w:val="20"/>
          <w:color w:val="auto"/>
        </w:rPr>
      </w:pPr>
    </w:p>
    <w:p>
      <w:pPr>
        <w:ind w:left="320" w:right="739" w:firstLine="369"/>
        <w:spacing w:after="0" w:line="271" w:lineRule="auto"/>
        <w:rPr>
          <w:sz w:val="20"/>
          <w:szCs w:val="20"/>
          <w:color w:val="auto"/>
        </w:rPr>
      </w:pPr>
      <w:r>
        <w:rPr>
          <w:rFonts w:ascii="Arial" w:cs="Arial" w:eastAsia="Arial" w:hAnsi="Arial"/>
          <w:sz w:val="16"/>
          <w:szCs w:val="16"/>
          <w:color w:val="auto"/>
        </w:rPr>
        <w:t>The University’s policies and procedures are planned and implemented to comply with the applicable standards and regulations under Title IV. If and to the extent the Department of Education’s final determination letter identifies any compliance issues, the University is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The University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the University, the University could be required to pay a fine, return Title IV monies previously received, or be subjected to other administrative sanctions. While the University cannot currently predict the outcome of the Department of Education review, any adverse finding could damage the University’s reputation in the industry and have a material adverse effect on the University’s business, results of operations, cash flows and financial position.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15. Share-Based Compensation Plans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Adoption of Equity Plans</w:t>
      </w:r>
    </w:p>
    <w:p>
      <w:pPr>
        <w:spacing w:after="0" w:line="189" w:lineRule="exact"/>
        <w:rPr>
          <w:sz w:val="20"/>
          <w:szCs w:val="20"/>
          <w:color w:val="auto"/>
        </w:rPr>
      </w:pPr>
    </w:p>
    <w:p>
      <w:pPr>
        <w:ind w:left="320" w:right="799" w:firstLine="369"/>
        <w:spacing w:after="0" w:line="295" w:lineRule="auto"/>
        <w:rPr>
          <w:sz w:val="20"/>
          <w:szCs w:val="20"/>
          <w:color w:val="auto"/>
        </w:rPr>
      </w:pPr>
      <w:r>
        <w:rPr>
          <w:rFonts w:ascii="Arial" w:cs="Arial" w:eastAsia="Arial" w:hAnsi="Arial"/>
          <w:sz w:val="15"/>
          <w:szCs w:val="15"/>
          <w:color w:val="auto"/>
        </w:rPr>
        <w:t>On September 27, 2008 the University’s stockholders approved the adoption of the 2008 Equity Incentive Plan (“Incentive Plan”) and the 2008 Employee Stock Purchase (“ESPP”). A total of 4,199,937 shares of the University’s common stock were originally authorized for issuance under the Incentive Plan. On January 1, 2010 and 2009 and in accordance with the terms of the Incentive Plan, the number of shares authorized for issuance under the Incentive Plan automatically increased by 2.5% of the number of shares of common stock issued and outstanding on December 31, 2009 and 2008, or 2,278,078 shares, raising the total number of shares of common stock authorized for issuance under the Incentive Plan to 6,478,015 shares. Although the ESPP has not yet been implemented, a total of 1,049,984 shares of the University’s common stock have been authorized for sale under the ESPP.</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25" w:name="page126"/>
    <w:bookmarkEnd w:id="1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Incentive Plan</w:t>
      </w:r>
    </w:p>
    <w:p>
      <w:pPr>
        <w:spacing w:after="0" w:line="176" w:lineRule="exact"/>
        <w:rPr>
          <w:sz w:val="20"/>
          <w:szCs w:val="20"/>
          <w:color w:val="auto"/>
        </w:rPr>
      </w:pPr>
    </w:p>
    <w:p>
      <w:pPr>
        <w:ind w:left="320" w:right="779" w:firstLine="369"/>
        <w:spacing w:after="0" w:line="300" w:lineRule="auto"/>
        <w:rPr>
          <w:sz w:val="20"/>
          <w:szCs w:val="20"/>
          <w:color w:val="auto"/>
        </w:rPr>
      </w:pPr>
      <w:r>
        <w:rPr>
          <w:rFonts w:ascii="Arial" w:cs="Arial" w:eastAsia="Arial" w:hAnsi="Arial"/>
          <w:sz w:val="15"/>
          <w:szCs w:val="15"/>
          <w:color w:val="auto"/>
        </w:rPr>
        <w:t>In connection with the initial public offering, on November 19, 2008, the University granted 710,494 fully vested options and 2,594,583 time vested options to purchase shares of common stock with an exercise price equal to the initial public offering price of $12.00 per share. During 2010, the University granted time vested options to purchase shares of common stock with an exercise price equal to the fair market value on the date of grant. The time vested options will vest ratably over a period of five years for employees and three years for the director grant. Both the fully vested and time vested options will expire ten years from the date of grant.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 summary of the activity related to stock options granted under the University’s Incentive Plan is as follows: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8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7"/>
                <w:szCs w:val="17"/>
                <w:b w:val="1"/>
                <w:bCs w:val="1"/>
                <w:color w:val="auto"/>
              </w:rPr>
              <w:t>Summary of Stock Options Outstanding</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80"/>
              <w:spacing w:after="0" w:line="182" w:lineRule="exact"/>
              <w:rPr>
                <w:sz w:val="20"/>
                <w:szCs w:val="20"/>
                <w:color w:val="auto"/>
              </w:rPr>
            </w:pPr>
            <w:r>
              <w:rPr>
                <w:rFonts w:ascii="Arial" w:cs="Arial" w:eastAsia="Arial" w:hAnsi="Arial"/>
                <w:sz w:val="17"/>
                <w:szCs w:val="17"/>
                <w:b w:val="1"/>
                <w:bCs w:val="1"/>
                <w:color w:val="auto"/>
                <w:w w:val="88"/>
              </w:rPr>
              <w:t>Weighted</w:t>
            </w:r>
          </w:p>
        </w:tc>
        <w:tc>
          <w:tcPr>
            <w:tcW w:w="180" w:type="dxa"/>
            <w:vAlign w:val="bottom"/>
          </w:tcPr>
          <w:p>
            <w:pPr>
              <w:spacing w:after="0"/>
              <w:rPr>
                <w:sz w:val="15"/>
                <w:szCs w:val="15"/>
                <w:color w:val="auto"/>
              </w:rPr>
            </w:pPr>
          </w:p>
        </w:tc>
        <w:tc>
          <w:tcPr>
            <w:tcW w:w="1300" w:type="dxa"/>
            <w:vAlign w:val="bottom"/>
            <w:gridSpan w:val="2"/>
          </w:tcPr>
          <w:p>
            <w:pPr>
              <w:jc w:val="center"/>
              <w:ind w:right="360"/>
              <w:spacing w:after="0" w:line="182" w:lineRule="exact"/>
              <w:rPr>
                <w:sz w:val="20"/>
                <w:szCs w:val="20"/>
                <w:color w:val="auto"/>
              </w:rPr>
            </w:pPr>
            <w:r>
              <w:rPr>
                <w:rFonts w:ascii="Arial" w:cs="Arial" w:eastAsia="Arial" w:hAnsi="Arial"/>
                <w:sz w:val="17"/>
                <w:szCs w:val="17"/>
                <w:b w:val="1"/>
                <w:bCs w:val="1"/>
                <w:color w:val="auto"/>
                <w:w w:val="91"/>
              </w:rPr>
              <w:t>Weighted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6"/>
              </w:rPr>
              <w:t>Average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Exercise</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Remaining</w:t>
            </w: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7"/>
              </w:rPr>
              <w:t>Aggregate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Price per</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Contractual</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Intrinsic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b w:val="1"/>
                <w:bCs w:val="1"/>
                <w:color w:val="auto"/>
              </w:rPr>
              <w:t>Shares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Share</w:t>
            </w:r>
          </w:p>
        </w:tc>
        <w:tc>
          <w:tcPr>
            <w:tcW w:w="180" w:type="dxa"/>
            <w:vAlign w:val="bottom"/>
          </w:tcPr>
          <w:p>
            <w:pPr>
              <w:spacing w:after="0"/>
              <w:rPr>
                <w:sz w:val="19"/>
                <w:szCs w:val="19"/>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2"/>
              </w:rPr>
              <w:t>Term (Years)</w:t>
            </w: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3"/>
              </w:rPr>
              <w:t xml:space="preserve">Value </w:t>
            </w:r>
            <w:r>
              <w:rPr>
                <w:rFonts w:ascii="Arial" w:cs="Arial" w:eastAsia="Arial" w:hAnsi="Arial"/>
                <w:sz w:val="17"/>
                <w:szCs w:val="17"/>
                <w:b w:val="1"/>
                <w:bCs w:val="1"/>
                <w:u w:val="single" w:color="auto"/>
                <w:color w:val="auto"/>
                <w:w w:val="93"/>
              </w:rPr>
              <w:t>($</w:t>
            </w:r>
            <w:r>
              <w:rPr>
                <w:rFonts w:ascii="Arial" w:cs="Arial" w:eastAsia="Arial" w:hAnsi="Arial"/>
                <w:sz w:val="17"/>
                <w:szCs w:val="17"/>
                <w:b w:val="1"/>
                <w:bCs w:val="1"/>
                <w:color w:val="auto"/>
                <w:w w:val="93"/>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3,305,108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(49,322)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(8,375)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3,247,411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16.65</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217,526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(102,134)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(12,807)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3,349,996</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21.29</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921,550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(144,095)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(101,279)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4,026,172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1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21,540</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Exercisable as of December 31, 2010</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12.11</w:t>
            </w:r>
          </w:p>
        </w:tc>
        <w:tc>
          <w:tcPr>
            <w:tcW w:w="1480" w:type="dxa"/>
            <w:vAlign w:val="bottom"/>
            <w:gridSpan w:val="3"/>
            <w:vMerge w:val="restart"/>
          </w:tcPr>
          <w:p>
            <w:pPr>
              <w:jc w:val="right"/>
              <w:ind w:right="360"/>
              <w:spacing w:after="0"/>
              <w:rPr>
                <w:sz w:val="20"/>
                <w:szCs w:val="20"/>
                <w:color w:val="auto"/>
              </w:rPr>
            </w:pPr>
            <w:r>
              <w:rPr>
                <w:rFonts w:ascii="Arial" w:cs="Arial" w:eastAsia="Arial" w:hAnsi="Arial"/>
                <w:sz w:val="17"/>
                <w:szCs w:val="17"/>
                <w:color w:val="auto"/>
              </w:rPr>
              <w:t>7.90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11,324</w:t>
            </w:r>
          </w:p>
        </w:tc>
        <w:tc>
          <w:tcPr>
            <w:tcW w:w="0" w:type="dxa"/>
            <w:vAlign w:val="bottom"/>
          </w:tcPr>
          <w:p>
            <w:pPr>
              <w:spacing w:after="0" w:line="20" w:lineRule="exact"/>
              <w:rPr>
                <w:sz w:val="1"/>
                <w:szCs w:val="1"/>
                <w:color w:val="auto"/>
              </w:rPr>
            </w:pPr>
          </w:p>
        </w:tc>
      </w:tr>
      <w:tr>
        <w:trPr>
          <w:trHeight w:val="196"/>
        </w:trPr>
        <w:tc>
          <w:tcPr>
            <w:tcW w:w="434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1,513,916</w:t>
            </w:r>
          </w:p>
        </w:tc>
        <w:tc>
          <w:tcPr>
            <w:tcW w:w="3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Available for issuance as of December 31, 2010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2,034,053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right="699" w:hanging="370"/>
        <w:spacing w:after="0" w:line="277"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Aggregate intrinsic value represents the value of the University’s closing stock price on December 31, 2010 ($19.59) in excess of the exercise price multiplied by the number of options outstanding or exercisable.</w:t>
      </w:r>
    </w:p>
    <w:p>
      <w:pPr>
        <w:spacing w:after="0" w:line="126" w:lineRule="exact"/>
        <w:rPr>
          <w:sz w:val="20"/>
          <w:szCs w:val="20"/>
          <w:color w:val="auto"/>
        </w:rPr>
      </w:pPr>
    </w:p>
    <w:p>
      <w:pPr>
        <w:ind w:left="320" w:right="859" w:firstLine="369"/>
        <w:spacing w:after="0" w:line="264" w:lineRule="auto"/>
        <w:rPr>
          <w:sz w:val="20"/>
          <w:szCs w:val="20"/>
          <w:color w:val="auto"/>
        </w:rPr>
      </w:pPr>
      <w:r>
        <w:rPr>
          <w:rFonts w:ascii="Arial" w:cs="Arial" w:eastAsia="Arial" w:hAnsi="Arial"/>
          <w:sz w:val="17"/>
          <w:szCs w:val="17"/>
          <w:color w:val="auto"/>
        </w:rPr>
        <w:t>As of December 31, 2010, there was approximately $17,003 of total unrecognized share-based compensation cost, net of estimated forfeitures, related to unvested stock options. These costs are expected to be recognized over a weighted average period of 2.2 years.</w:t>
      </w:r>
    </w:p>
    <w:p>
      <w:pPr>
        <w:spacing w:after="0" w:line="137"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The following table summarizes information related to stock options exercised for year ended December 31, 2010, 2009 and 2008:</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9"/>
                <w:szCs w:val="19"/>
                <w:color w:val="auto"/>
              </w:rPr>
            </w:pPr>
          </w:p>
        </w:tc>
      </w:tr>
      <w:tr>
        <w:trPr>
          <w:trHeight w:val="199"/>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related to options exercised: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5640" w:type="dxa"/>
            <w:vAlign w:val="bottom"/>
          </w:tcPr>
          <w:p>
            <w:pPr>
              <w:spacing w:after="0"/>
              <w:rPr>
                <w:sz w:val="20"/>
                <w:szCs w:val="20"/>
                <w:color w:val="auto"/>
              </w:rPr>
            </w:pPr>
            <w:r>
              <w:rPr>
                <w:rFonts w:ascii="Arial" w:cs="Arial" w:eastAsia="Arial" w:hAnsi="Arial"/>
                <w:sz w:val="17"/>
                <w:szCs w:val="17"/>
                <w:color w:val="auto"/>
              </w:rPr>
              <w:t>Intrinsic value realized by optionee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1,407</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656</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249</w:t>
            </w:r>
          </w:p>
        </w:tc>
      </w:tr>
      <w:tr>
        <w:trPr>
          <w:trHeight w:val="205"/>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Actual tax benefit realized by the University for tax deductions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r>
    </w:tbl>
    <w:p>
      <w:pPr>
        <w:spacing w:after="0" w:line="167"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Cash received from stock option exercises during fiscal year 2010, 2009 and 2008 totaled approximately $1,747, $1,226 and $592, respectively.</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176" w:lineRule="exact"/>
        <w:rPr>
          <w:sz w:val="20"/>
          <w:szCs w:val="20"/>
          <w:color w:val="auto"/>
        </w:rPr>
      </w:pPr>
    </w:p>
    <w:p>
      <w:pPr>
        <w:ind w:left="320" w:right="1179" w:firstLine="369"/>
        <w:spacing w:after="0" w:line="277" w:lineRule="auto"/>
        <w:rPr>
          <w:sz w:val="20"/>
          <w:szCs w:val="20"/>
          <w:color w:val="auto"/>
        </w:rPr>
      </w:pPr>
      <w:r>
        <w:rPr>
          <w:rFonts w:ascii="Arial" w:cs="Arial" w:eastAsia="Arial" w:hAnsi="Arial"/>
          <w:sz w:val="17"/>
          <w:szCs w:val="17"/>
          <w:color w:val="auto"/>
        </w:rPr>
        <w:t>The table below outlines share-based compensation expense for the fiscal years ended December 31, 2010, 2009 and 2008 related to restricted stock and stock options granted:</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Instructional costs and services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1,737</w:t>
            </w:r>
          </w:p>
        </w:tc>
        <w:tc>
          <w:tcPr>
            <w:tcW w:w="0" w:type="dxa"/>
            <w:vAlign w:val="bottom"/>
          </w:tcPr>
          <w:p>
            <w:pPr>
              <w:spacing w:after="0"/>
              <w:rPr>
                <w:sz w:val="1"/>
                <w:szCs w:val="1"/>
                <w:color w:val="auto"/>
              </w:rPr>
            </w:pPr>
          </w:p>
        </w:tc>
      </w:tr>
      <w:tr>
        <w:trPr>
          <w:trHeight w:val="205"/>
        </w:trPr>
        <w:tc>
          <w:tcPr>
            <w:tcW w:w="5640" w:type="dxa"/>
            <w:vAlign w:val="bottom"/>
          </w:tcPr>
          <w:p>
            <w:pPr>
              <w:spacing w:after="0"/>
              <w:rPr>
                <w:sz w:val="20"/>
                <w:szCs w:val="20"/>
                <w:color w:val="auto"/>
              </w:rPr>
            </w:pPr>
            <w:r>
              <w:rPr>
                <w:rFonts w:ascii="Arial" w:cs="Arial" w:eastAsia="Arial" w:hAnsi="Arial"/>
                <w:sz w:val="17"/>
                <w:szCs w:val="17"/>
                <w:color w:val="auto"/>
              </w:rPr>
              <w:t>Selling and promotional</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05"/>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2,532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180"/>
              <w:spacing w:after="0"/>
              <w:rPr>
                <w:sz w:val="20"/>
                <w:szCs w:val="20"/>
                <w:color w:val="auto"/>
              </w:rPr>
            </w:pPr>
            <w:r>
              <w:rPr>
                <w:rFonts w:ascii="Arial" w:cs="Arial" w:eastAsia="Arial" w:hAnsi="Arial"/>
                <w:sz w:val="17"/>
                <w:szCs w:val="17"/>
                <w:b w:val="1"/>
                <w:bCs w:val="1"/>
                <w:color w:val="auto"/>
                <w:w w:val="98"/>
              </w:rPr>
              <w:t>Share-based compensation expense included in operating expenses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5,049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3,419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3,678</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Tax effect of share-based compensation</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Share-based compensation expense, net of tax</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3,029</w:t>
            </w: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2,051</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2,224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Share-based Compensation Expense Assumptions</w:t>
      </w:r>
    </w:p>
    <w:p>
      <w:pPr>
        <w:spacing w:after="0" w:line="176"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i w:val="1"/>
          <w:iCs w:val="1"/>
          <w:color w:val="auto"/>
        </w:rPr>
        <w:t xml:space="preserve">Fair Value. </w:t>
      </w:r>
      <w:r>
        <w:rPr>
          <w:rFonts w:ascii="Arial" w:cs="Arial" w:eastAsia="Arial" w:hAnsi="Arial"/>
          <w:sz w:val="17"/>
          <w:szCs w:val="17"/>
          <w:color w:val="auto"/>
        </w:rPr>
        <w:t>The University uses the Black-Scholes-Merton option pricing model to estimate the fair value of the University’s</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as of the grant dates using the following weighted average assumptions: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fair value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Expected volatility</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47.50%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47.46%</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46.13%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Expected life (years)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6.47</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2.87%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2.81%</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the University’s stock had not been publicly traded prior to November 2008, the expected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 for the years ended December 31, 2010, 2009 and 2008 reflects an average of volatilities of the University’s peer group of public education companies with a period equal to the expected life of the options.</w:t>
      </w:r>
    </w:p>
    <w:p>
      <w:pPr>
        <w:spacing w:after="0" w:line="150"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i w:val="1"/>
          <w:iCs w:val="1"/>
          <w:color w:val="auto"/>
        </w:rPr>
        <w:t xml:space="preserve">Expected Life (years). </w:t>
      </w:r>
      <w:r>
        <w:rPr>
          <w:rFonts w:ascii="Arial" w:cs="Arial" w:eastAsia="Arial" w:hAnsi="Arial"/>
          <w:sz w:val="17"/>
          <w:szCs w:val="17"/>
          <w:color w:val="auto"/>
        </w:rPr>
        <w:t>The University continues to use the simplified method to estimate the expected term of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certain circumstances. The simplified method for estimating expected term is to use the mid-point between the vesting term and the contractual term of the share option. The University has analyzed the circumstances in which the use of the simplified method is allowed. The University has elected to use the simplified method for options granted in fiscal year 2010, 2009 and 2008 because the University does not have historical exercise data to estimate expected term due to the limited time period its shares have been publicly traded.</w:t>
      </w:r>
    </w:p>
    <w:p>
      <w:pPr>
        <w:spacing w:after="0" w:line="146" w:lineRule="exact"/>
        <w:rPr>
          <w:sz w:val="20"/>
          <w:szCs w:val="20"/>
          <w:color w:val="auto"/>
        </w:rPr>
      </w:pPr>
    </w:p>
    <w:p>
      <w:pPr>
        <w:ind w:left="320" w:right="759" w:firstLine="369"/>
        <w:spacing w:after="0" w:line="277"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assumption is based upon the U.S. constant maturity treasury rates as the risk-free rate interpolated between the years commensurate with the expected life of the options.</w:t>
      </w:r>
    </w:p>
    <w:p>
      <w:pPr>
        <w:spacing w:after="0" w:line="126"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dividend yield assumption is zero since the University does not expect to declare or pay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w:t>
      </w:r>
    </w:p>
    <w:p>
      <w:pPr>
        <w:spacing w:after="0" w:line="139" w:lineRule="exact"/>
        <w:rPr>
          <w:sz w:val="20"/>
          <w:szCs w:val="20"/>
          <w:color w:val="auto"/>
        </w:rPr>
      </w:pPr>
    </w:p>
    <w:p>
      <w:pPr>
        <w:ind w:left="320" w:right="859" w:firstLine="369"/>
        <w:spacing w:after="0" w:line="277" w:lineRule="auto"/>
        <w:rPr>
          <w:sz w:val="20"/>
          <w:szCs w:val="20"/>
          <w:color w:val="auto"/>
        </w:rPr>
      </w:pPr>
      <w:r>
        <w:rPr>
          <w:rFonts w:ascii="Arial" w:cs="Arial" w:eastAsia="Arial" w:hAnsi="Arial"/>
          <w:sz w:val="17"/>
          <w:szCs w:val="17"/>
          <w:i w:val="1"/>
          <w:iCs w:val="1"/>
          <w:color w:val="auto"/>
        </w:rPr>
        <w:t xml:space="preserve">Forfeitures. </w:t>
      </w:r>
      <w:r>
        <w:rPr>
          <w:rFonts w:ascii="Arial" w:cs="Arial" w:eastAsia="Arial" w:hAnsi="Arial"/>
          <w:sz w:val="17"/>
          <w:szCs w:val="17"/>
          <w:color w:val="auto"/>
        </w:rPr>
        <w:t>Forfeitures are estimated at the time of grant based on historical retention of employees. If necessary,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are adjusted at the end of each reporting period if actual forfeitures differ from those estimates.</w:t>
      </w:r>
    </w:p>
    <w:p>
      <w:pPr>
        <w:spacing w:after="0" w:line="126" w:lineRule="exact"/>
        <w:rPr>
          <w:sz w:val="20"/>
          <w:szCs w:val="20"/>
          <w:color w:val="auto"/>
        </w:rPr>
      </w:pPr>
    </w:p>
    <w:p>
      <w:pPr>
        <w:ind w:left="320" w:right="839" w:firstLine="369"/>
        <w:spacing w:after="0" w:line="277" w:lineRule="auto"/>
        <w:rPr>
          <w:sz w:val="20"/>
          <w:szCs w:val="20"/>
          <w:color w:val="auto"/>
        </w:rPr>
      </w:pPr>
      <w:r>
        <w:rPr>
          <w:rFonts w:ascii="Arial" w:cs="Arial" w:eastAsia="Arial" w:hAnsi="Arial"/>
          <w:sz w:val="17"/>
          <w:szCs w:val="17"/>
          <w:i w:val="1"/>
          <w:iCs w:val="1"/>
          <w:color w:val="auto"/>
        </w:rPr>
        <w:t xml:space="preserve">Expected Vesting Period. </w:t>
      </w:r>
      <w:r>
        <w:rPr>
          <w:rFonts w:ascii="Arial" w:cs="Arial" w:eastAsia="Arial" w:hAnsi="Arial"/>
          <w:sz w:val="17"/>
          <w:szCs w:val="17"/>
          <w:color w:val="auto"/>
        </w:rPr>
        <w:t>The University amortizes the share-based compensation expense, net of forfeitures, over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period using the straight-line method.</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Grant</w:t>
      </w:r>
    </w:p>
    <w:p>
      <w:pPr>
        <w:spacing w:after="0" w:line="176" w:lineRule="exact"/>
        <w:rPr>
          <w:sz w:val="20"/>
          <w:szCs w:val="20"/>
          <w:color w:val="auto"/>
        </w:rPr>
      </w:pPr>
    </w:p>
    <w:p>
      <w:pPr>
        <w:jc w:val="both"/>
        <w:ind w:left="320" w:right="1079" w:firstLine="369"/>
        <w:spacing w:after="0" w:line="264" w:lineRule="auto"/>
        <w:rPr>
          <w:sz w:val="20"/>
          <w:szCs w:val="20"/>
          <w:color w:val="auto"/>
        </w:rPr>
      </w:pPr>
      <w:r>
        <w:rPr>
          <w:rFonts w:ascii="Arial" w:cs="Arial" w:eastAsia="Arial" w:hAnsi="Arial"/>
          <w:sz w:val="17"/>
          <w:szCs w:val="17"/>
          <w:color w:val="auto"/>
        </w:rPr>
        <w:t>On November 19, 2008, the University granted 109,329 shares of common stock with a fair value of $12.00 per share, to its Chief Executive Officer, which is reflected as share-based compensation expense in 2008 in the amount of $1,300 in general and administrative expense.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Restricted Stock Grants</w:t>
      </w:r>
    </w:p>
    <w:p>
      <w:pPr>
        <w:spacing w:after="0" w:line="176"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On March 3, 2009, the University granted 1,307 shares of common stock with a fair value of $15.30 per share, to certain members of the University’s board of directors. The restricted shares have voting rights and vested on March 3, 2010. On May 19, 2009, the University granted 2,491 shares of common stock with a fair value of $14.05 per share, to certain members of the University’s board of directors. The restricted shares have voting rights and vested immediately prior to the 2010 annual stockholders’ meeting. On November 10, 2009, the University granted 1,141 shares of common stock with a fair value of $17.54 per share, to a member of the University’s board of directors. The restricted shares have voting rights and vested on November 10, 2010. On May 18, 2010, the University granted 1,391 shares of common stock with a fair value of $25.16 per share, to certain members of the University’s board of directors. The restricted shares have voting rights and vest on the earlier of May 18, 2011 or immediately prior to the 2011 annual stockholders meeting.</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 summary of the activity related to restricted and unrestricted stock granted under the University’s Incentive Plan is as follows: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Weighted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Average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36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3"/>
              </w:rPr>
              <w:t>Fair Value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Shares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1"/>
              </w:rPr>
              <w:t>per Share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109,329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109,329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109,329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line="20" w:lineRule="exact"/>
              <w:rPr>
                <w:sz w:val="1"/>
                <w:szCs w:val="1"/>
                <w:color w:val="auto"/>
              </w:rPr>
            </w:pPr>
          </w:p>
        </w:tc>
      </w:tr>
      <w:tr>
        <w:trPr>
          <w:trHeight w:val="195"/>
        </w:trPr>
        <w:tc>
          <w:tcPr>
            <w:tcW w:w="69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8,737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25.16</w:t>
            </w:r>
          </w:p>
        </w:tc>
        <w:tc>
          <w:tcPr>
            <w:tcW w:w="0" w:type="dxa"/>
            <w:vAlign w:val="bottom"/>
          </w:tcPr>
          <w:p>
            <w:pPr>
              <w:spacing w:after="0" w:line="20" w:lineRule="exact"/>
              <w:rPr>
                <w:sz w:val="1"/>
                <w:szCs w:val="1"/>
                <w:color w:val="auto"/>
              </w:rPr>
            </w:pPr>
          </w:p>
        </w:tc>
      </w:tr>
      <w:tr>
        <w:trPr>
          <w:trHeight w:val="195"/>
        </w:trPr>
        <w:tc>
          <w:tcPr>
            <w:tcW w:w="69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4,173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8,737</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Vested as of December 31, 2010</w:t>
            </w:r>
          </w:p>
        </w:tc>
        <w:tc>
          <w:tcPr>
            <w:tcW w:w="94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line="20" w:lineRule="exact"/>
              <w:rPr>
                <w:sz w:val="1"/>
                <w:szCs w:val="1"/>
                <w:color w:val="auto"/>
              </w:rPr>
            </w:pPr>
          </w:p>
        </w:tc>
      </w:tr>
      <w:tr>
        <w:trPr>
          <w:trHeight w:val="196"/>
        </w:trPr>
        <w:tc>
          <w:tcPr>
            <w:tcW w:w="692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118,066</w:t>
            </w:r>
          </w:p>
        </w:tc>
        <w:tc>
          <w:tcPr>
            <w:tcW w:w="4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401(k) Plan</w:t>
      </w:r>
    </w:p>
    <w:p>
      <w:pPr>
        <w:spacing w:after="0" w:line="176" w:lineRule="exact"/>
        <w:rPr>
          <w:sz w:val="20"/>
          <w:szCs w:val="20"/>
          <w:color w:val="auto"/>
        </w:rPr>
      </w:pPr>
    </w:p>
    <w:p>
      <w:pPr>
        <w:ind w:left="320" w:right="859" w:firstLine="369"/>
        <w:spacing w:after="0" w:line="256" w:lineRule="auto"/>
        <w:rPr>
          <w:sz w:val="20"/>
          <w:szCs w:val="20"/>
          <w:color w:val="auto"/>
        </w:rPr>
      </w:pPr>
      <w:r>
        <w:rPr>
          <w:rFonts w:ascii="Arial" w:cs="Arial" w:eastAsia="Arial" w:hAnsi="Arial"/>
          <w:sz w:val="17"/>
          <w:szCs w:val="17"/>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made discretionary matching contributions to the plan of $800, $522 and $388 for the years ended December 31, 2010, 2009 and 2008, respectively.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16. Related Party Transactions</w:t>
      </w:r>
    </w:p>
    <w:p>
      <w:pPr>
        <w:spacing w:after="0" w:line="193" w:lineRule="exact"/>
        <w:rPr>
          <w:sz w:val="20"/>
          <w:szCs w:val="20"/>
          <w:color w:val="auto"/>
        </w:rPr>
      </w:pPr>
    </w:p>
    <w:p>
      <w:pPr>
        <w:ind w:left="320" w:right="959" w:firstLine="369"/>
        <w:spacing w:after="0" w:line="264" w:lineRule="auto"/>
        <w:rPr>
          <w:sz w:val="20"/>
          <w:szCs w:val="20"/>
          <w:color w:val="auto"/>
        </w:rPr>
      </w:pPr>
      <w:r>
        <w:rPr>
          <w:rFonts w:ascii="Arial" w:cs="Arial" w:eastAsia="Arial" w:hAnsi="Arial"/>
          <w:sz w:val="17"/>
          <w:szCs w:val="17"/>
          <w:color w:val="auto"/>
        </w:rPr>
        <w:t>Related party transactions include transactions between the University and certain of its shareholders and affiliates. The following transactions were in the normal course of operations and were measured at the exchange amount, which is the amount of consideration established and agreed to by the parties.</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28" w:name="page129"/>
    <w:bookmarkEnd w:id="1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 of and for the years ended December 31, 2010, 2009, and 2008, related party transactions consisted of the following:</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Shareholders</w:t>
      </w:r>
    </w:p>
    <w:p>
      <w:pPr>
        <w:spacing w:after="0" w:line="189"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i w:val="1"/>
          <w:iCs w:val="1"/>
          <w:color w:val="auto"/>
        </w:rPr>
        <w:t xml:space="preserve">Significant Education Holding, LLC (“Sig Ed”) — </w:t>
      </w:r>
      <w:r>
        <w:rPr>
          <w:rFonts w:ascii="Arial" w:cs="Arial" w:eastAsia="Arial" w:hAnsi="Arial"/>
          <w:sz w:val="17"/>
          <w:szCs w:val="17"/>
          <w:color w:val="auto"/>
        </w:rPr>
        <w:t>Prior to completion of the University’s initial public offering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Sig Ed was a stockholder of the University. In connection with the initial public offering, Sig Ed was dissolved and shares of the University’s common stock that were held by Sig Ed were distributed to its members. At December 31, 2007 until the distribution of such shares in connection with the initial public offering, Sig Ed held 18,260,000 shares of the University’s common stock. The University has not engaged in any transactions with Sig Ed, but has engaged in certain transactions with former members of Sig Ed, as discussed below.</w:t>
      </w:r>
    </w:p>
    <w:p>
      <w:pPr>
        <w:spacing w:after="0" w:line="146" w:lineRule="exact"/>
        <w:rPr>
          <w:sz w:val="20"/>
          <w:szCs w:val="20"/>
          <w:color w:val="auto"/>
        </w:rPr>
      </w:pPr>
    </w:p>
    <w:p>
      <w:pPr>
        <w:ind w:left="320" w:right="759" w:firstLine="369"/>
        <w:spacing w:after="0" w:line="258" w:lineRule="auto"/>
        <w:rPr>
          <w:sz w:val="20"/>
          <w:szCs w:val="20"/>
          <w:color w:val="auto"/>
        </w:rPr>
      </w:pPr>
      <w:r>
        <w:rPr>
          <w:rFonts w:ascii="Arial" w:cs="Arial" w:eastAsia="Arial" w:hAnsi="Arial"/>
          <w:sz w:val="17"/>
          <w:szCs w:val="17"/>
          <w:i w:val="1"/>
          <w:iCs w:val="1"/>
          <w:color w:val="auto"/>
        </w:rPr>
        <w:t xml:space="preserve">Rich Crow Enterprises, LLC (“Rich Crow”) — </w:t>
      </w:r>
      <w:r>
        <w:rPr>
          <w:rFonts w:ascii="Arial" w:cs="Arial" w:eastAsia="Arial" w:hAnsi="Arial"/>
          <w:sz w:val="17"/>
          <w:szCs w:val="17"/>
          <w:color w:val="auto"/>
        </w:rPr>
        <w:t>Members of Rich Crow include the Executive Chairman and General Counsel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University, who are also both members of the University’s Board of Directors. Rich Crow was also a member of Sig Ed. A member of Rich Crow is also related to the owner of a company that provided marketing services totaling $249 and $257 in the years ended December 31, 2010, and 2009, respectively, of which $44 and $0 amounts were owed at December 31, 2010, and 2009, respectively.</w:t>
      </w:r>
    </w:p>
    <w:p>
      <w:pPr>
        <w:spacing w:after="0" w:line="142" w:lineRule="exact"/>
        <w:rPr>
          <w:sz w:val="20"/>
          <w:szCs w:val="20"/>
          <w:color w:val="auto"/>
        </w:rPr>
      </w:pPr>
    </w:p>
    <w:p>
      <w:pPr>
        <w:ind w:left="320" w:right="819" w:firstLine="369"/>
        <w:spacing w:after="0" w:line="260" w:lineRule="auto"/>
        <w:rPr>
          <w:sz w:val="20"/>
          <w:szCs w:val="20"/>
          <w:color w:val="auto"/>
        </w:rPr>
      </w:pPr>
      <w:r>
        <w:rPr>
          <w:rFonts w:ascii="Arial" w:cs="Arial" w:eastAsia="Arial" w:hAnsi="Arial"/>
          <w:sz w:val="17"/>
          <w:szCs w:val="17"/>
          <w:i w:val="1"/>
          <w:iCs w:val="1"/>
          <w:color w:val="auto"/>
        </w:rPr>
        <w:t xml:space="preserve">Endeavour Capital Fund IV, LP, Endeavour Associated Fund IV, LP, and Endeavour Capital Parallel Fund IV, LP (“Endeavour”) </w:t>
      </w:r>
      <w:r>
        <w:rPr>
          <w:rFonts w:ascii="Arial" w:cs="Arial" w:eastAsia="Arial" w:hAnsi="Arial"/>
          <w:sz w:val="17"/>
          <w:szCs w:val="17"/>
          <w:color w:val="auto"/>
        </w:rPr>
        <w:t>— Two members of the University’s Board of Directors are also employees of Endeavour. The Company paid</w:t>
      </w:r>
      <w:r>
        <w:rPr>
          <w:rFonts w:ascii="Arial" w:cs="Arial" w:eastAsia="Arial" w:hAnsi="Arial"/>
          <w:sz w:val="17"/>
          <w:szCs w:val="17"/>
          <w:i w:val="1"/>
          <w:iCs w:val="1"/>
          <w:color w:val="auto"/>
        </w:rPr>
        <w:t xml:space="preserve"> </w:t>
      </w:r>
      <w:r>
        <w:rPr>
          <w:rFonts w:ascii="Arial" w:cs="Arial" w:eastAsia="Arial" w:hAnsi="Arial"/>
          <w:sz w:val="17"/>
          <w:szCs w:val="17"/>
          <w:color w:val="auto"/>
        </w:rPr>
        <w:t>Endeavour management and reimbursed fees of $356 for the year ended December 31, 2008. As of December 31, 2010 and 2009, $0 and $0 were payable to Endeavour.</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Affiliates</w:t>
      </w:r>
    </w:p>
    <w:p>
      <w:pPr>
        <w:spacing w:after="0" w:line="176" w:lineRule="exact"/>
        <w:rPr>
          <w:sz w:val="20"/>
          <w:szCs w:val="20"/>
          <w:color w:val="auto"/>
        </w:rPr>
      </w:pPr>
    </w:p>
    <w:p>
      <w:pPr>
        <w:ind w:left="320" w:right="999" w:firstLine="369"/>
        <w:spacing w:after="0" w:line="288" w:lineRule="auto"/>
        <w:rPr>
          <w:sz w:val="20"/>
          <w:szCs w:val="20"/>
          <w:color w:val="auto"/>
        </w:rPr>
      </w:pPr>
      <w:r>
        <w:rPr>
          <w:rFonts w:ascii="Arial" w:cs="Arial" w:eastAsia="Arial" w:hAnsi="Arial"/>
          <w:sz w:val="16"/>
          <w:szCs w:val="16"/>
          <w:i w:val="1"/>
          <w:iCs w:val="1"/>
          <w:color w:val="auto"/>
        </w:rPr>
        <w:t xml:space="preserve">Mind Streams, LLC (“Mind Streams”), 21st Century, LLC (“21st Century”) and Lifetime Learning — </w:t>
      </w:r>
      <w:r>
        <w:rPr>
          <w:rFonts w:ascii="Arial" w:cs="Arial" w:eastAsia="Arial" w:hAnsi="Arial"/>
          <w:sz w:val="16"/>
          <w:szCs w:val="16"/>
          <w:color w:val="auto"/>
        </w:rPr>
        <w:t>Mind Streams, 21st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Century and Lifetime Learning are owned and operated, in part, by the father of the University’s Executive Chairman and General Counsel. See further discussion in Note 2, Summary of Significant Accounting Policies </w:t>
      </w:r>
      <w:r>
        <w:rPr>
          <w:rFonts w:ascii="Arial" w:cs="Arial" w:eastAsia="Arial" w:hAnsi="Arial"/>
          <w:sz w:val="16"/>
          <w:szCs w:val="16"/>
          <w:i w:val="1"/>
          <w:iCs w:val="1"/>
          <w:color w:val="auto"/>
        </w:rPr>
        <w:t>—</w:t>
      </w:r>
      <w:r>
        <w:rPr>
          <w:rFonts w:ascii="Arial" w:cs="Arial" w:eastAsia="Arial" w:hAnsi="Arial"/>
          <w:sz w:val="16"/>
          <w:szCs w:val="16"/>
          <w:color w:val="auto"/>
        </w:rPr>
        <w:t xml:space="preserve"> Selling and Promotional.</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w:t>
      </w:r>
    </w:p>
    <w:p>
      <w:pPr>
        <w:spacing w:after="0" w:line="189" w:lineRule="exact"/>
        <w:rPr>
          <w:sz w:val="20"/>
          <w:szCs w:val="20"/>
          <w:color w:val="auto"/>
        </w:rPr>
      </w:pPr>
    </w:p>
    <w:p>
      <w:pPr>
        <w:ind w:left="320" w:right="759" w:firstLine="369"/>
        <w:spacing w:after="0" w:line="275" w:lineRule="auto"/>
        <w:rPr>
          <w:sz w:val="20"/>
          <w:szCs w:val="20"/>
          <w:color w:val="auto"/>
        </w:rPr>
      </w:pPr>
      <w:r>
        <w:rPr>
          <w:rFonts w:ascii="Arial" w:cs="Arial" w:eastAsia="Arial" w:hAnsi="Arial"/>
          <w:sz w:val="16"/>
          <w:szCs w:val="16"/>
          <w:i w:val="1"/>
          <w:iCs w:val="1"/>
          <w:color w:val="auto"/>
        </w:rPr>
        <w:t>Young Life Southwest Region (“YLSW”) —</w:t>
      </w:r>
      <w:r>
        <w:rPr>
          <w:rFonts w:ascii="Arial" w:cs="Arial" w:eastAsia="Arial" w:hAnsi="Arial"/>
          <w:sz w:val="16"/>
          <w:szCs w:val="16"/>
          <w:color w:val="auto"/>
        </w:rPr>
        <w:t>One of the University’s Board of Directors serves as the Executive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Trustees of Young Life Southwest Region, a non-profit organization. In May 2010, the University entered into an agreement with YLSW to support leadership development, community outreach ministry growth, and student outreach growth with YLSW. During 2010, the University expensed $497 for all of these components and as of December 31, 2010 $52 was payable to YLSW. In addition, the agreement provides for ambassador program scholarships each year, $139 of scholarships were awarded to YLSW ambassadors for the year ended December 31, 2010.</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17. Quarterly Results of Operations (Unaudited)</w:t>
      </w:r>
    </w:p>
    <w:p>
      <w:pPr>
        <w:spacing w:after="0" w:line="180" w:lineRule="exact"/>
        <w:rPr>
          <w:sz w:val="20"/>
          <w:szCs w:val="20"/>
          <w:color w:val="auto"/>
        </w:rPr>
      </w:pPr>
    </w:p>
    <w:p>
      <w:pPr>
        <w:ind w:left="320" w:right="1479" w:firstLine="369"/>
        <w:spacing w:after="0" w:line="277" w:lineRule="auto"/>
        <w:rPr>
          <w:sz w:val="20"/>
          <w:szCs w:val="20"/>
          <w:color w:val="auto"/>
        </w:rPr>
      </w:pPr>
      <w:r>
        <w:rPr>
          <w:rFonts w:ascii="Arial" w:cs="Arial" w:eastAsia="Arial" w:hAnsi="Arial"/>
          <w:sz w:val="17"/>
          <w:szCs w:val="17"/>
          <w:color w:val="auto"/>
        </w:rPr>
        <w:t>The following table summarizes the unaudited quarterly results of operations for 2010 and 2009 and should be read in conjunction with other information included in the accompanying financial statements.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7"/>
                <w:szCs w:val="17"/>
                <w:b w:val="1"/>
                <w:bCs w:val="1"/>
                <w:color w:val="auto"/>
              </w:rPr>
              <w:t>2010</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7"/>
                <w:szCs w:val="17"/>
                <w:b w:val="1"/>
                <w:bCs w:val="1"/>
                <w:color w:val="auto"/>
                <w:w w:val="95"/>
              </w:rPr>
              <w:t>First Quarter</w:t>
            </w:r>
          </w:p>
        </w:tc>
        <w:tc>
          <w:tcPr>
            <w:tcW w:w="32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Second Quarter</w:t>
            </w:r>
          </w:p>
        </w:tc>
        <w:tc>
          <w:tcPr>
            <w:tcW w:w="1400" w:type="dxa"/>
            <w:vAlign w:val="bottom"/>
            <w:gridSpan w:val="4"/>
          </w:tcPr>
          <w:p>
            <w:pPr>
              <w:ind w:left="140"/>
              <w:spacing w:after="0"/>
              <w:rPr>
                <w:sz w:val="20"/>
                <w:szCs w:val="20"/>
                <w:color w:val="auto"/>
              </w:rPr>
            </w:pPr>
            <w:r>
              <w:rPr>
                <w:rFonts w:ascii="Arial" w:cs="Arial" w:eastAsia="Arial" w:hAnsi="Arial"/>
                <w:sz w:val="17"/>
                <w:szCs w:val="17"/>
                <w:b w:val="1"/>
                <w:bCs w:val="1"/>
                <w:color w:val="auto"/>
              </w:rPr>
              <w:t>Third Quarter</w:t>
            </w:r>
          </w:p>
        </w:tc>
        <w:tc>
          <w:tcPr>
            <w:tcW w:w="1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auto"/>
                <w:w w:val="94"/>
              </w:rPr>
              <w:t>Fourth Quarter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89,326</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97,522</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98,946</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Instructional costs and services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31,812</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36,169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35,923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36,133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Selling and promotional</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26,876</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28,976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28,103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28,538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10,878</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11,675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12,681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Litigation loss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Contract termination fees with a related party</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Estimated exit costs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116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Royalty to former owner</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costs and expenses</w:t>
            </w: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69,729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77,010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76,808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88,750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19,597</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20,512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22,138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Net interest expense</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(283)</w:t>
            </w:r>
          </w:p>
        </w:tc>
        <w:tc>
          <w:tcPr>
            <w:tcW w:w="3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(125)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(143)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19,314</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20,387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21,995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7,834</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7,991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9,077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3,540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3"/>
              </w:rPr>
              <w:t>Net income available to common stockholders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11,480</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12,396</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12,918</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7,571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Earnings per share:</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income per share(1)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0.27</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0.28</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Diluted income per share(1)</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0.25</w:t>
            </w:r>
          </w:p>
        </w:tc>
        <w:tc>
          <w:tcPr>
            <w:tcW w:w="32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0.27</w:t>
            </w: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0.28</w:t>
            </w: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9"/>
              </w:rPr>
              <w:t>Basic weighted average shares outstanding</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45,674</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45,724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45,746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45,743</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6"/>
              </w:rPr>
              <w:t>Diluted weighted average shares outstanding</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46,325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46,557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46,351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46,346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hanging="370"/>
        <w:spacing w:after="0"/>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sum of quarterly income per share may not equal annual income per share due to rounding and second quarter net loss.</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4800"/>
        <w:spacing w:after="0"/>
        <w:rPr>
          <w:rFonts w:ascii="Arial" w:cs="Arial" w:eastAsia="Arial" w:hAnsi="Arial"/>
          <w:sz w:val="16"/>
          <w:szCs w:val="16"/>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7"/>
                <w:szCs w:val="17"/>
                <w:b w:val="1"/>
                <w:bCs w:val="1"/>
                <w:color w:val="auto"/>
              </w:rPr>
              <w:t>2009</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7"/>
                <w:szCs w:val="17"/>
                <w:b w:val="1"/>
                <w:bCs w:val="1"/>
                <w:color w:val="auto"/>
                <w:w w:val="95"/>
              </w:rPr>
              <w:t>First Quarter</w:t>
            </w:r>
          </w:p>
        </w:tc>
        <w:tc>
          <w:tcPr>
            <w:tcW w:w="32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Second Quarter</w:t>
            </w:r>
          </w:p>
        </w:tc>
        <w:tc>
          <w:tcPr>
            <w:tcW w:w="1400" w:type="dxa"/>
            <w:vAlign w:val="bottom"/>
            <w:gridSpan w:val="4"/>
          </w:tcPr>
          <w:p>
            <w:pPr>
              <w:ind w:left="140"/>
              <w:spacing w:after="0"/>
              <w:rPr>
                <w:sz w:val="20"/>
                <w:szCs w:val="20"/>
                <w:color w:val="auto"/>
              </w:rPr>
            </w:pPr>
            <w:r>
              <w:rPr>
                <w:rFonts w:ascii="Arial" w:cs="Arial" w:eastAsia="Arial" w:hAnsi="Arial"/>
                <w:sz w:val="17"/>
                <w:szCs w:val="17"/>
                <w:b w:val="1"/>
                <w:bCs w:val="1"/>
                <w:color w:val="auto"/>
              </w:rPr>
              <w:t>Third Quarter</w:t>
            </w:r>
          </w:p>
        </w:tc>
        <w:tc>
          <w:tcPr>
            <w:tcW w:w="1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auto"/>
                <w:w w:val="94"/>
              </w:rPr>
              <w:t>Fourth Quarter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55,459</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62,905</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66,084</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77,454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Instructional costs and services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17,968</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20,411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23,466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Selling and promotional</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19,575</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20,726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22,095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23,009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8,688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8,556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Litigation loss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5,200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Estimated exit costs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Royalty to former owner</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46,450</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49,899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59,391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59,590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9,009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13,006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6,693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17,864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interest expense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(558)</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8,451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12,706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6,460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17,666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3,376</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5,063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6,571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4"/>
              </w:rPr>
              <w:t>Net income available to common stockholders</w:t>
            </w: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5,075</w:t>
            </w:r>
          </w:p>
        </w:tc>
        <w:tc>
          <w:tcPr>
            <w:tcW w:w="3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7,643</w:t>
            </w: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3,491</w:t>
            </w:r>
          </w:p>
        </w:tc>
        <w:tc>
          <w:tcPr>
            <w:tcW w:w="5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b w:val="1"/>
                <w:bCs w:val="1"/>
                <w:color w:val="auto"/>
              </w:rPr>
              <w:t>Basic income per share(1)</w:t>
            </w: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0.11</w:t>
            </w:r>
          </w:p>
        </w:tc>
        <w:tc>
          <w:tcPr>
            <w:tcW w:w="32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0.17</w:t>
            </w: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0.08</w:t>
            </w:r>
          </w:p>
        </w:tc>
        <w:tc>
          <w:tcPr>
            <w:tcW w:w="5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income per share(1)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0.17</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0.08</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9"/>
              </w:rPr>
              <w:t>Basic weighted average shares outstanding</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45,474</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44,846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44,783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45,636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6"/>
              </w:rPr>
              <w:t>Diluted weighted average shares outstanding</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45,821</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45,051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45,099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hanging="370"/>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sum of quarterly income per share may not equal annual income per share due to rounding and second quarter net loss.</w:t>
      </w:r>
    </w:p>
    <w:p>
      <w:pPr>
        <w:spacing w:after="0" w:line="200" w:lineRule="exact"/>
        <w:rPr>
          <w:rFonts w:ascii="Arial" w:cs="Arial" w:eastAsia="Arial" w:hAnsi="Arial"/>
          <w:sz w:val="16"/>
          <w:szCs w:val="16"/>
          <w:color w:val="auto"/>
        </w:rPr>
      </w:pPr>
    </w:p>
    <w:p>
      <w:pPr>
        <w:spacing w:after="0" w:line="359" w:lineRule="exact"/>
        <w:rPr>
          <w:rFonts w:ascii="Arial" w:cs="Arial" w:eastAsia="Arial" w:hAnsi="Arial"/>
          <w:sz w:val="16"/>
          <w:szCs w:val="16"/>
          <w:color w:val="auto"/>
        </w:rPr>
      </w:pPr>
    </w:p>
    <w:p>
      <w:pPr>
        <w:ind w:left="4800"/>
        <w:spacing w:after="0"/>
        <w:rPr>
          <w:rFonts w:ascii="Arial" w:cs="Arial" w:eastAsia="Arial" w:hAnsi="Arial"/>
          <w:sz w:val="16"/>
          <w:szCs w:val="16"/>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Disclosure Controls and Procedures</w:t>
      </w:r>
    </w:p>
    <w:p>
      <w:pPr>
        <w:spacing w:after="0" w:line="193" w:lineRule="exact"/>
        <w:rPr>
          <w:sz w:val="20"/>
          <w:szCs w:val="20"/>
          <w:color w:val="auto"/>
        </w:rPr>
      </w:pPr>
    </w:p>
    <w:p>
      <w:pPr>
        <w:ind w:left="320" w:right="879" w:firstLine="369"/>
        <w:spacing w:after="0" w:line="275"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 of management, to assist in this evaluation. Our Disclosure Committee meets on a quarterly basis and more often if necessary.</w:t>
      </w:r>
    </w:p>
    <w:p>
      <w:pPr>
        <w:spacing w:after="0" w:line="133" w:lineRule="exact"/>
        <w:rPr>
          <w:sz w:val="20"/>
          <w:szCs w:val="20"/>
          <w:color w:val="auto"/>
        </w:rPr>
      </w:pPr>
    </w:p>
    <w:p>
      <w:pPr>
        <w:ind w:left="320" w:right="819" w:firstLine="369"/>
        <w:spacing w:after="0" w:line="27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2010.</w:t>
      </w:r>
    </w:p>
    <w:p>
      <w:pPr>
        <w:spacing w:after="0" w:line="127"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color w:val="auto"/>
        </w:rPr>
        <w:t>Attached as exhibits to this Annual Report on Form 10-K are certifications of our Chief Executive Office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80" w:lineRule="exact"/>
        <w:rPr>
          <w:sz w:val="20"/>
          <w:szCs w:val="20"/>
          <w:color w:val="auto"/>
        </w:rPr>
      </w:pPr>
    </w:p>
    <w:p>
      <w:pPr>
        <w:ind w:left="320" w:right="939" w:firstLine="369"/>
        <w:spacing w:after="0" w:line="260" w:lineRule="auto"/>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(“GAAP”).</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internal control over financial reporting includes those policies and procedures that:</w:t>
      </w:r>
    </w:p>
    <w:p>
      <w:pPr>
        <w:spacing w:after="0" w:line="189" w:lineRule="exact"/>
        <w:rPr>
          <w:sz w:val="20"/>
          <w:szCs w:val="20"/>
          <w:color w:val="auto"/>
        </w:rPr>
      </w:pPr>
    </w:p>
    <w:p>
      <w:pPr>
        <w:ind w:left="1020" w:right="719" w:hanging="351"/>
        <w:spacing w:after="0" w:line="277"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5" w:lineRule="exact"/>
        <w:rPr>
          <w:rFonts w:ascii="Arial" w:cs="Arial" w:eastAsia="Arial" w:hAnsi="Arial"/>
          <w:sz w:val="17"/>
          <w:szCs w:val="17"/>
          <w:color w:val="auto"/>
        </w:rPr>
      </w:pPr>
    </w:p>
    <w:p>
      <w:pPr>
        <w:jc w:val="both"/>
        <w:ind w:left="1020" w:right="939" w:hanging="351"/>
        <w:spacing w:after="0" w:line="264"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36" w:lineRule="exact"/>
        <w:rPr>
          <w:rFonts w:ascii="Arial" w:cs="Arial" w:eastAsia="Arial" w:hAnsi="Arial"/>
          <w:sz w:val="17"/>
          <w:szCs w:val="17"/>
          <w:color w:val="auto"/>
        </w:rPr>
      </w:pPr>
    </w:p>
    <w:p>
      <w:pPr>
        <w:ind w:left="1020" w:right="679" w:hanging="351"/>
        <w:spacing w:after="0" w:line="277"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39" w:lineRule="exact"/>
        <w:rPr>
          <w:sz w:val="20"/>
          <w:szCs w:val="20"/>
          <w:color w:val="auto"/>
        </w:rPr>
      </w:pPr>
    </w:p>
    <w:p>
      <w:pPr>
        <w:ind w:left="320" w:right="699" w:firstLine="369"/>
        <w:spacing w:after="0" w:line="275" w:lineRule="auto"/>
        <w:rPr>
          <w:sz w:val="20"/>
          <w:szCs w:val="20"/>
          <w:color w:val="auto"/>
        </w:rPr>
      </w:pPr>
      <w:r>
        <w:rPr>
          <w:rFonts w:ascii="Arial" w:cs="Arial" w:eastAsia="Arial" w:hAnsi="Arial"/>
          <w:sz w:val="16"/>
          <w:szCs w:val="16"/>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79" w:firstLine="369"/>
        <w:spacing w:after="0" w:line="278"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2010, utilizing the criteria described in the “Internal Control-Integrated Framework” issued by the Committee of Sponsoring Organizations of the Treadway Commission. The objective of this assessment was to determine whether our internal control over financial reporting was effective as of December 31, 2010. Based on our assessment, management believes that, as of December 31, 2010, the Company’s internal control over financial reporting is effective.</w:t>
      </w:r>
    </w:p>
    <w:p>
      <w:pPr>
        <w:spacing w:after="0" w:line="140" w:lineRule="exact"/>
        <w:rPr>
          <w:sz w:val="20"/>
          <w:szCs w:val="20"/>
          <w:color w:val="auto"/>
        </w:rPr>
      </w:pPr>
    </w:p>
    <w:p>
      <w:pPr>
        <w:ind w:left="320" w:right="1199" w:firstLine="369"/>
        <w:spacing w:after="0" w:line="277" w:lineRule="auto"/>
        <w:rPr>
          <w:sz w:val="20"/>
          <w:szCs w:val="20"/>
          <w:color w:val="auto"/>
        </w:rPr>
      </w:pPr>
      <w:r>
        <w:rPr>
          <w:rFonts w:ascii="Arial" w:cs="Arial" w:eastAsia="Arial" w:hAnsi="Arial"/>
          <w:sz w:val="17"/>
          <w:szCs w:val="17"/>
          <w:color w:val="auto"/>
        </w:rPr>
        <w:t>The effectiveness of our internal control over financial reporting has been audited by, Ernst &amp; Young LLP, an independent registered public accounting firm, as stated in their attestation report which is included herein.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0" w:lineRule="exact"/>
        <w:rPr>
          <w:sz w:val="20"/>
          <w:szCs w:val="20"/>
          <w:color w:val="auto"/>
        </w:rPr>
      </w:pPr>
    </w:p>
    <w:p>
      <w:pPr>
        <w:ind w:left="320" w:right="1319" w:firstLine="369"/>
        <w:spacing w:after="0" w:line="309" w:lineRule="auto"/>
        <w:rPr>
          <w:sz w:val="20"/>
          <w:szCs w:val="20"/>
          <w:color w:val="auto"/>
        </w:rPr>
      </w:pPr>
      <w:r>
        <w:rPr>
          <w:rFonts w:ascii="Arial" w:cs="Arial" w:eastAsia="Arial" w:hAnsi="Arial"/>
          <w:sz w:val="16"/>
          <w:szCs w:val="16"/>
          <w:color w:val="auto"/>
        </w:rPr>
        <w:t>There were no changes in our internal control over financial reporting during the quarter ended December 31, 2010, that materially affected, or are reasonably likely to materially affect, our internal control over financial reporting.</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PART III</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80" w:lineRule="exact"/>
        <w:rPr>
          <w:sz w:val="20"/>
          <w:szCs w:val="20"/>
          <w:color w:val="auto"/>
        </w:rPr>
      </w:pPr>
    </w:p>
    <w:p>
      <w:pPr>
        <w:ind w:left="320" w:right="899" w:firstLine="369"/>
        <w:spacing w:after="0" w:line="264" w:lineRule="auto"/>
        <w:rPr>
          <w:sz w:val="20"/>
          <w:szCs w:val="20"/>
          <w:color w:val="auto"/>
        </w:rPr>
      </w:pPr>
      <w:r>
        <w:rPr>
          <w:rFonts w:ascii="Arial" w:cs="Arial" w:eastAsia="Arial" w:hAnsi="Arial"/>
          <w:sz w:val="17"/>
          <w:szCs w:val="17"/>
          <w:color w:val="auto"/>
        </w:rPr>
        <w:t>Information relating to our Board of Directors, Executive Officers, and Corporate Governance required by this item appears in our proxy statement, to be filed within 120 days of our fiscal year end (December 31, 2010) and such information is incorporated herein by reference.</w:t>
      </w:r>
    </w:p>
    <w:p>
      <w:pPr>
        <w:spacing w:after="0" w:line="137" w:lineRule="exact"/>
        <w:rPr>
          <w:sz w:val="20"/>
          <w:szCs w:val="20"/>
          <w:color w:val="auto"/>
        </w:rPr>
      </w:pPr>
    </w:p>
    <w:p>
      <w:pPr>
        <w:ind w:left="320" w:right="899" w:firstLine="369"/>
        <w:spacing w:after="0" w:line="281" w:lineRule="auto"/>
        <w:rPr>
          <w:sz w:val="20"/>
          <w:szCs w:val="20"/>
          <w:color w:val="auto"/>
        </w:rPr>
      </w:pPr>
      <w:r>
        <w:rPr>
          <w:rFonts w:ascii="Arial" w:cs="Arial" w:eastAsia="Arial" w:hAnsi="Arial"/>
          <w:sz w:val="16"/>
          <w:szCs w:val="16"/>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38" w:lineRule="exact"/>
        <w:rPr>
          <w:sz w:val="20"/>
          <w:szCs w:val="20"/>
          <w:color w:val="auto"/>
        </w:rPr>
      </w:pPr>
    </w:p>
    <w:p>
      <w:pPr>
        <w:ind w:left="320" w:right="739" w:firstLine="369"/>
        <w:spacing w:after="0" w:line="309" w:lineRule="auto"/>
        <w:rPr>
          <w:sz w:val="20"/>
          <w:szCs w:val="20"/>
          <w:color w:val="auto"/>
        </w:rPr>
      </w:pPr>
      <w:r>
        <w:rPr>
          <w:rFonts w:ascii="Arial" w:cs="Arial" w:eastAsia="Arial" w:hAnsi="Arial"/>
          <w:sz w:val="16"/>
          <w:szCs w:val="16"/>
          <w:color w:val="auto"/>
        </w:rPr>
        <w:t>The charters of our Audit Committee, Compensation Committee, and Nominating and Governance Committee are also available in the Corporate Governance section our website located at www.gcu.edu/Investor Relations/Corporate Governance.</w:t>
      </w:r>
    </w:p>
    <w:p>
      <w:pPr>
        <w:spacing w:after="0" w:line="99"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180"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Information relating to this item appears in our proxy statement, to be filed within 120 days of our fiscal year end (December 31, 2010) and such information is incorporated herein by reference.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80"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Information relating to this item appears in our proxy statement, to be filed within 120 days of our fiscal year end (December 31, 2010) and such information is incorporated herein by reference.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93"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Information relating to this item appears in our proxy statement, to be filed within 120 days of our fiscal year end (December 31, 2010) and such information is incorporated herein by reference.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80"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Information relating to this item appears in our proxy statement, to be filed within 120 days of our fiscal year end (December 31, 2010) and such information is incorporated herein by reference.</w:t>
      </w:r>
    </w:p>
    <w:p>
      <w:pPr>
        <w:spacing w:after="0" w:line="200" w:lineRule="exact"/>
        <w:rPr>
          <w:sz w:val="20"/>
          <w:szCs w:val="20"/>
          <w:color w:val="auto"/>
        </w:rPr>
      </w:pPr>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95"/>
        </w:trPr>
        <w:tc>
          <w:tcPr>
            <w:tcW w:w="826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980" w:type="dxa"/>
            <w:vAlign w:val="bottom"/>
          </w:tcPr>
          <w:p>
            <w:pPr>
              <w:ind w:left="3300"/>
              <w:spacing w:after="0"/>
              <w:rPr>
                <w:sz w:val="20"/>
                <w:szCs w:val="20"/>
                <w:color w:val="auto"/>
              </w:rPr>
            </w:pPr>
            <w:r>
              <w:rPr>
                <w:rFonts w:ascii="Arial" w:cs="Arial" w:eastAsia="Arial" w:hAnsi="Arial"/>
                <w:sz w:val="17"/>
                <w:szCs w:val="17"/>
                <w:b w:val="1"/>
                <w:bCs w:val="1"/>
                <w:color w:val="auto"/>
              </w:rPr>
              <w:t>PART IV</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260" w:type="dxa"/>
            <w:vAlign w:val="bottom"/>
            <w:gridSpan w:val="3"/>
          </w:tcPr>
          <w:p>
            <w:pPr>
              <w:ind w:left="320"/>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60" w:type="dxa"/>
            <w:vAlign w:val="bottom"/>
            <w:gridSpan w:val="3"/>
          </w:tcPr>
          <w:p>
            <w:pPr>
              <w:ind w:left="320"/>
              <w:spacing w:after="0"/>
              <w:rPr>
                <w:sz w:val="20"/>
                <w:szCs w:val="20"/>
                <w:color w:val="auto"/>
              </w:rPr>
            </w:pPr>
            <w:r>
              <w:rPr>
                <w:rFonts w:ascii="Arial" w:cs="Arial" w:eastAsia="Arial" w:hAnsi="Arial"/>
                <w:sz w:val="17"/>
                <w:szCs w:val="17"/>
                <w:b w:val="1"/>
                <w:bCs w:val="1"/>
                <w:color w:val="auto"/>
              </w:rPr>
              <w:t>(a) The following documents are filed as part of this Annual Report on Form 10-K:</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7940" w:type="dxa"/>
            <w:vAlign w:val="bottom"/>
            <w:gridSpan w:val="2"/>
          </w:tcPr>
          <w:p>
            <w:pPr>
              <w:ind w:left="3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 filed as part of this report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60" w:type="dxa"/>
            <w:vAlign w:val="bottom"/>
            <w:gridSpan w:val="3"/>
          </w:tcPr>
          <w:p>
            <w:pPr>
              <w:ind w:left="320"/>
              <w:spacing w:after="0"/>
              <w:rPr>
                <w:sz w:val="20"/>
                <w:szCs w:val="20"/>
                <w:color w:val="auto"/>
              </w:rPr>
            </w:pPr>
            <w:r>
              <w:rPr>
                <w:rFonts w:ascii="Arial" w:cs="Arial" w:eastAsia="Arial" w:hAnsi="Arial"/>
                <w:sz w:val="17"/>
                <w:szCs w:val="17"/>
                <w:b w:val="1"/>
                <w:bCs w:val="1"/>
                <w:color w:val="auto"/>
              </w:rPr>
              <w:t>Index to Consolidated Financial Statements</w:t>
            </w:r>
          </w:p>
        </w:tc>
        <w:tc>
          <w:tcPr>
            <w:tcW w:w="280" w:type="dxa"/>
            <w:vAlign w:val="bottom"/>
          </w:tcPr>
          <w:p>
            <w:pPr>
              <w:spacing w:after="0"/>
              <w:rPr>
                <w:sz w:val="24"/>
                <w:szCs w:val="24"/>
                <w:color w:val="auto"/>
              </w:rPr>
            </w:pPr>
          </w:p>
        </w:tc>
        <w:tc>
          <w:tcPr>
            <w:tcW w:w="1000" w:type="dxa"/>
            <w:vAlign w:val="bottom"/>
            <w:gridSpan w:val="2"/>
          </w:tcPr>
          <w:p>
            <w:pPr>
              <w:ind w:left="2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99"/>
        </w:trPr>
        <w:tc>
          <w:tcPr>
            <w:tcW w:w="320" w:type="dxa"/>
            <w:vAlign w:val="bottom"/>
            <w:vMerge w:val="restart"/>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409"/>
        </w:trPr>
        <w:tc>
          <w:tcPr>
            <w:tcW w:w="8260" w:type="dxa"/>
            <w:vAlign w:val="bottom"/>
            <w:gridSpan w:val="3"/>
          </w:tcPr>
          <w:p>
            <w:pPr>
              <w:ind w:left="320"/>
              <w:spacing w:after="0"/>
              <w:rPr>
                <w:sz w:val="20"/>
                <w:szCs w:val="20"/>
                <w:color w:val="auto"/>
              </w:rPr>
            </w:pPr>
            <w:r>
              <w:rPr>
                <w:rFonts w:ascii="Arial" w:cs="Arial" w:eastAsia="Arial" w:hAnsi="Arial"/>
                <w:sz w:val="17"/>
                <w:szCs w:val="17"/>
                <w:color w:val="auto"/>
              </w:rPr>
              <w:t>Report of Independent Registered Public Accounting Firm on Internal Control Over Financial Reporting</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Sheets as of December 31, 2010 and 2009</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409"/>
        </w:trPr>
        <w:tc>
          <w:tcPr>
            <w:tcW w:w="8260" w:type="dxa"/>
            <w:vAlign w:val="bottom"/>
            <w:gridSpan w:val="3"/>
          </w:tcPr>
          <w:p>
            <w:pPr>
              <w:ind w:left="320"/>
              <w:spacing w:after="0"/>
              <w:rPr>
                <w:sz w:val="20"/>
                <w:szCs w:val="20"/>
                <w:color w:val="auto"/>
              </w:rPr>
            </w:pPr>
            <w:r>
              <w:rPr>
                <w:rFonts w:ascii="Arial" w:cs="Arial" w:eastAsia="Arial" w:hAnsi="Arial"/>
                <w:sz w:val="17"/>
                <w:szCs w:val="17"/>
                <w:color w:val="auto"/>
              </w:rPr>
              <w:t>Income Statements for the years ended December 31, 2010, 2009 and 2008</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Statements of Comprehensive Income for the years ended December 31, 2010, 2009 and 2008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398"/>
        </w:trPr>
        <w:tc>
          <w:tcPr>
            <w:tcW w:w="8260" w:type="dxa"/>
            <w:vAlign w:val="bottom"/>
            <w:gridSpan w:val="3"/>
          </w:tcPr>
          <w:p>
            <w:pPr>
              <w:ind w:left="320"/>
              <w:spacing w:after="0"/>
              <w:rPr>
                <w:sz w:val="20"/>
                <w:szCs w:val="20"/>
                <w:color w:val="auto"/>
              </w:rPr>
            </w:pPr>
            <w:r>
              <w:rPr>
                <w:rFonts w:ascii="Arial" w:cs="Arial" w:eastAsia="Arial" w:hAnsi="Arial"/>
                <w:sz w:val="17"/>
                <w:szCs w:val="17"/>
                <w:color w:val="auto"/>
                <w:w w:val="91"/>
              </w:rPr>
              <w:t>Statements of Preferred Stock and Stockholders Equity (Deficit) for the years ended December 31, 2010, 2009 and</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500"/>
              <w:spacing w:after="0"/>
              <w:rPr>
                <w:sz w:val="20"/>
                <w:szCs w:val="20"/>
                <w:color w:val="auto"/>
              </w:rPr>
            </w:pPr>
            <w:r>
              <w:rPr>
                <w:rFonts w:ascii="Arial" w:cs="Arial" w:eastAsia="Arial" w:hAnsi="Arial"/>
                <w:sz w:val="17"/>
                <w:szCs w:val="17"/>
                <w:color w:val="auto"/>
              </w:rPr>
              <w:t>2008</w:t>
            </w:r>
          </w:p>
        </w:tc>
        <w:tc>
          <w:tcPr>
            <w:tcW w:w="698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Statements of Cash Flows for the years ended December 31, 2010, 2009 and 2008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409"/>
        </w:trPr>
        <w:tc>
          <w:tcPr>
            <w:tcW w:w="8260" w:type="dxa"/>
            <w:vAlign w:val="bottom"/>
            <w:gridSpan w:val="3"/>
          </w:tcPr>
          <w:p>
            <w:pPr>
              <w:ind w:left="320"/>
              <w:spacing w:after="0"/>
              <w:rPr>
                <w:sz w:val="20"/>
                <w:szCs w:val="20"/>
                <w:color w:val="auto"/>
              </w:rPr>
            </w:pPr>
            <w:r>
              <w:rPr>
                <w:rFonts w:ascii="Arial" w:cs="Arial" w:eastAsia="Arial" w:hAnsi="Arial"/>
                <w:sz w:val="17"/>
                <w:szCs w:val="17"/>
                <w:color w:val="auto"/>
              </w:rPr>
              <w:t>Notes to Financial Statements</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7940" w:type="dxa"/>
            <w:vAlign w:val="bottom"/>
            <w:gridSpan w:val="2"/>
          </w:tcPr>
          <w:p>
            <w:pPr>
              <w:ind w:left="36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i w:val="1"/>
                <w:iCs w:val="1"/>
                <w:color w:val="auto"/>
              </w:rPr>
              <w:t>Financial Statement Schedules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All financial statement schedules have been omitted since the required information is not applicable or is not present in amounts sufficient to require submission of the schedule, or because the information required is included in the Financial Statements and Notes thereto.</w:t>
      </w:r>
    </w:p>
    <w:p>
      <w:pPr>
        <w:spacing w:after="0" w:line="137" w:lineRule="exact"/>
        <w:rPr>
          <w:sz w:val="20"/>
          <w:szCs w:val="20"/>
          <w:color w:val="auto"/>
        </w:rPr>
      </w:pPr>
    </w:p>
    <w:p>
      <w:pPr>
        <w:ind w:left="860" w:hanging="181"/>
        <w:spacing w:after="0"/>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Number</w:t>
            </w:r>
          </w:p>
        </w:tc>
        <w:tc>
          <w:tcPr>
            <w:tcW w:w="280" w:type="dxa"/>
            <w:vAlign w:val="bottom"/>
          </w:tcPr>
          <w:p>
            <w:pPr>
              <w:spacing w:after="0"/>
              <w:rPr>
                <w:sz w:val="19"/>
                <w:szCs w:val="19"/>
                <w:color w:val="auto"/>
              </w:rPr>
            </w:pPr>
          </w:p>
        </w:tc>
        <w:tc>
          <w:tcPr>
            <w:tcW w:w="370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c>
          <w:tcPr>
            <w:tcW w:w="260" w:type="dxa"/>
            <w:vAlign w:val="bottom"/>
          </w:tcPr>
          <w:p>
            <w:pPr>
              <w:spacing w:after="0"/>
              <w:rPr>
                <w:sz w:val="19"/>
                <w:szCs w:val="19"/>
                <w:color w:val="auto"/>
              </w:rPr>
            </w:pPr>
          </w:p>
        </w:tc>
        <w:tc>
          <w:tcPr>
            <w:tcW w:w="3960" w:type="dxa"/>
            <w:vAlign w:val="bottom"/>
            <w:tcBorders>
              <w:bottom w:val="single" w:sz="8" w:color="auto"/>
            </w:tcBorders>
          </w:tcPr>
          <w:p>
            <w:pPr>
              <w:ind w:left="1360"/>
              <w:spacing w:after="0"/>
              <w:rPr>
                <w:sz w:val="20"/>
                <w:szCs w:val="20"/>
                <w:color w:val="auto"/>
              </w:rPr>
            </w:pPr>
            <w:r>
              <w:rPr>
                <w:rFonts w:ascii="Arial" w:cs="Arial" w:eastAsia="Arial" w:hAnsi="Arial"/>
                <w:sz w:val="17"/>
                <w:szCs w:val="17"/>
                <w:b w:val="1"/>
                <w:bCs w:val="1"/>
                <w:color w:val="auto"/>
              </w:rPr>
              <w:t>Method of Filing</w:t>
            </w:r>
          </w:p>
        </w:tc>
      </w:tr>
      <w:tr>
        <w:trPr>
          <w:trHeight w:val="391"/>
        </w:trPr>
        <w:tc>
          <w:tcPr>
            <w:tcW w:w="1020" w:type="dxa"/>
            <w:vAlign w:val="bottom"/>
          </w:tcPr>
          <w:p>
            <w:pPr>
              <w:jc w:val="right"/>
              <w:ind w:right="295"/>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Amended and Restated Certificate of Incorporation</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w w:val="95"/>
              </w:rPr>
              <w:t>Incorporated by reference to Exhibit 3.1 to Amendment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No. 6 to the University’s Registration Statement on</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Form S-1 filed with the SEC on November 12, 2008.</w:t>
            </w:r>
          </w:p>
        </w:tc>
      </w:tr>
      <w:tr>
        <w:trPr>
          <w:trHeight w:val="399"/>
        </w:trPr>
        <w:tc>
          <w:tcPr>
            <w:tcW w:w="1020" w:type="dxa"/>
            <w:vAlign w:val="bottom"/>
          </w:tcPr>
          <w:p>
            <w:pPr>
              <w:jc w:val="right"/>
              <w:ind w:right="295"/>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Second Amended and Restated Bylaws</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Incorporated by reference to Exhibit 3.1 to the</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w w:val="97"/>
              </w:rPr>
              <w:t>University’s Current Report on Form 8-K filed with the</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SEC on August 2, 2010.</w:t>
            </w:r>
          </w:p>
        </w:tc>
      </w:tr>
      <w:tr>
        <w:trPr>
          <w:trHeight w:val="399"/>
        </w:trPr>
        <w:tc>
          <w:tcPr>
            <w:tcW w:w="1020" w:type="dxa"/>
            <w:vAlign w:val="bottom"/>
          </w:tcPr>
          <w:p>
            <w:pPr>
              <w:jc w:val="right"/>
              <w:ind w:right="295"/>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Specimen of Stock Certificate</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w w:val="95"/>
              </w:rPr>
              <w:t>Incorporated by reference to Exhibit 4.1 to Amendment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No. 2 to the University’s Registration Statement on</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w w:val="99"/>
              </w:rPr>
              <w:t>Form S-1 filed with the SEC on September 29, 2008.</w:t>
            </w:r>
          </w:p>
        </w:tc>
      </w:tr>
    </w:tbl>
    <w:p>
      <w:pPr>
        <w:spacing w:after="0" w:line="194" w:lineRule="exact"/>
        <w:rPr>
          <w:sz w:val="20"/>
          <w:szCs w:val="20"/>
          <w:color w:val="auto"/>
        </w:rPr>
      </w:pPr>
    </w:p>
    <w:p>
      <w:pPr>
        <w:sectPr>
          <w:pgSz w:w="11900" w:h="16838" w:orient="portrait"/>
          <w:cols w:equalWidth="0" w:num="1">
            <w:col w:w="10219"/>
          </w:cols>
          <w:pgMar w:left="240" w:top="392" w:right="1440" w:bottom="1440" w:gutter="0" w:footer="0" w:header="0"/>
        </w:sectPr>
      </w:pPr>
    </w:p>
    <w:tbl>
      <w:tblPr>
        <w:tblLayout w:type="fixed"/>
        <w:tblInd w:w="760" w:type="dxa"/>
        <w:tblCellMar>
          <w:top w:w="0" w:type="dxa"/>
          <w:left w:w="0" w:type="dxa"/>
          <w:bottom w:w="0" w:type="dxa"/>
          <w:right w:w="0" w:type="dxa"/>
        </w:tblCellMar>
      </w:tblPr>
      <w:tr>
        <w:trPr>
          <w:trHeight w:val="205"/>
        </w:trPr>
        <w:tc>
          <w:tcPr>
            <w:tcW w:w="540" w:type="dxa"/>
            <w:vAlign w:val="bottom"/>
          </w:tcPr>
          <w:p>
            <w:pPr>
              <w:jc w:val="right"/>
              <w:ind w:right="255"/>
              <w:spacing w:after="0"/>
              <w:rPr>
                <w:sz w:val="20"/>
                <w:szCs w:val="20"/>
                <w:color w:val="auto"/>
              </w:rPr>
            </w:pPr>
            <w:r>
              <w:rPr>
                <w:rFonts w:ascii="Arial" w:cs="Arial" w:eastAsia="Arial" w:hAnsi="Arial"/>
                <w:sz w:val="17"/>
                <w:szCs w:val="17"/>
                <w:color w:val="auto"/>
                <w:w w:val="75"/>
              </w:rPr>
              <w:t>4.2</w:t>
            </w:r>
          </w:p>
        </w:tc>
        <w:tc>
          <w:tcPr>
            <w:tcW w:w="3860" w:type="dxa"/>
            <w:vAlign w:val="bottom"/>
          </w:tcPr>
          <w:p>
            <w:pPr>
              <w:ind w:left="320"/>
              <w:spacing w:after="0"/>
              <w:rPr>
                <w:sz w:val="20"/>
                <w:szCs w:val="20"/>
                <w:color w:val="auto"/>
              </w:rPr>
            </w:pPr>
            <w:r>
              <w:rPr>
                <w:rFonts w:ascii="Arial" w:cs="Arial" w:eastAsia="Arial" w:hAnsi="Arial"/>
                <w:sz w:val="17"/>
                <w:szCs w:val="17"/>
                <w:color w:val="auto"/>
                <w:w w:val="90"/>
              </w:rPr>
              <w:t>Amended and Restated Investor Rights Agreement,</w:t>
            </w:r>
          </w:p>
        </w:tc>
      </w:tr>
      <w:tr>
        <w:trPr>
          <w:trHeight w:val="205"/>
        </w:trPr>
        <w:tc>
          <w:tcPr>
            <w:tcW w:w="540" w:type="dxa"/>
            <w:vAlign w:val="bottom"/>
          </w:tcPr>
          <w:p>
            <w:pPr>
              <w:spacing w:after="0"/>
              <w:rPr>
                <w:sz w:val="17"/>
                <w:szCs w:val="17"/>
                <w:color w:val="auto"/>
              </w:rPr>
            </w:pPr>
          </w:p>
        </w:tc>
        <w:tc>
          <w:tcPr>
            <w:tcW w:w="3860" w:type="dxa"/>
            <w:vAlign w:val="bottom"/>
          </w:tcPr>
          <w:p>
            <w:pPr>
              <w:ind w:left="320"/>
              <w:spacing w:after="0"/>
              <w:rPr>
                <w:sz w:val="20"/>
                <w:szCs w:val="20"/>
                <w:color w:val="auto"/>
              </w:rPr>
            </w:pPr>
            <w:r>
              <w:rPr>
                <w:rFonts w:ascii="Arial" w:cs="Arial" w:eastAsia="Arial" w:hAnsi="Arial"/>
                <w:sz w:val="17"/>
                <w:szCs w:val="17"/>
                <w:color w:val="auto"/>
                <w:w w:val="95"/>
              </w:rPr>
              <w:t>dated September 17, 2008, by and among Grand</w:t>
            </w:r>
          </w:p>
        </w:tc>
      </w:tr>
      <w:tr>
        <w:trPr>
          <w:trHeight w:val="205"/>
        </w:trPr>
        <w:tc>
          <w:tcPr>
            <w:tcW w:w="540" w:type="dxa"/>
            <w:vAlign w:val="bottom"/>
          </w:tcPr>
          <w:p>
            <w:pPr>
              <w:spacing w:after="0"/>
              <w:rPr>
                <w:sz w:val="17"/>
                <w:szCs w:val="17"/>
                <w:color w:val="auto"/>
              </w:rPr>
            </w:pPr>
          </w:p>
        </w:tc>
        <w:tc>
          <w:tcPr>
            <w:tcW w:w="3860" w:type="dxa"/>
            <w:vAlign w:val="bottom"/>
          </w:tcPr>
          <w:p>
            <w:pPr>
              <w:ind w:left="320"/>
              <w:spacing w:after="0"/>
              <w:rPr>
                <w:sz w:val="20"/>
                <w:szCs w:val="20"/>
                <w:color w:val="auto"/>
              </w:rPr>
            </w:pPr>
            <w:r>
              <w:rPr>
                <w:rFonts w:ascii="Arial" w:cs="Arial" w:eastAsia="Arial" w:hAnsi="Arial"/>
                <w:sz w:val="17"/>
                <w:szCs w:val="17"/>
                <w:color w:val="auto"/>
                <w:w w:val="89"/>
              </w:rPr>
              <w:t>Canyon Education, Inc. and the other parties named</w:t>
            </w:r>
          </w:p>
        </w:tc>
      </w:tr>
      <w:tr>
        <w:trPr>
          <w:trHeight w:val="216"/>
        </w:trPr>
        <w:tc>
          <w:tcPr>
            <w:tcW w:w="54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7"/>
                <w:szCs w:val="17"/>
                <w:color w:val="auto"/>
              </w:rPr>
              <w:t>therein</w:t>
            </w:r>
          </w:p>
        </w:tc>
      </w:tr>
    </w:tbl>
    <w:p>
      <w:pPr>
        <w:spacing w:after="0" w:line="20" w:lineRule="exact"/>
        <w:rPr>
          <w:sz w:val="20"/>
          <w:szCs w:val="20"/>
          <w:color w:val="auto"/>
        </w:rPr>
      </w:pPr>
      <w:r>
        <w:rPr>
          <w:sz w:val="20"/>
          <w:szCs w:val="20"/>
          <w:color w:val="auto"/>
        </w:rPr>
        <w:br w:type="column"/>
      </w:r>
    </w:p>
    <w:p>
      <w:pPr>
        <w:ind w:right="839"/>
        <w:spacing w:after="0" w:line="315" w:lineRule="auto"/>
        <w:rPr>
          <w:sz w:val="20"/>
          <w:szCs w:val="20"/>
          <w:color w:val="auto"/>
        </w:rPr>
      </w:pPr>
      <w:r>
        <w:rPr>
          <w:rFonts w:ascii="Arial" w:cs="Arial" w:eastAsia="Arial" w:hAnsi="Arial"/>
          <w:sz w:val="15"/>
          <w:szCs w:val="15"/>
          <w:color w:val="auto"/>
        </w:rPr>
        <w:t>Incorporated by reference to Exhibit 4.2 to Amendment No. 2 to the University’s Registration Statement on Form S-1 filed with the SEC on September 29, 2008.</w:t>
      </w:r>
    </w:p>
    <w:p>
      <w:pPr>
        <w:spacing w:after="0" w:line="352" w:lineRule="exact"/>
        <w:rPr>
          <w:sz w:val="20"/>
          <w:szCs w:val="20"/>
          <w:color w:val="auto"/>
        </w:rPr>
      </w:pPr>
    </w:p>
    <w:p>
      <w:pPr>
        <w:sectPr>
          <w:pgSz w:w="11900" w:h="16838" w:orient="portrait"/>
          <w:cols w:equalWidth="0" w:num="2">
            <w:col w:w="5160" w:space="420"/>
            <w:col w:w="4639"/>
          </w:cols>
          <w:pgMar w:left="240" w:top="392"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2" w:right="1440" w:bottom="1440" w:gutter="0" w:footer="0" w:header="0"/>
          <w:type w:val="continuous"/>
        </w:sectPr>
      </w:pPr>
    </w:p>
    <w:bookmarkStart w:id="134" w:name="page135"/>
    <w:bookmarkEnd w:id="1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9"/>
                <w:szCs w:val="19"/>
                <w:color w:val="auto"/>
              </w:rPr>
            </w:pPr>
          </w:p>
        </w:tc>
        <w:tc>
          <w:tcPr>
            <w:tcW w:w="368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r>
      <w:tr>
        <w:trPr>
          <w:trHeight w:val="391"/>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7"/>
              </w:rPr>
              <w:t>between Grand Canyon Education, Inc. and Brent</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Richardson†</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10.2</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between Grand Canyon Education, Inc. and</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Christopher Richardson†</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Executive Employment Agreement, dated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3"/>
              </w:rPr>
              <w:t>September 1, 2008, by and between Grand Canyon</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Education, Inc. and Kathy Player†</w:t>
            </w:r>
          </w:p>
        </w:tc>
      </w:tr>
      <w:tr>
        <w:trPr>
          <w:trHeight w:val="410"/>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2008 Equity Incentive Plan†</w:t>
            </w:r>
          </w:p>
        </w:tc>
      </w:tr>
      <w:tr>
        <w:trPr>
          <w:trHeight w:val="820"/>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10.5</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2008 Employee Stock Purchase Plan†</w:t>
            </w:r>
          </w:p>
        </w:tc>
      </w:tr>
      <w:tr>
        <w:trPr>
          <w:trHeight w:val="80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10.6</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License Agreement, dated June 30, 2004,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between Blanchard Education, LLC and Significant</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Education, LLC</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10.7</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6"/>
              </w:rPr>
              <w:t>Letter Agreement, dated February 6, 2006,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3"/>
              </w:rPr>
              <w:t>between The Ken Blanchard Companies and Grand</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Canyon University</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9"/>
              </w:rPr>
              <w:t>Amendment to License Agreement, dated May 8,</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9"/>
              </w:rPr>
              <w:t>2008, by and between Blanchard Education, LLC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Grand Canyon Education, Inc.</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Collaboration Agreement, dated July 11, 2005, by</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between Mind Streams, LLC and Significant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Education, LLC (as supplemented by Project One</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Project Two)</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10.10</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Daniel E. Bachus†</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10.11</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Brian E. Mueller†</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10.12</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W. Stan Meyer†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4993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2"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10.1 to Amendment No. 2 to the University’s Registration Statement on Form S-1 filed with the SEC on September 29, 2008.</w:t>
      </w:r>
    </w:p>
    <w:p>
      <w:pPr>
        <w:spacing w:after="0" w:line="346"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10.2 to Amendment No. 2 to the University’s Registration Statement on Form S-1 filed with the SEC on September 29, 2008.</w:t>
      </w:r>
    </w:p>
    <w:p>
      <w:pPr>
        <w:spacing w:after="0" w:line="346" w:lineRule="exact"/>
        <w:rPr>
          <w:sz w:val="20"/>
          <w:szCs w:val="20"/>
          <w:color w:val="auto"/>
        </w:rPr>
      </w:pPr>
    </w:p>
    <w:p>
      <w:pPr>
        <w:ind w:right="819"/>
        <w:spacing w:after="0" w:line="264" w:lineRule="auto"/>
        <w:rPr>
          <w:sz w:val="20"/>
          <w:szCs w:val="20"/>
          <w:color w:val="auto"/>
        </w:rPr>
      </w:pPr>
      <w:r>
        <w:rPr>
          <w:rFonts w:ascii="Arial" w:cs="Arial" w:eastAsia="Arial" w:hAnsi="Arial"/>
          <w:sz w:val="17"/>
          <w:szCs w:val="17"/>
          <w:color w:val="auto"/>
        </w:rPr>
        <w:t>Incorporated by reference to Exhibit 10.1 to the University’s Current Report on Form 8-K filed with the SEC on March 25, 2009.</w:t>
      </w:r>
    </w:p>
    <w:p>
      <w:pPr>
        <w:spacing w:after="0" w:line="175"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10.4 to Amendment No. 2 to the University’s Registration Statement on Form S-1 filed with the SEC on September 29, 2008.</w:t>
      </w:r>
    </w:p>
    <w:p>
      <w:pPr>
        <w:spacing w:after="0" w:line="141"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10.5 to Amendment No. 2 to the University’s Registration Statement on Form S-1 filed with the SEC on September 29, 2008.</w:t>
      </w:r>
    </w:p>
    <w:p>
      <w:pPr>
        <w:spacing w:after="0" w:line="141" w:lineRule="exact"/>
        <w:rPr>
          <w:sz w:val="20"/>
          <w:szCs w:val="20"/>
          <w:color w:val="auto"/>
        </w:rPr>
      </w:pPr>
    </w:p>
    <w:p>
      <w:pPr>
        <w:ind w:right="919"/>
        <w:spacing w:after="0" w:line="264" w:lineRule="auto"/>
        <w:rPr>
          <w:sz w:val="20"/>
          <w:szCs w:val="20"/>
          <w:color w:val="auto"/>
        </w:rPr>
      </w:pPr>
      <w:r>
        <w:rPr>
          <w:rFonts w:ascii="Arial" w:cs="Arial" w:eastAsia="Arial" w:hAnsi="Arial"/>
          <w:sz w:val="17"/>
          <w:szCs w:val="17"/>
          <w:color w:val="auto"/>
        </w:rPr>
        <w:t>Incorporated by reference to Exhibit 10.15 to the University’s Registration Statement on Form S-1 filed with the SEC on May 13, 2008.</w:t>
      </w:r>
    </w:p>
    <w:p>
      <w:pPr>
        <w:spacing w:after="0" w:line="175" w:lineRule="exact"/>
        <w:rPr>
          <w:sz w:val="20"/>
          <w:szCs w:val="20"/>
          <w:color w:val="auto"/>
        </w:rPr>
      </w:pPr>
    </w:p>
    <w:p>
      <w:pPr>
        <w:ind w:right="919"/>
        <w:spacing w:after="0" w:line="264" w:lineRule="auto"/>
        <w:rPr>
          <w:sz w:val="20"/>
          <w:szCs w:val="20"/>
          <w:color w:val="auto"/>
        </w:rPr>
      </w:pPr>
      <w:r>
        <w:rPr>
          <w:rFonts w:ascii="Arial" w:cs="Arial" w:eastAsia="Arial" w:hAnsi="Arial"/>
          <w:sz w:val="17"/>
          <w:szCs w:val="17"/>
          <w:color w:val="auto"/>
        </w:rPr>
        <w:t>Incorporated by reference to Exhibit 10.16 to the University’s Registration Statement on Form S-1 filed with the SEC on May 13, 2008.</w:t>
      </w:r>
    </w:p>
    <w:p>
      <w:pPr>
        <w:spacing w:after="0" w:line="175" w:lineRule="exact"/>
        <w:rPr>
          <w:sz w:val="20"/>
          <w:szCs w:val="20"/>
          <w:color w:val="auto"/>
        </w:rPr>
      </w:pPr>
    </w:p>
    <w:p>
      <w:pPr>
        <w:ind w:right="919"/>
        <w:spacing w:after="0" w:line="264" w:lineRule="auto"/>
        <w:rPr>
          <w:sz w:val="20"/>
          <w:szCs w:val="20"/>
          <w:color w:val="auto"/>
        </w:rPr>
      </w:pPr>
      <w:r>
        <w:rPr>
          <w:rFonts w:ascii="Arial" w:cs="Arial" w:eastAsia="Arial" w:hAnsi="Arial"/>
          <w:sz w:val="17"/>
          <w:szCs w:val="17"/>
          <w:color w:val="auto"/>
        </w:rPr>
        <w:t>Incorporated by reference to Exhibit 10.17 to the University’s Registration Statement on Form S-1 filed with the SEC on May 13, 2008.</w:t>
      </w:r>
    </w:p>
    <w:p>
      <w:pPr>
        <w:spacing w:after="0" w:line="175"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10.18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10.19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10.20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10.21 to Amendment No. 1 to the University’s Registration Statement on Form S-1 filed with the SEC on August 13, 2008.</w:t>
      </w:r>
    </w:p>
    <w:p>
      <w:pPr>
        <w:spacing w:after="0" w:line="200" w:lineRule="exact"/>
        <w:rPr>
          <w:sz w:val="20"/>
          <w:szCs w:val="20"/>
          <w:color w:val="auto"/>
        </w:rPr>
      </w:pPr>
    </w:p>
    <w:p>
      <w:pPr>
        <w:sectPr>
          <w:pgSz w:w="11900" w:h="16838" w:orient="portrait"/>
          <w:cols w:equalWidth="0" w:num="2">
            <w:col w:w="5340" w:space="260"/>
            <w:col w:w="4619"/>
          </w:cols>
          <w:pgMar w:left="240" w:top="405"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35" w:name="page136"/>
    <w:bookmarkEnd w:id="1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p>
      <w:pPr>
        <w:ind w:left="560"/>
        <w:spacing w:after="0"/>
        <w:tabs>
          <w:tab w:leader="none" w:pos="306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16510</wp:posOffset>
            </wp:positionV>
            <wp:extent cx="31915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91510" cy="8255"/>
                    </a:xfrm>
                    <a:prstGeom prst="rect">
                      <a:avLst/>
                    </a:prstGeom>
                    <a:noFill/>
                  </pic:spPr>
                </pic:pic>
              </a:graphicData>
            </a:graphic>
          </wp:anchor>
        </w:drawing>
      </w:r>
    </w:p>
    <w:p>
      <w:pPr>
        <w:spacing w:after="0" w:line="21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5"/>
          <w:szCs w:val="15"/>
          <w:color w:val="auto"/>
        </w:rPr>
        <w:t>Form of Director and Officer Indemnity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10.14</w:t>
            </w:r>
          </w:p>
        </w:tc>
        <w:tc>
          <w:tcPr>
            <w:tcW w:w="3960" w:type="dxa"/>
            <w:vAlign w:val="bottom"/>
          </w:tcPr>
          <w:p>
            <w:pPr>
              <w:ind w:left="300"/>
              <w:spacing w:after="0"/>
              <w:rPr>
                <w:sz w:val="20"/>
                <w:szCs w:val="20"/>
                <w:color w:val="auto"/>
              </w:rPr>
            </w:pPr>
            <w:r>
              <w:rPr>
                <w:rFonts w:ascii="Arial" w:cs="Arial" w:eastAsia="Arial" w:hAnsi="Arial"/>
                <w:sz w:val="17"/>
                <w:szCs w:val="17"/>
                <w:color w:val="auto"/>
                <w:w w:val="91"/>
              </w:rPr>
              <w:t>Purchase and Sale Agreement, dated April 27, 2009,</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3"/>
              </w:rPr>
              <w:t>by and among Grand Canyon Education, Inc., Spirit</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Master Funding, LLC, and Spirit Management</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Company</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10.15</w:t>
            </w:r>
          </w:p>
        </w:tc>
        <w:tc>
          <w:tcPr>
            <w:tcW w:w="3960" w:type="dxa"/>
            <w:vAlign w:val="bottom"/>
          </w:tcPr>
          <w:p>
            <w:pPr>
              <w:ind w:left="300"/>
              <w:spacing w:after="0"/>
              <w:rPr>
                <w:sz w:val="20"/>
                <w:szCs w:val="20"/>
                <w:color w:val="auto"/>
              </w:rPr>
            </w:pPr>
            <w:r>
              <w:rPr>
                <w:rFonts w:ascii="Arial" w:cs="Arial" w:eastAsia="Arial" w:hAnsi="Arial"/>
                <w:sz w:val="17"/>
                <w:szCs w:val="17"/>
                <w:color w:val="auto"/>
              </w:rPr>
              <w:t>Loan Agreement, dated April 27, 2009, by and</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2"/>
              </w:rPr>
              <w:t>between Grand Canyon Education, Inc. and Bank of</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10.16</w:t>
            </w:r>
          </w:p>
        </w:tc>
        <w:tc>
          <w:tcPr>
            <w:tcW w:w="3960" w:type="dxa"/>
            <w:vAlign w:val="bottom"/>
          </w:tcPr>
          <w:p>
            <w:pPr>
              <w:ind w:left="300"/>
              <w:spacing w:after="0"/>
              <w:rPr>
                <w:sz w:val="20"/>
                <w:szCs w:val="20"/>
                <w:color w:val="auto"/>
              </w:rPr>
            </w:pPr>
            <w:r>
              <w:rPr>
                <w:rFonts w:ascii="Arial" w:cs="Arial" w:eastAsia="Arial" w:hAnsi="Arial"/>
                <w:sz w:val="17"/>
                <w:szCs w:val="17"/>
                <w:color w:val="auto"/>
                <w:w w:val="91"/>
              </w:rPr>
              <w:t>Employment Agreement, dated September 16, 2009,</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4"/>
              </w:rPr>
              <w:t>by and between Grand Canyon Education, Inc. and</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Joseph N. Mildenhall†</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10.17</w:t>
            </w:r>
          </w:p>
        </w:tc>
        <w:tc>
          <w:tcPr>
            <w:tcW w:w="3960" w:type="dxa"/>
            <w:vAlign w:val="bottom"/>
          </w:tcPr>
          <w:p>
            <w:pPr>
              <w:ind w:left="300"/>
              <w:spacing w:after="0"/>
              <w:rPr>
                <w:sz w:val="20"/>
                <w:szCs w:val="20"/>
                <w:color w:val="auto"/>
              </w:rPr>
            </w:pPr>
            <w:r>
              <w:rPr>
                <w:rFonts w:ascii="Arial" w:cs="Arial" w:eastAsia="Arial" w:hAnsi="Arial"/>
                <w:sz w:val="17"/>
                <w:szCs w:val="17"/>
                <w:color w:val="auto"/>
                <w:w w:val="91"/>
              </w:rPr>
              <w:t>Amendment No. 1 to Loan Agreement, dated June 9,</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6"/>
              </w:rPr>
              <w:t>2010, between Grand Canyon Education, Inc. and</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Bank of 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10.18</w:t>
            </w:r>
          </w:p>
        </w:tc>
        <w:tc>
          <w:tcPr>
            <w:tcW w:w="3960" w:type="dxa"/>
            <w:vAlign w:val="bottom"/>
          </w:tcPr>
          <w:p>
            <w:pPr>
              <w:ind w:left="300"/>
              <w:spacing w:after="0"/>
              <w:rPr>
                <w:sz w:val="20"/>
                <w:szCs w:val="20"/>
                <w:color w:val="auto"/>
              </w:rPr>
            </w:pPr>
            <w:r>
              <w:rPr>
                <w:rFonts w:ascii="Arial" w:cs="Arial" w:eastAsia="Arial" w:hAnsi="Arial"/>
                <w:sz w:val="17"/>
                <w:szCs w:val="17"/>
                <w:color w:val="auto"/>
                <w:w w:val="98"/>
              </w:rPr>
              <w:t>Asset Purchase Agreement, dated December 30,</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6"/>
              </w:rPr>
              <w:t>2010, between Grand Canyon Education, Inc. and</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Mind Streams, L.L.C.</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23.1</w:t>
            </w:r>
          </w:p>
        </w:tc>
        <w:tc>
          <w:tcPr>
            <w:tcW w:w="3960" w:type="dxa"/>
            <w:vAlign w:val="bottom"/>
          </w:tcPr>
          <w:p>
            <w:pPr>
              <w:ind w:left="300"/>
              <w:spacing w:after="0"/>
              <w:rPr>
                <w:sz w:val="20"/>
                <w:szCs w:val="20"/>
                <w:color w:val="auto"/>
              </w:rPr>
            </w:pPr>
            <w:r>
              <w:rPr>
                <w:rFonts w:ascii="Arial" w:cs="Arial" w:eastAsia="Arial" w:hAnsi="Arial"/>
                <w:sz w:val="17"/>
                <w:szCs w:val="17"/>
                <w:color w:val="auto"/>
              </w:rPr>
              <w:t>Consent of Independent Registered Public</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Accounting Firm</w:t>
            </w:r>
          </w:p>
        </w:tc>
      </w:tr>
      <w:tr>
        <w:trPr>
          <w:trHeight w:val="410"/>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24.1</w:t>
            </w:r>
          </w:p>
        </w:tc>
        <w:tc>
          <w:tcPr>
            <w:tcW w:w="3960" w:type="dxa"/>
            <w:vAlign w:val="bottom"/>
          </w:tcPr>
          <w:p>
            <w:pPr>
              <w:ind w:left="300"/>
              <w:spacing w:after="0"/>
              <w:rPr>
                <w:sz w:val="20"/>
                <w:szCs w:val="20"/>
                <w:color w:val="auto"/>
              </w:rPr>
            </w:pPr>
            <w:r>
              <w:rPr>
                <w:rFonts w:ascii="Arial" w:cs="Arial" w:eastAsia="Arial" w:hAnsi="Arial"/>
                <w:sz w:val="17"/>
                <w:szCs w:val="17"/>
                <w:color w:val="auto"/>
              </w:rPr>
              <w:t>Power of Attorney</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31.1</w:t>
            </w:r>
          </w:p>
        </w:tc>
        <w:tc>
          <w:tcPr>
            <w:tcW w:w="3960" w:type="dxa"/>
            <w:vAlign w:val="bottom"/>
          </w:tcPr>
          <w:p>
            <w:pPr>
              <w:ind w:left="300"/>
              <w:spacing w:after="0"/>
              <w:rPr>
                <w:sz w:val="20"/>
                <w:szCs w:val="20"/>
                <w:color w:val="auto"/>
              </w:rPr>
            </w:pPr>
            <w:r>
              <w:rPr>
                <w:rFonts w:ascii="Arial" w:cs="Arial" w:eastAsia="Arial" w:hAnsi="Arial"/>
                <w:sz w:val="17"/>
                <w:szCs w:val="17"/>
                <w:color w:val="auto"/>
                <w:w w:val="93"/>
              </w:rPr>
              <w:t>Certification of the Chief Executive Officer Pursuant</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89"/>
              </w:rPr>
              <w:t>to Rule 13a-14(a) and 15d-14(a) as Adopted Pursuant</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to Section 302 of the Sarbanes-Oxley Act of 2002</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31.2</w:t>
            </w:r>
          </w:p>
        </w:tc>
        <w:tc>
          <w:tcPr>
            <w:tcW w:w="3960" w:type="dxa"/>
            <w:vAlign w:val="bottom"/>
          </w:tcPr>
          <w:p>
            <w:pPr>
              <w:ind w:left="300"/>
              <w:spacing w:after="0"/>
              <w:rPr>
                <w:sz w:val="20"/>
                <w:szCs w:val="20"/>
                <w:color w:val="auto"/>
              </w:rPr>
            </w:pPr>
            <w:r>
              <w:rPr>
                <w:rFonts w:ascii="Arial" w:cs="Arial" w:eastAsia="Arial" w:hAnsi="Arial"/>
                <w:sz w:val="17"/>
                <w:szCs w:val="17"/>
                <w:color w:val="auto"/>
                <w:w w:val="95"/>
              </w:rPr>
              <w:t>Certification of the Chief Financial Officer Pursuant</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89"/>
              </w:rPr>
              <w:t>to Rule 13a-14(a) and 15d-14(a) as Adopted Pursuant</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to Section 302 of the Sarbanes-Oxley Act of 2002</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32.1</w:t>
            </w:r>
          </w:p>
        </w:tc>
        <w:tc>
          <w:tcPr>
            <w:tcW w:w="3960" w:type="dxa"/>
            <w:vAlign w:val="bottom"/>
          </w:tcPr>
          <w:p>
            <w:pPr>
              <w:ind w:left="300"/>
              <w:spacing w:after="0"/>
              <w:rPr>
                <w:sz w:val="20"/>
                <w:szCs w:val="20"/>
                <w:color w:val="auto"/>
              </w:rPr>
            </w:pPr>
            <w:r>
              <w:rPr>
                <w:rFonts w:ascii="Arial" w:cs="Arial" w:eastAsia="Arial" w:hAnsi="Arial"/>
                <w:sz w:val="17"/>
                <w:szCs w:val="17"/>
                <w:color w:val="auto"/>
                <w:w w:val="96"/>
              </w:rPr>
              <w:t>Certification of Chief Executive Officer Pursuant to</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9"/>
              </w:rPr>
              <w:t>18 U.S.C. Section 1350, as Adopted Pursuant to</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Section 906 of the Sarbanes-Oxley Act of 2002††</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32.2</w:t>
            </w: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Certification of Chief Financial Officer Pursuant to</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9"/>
              </w:rPr>
              <w:t>18 U.S.C. Section 1350, as Adopted Pursuant to</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114935</wp:posOffset>
            </wp:positionV>
            <wp:extent cx="10585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4993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2" w:lineRule="exact"/>
        <w:rPr>
          <w:sz w:val="20"/>
          <w:szCs w:val="20"/>
          <w:color w:val="auto"/>
        </w:rPr>
      </w:pPr>
    </w:p>
    <w:p>
      <w:pPr>
        <w:ind w:right="1159"/>
        <w:spacing w:after="0" w:line="260" w:lineRule="auto"/>
        <w:rPr>
          <w:sz w:val="20"/>
          <w:szCs w:val="20"/>
          <w:color w:val="auto"/>
        </w:rPr>
      </w:pPr>
      <w:r>
        <w:rPr>
          <w:rFonts w:ascii="Arial" w:cs="Arial" w:eastAsia="Arial" w:hAnsi="Arial"/>
          <w:sz w:val="17"/>
          <w:szCs w:val="17"/>
          <w:color w:val="auto"/>
        </w:rPr>
        <w:t>Incorporated by reference to Exhibit 10.21 to Amendment No. 2 to the University’s Registration Statement on Form S-1 filed with the SEC on September 29, 2008.</w:t>
      </w:r>
    </w:p>
    <w:p>
      <w:pPr>
        <w:spacing w:after="0" w:line="179"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3, 2009.</w:t>
      </w:r>
    </w:p>
    <w:p>
      <w:pPr>
        <w:spacing w:after="0" w:line="381"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10.2 to the University’s Quarterly Report on Form 10-Q filed with the SEC on August 3,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November 4,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9, 2010.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signature page.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631" w:lineRule="exact"/>
        <w:rPr>
          <w:sz w:val="20"/>
          <w:szCs w:val="20"/>
          <w:color w:val="auto"/>
        </w:rPr>
      </w:pPr>
    </w:p>
    <w:p>
      <w:pPr>
        <w:sectPr>
          <w:pgSz w:w="11900" w:h="16838" w:orient="portrait"/>
          <w:cols w:equalWidth="0" w:num="2">
            <w:col w:w="5320" w:space="280"/>
            <w:col w:w="4619"/>
          </w:cols>
          <w:pgMar w:left="240" w:top="406" w:right="1440" w:bottom="1440" w:gutter="0" w:footer="0" w:header="0"/>
        </w:sectPr>
      </w:pPr>
    </w:p>
    <w:p>
      <w:pPr>
        <w:spacing w:after="0" w:line="97" w:lineRule="exact"/>
        <w:rPr>
          <w:sz w:val="20"/>
          <w:szCs w:val="20"/>
          <w:color w:val="auto"/>
        </w:rPr>
      </w:pPr>
    </w:p>
    <w:p>
      <w:pPr>
        <w:ind w:left="320" w:right="879"/>
        <w:spacing w:after="0" w:line="277" w:lineRule="auto"/>
        <w:rPr>
          <w:sz w:val="20"/>
          <w:szCs w:val="20"/>
          <w:color w:val="auto"/>
        </w:rPr>
      </w:pPr>
      <w:r>
        <w:rPr>
          <w:rFonts w:ascii="Arial" w:cs="Arial" w:eastAsia="Arial" w:hAnsi="Arial"/>
          <w:sz w:val="17"/>
          <w:szCs w:val="17"/>
          <w:color w:val="auto"/>
        </w:rPr>
        <w:t>Significant Education, LLC is the predecessor to Significant Education, Inc., which is the former name of Grand Canyon Education, Inc.</w:t>
      </w:r>
    </w:p>
    <w:p>
      <w:pPr>
        <w:spacing w:after="0" w:line="23" w:lineRule="exact"/>
        <w:rPr>
          <w:sz w:val="20"/>
          <w:szCs w:val="20"/>
          <w:color w:val="auto"/>
        </w:rPr>
      </w:pPr>
    </w:p>
    <w:p>
      <w:pPr>
        <w:ind w:left="680" w:hanging="370"/>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176" w:lineRule="exact"/>
        <w:rPr>
          <w:sz w:val="20"/>
          <w:szCs w:val="20"/>
          <w:color w:val="auto"/>
        </w:rPr>
      </w:pPr>
    </w:p>
    <w:p>
      <w:pPr>
        <w:jc w:val="both"/>
        <w:ind w:left="660" w:right="699" w:hanging="350"/>
        <w:spacing w:after="0" w:line="288"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36" w:name="page137"/>
    <w:bookmarkEnd w:id="1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ind w:left="320" w:right="2100" w:firstLine="369"/>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GRAND CANYON EDUCATION, INC.</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13970</wp:posOffset>
            </wp:positionV>
            <wp:extent cx="26212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Brian E. Mueller</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Title: Chief Executive Officer</w:t>
      </w:r>
    </w:p>
    <w:p>
      <w:pPr>
        <w:spacing w:after="0" w:line="165" w:lineRule="exact"/>
        <w:rPr>
          <w:sz w:val="20"/>
          <w:szCs w:val="20"/>
          <w:color w:val="auto"/>
        </w:rPr>
      </w:pPr>
    </w:p>
    <w:p>
      <w:pPr>
        <w:ind w:left="320" w:right="1880" w:firstLine="369"/>
        <w:spacing w:after="0" w:line="294" w:lineRule="auto"/>
        <w:rPr>
          <w:sz w:val="20"/>
          <w:szCs w:val="20"/>
          <w:color w:val="auto"/>
        </w:rPr>
      </w:pPr>
      <w:r>
        <w:rPr>
          <w:rFonts w:ascii="Arial" w:cs="Arial" w:eastAsia="Arial" w:hAnsi="Arial"/>
          <w:sz w:val="15"/>
          <w:szCs w:val="15"/>
          <w:color w:val="auto"/>
        </w:rPr>
        <w:t>KNOW ALL MEN BY THESE PRESENTS, that each person whose signature appears below constitutes and appoints Brian E. Mueller, Daniel E. Bachus, Brent D. Richardson, and Christopher C. Richardson,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30" w:lineRule="exact"/>
        <w:rPr>
          <w:sz w:val="20"/>
          <w:szCs w:val="20"/>
          <w:color w:val="auto"/>
        </w:rPr>
      </w:pPr>
    </w:p>
    <w:p>
      <w:pPr>
        <w:ind w:left="320" w:right="1940" w:firstLine="369"/>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Pr>
          <w:p>
            <w:pPr>
              <w:spacing w:after="0"/>
              <w:rPr>
                <w:sz w:val="18"/>
                <w:szCs w:val="18"/>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Signature</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Title</w:t>
            </w:r>
          </w:p>
        </w:tc>
        <w:tc>
          <w:tcPr>
            <w:tcW w:w="180" w:type="dxa"/>
            <w:vAlign w:val="bottom"/>
          </w:tcPr>
          <w:p>
            <w:pPr>
              <w:spacing w:after="0"/>
              <w:rPr>
                <w:sz w:val="18"/>
                <w:szCs w:val="18"/>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Date</w:t>
            </w:r>
          </w:p>
        </w:tc>
        <w:tc>
          <w:tcPr>
            <w:tcW w:w="1880" w:type="dxa"/>
            <w:vAlign w:val="bottom"/>
          </w:tcPr>
          <w:p>
            <w:pPr>
              <w:spacing w:after="0"/>
              <w:rPr>
                <w:sz w:val="18"/>
                <w:szCs w:val="18"/>
                <w:color w:val="auto"/>
              </w:rPr>
            </w:pPr>
          </w:p>
        </w:tc>
      </w:tr>
      <w:tr>
        <w:trPr>
          <w:trHeight w:val="402"/>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E. Mueller</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3"/>
              </w:rPr>
              <w:t>Chief Executive Officer and Director (Principal</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1"/>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Brian E. Mueller</w:t>
            </w: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5"/>
              </w:rPr>
              <w:t>Executive Officer)</w:t>
            </w: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0"/>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Daniel E. Bachus</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5"/>
              </w:rPr>
              <w:t>Chief Financial Officer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174"/>
        </w:trPr>
        <w:tc>
          <w:tcPr>
            <w:tcW w:w="320" w:type="dxa"/>
            <w:vAlign w:val="bottom"/>
          </w:tcPr>
          <w:p>
            <w:pPr>
              <w:spacing w:after="0"/>
              <w:rPr>
                <w:sz w:val="15"/>
                <w:szCs w:val="15"/>
                <w:color w:val="auto"/>
              </w:rPr>
            </w:pPr>
          </w:p>
        </w:tc>
        <w:tc>
          <w:tcPr>
            <w:tcW w:w="3240" w:type="dxa"/>
            <w:vAlign w:val="bottom"/>
          </w:tcPr>
          <w:p>
            <w:pPr>
              <w:spacing w:after="0" w:line="174" w:lineRule="exact"/>
              <w:rPr>
                <w:sz w:val="20"/>
                <w:szCs w:val="20"/>
                <w:color w:val="auto"/>
              </w:rPr>
            </w:pPr>
            <w:r>
              <w:rPr>
                <w:rFonts w:ascii="Arial" w:cs="Arial" w:eastAsia="Arial" w:hAnsi="Arial"/>
                <w:sz w:val="17"/>
                <w:szCs w:val="17"/>
                <w:color w:val="auto"/>
              </w:rPr>
              <w:t>Daniel E. Bachus</w:t>
            </w:r>
          </w:p>
        </w:tc>
        <w:tc>
          <w:tcPr>
            <w:tcW w:w="180" w:type="dxa"/>
            <w:vAlign w:val="bottom"/>
          </w:tcPr>
          <w:p>
            <w:pPr>
              <w:spacing w:after="0"/>
              <w:rPr>
                <w:sz w:val="15"/>
                <w:szCs w:val="15"/>
                <w:color w:val="auto"/>
              </w:rPr>
            </w:pPr>
          </w:p>
        </w:tc>
        <w:tc>
          <w:tcPr>
            <w:tcW w:w="3280" w:type="dxa"/>
            <w:vAlign w:val="bottom"/>
          </w:tcPr>
          <w:p>
            <w:pPr>
              <w:jc w:val="center"/>
              <w:spacing w:after="0" w:line="174" w:lineRule="exact"/>
              <w:rPr>
                <w:sz w:val="20"/>
                <w:szCs w:val="20"/>
                <w:color w:val="auto"/>
              </w:rPr>
            </w:pPr>
            <w:r>
              <w:rPr>
                <w:rFonts w:ascii="Arial" w:cs="Arial" w:eastAsia="Arial" w:hAnsi="Arial"/>
                <w:sz w:val="17"/>
                <w:szCs w:val="17"/>
                <w:color w:val="auto"/>
                <w:w w:val="94"/>
              </w:rPr>
              <w:t>(Principal Financial Officer and Principal</w:t>
            </w: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16"/>
        </w:trPr>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6"/>
              </w:rPr>
              <w:t>Accounting Officer)</w:t>
            </w: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1"/>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Brent D. Richardson</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2"/>
              </w:rPr>
              <w:t>Executive Chairman</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Brent D. Richardson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1"/>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Christopher C. Richardson</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Christopher C. Richardson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1"/>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J. Johnson</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David J. Johnson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1"/>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Jack A. Henry</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Jack A. Henry</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1"/>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Gerald J. Colangelo</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Gerald J. Colangelo</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1"/>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 Mark Dorman</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D. Mark Dorman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98"/>
        </w:trPr>
        <w:tc>
          <w:tcPr>
            <w:tcW w:w="32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Chad N. Heath</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February 22, 2011</w:t>
            </w:r>
          </w:p>
        </w:tc>
        <w:tc>
          <w:tcPr>
            <w:tcW w:w="18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Chad N. Heath</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744"/>
        </w:trPr>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60" w:type="dxa"/>
            <w:vAlign w:val="bottom"/>
            <w:gridSpan w:val="2"/>
          </w:tcPr>
          <w:p>
            <w:pPr>
              <w:jc w:val="right"/>
              <w:ind w:right="1875"/>
              <w:spacing w:after="0"/>
              <w:rPr>
                <w:sz w:val="20"/>
                <w:szCs w:val="20"/>
                <w:color w:val="auto"/>
              </w:rPr>
            </w:pPr>
            <w:r>
              <w:rPr>
                <w:rFonts w:ascii="Arial" w:cs="Arial" w:eastAsia="Arial" w:hAnsi="Arial"/>
                <w:sz w:val="17"/>
                <w:szCs w:val="17"/>
                <w:color w:val="auto"/>
              </w:rPr>
              <w:t>134</w:t>
            </w: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2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0219"/>
          </w:cols>
          <w:pgMar w:left="240" w:top="406" w:right="1440" w:bottom="1440" w:gutter="0" w:footer="0" w:header="0"/>
        </w:sectPr>
      </w:pP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Number</w:t>
            </w:r>
          </w:p>
        </w:tc>
        <w:tc>
          <w:tcPr>
            <w:tcW w:w="280" w:type="dxa"/>
            <w:vAlign w:val="bottom"/>
          </w:tcPr>
          <w:p>
            <w:pPr>
              <w:spacing w:after="0"/>
              <w:rPr>
                <w:sz w:val="19"/>
                <w:szCs w:val="19"/>
                <w:color w:val="auto"/>
              </w:rPr>
            </w:pPr>
          </w:p>
        </w:tc>
        <w:tc>
          <w:tcPr>
            <w:tcW w:w="370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r>
      <w:tr>
        <w:trPr>
          <w:trHeight w:val="402"/>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Amended and Restated Certificate of Incorporation</w:t>
            </w:r>
          </w:p>
        </w:tc>
      </w:tr>
      <w:tr>
        <w:trPr>
          <w:trHeight w:val="82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Second Amended and Restated Bylaws</w:t>
            </w:r>
          </w:p>
        </w:tc>
      </w:tr>
      <w:tr>
        <w:trPr>
          <w:trHeight w:val="82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Specimen of Stock Certificate</w:t>
            </w:r>
          </w:p>
        </w:tc>
      </w:tr>
      <w:tr>
        <w:trPr>
          <w:trHeight w:val="80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4"/>
              </w:rPr>
              <w:t>Amended and Restated Investor Rights Agreement,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9"/>
              </w:rPr>
              <w:t>dated September 17, 2008, by and among Grand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3"/>
              </w:rPr>
              <w:t>Canyon Education, Inc. and the other parties named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therein</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between Grand Canyon Education, Inc. and Brent</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Richardson†</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between Grand Canyon Education, Inc. and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Christopher Richardson†</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10.3</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Executive Employment Agreement, dated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4"/>
              </w:rPr>
              <w:t>September 1, 2008, by and between Grand Canyon</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Education, Inc. and Kathy Player†</w:t>
            </w:r>
          </w:p>
        </w:tc>
      </w:tr>
      <w:tr>
        <w:trPr>
          <w:trHeight w:val="41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10.4</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2008 Equity Incentive Plan†</w:t>
            </w:r>
          </w:p>
        </w:tc>
      </w:tr>
      <w:tr>
        <w:trPr>
          <w:trHeight w:val="82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10.5</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2008 Employee Stock Purchase Plan†</w:t>
            </w:r>
          </w:p>
        </w:tc>
      </w:tr>
      <w:tr>
        <w:trPr>
          <w:trHeight w:val="80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10.6</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9"/>
              </w:rPr>
              <w:t>License Agreement, dated June 30, 2004,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between Blanchard Education, LLC and Significant</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Education, LLC</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10.7</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7"/>
              </w:rPr>
              <w:t>Letter Agreement, dated February 6, 2006,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4"/>
              </w:rPr>
              <w:t>between The Ken Blanchard Companies and Grand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Canyon University</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10.8</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9"/>
              </w:rPr>
              <w:t>Amendment to License Agreement, dated May 8,</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1"/>
              </w:rPr>
              <w:t>2008, by and between Blanchard Education, LLC and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Grand Canyon Education, Inc.</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5152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212"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3.1 to Amendment No. 6 to the University’s Registration Statement on Form S-1 filed with the SEC on November 12, 2008.</w:t>
      </w:r>
    </w:p>
    <w:p>
      <w:pPr>
        <w:spacing w:after="0" w:line="141" w:lineRule="exact"/>
        <w:rPr>
          <w:sz w:val="20"/>
          <w:szCs w:val="20"/>
          <w:color w:val="auto"/>
        </w:rPr>
      </w:pPr>
    </w:p>
    <w:p>
      <w:pPr>
        <w:ind w:right="839"/>
        <w:spacing w:after="0" w:line="264" w:lineRule="auto"/>
        <w:rPr>
          <w:sz w:val="20"/>
          <w:szCs w:val="20"/>
          <w:color w:val="auto"/>
        </w:rPr>
      </w:pPr>
      <w:r>
        <w:rPr>
          <w:rFonts w:ascii="Arial" w:cs="Arial" w:eastAsia="Arial" w:hAnsi="Arial"/>
          <w:sz w:val="17"/>
          <w:szCs w:val="17"/>
          <w:color w:val="auto"/>
        </w:rPr>
        <w:t>Incorporated by reference to Exhibit 3.1 to the University’s Current Report on Form 8-K filed with the SEC on August 2,2010.</w:t>
      </w:r>
    </w:p>
    <w:p>
      <w:pPr>
        <w:spacing w:after="0" w:line="175"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4.1 to Amendment No. 2 to the University’s Registration Statement on Form S-1 filed with the SEC on September 29, 2008.</w:t>
      </w:r>
    </w:p>
    <w:p>
      <w:pPr>
        <w:spacing w:after="0" w:line="141"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4.2 to Amendment No. 2 to the University’s Registration Statement on Form S-1 filed with the SEC on September 29, 2008.</w:t>
      </w:r>
    </w:p>
    <w:p>
      <w:pPr>
        <w:spacing w:after="0" w:line="346"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10.1 to Amendment No. 2 to the University’s Registration Statement on Form S-1 filed with the SEC on September 29, 2008.</w:t>
      </w:r>
    </w:p>
    <w:p>
      <w:pPr>
        <w:spacing w:after="0" w:line="346"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10.2 to Amendment No. 2 to the University’s Registration Statement on Form S-1 filed with the SEC on September 29, 2008.</w:t>
      </w:r>
    </w:p>
    <w:p>
      <w:pPr>
        <w:spacing w:after="0" w:line="346" w:lineRule="exact"/>
        <w:rPr>
          <w:sz w:val="20"/>
          <w:szCs w:val="20"/>
          <w:color w:val="auto"/>
        </w:rPr>
      </w:pPr>
    </w:p>
    <w:p>
      <w:pPr>
        <w:ind w:right="839"/>
        <w:spacing w:after="0" w:line="264" w:lineRule="auto"/>
        <w:rPr>
          <w:sz w:val="20"/>
          <w:szCs w:val="20"/>
          <w:color w:val="auto"/>
        </w:rPr>
      </w:pPr>
      <w:r>
        <w:rPr>
          <w:rFonts w:ascii="Arial" w:cs="Arial" w:eastAsia="Arial" w:hAnsi="Arial"/>
          <w:sz w:val="17"/>
          <w:szCs w:val="17"/>
          <w:color w:val="auto"/>
        </w:rPr>
        <w:t>Incorporated by reference to Exhibit 10.1 to the University’s Current Report on Form 8-K filed with the SEC on March 25, 2009.</w:t>
      </w:r>
    </w:p>
    <w:p>
      <w:pPr>
        <w:spacing w:after="0" w:line="175"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10.4 to Amendment No. 2 to the University’s Registration Statement on Form S-1 filed with the SEC on September 29, 2008.</w:t>
      </w:r>
    </w:p>
    <w:p>
      <w:pPr>
        <w:spacing w:after="0" w:line="141"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10.5 to Amendment No. 2 to the University’s Registration Statement on Form S-1 filed with the SEC on September 29, 2008.</w:t>
      </w:r>
    </w:p>
    <w:p>
      <w:pPr>
        <w:spacing w:after="0" w:line="141" w:lineRule="exact"/>
        <w:rPr>
          <w:sz w:val="20"/>
          <w:szCs w:val="20"/>
          <w:color w:val="auto"/>
        </w:rPr>
      </w:pPr>
    </w:p>
    <w:p>
      <w:pPr>
        <w:ind w:right="939"/>
        <w:spacing w:after="0" w:line="264" w:lineRule="auto"/>
        <w:rPr>
          <w:sz w:val="20"/>
          <w:szCs w:val="20"/>
          <w:color w:val="auto"/>
        </w:rPr>
      </w:pPr>
      <w:r>
        <w:rPr>
          <w:rFonts w:ascii="Arial" w:cs="Arial" w:eastAsia="Arial" w:hAnsi="Arial"/>
          <w:sz w:val="17"/>
          <w:szCs w:val="17"/>
          <w:color w:val="auto"/>
        </w:rPr>
        <w:t>Incorporated by reference to Exhibit 10.15 to the University’s Registration Statement on Form S-1 filed with the SEC on May 13, 2008.</w:t>
      </w:r>
    </w:p>
    <w:p>
      <w:pPr>
        <w:spacing w:after="0" w:line="175" w:lineRule="exact"/>
        <w:rPr>
          <w:sz w:val="20"/>
          <w:szCs w:val="20"/>
          <w:color w:val="auto"/>
        </w:rPr>
      </w:pPr>
    </w:p>
    <w:p>
      <w:pPr>
        <w:ind w:right="939"/>
        <w:spacing w:after="0" w:line="264" w:lineRule="auto"/>
        <w:rPr>
          <w:sz w:val="20"/>
          <w:szCs w:val="20"/>
          <w:color w:val="auto"/>
        </w:rPr>
      </w:pPr>
      <w:r>
        <w:rPr>
          <w:rFonts w:ascii="Arial" w:cs="Arial" w:eastAsia="Arial" w:hAnsi="Arial"/>
          <w:sz w:val="17"/>
          <w:szCs w:val="17"/>
          <w:color w:val="auto"/>
        </w:rPr>
        <w:t>Incorporated by reference to Exhibit 10.16 to the University’s Registration Statement on Form S-1 filed with the SEC on May 13, 2008.</w:t>
      </w:r>
    </w:p>
    <w:p>
      <w:pPr>
        <w:spacing w:after="0" w:line="175" w:lineRule="exact"/>
        <w:rPr>
          <w:sz w:val="20"/>
          <w:szCs w:val="20"/>
          <w:color w:val="auto"/>
        </w:rPr>
      </w:pPr>
    </w:p>
    <w:p>
      <w:pPr>
        <w:ind w:right="939"/>
        <w:spacing w:after="0" w:line="264" w:lineRule="auto"/>
        <w:rPr>
          <w:sz w:val="20"/>
          <w:szCs w:val="20"/>
          <w:color w:val="auto"/>
        </w:rPr>
      </w:pPr>
      <w:r>
        <w:rPr>
          <w:rFonts w:ascii="Arial" w:cs="Arial" w:eastAsia="Arial" w:hAnsi="Arial"/>
          <w:sz w:val="17"/>
          <w:szCs w:val="17"/>
          <w:color w:val="auto"/>
        </w:rPr>
        <w:t>Incorporated by reference to Exhibit 10.17 to the University’s Registration Statement on Form S-1 filed with the SEC on May 13, 2008.</w:t>
      </w:r>
    </w:p>
    <w:p>
      <w:pPr>
        <w:spacing w:after="0" w:line="200" w:lineRule="exact"/>
        <w:rPr>
          <w:sz w:val="20"/>
          <w:szCs w:val="20"/>
          <w:color w:val="auto"/>
        </w:rPr>
      </w:pPr>
    </w:p>
    <w:p>
      <w:pPr>
        <w:sectPr>
          <w:pgSz w:w="11900" w:h="16838" w:orient="portrait"/>
          <w:cols w:equalWidth="0" w:num="2">
            <w:col w:w="5320" w:space="260"/>
            <w:col w:w="4639"/>
          </w:cols>
          <w:pgMar w:left="240" w:top="406" w:right="1440" w:bottom="1440" w:gutter="0" w:footer="0" w:header="0"/>
          <w:type w:val="continuous"/>
        </w:sect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38" w:name="page139"/>
    <w:bookmarkEnd w:id="1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9"/>
                <w:szCs w:val="19"/>
                <w:color w:val="auto"/>
              </w:rPr>
            </w:pPr>
          </w:p>
        </w:tc>
        <w:tc>
          <w:tcPr>
            <w:tcW w:w="368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r>
      <w:tr>
        <w:trPr>
          <w:trHeight w:val="391"/>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Collaboration Agreement, dated July 11, 2005, by</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between Mind Streams, LLC and Significant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Education, LLC (as supplemented by Project One</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Project Two)</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10.10</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Daniel E. Bachus†</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10.11</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Brian E. Mueller†</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10.12</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W. Stan Meyer†</w:t>
            </w:r>
          </w:p>
        </w:tc>
      </w:tr>
      <w:tr>
        <w:trPr>
          <w:trHeight w:val="615"/>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10.13</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7"/>
              </w:rPr>
              <w:t>Form of Director and Officer Indemnity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10.14</w:t>
            </w:r>
          </w:p>
        </w:tc>
        <w:tc>
          <w:tcPr>
            <w:tcW w:w="3940" w:type="dxa"/>
            <w:vAlign w:val="bottom"/>
          </w:tcPr>
          <w:p>
            <w:pPr>
              <w:ind w:left="300"/>
              <w:spacing w:after="0"/>
              <w:rPr>
                <w:sz w:val="20"/>
                <w:szCs w:val="20"/>
                <w:color w:val="auto"/>
              </w:rPr>
            </w:pPr>
            <w:r>
              <w:rPr>
                <w:rFonts w:ascii="Arial" w:cs="Arial" w:eastAsia="Arial" w:hAnsi="Arial"/>
                <w:sz w:val="17"/>
                <w:szCs w:val="17"/>
                <w:color w:val="auto"/>
                <w:w w:val="90"/>
              </w:rPr>
              <w:t>Purchase and Sale Agreement, dated April 27, 2009,</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3"/>
              </w:rPr>
              <w:t>by and among Grand Canyon Education, Inc., Spirit</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Master Funding, LLC, and Spirit Management</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Company</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10.15</w:t>
            </w:r>
          </w:p>
        </w:tc>
        <w:tc>
          <w:tcPr>
            <w:tcW w:w="3940" w:type="dxa"/>
            <w:vAlign w:val="bottom"/>
          </w:tcPr>
          <w:p>
            <w:pPr>
              <w:ind w:left="300"/>
              <w:spacing w:after="0"/>
              <w:rPr>
                <w:sz w:val="20"/>
                <w:szCs w:val="20"/>
                <w:color w:val="auto"/>
              </w:rPr>
            </w:pPr>
            <w:r>
              <w:rPr>
                <w:rFonts w:ascii="Arial" w:cs="Arial" w:eastAsia="Arial" w:hAnsi="Arial"/>
                <w:sz w:val="17"/>
                <w:szCs w:val="17"/>
                <w:color w:val="auto"/>
              </w:rPr>
              <w:t>Loan Agreement, dated April 27, 2009, by and</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2"/>
              </w:rPr>
              <w:t>between Grand Canyon Education, Inc. and Bank of</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10.16</w:t>
            </w:r>
          </w:p>
        </w:tc>
        <w:tc>
          <w:tcPr>
            <w:tcW w:w="3940" w:type="dxa"/>
            <w:vAlign w:val="bottom"/>
          </w:tcPr>
          <w:p>
            <w:pPr>
              <w:ind w:left="300"/>
              <w:spacing w:after="0"/>
              <w:rPr>
                <w:sz w:val="20"/>
                <w:szCs w:val="20"/>
                <w:color w:val="auto"/>
              </w:rPr>
            </w:pPr>
            <w:r>
              <w:rPr>
                <w:rFonts w:ascii="Arial" w:cs="Arial" w:eastAsia="Arial" w:hAnsi="Arial"/>
                <w:sz w:val="17"/>
                <w:szCs w:val="17"/>
                <w:color w:val="auto"/>
                <w:w w:val="90"/>
              </w:rPr>
              <w:t>Employment Agreement, dated September 16, 2009,</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3"/>
              </w:rPr>
              <w:t>by and between Grand Canyon Education, Inc. and</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Joseph N. Mildenhall†</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10.17</w:t>
            </w:r>
          </w:p>
        </w:tc>
        <w:tc>
          <w:tcPr>
            <w:tcW w:w="3940" w:type="dxa"/>
            <w:vAlign w:val="bottom"/>
          </w:tcPr>
          <w:p>
            <w:pPr>
              <w:ind w:left="300"/>
              <w:spacing w:after="0"/>
              <w:rPr>
                <w:sz w:val="20"/>
                <w:szCs w:val="20"/>
                <w:color w:val="auto"/>
              </w:rPr>
            </w:pPr>
            <w:r>
              <w:rPr>
                <w:rFonts w:ascii="Arial" w:cs="Arial" w:eastAsia="Arial" w:hAnsi="Arial"/>
                <w:sz w:val="17"/>
                <w:szCs w:val="17"/>
                <w:color w:val="auto"/>
                <w:w w:val="90"/>
              </w:rPr>
              <w:t>Amendment No. 1 to Loan Agreement, dated June 9,</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5"/>
              </w:rPr>
              <w:t>2010, between Grand Canyon Education, Inc. and</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Bank of 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10.18</w:t>
            </w:r>
          </w:p>
        </w:tc>
        <w:tc>
          <w:tcPr>
            <w:tcW w:w="3940" w:type="dxa"/>
            <w:vAlign w:val="bottom"/>
          </w:tcPr>
          <w:p>
            <w:pPr>
              <w:ind w:left="300"/>
              <w:spacing w:after="0"/>
              <w:rPr>
                <w:sz w:val="20"/>
                <w:szCs w:val="20"/>
                <w:color w:val="auto"/>
              </w:rPr>
            </w:pPr>
            <w:r>
              <w:rPr>
                <w:rFonts w:ascii="Arial" w:cs="Arial" w:eastAsia="Arial" w:hAnsi="Arial"/>
                <w:sz w:val="17"/>
                <w:szCs w:val="17"/>
                <w:color w:val="auto"/>
                <w:w w:val="97"/>
              </w:rPr>
              <w:t>Asset Purchase Agreement, dated December 30,</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5"/>
              </w:rPr>
              <w:t>2010, between Grand Canyon Education, Inc. and</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Mind Streams, L.L.C.</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23.1</w:t>
            </w:r>
          </w:p>
        </w:tc>
        <w:tc>
          <w:tcPr>
            <w:tcW w:w="3940" w:type="dxa"/>
            <w:vAlign w:val="bottom"/>
          </w:tcPr>
          <w:p>
            <w:pPr>
              <w:ind w:left="300"/>
              <w:spacing w:after="0"/>
              <w:rPr>
                <w:sz w:val="20"/>
                <w:szCs w:val="20"/>
                <w:color w:val="auto"/>
              </w:rPr>
            </w:pPr>
            <w:r>
              <w:rPr>
                <w:rFonts w:ascii="Arial" w:cs="Arial" w:eastAsia="Arial" w:hAnsi="Arial"/>
                <w:sz w:val="17"/>
                <w:szCs w:val="17"/>
                <w:color w:val="auto"/>
              </w:rPr>
              <w:t>Consent of Independent Registered Public</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Accounting Firm</w:t>
            </w:r>
          </w:p>
        </w:tc>
      </w:tr>
      <w:tr>
        <w:trPr>
          <w:trHeight w:val="410"/>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24.1</w:t>
            </w:r>
          </w:p>
        </w:tc>
        <w:tc>
          <w:tcPr>
            <w:tcW w:w="3940" w:type="dxa"/>
            <w:vAlign w:val="bottom"/>
          </w:tcPr>
          <w:p>
            <w:pPr>
              <w:ind w:left="300"/>
              <w:spacing w:after="0"/>
              <w:rPr>
                <w:sz w:val="20"/>
                <w:szCs w:val="20"/>
                <w:color w:val="auto"/>
              </w:rPr>
            </w:pPr>
            <w:r>
              <w:rPr>
                <w:rFonts w:ascii="Arial" w:cs="Arial" w:eastAsia="Arial" w:hAnsi="Arial"/>
                <w:sz w:val="17"/>
                <w:szCs w:val="17"/>
                <w:color w:val="auto"/>
              </w:rPr>
              <w:t>Power of Attorney</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31.1</w:t>
            </w:r>
          </w:p>
        </w:tc>
        <w:tc>
          <w:tcPr>
            <w:tcW w:w="3940" w:type="dxa"/>
            <w:vAlign w:val="bottom"/>
          </w:tcPr>
          <w:p>
            <w:pPr>
              <w:ind w:left="300"/>
              <w:spacing w:after="0"/>
              <w:rPr>
                <w:sz w:val="20"/>
                <w:szCs w:val="20"/>
                <w:color w:val="auto"/>
              </w:rPr>
            </w:pPr>
            <w:r>
              <w:rPr>
                <w:rFonts w:ascii="Arial" w:cs="Arial" w:eastAsia="Arial" w:hAnsi="Arial"/>
                <w:sz w:val="17"/>
                <w:szCs w:val="17"/>
                <w:color w:val="auto"/>
                <w:w w:val="93"/>
              </w:rPr>
              <w:t>Certification of the Chief Executive Officer Pursuant</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to Rule 13a-14(a) and 15d-14(a) as Adopted</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4"/>
              </w:rPr>
              <w:t>Pursuant to Section 302 of the Sarbanes-Oxley Act</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4993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2"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10.18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10.19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10.20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10.21 to Amendment No. 1 to the University’s Registration Statement on Form S-1 filed with the SEC on August 13, 2008.</w:t>
      </w:r>
    </w:p>
    <w:p>
      <w:pPr>
        <w:spacing w:after="0" w:line="179" w:lineRule="exact"/>
        <w:rPr>
          <w:sz w:val="20"/>
          <w:szCs w:val="20"/>
          <w:color w:val="auto"/>
        </w:rPr>
      </w:pPr>
    </w:p>
    <w:p>
      <w:pPr>
        <w:ind w:right="1159"/>
        <w:spacing w:after="0" w:line="260" w:lineRule="auto"/>
        <w:rPr>
          <w:sz w:val="20"/>
          <w:szCs w:val="20"/>
          <w:color w:val="auto"/>
        </w:rPr>
      </w:pPr>
      <w:r>
        <w:rPr>
          <w:rFonts w:ascii="Arial" w:cs="Arial" w:eastAsia="Arial" w:hAnsi="Arial"/>
          <w:sz w:val="17"/>
          <w:szCs w:val="17"/>
          <w:color w:val="auto"/>
        </w:rPr>
        <w:t>Incorporated by reference to Exhibit 10.21 to Amendment No. 2 to the University’s Registration Statement on Form S-1 filed with the SEC on September 29, 2008.</w:t>
      </w:r>
    </w:p>
    <w:p>
      <w:pPr>
        <w:spacing w:after="0" w:line="179"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3, 2009.</w:t>
      </w:r>
    </w:p>
    <w:p>
      <w:pPr>
        <w:spacing w:after="0" w:line="381"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10.2 to the University’s Quarterly Report on Form 10-Q filed with the SEC on August 3,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November 4,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9, 2010.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signature page.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36" w:lineRule="exact"/>
        <w:rPr>
          <w:sz w:val="20"/>
          <w:szCs w:val="20"/>
          <w:color w:val="auto"/>
        </w:rPr>
      </w:pPr>
    </w:p>
    <w:p>
      <w:pPr>
        <w:sectPr>
          <w:pgSz w:w="11900" w:h="16838" w:orient="portrait"/>
          <w:cols w:equalWidth="0" w:num="2">
            <w:col w:w="5340" w:space="260"/>
            <w:col w:w="4619"/>
          </w:cols>
          <w:pgMar w:left="240" w:top="406" w:right="1440" w:bottom="1440" w:gutter="0" w:footer="0" w:header="0"/>
        </w:sectPr>
      </w:pPr>
    </w:p>
    <w:p>
      <w:pPr>
        <w:spacing w:after="0" w:line="34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39" w:name="page140"/>
    <w:bookmarkEnd w:id="1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80" w:type="dxa"/>
            <w:vAlign w:val="bottom"/>
          </w:tcPr>
          <w:p>
            <w:pPr>
              <w:spacing w:after="0"/>
              <w:rPr>
                <w:sz w:val="19"/>
                <w:szCs w:val="19"/>
                <w:color w:val="auto"/>
              </w:rPr>
            </w:pPr>
          </w:p>
        </w:tc>
        <w:tc>
          <w:tcPr>
            <w:tcW w:w="370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c>
          <w:tcPr>
            <w:tcW w:w="260" w:type="dxa"/>
            <w:vAlign w:val="bottom"/>
          </w:tcPr>
          <w:p>
            <w:pPr>
              <w:spacing w:after="0"/>
              <w:rPr>
                <w:sz w:val="19"/>
                <w:szCs w:val="19"/>
                <w:color w:val="auto"/>
              </w:rPr>
            </w:pPr>
          </w:p>
        </w:tc>
        <w:tc>
          <w:tcPr>
            <w:tcW w:w="3960" w:type="dxa"/>
            <w:vAlign w:val="bottom"/>
            <w:tcBorders>
              <w:bottom w:val="single" w:sz="8" w:color="auto"/>
            </w:tcBorders>
          </w:tcPr>
          <w:p>
            <w:pPr>
              <w:ind w:left="1360"/>
              <w:spacing w:after="0"/>
              <w:rPr>
                <w:sz w:val="20"/>
                <w:szCs w:val="20"/>
                <w:color w:val="auto"/>
              </w:rPr>
            </w:pPr>
            <w:r>
              <w:rPr>
                <w:rFonts w:ascii="Arial" w:cs="Arial" w:eastAsia="Arial" w:hAnsi="Arial"/>
                <w:sz w:val="17"/>
                <w:szCs w:val="17"/>
                <w:b w:val="1"/>
                <w:bCs w:val="1"/>
                <w:color w:val="auto"/>
              </w:rPr>
              <w:t>Method of Filing</w:t>
            </w:r>
          </w:p>
        </w:tc>
      </w:tr>
      <w:tr>
        <w:trPr>
          <w:trHeight w:val="391"/>
        </w:trPr>
        <w:tc>
          <w:tcPr>
            <w:tcW w:w="1020" w:type="dxa"/>
            <w:vAlign w:val="bottom"/>
          </w:tcPr>
          <w:p>
            <w:pPr>
              <w:jc w:val="center"/>
              <w:spacing w:after="0"/>
              <w:rPr>
                <w:sz w:val="20"/>
                <w:szCs w:val="20"/>
                <w:color w:val="auto"/>
              </w:rPr>
            </w:pPr>
            <w:r>
              <w:rPr>
                <w:rFonts w:ascii="Arial" w:cs="Arial" w:eastAsia="Arial" w:hAnsi="Arial"/>
                <w:sz w:val="17"/>
                <w:szCs w:val="17"/>
                <w:color w:val="auto"/>
                <w:w w:val="84"/>
              </w:rPr>
              <w:t>31.2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Certification of the Chief Financial Officer Pursuant</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0"/>
              </w:rPr>
              <w:t>to Rule 13a-14(a) and 15d-14(a) as Adopted Pursuant</w:t>
            </w:r>
          </w:p>
        </w:tc>
        <w:tc>
          <w:tcPr>
            <w:tcW w:w="2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to Section 302 of the Sarbanes-Oxley Act of 2002</w:t>
            </w: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399"/>
        </w:trPr>
        <w:tc>
          <w:tcPr>
            <w:tcW w:w="1020" w:type="dxa"/>
            <w:vAlign w:val="bottom"/>
          </w:tcPr>
          <w:p>
            <w:pPr>
              <w:jc w:val="center"/>
              <w:spacing w:after="0"/>
              <w:rPr>
                <w:sz w:val="20"/>
                <w:szCs w:val="20"/>
                <w:color w:val="auto"/>
              </w:rPr>
            </w:pPr>
            <w:r>
              <w:rPr>
                <w:rFonts w:ascii="Arial" w:cs="Arial" w:eastAsia="Arial" w:hAnsi="Arial"/>
                <w:sz w:val="17"/>
                <w:szCs w:val="17"/>
                <w:color w:val="auto"/>
                <w:w w:val="84"/>
              </w:rPr>
              <w:t>32.1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7"/>
              </w:rPr>
              <w:t>Certification of Chief Executive Officer Pursuant to</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18 U.S.C. Section 1350, as Adopted Pursuant to</w:t>
            </w:r>
          </w:p>
        </w:tc>
        <w:tc>
          <w:tcPr>
            <w:tcW w:w="2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Section 906 of the Sarbanes-Oxley Act of 2002††</w:t>
            </w: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399"/>
        </w:trPr>
        <w:tc>
          <w:tcPr>
            <w:tcW w:w="1020" w:type="dxa"/>
            <w:vAlign w:val="bottom"/>
          </w:tcPr>
          <w:p>
            <w:pPr>
              <w:jc w:val="center"/>
              <w:spacing w:after="0"/>
              <w:rPr>
                <w:sz w:val="20"/>
                <w:szCs w:val="20"/>
                <w:color w:val="auto"/>
              </w:rPr>
            </w:pPr>
            <w:r>
              <w:rPr>
                <w:rFonts w:ascii="Arial" w:cs="Arial" w:eastAsia="Arial" w:hAnsi="Arial"/>
                <w:sz w:val="17"/>
                <w:szCs w:val="17"/>
                <w:color w:val="auto"/>
                <w:w w:val="84"/>
              </w:rPr>
              <w:t>32.2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Certification of Chief Financial Officer Pursuant to</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18 U.S.C. Section 1350, as Adopted Pursuant to</w:t>
            </w:r>
          </w:p>
        </w:tc>
        <w:tc>
          <w:tcPr>
            <w:tcW w:w="2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Section 906 of the Sarbanes-Oxley Act of 2002††</w:t>
            </w: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114935</wp:posOffset>
            </wp:positionV>
            <wp:extent cx="10585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77" w:lineRule="exact"/>
        <w:rPr>
          <w:sz w:val="20"/>
          <w:szCs w:val="20"/>
          <w:color w:val="auto"/>
        </w:rPr>
      </w:pPr>
    </w:p>
    <w:p>
      <w:pPr>
        <w:ind w:left="320" w:right="879"/>
        <w:spacing w:after="0" w:line="277" w:lineRule="auto"/>
        <w:rPr>
          <w:sz w:val="20"/>
          <w:szCs w:val="20"/>
          <w:color w:val="auto"/>
        </w:rPr>
      </w:pPr>
      <w:r>
        <w:rPr>
          <w:rFonts w:ascii="Arial" w:cs="Arial" w:eastAsia="Arial" w:hAnsi="Arial"/>
          <w:sz w:val="17"/>
          <w:szCs w:val="17"/>
          <w:color w:val="auto"/>
        </w:rPr>
        <w:t>Significant Education, LLC is the predecessor to Significant Education, Inc., which is the former name of Grand Canyon Education, Inc.</w:t>
      </w:r>
    </w:p>
    <w:p>
      <w:pPr>
        <w:spacing w:after="0" w:line="23" w:lineRule="exact"/>
        <w:rPr>
          <w:sz w:val="20"/>
          <w:szCs w:val="20"/>
          <w:color w:val="auto"/>
        </w:rPr>
      </w:pPr>
    </w:p>
    <w:p>
      <w:pPr>
        <w:ind w:left="680" w:hanging="370"/>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74" w:lineRule="exact"/>
        <w:rPr>
          <w:sz w:val="20"/>
          <w:szCs w:val="20"/>
          <w:color w:val="auto"/>
        </w:rPr>
      </w:pPr>
    </w:p>
    <w:p>
      <w:pPr>
        <w:ind w:left="680" w:right="919" w:hanging="370"/>
        <w:spacing w:after="0" w:line="288" w:lineRule="auto"/>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219"/>
          </w:cols>
          <w:pgMar w:left="240" w:top="405" w:right="1440" w:bottom="1440" w:gutter="0" w:footer="0" w:header="0"/>
        </w:sectPr>
      </w:pPr>
    </w:p>
    <w:bookmarkStart w:id="140" w:name="page141"/>
    <w:bookmarkEnd w:id="140"/>
    <w:p>
      <w:pPr>
        <w:jc w:val="right"/>
        <w:ind w:right="679"/>
        <w:spacing w:after="0"/>
        <w:rPr>
          <w:sz w:val="20"/>
          <w:szCs w:val="20"/>
          <w:color w:val="auto"/>
        </w:rPr>
      </w:pPr>
      <w:r>
        <w:rPr>
          <w:rFonts w:ascii="Arial" w:cs="Arial" w:eastAsia="Arial" w:hAnsi="Arial"/>
          <w:sz w:val="17"/>
          <w:szCs w:val="17"/>
          <w:b w:val="1"/>
          <w:bCs w:val="1"/>
          <w:color w:val="auto"/>
        </w:rPr>
        <w:t>Exhibit 10.18</w:t>
      </w:r>
    </w:p>
    <w:p>
      <w:pPr>
        <w:spacing w:after="0" w:line="180" w:lineRule="exact"/>
        <w:rPr>
          <w:sz w:val="20"/>
          <w:szCs w:val="20"/>
          <w:color w:val="auto"/>
        </w:rPr>
      </w:pPr>
    </w:p>
    <w:p>
      <w:pPr>
        <w:jc w:val="right"/>
        <w:ind w:right="679"/>
        <w:spacing w:after="0"/>
        <w:rPr>
          <w:sz w:val="20"/>
          <w:szCs w:val="20"/>
          <w:color w:val="auto"/>
        </w:rPr>
      </w:pPr>
      <w:r>
        <w:rPr>
          <w:rFonts w:ascii="Arial" w:cs="Arial" w:eastAsia="Arial" w:hAnsi="Arial"/>
          <w:sz w:val="17"/>
          <w:szCs w:val="17"/>
          <w:b w:val="1"/>
          <w:bCs w:val="1"/>
          <w:i w:val="1"/>
          <w:iCs w:val="1"/>
          <w:color w:val="auto"/>
        </w:rPr>
        <w:t>Execution Copy</w:t>
      </w:r>
    </w:p>
    <w:p>
      <w:pPr>
        <w:spacing w:after="0" w:line="185" w:lineRule="exact"/>
        <w:rPr>
          <w:sz w:val="20"/>
          <w:szCs w:val="20"/>
          <w:color w:val="auto"/>
        </w:rPr>
      </w:pPr>
    </w:p>
    <w:p>
      <w:pPr>
        <w:ind w:left="3270"/>
        <w:spacing w:after="0"/>
        <w:rPr>
          <w:sz w:val="20"/>
          <w:szCs w:val="20"/>
          <w:color w:val="auto"/>
        </w:rPr>
      </w:pPr>
      <w:r>
        <w:rPr>
          <w:rFonts w:ascii="Arial" w:cs="Arial" w:eastAsia="Arial" w:hAnsi="Arial"/>
          <w:sz w:val="17"/>
          <w:szCs w:val="17"/>
          <w:b w:val="1"/>
          <w:bCs w:val="1"/>
          <w:u w:val="single" w:color="auto"/>
          <w:color w:val="auto"/>
        </w:rPr>
        <w:t>ASSET PURCHASE AGREEMENT</w:t>
      </w:r>
    </w:p>
    <w:p>
      <w:pPr>
        <w:spacing w:after="0" w:line="176" w:lineRule="exact"/>
        <w:rPr>
          <w:sz w:val="20"/>
          <w:szCs w:val="20"/>
          <w:color w:val="auto"/>
        </w:rPr>
      </w:pPr>
    </w:p>
    <w:p>
      <w:pPr>
        <w:ind w:left="10" w:right="679" w:firstLine="369"/>
        <w:spacing w:after="0" w:line="314" w:lineRule="auto"/>
        <w:rPr>
          <w:sz w:val="20"/>
          <w:szCs w:val="20"/>
          <w:color w:val="auto"/>
        </w:rPr>
      </w:pPr>
      <w:r>
        <w:rPr>
          <w:rFonts w:ascii="Arial" w:cs="Arial" w:eastAsia="Arial" w:hAnsi="Arial"/>
          <w:sz w:val="16"/>
          <w:szCs w:val="16"/>
          <w:b w:val="1"/>
          <w:bCs w:val="1"/>
          <w:color w:val="auto"/>
        </w:rPr>
        <w:t xml:space="preserve">ASSET PURCHASE AGREEMENT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December 30, 2010, by and between Grand Canyon Education,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 a Delaware corporation (“</w:t>
      </w:r>
      <w:r>
        <w:rPr>
          <w:rFonts w:ascii="Arial" w:cs="Arial" w:eastAsia="Arial" w:hAnsi="Arial"/>
          <w:sz w:val="16"/>
          <w:szCs w:val="16"/>
          <w:b w:val="1"/>
          <w:bCs w:val="1"/>
          <w:i w:val="1"/>
          <w:iCs w:val="1"/>
          <w:color w:val="auto"/>
        </w:rPr>
        <w:t>Buyer</w:t>
      </w:r>
      <w:r>
        <w:rPr>
          <w:rFonts w:ascii="Arial" w:cs="Arial" w:eastAsia="Arial" w:hAnsi="Arial"/>
          <w:sz w:val="16"/>
          <w:szCs w:val="16"/>
          <w:color w:val="auto"/>
        </w:rPr>
        <w:t>”), and Mind Streams, L.L.C., an Arizona limited liability company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w:t>
      </w:r>
    </w:p>
    <w:p>
      <w:pPr>
        <w:spacing w:after="0" w:line="95"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RECITALS</w:t>
      </w:r>
      <w:r>
        <w:rPr>
          <w:rFonts w:ascii="Arial" w:cs="Arial" w:eastAsia="Arial" w:hAnsi="Arial"/>
          <w:sz w:val="17"/>
          <w:szCs w:val="17"/>
          <w:color w:val="auto"/>
        </w:rPr>
        <w:t>:</w:t>
      </w:r>
    </w:p>
    <w:p>
      <w:pPr>
        <w:spacing w:after="0" w:line="189" w:lineRule="exact"/>
        <w:rPr>
          <w:sz w:val="20"/>
          <w:szCs w:val="20"/>
          <w:color w:val="auto"/>
        </w:rPr>
      </w:pPr>
    </w:p>
    <w:p>
      <w:pPr>
        <w:ind w:left="10" w:right="679" w:firstLine="369"/>
        <w:spacing w:after="0" w:line="282"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Seller is engaged in, among other things, the business of identifying potential students for enrollment in on-line post-secondary education programs (the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w:t>
      </w:r>
    </w:p>
    <w:p>
      <w:pPr>
        <w:spacing w:after="0" w:line="118" w:lineRule="exact"/>
        <w:rPr>
          <w:sz w:val="20"/>
          <w:szCs w:val="20"/>
          <w:color w:val="auto"/>
        </w:rPr>
      </w:pPr>
    </w:p>
    <w:p>
      <w:pPr>
        <w:ind w:left="10" w:right="679" w:firstLine="369"/>
        <w:spacing w:after="0" w:line="282"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Buyer and Seller are parties to a certain Collaboration Agreement, dated July 11, 2005 (as supplemented by Project One and</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Two) (the “</w:t>
      </w:r>
      <w:r>
        <w:rPr>
          <w:rFonts w:ascii="Arial" w:cs="Arial" w:eastAsia="Arial" w:hAnsi="Arial"/>
          <w:sz w:val="17"/>
          <w:szCs w:val="17"/>
          <w:b w:val="1"/>
          <w:bCs w:val="1"/>
          <w:i w:val="1"/>
          <w:iCs w:val="1"/>
          <w:color w:val="auto"/>
        </w:rPr>
        <w:t>Collaboration Agreement</w:t>
      </w:r>
      <w:r>
        <w:rPr>
          <w:rFonts w:ascii="Arial" w:cs="Arial" w:eastAsia="Arial" w:hAnsi="Arial"/>
          <w:sz w:val="17"/>
          <w:szCs w:val="17"/>
          <w:color w:val="auto"/>
        </w:rPr>
        <w:t>”).</w:t>
      </w:r>
    </w:p>
    <w:p>
      <w:pPr>
        <w:spacing w:after="0" w:line="118" w:lineRule="exact"/>
        <w:rPr>
          <w:sz w:val="20"/>
          <w:szCs w:val="20"/>
          <w:color w:val="auto"/>
        </w:rPr>
      </w:pPr>
    </w:p>
    <w:p>
      <w:pPr>
        <w:ind w:left="10" w:right="699" w:firstLine="369"/>
        <w:spacing w:after="0" w:line="351" w:lineRule="auto"/>
        <w:rPr>
          <w:sz w:val="20"/>
          <w:szCs w:val="20"/>
          <w:color w:val="auto"/>
        </w:rPr>
      </w:pPr>
      <w:r>
        <w:rPr>
          <w:rFonts w:ascii="Arial" w:cs="Arial" w:eastAsia="Arial" w:hAnsi="Arial"/>
          <w:sz w:val="15"/>
          <w:szCs w:val="15"/>
          <w:b w:val="1"/>
          <w:bCs w:val="1"/>
          <w:color w:val="auto"/>
        </w:rPr>
        <w:t xml:space="preserve">C. </w:t>
      </w:r>
      <w:r>
        <w:rPr>
          <w:rFonts w:ascii="Arial" w:cs="Arial" w:eastAsia="Arial" w:hAnsi="Arial"/>
          <w:sz w:val="15"/>
          <w:szCs w:val="15"/>
          <w:color w:val="auto"/>
        </w:rPr>
        <w:t>Buyer desires to purchase from Seller and Seller desires to sell to Buyer certain assets of Seller used in the Business, and</w:t>
      </w:r>
      <w:r>
        <w:rPr>
          <w:rFonts w:ascii="Arial" w:cs="Arial" w:eastAsia="Arial" w:hAnsi="Arial"/>
          <w:sz w:val="15"/>
          <w:szCs w:val="15"/>
          <w:b w:val="1"/>
          <w:bCs w:val="1"/>
          <w:color w:val="auto"/>
        </w:rPr>
        <w:t xml:space="preserve"> </w:t>
      </w:r>
      <w:r>
        <w:rPr>
          <w:rFonts w:ascii="Arial" w:cs="Arial" w:eastAsia="Arial" w:hAnsi="Arial"/>
          <w:sz w:val="15"/>
          <w:szCs w:val="15"/>
          <w:color w:val="auto"/>
        </w:rPr>
        <w:t>Buyer and Seller desire to acknowledge the termination of the Collaboration Agreement and settlement of amounts due thereunder.</w:t>
      </w:r>
    </w:p>
    <w:p>
      <w:pPr>
        <w:spacing w:after="0" w:line="85" w:lineRule="exact"/>
        <w:rPr>
          <w:sz w:val="20"/>
          <w:szCs w:val="20"/>
          <w:color w:val="auto"/>
        </w:rPr>
      </w:pPr>
    </w:p>
    <w:p>
      <w:pPr>
        <w:ind w:left="10" w:right="679" w:firstLine="369"/>
        <w:spacing w:after="0" w:line="314"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respective representations, warranties, covenants,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hereinafter set forth, and intending to be legally bound hereby, the parties hereto agree as follows.</w:t>
      </w:r>
    </w:p>
    <w:p>
      <w:pPr>
        <w:spacing w:after="0" w:line="95" w:lineRule="exact"/>
        <w:rPr>
          <w:sz w:val="20"/>
          <w:szCs w:val="20"/>
          <w:color w:val="auto"/>
        </w:rPr>
      </w:pPr>
    </w:p>
    <w:p>
      <w:pPr>
        <w:ind w:left="170" w:hanging="170"/>
        <w:spacing w:after="0"/>
        <w:tabs>
          <w:tab w:leader="none" w:pos="17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PURCHASE AND SALE OF ASSETS</w:t>
      </w:r>
      <w:r>
        <w:rPr>
          <w:rFonts w:ascii="Arial" w:cs="Arial" w:eastAsia="Arial" w:hAnsi="Arial"/>
          <w:sz w:val="17"/>
          <w:szCs w:val="17"/>
          <w:color w:val="auto"/>
        </w:rPr>
        <w:t>.</w:t>
      </w:r>
    </w:p>
    <w:p>
      <w:pPr>
        <w:spacing w:after="0" w:line="176" w:lineRule="exact"/>
        <w:rPr>
          <w:sz w:val="20"/>
          <w:szCs w:val="20"/>
          <w:color w:val="auto"/>
        </w:rPr>
      </w:pPr>
    </w:p>
    <w:p>
      <w:pPr>
        <w:jc w:val="both"/>
        <w:ind w:left="10" w:right="679" w:firstLine="369"/>
        <w:spacing w:after="0" w:line="26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Assets to be Transferred</w:t>
      </w:r>
      <w:r>
        <w:rPr>
          <w:rFonts w:ascii="Arial" w:cs="Arial" w:eastAsia="Arial" w:hAnsi="Arial"/>
          <w:sz w:val="17"/>
          <w:szCs w:val="17"/>
          <w:color w:val="auto"/>
        </w:rPr>
        <w:t xml:space="preserve">. Subject to the terms and provisions of this Agreement, Seller agrees to sell, assign, transfer and deliver to Buyer, and Buyer agrees to purchase from Seller, at the Closing (as defined below), all legal and beneficial right, title and interest of Seller in and to those assets of Seller that are used in the Business and that are listed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attached hereto (collectively, the “</w:t>
      </w:r>
      <w:r>
        <w:rPr>
          <w:rFonts w:ascii="Arial" w:cs="Arial" w:eastAsia="Arial" w:hAnsi="Arial"/>
          <w:sz w:val="17"/>
          <w:szCs w:val="17"/>
          <w:b w:val="1"/>
          <w:bCs w:val="1"/>
          <w:i w:val="1"/>
          <w:iCs w:val="1"/>
          <w:color w:val="auto"/>
        </w:rPr>
        <w:t>Purchased Assets</w:t>
      </w:r>
      <w:r>
        <w:rPr>
          <w:rFonts w:ascii="Arial" w:cs="Arial" w:eastAsia="Arial" w:hAnsi="Arial"/>
          <w:sz w:val="17"/>
          <w:szCs w:val="17"/>
          <w:color w:val="auto"/>
        </w:rPr>
        <w:t>”), in each case free and clear of any and all Liens.</w:t>
      </w:r>
    </w:p>
    <w:p>
      <w:pPr>
        <w:spacing w:after="0" w:line="150" w:lineRule="exact"/>
        <w:rPr>
          <w:sz w:val="20"/>
          <w:szCs w:val="20"/>
          <w:color w:val="auto"/>
        </w:rPr>
      </w:pPr>
    </w:p>
    <w:p>
      <w:pPr>
        <w:jc w:val="both"/>
        <w:ind w:left="10" w:right="679" w:firstLine="369"/>
        <w:spacing w:after="0" w:line="26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Excluded Assets</w:t>
      </w:r>
      <w:r>
        <w:rPr>
          <w:rFonts w:ascii="Arial" w:cs="Arial" w:eastAsia="Arial" w:hAnsi="Arial"/>
          <w:sz w:val="17"/>
          <w:szCs w:val="17"/>
          <w:color w:val="auto"/>
        </w:rPr>
        <w:t xml:space="preserve">. Anything in Section 1.1 above to the contrary notwithstanding, Seller is not selling, assigning, transferring or delivering to Buyer, and Buyer is not purchasing, any other assets of Seller, including, without limitation, those that are specifically listed on </w:t>
      </w:r>
      <w:r>
        <w:rPr>
          <w:rFonts w:ascii="Arial" w:cs="Arial" w:eastAsia="Arial" w:hAnsi="Arial"/>
          <w:sz w:val="17"/>
          <w:szCs w:val="17"/>
          <w:u w:val="single" w:color="auto"/>
          <w:color w:val="auto"/>
        </w:rPr>
        <w:t>Schedule 1.2</w:t>
      </w:r>
      <w:r>
        <w:rPr>
          <w:rFonts w:ascii="Arial" w:cs="Arial" w:eastAsia="Arial" w:hAnsi="Arial"/>
          <w:sz w:val="17"/>
          <w:szCs w:val="17"/>
          <w:color w:val="auto"/>
        </w:rPr>
        <w:t xml:space="preserve"> attached hereto (collectively, the “</w:t>
      </w:r>
      <w:r>
        <w:rPr>
          <w:rFonts w:ascii="Arial" w:cs="Arial" w:eastAsia="Arial" w:hAnsi="Arial"/>
          <w:sz w:val="17"/>
          <w:szCs w:val="17"/>
          <w:b w:val="1"/>
          <w:bCs w:val="1"/>
          <w:i w:val="1"/>
          <w:iCs w:val="1"/>
          <w:color w:val="auto"/>
        </w:rPr>
        <w:t>Excluded Assets</w:t>
      </w:r>
      <w:r>
        <w:rPr>
          <w:rFonts w:ascii="Arial" w:cs="Arial" w:eastAsia="Arial" w:hAnsi="Arial"/>
          <w:sz w:val="17"/>
          <w:szCs w:val="17"/>
          <w:color w:val="auto"/>
        </w:rPr>
        <w:t>”), all of which shall be retained by Seller and shall not constitute Purchased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591820</wp:posOffset>
            </wp:positionV>
            <wp:extent cx="725805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123" w:right="1440" w:bottom="1440" w:gutter="0" w:footer="0" w:header="0"/>
        </w:sectPr>
      </w:pPr>
    </w:p>
    <w:bookmarkStart w:id="141" w:name="page142"/>
    <w:bookmarkEnd w:id="141"/>
    <w:p>
      <w:pPr>
        <w:jc w:val="both"/>
        <w:ind w:right="679" w:firstLine="369"/>
        <w:spacing w:after="0" w:line="261"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No Assumption of Liabilities</w:t>
      </w:r>
      <w:r>
        <w:rPr>
          <w:rFonts w:ascii="Arial" w:cs="Arial" w:eastAsia="Arial" w:hAnsi="Arial"/>
          <w:sz w:val="17"/>
          <w:szCs w:val="17"/>
          <w:color w:val="auto"/>
        </w:rPr>
        <w:t>. Buyer shall not assume or be bound by, and Seller shall retain, pay and discharge when due, all liabilities or obligations of Seller of any kind or nature, known or unknown, accrued, absolute, contingent or otherwise, whatsoever (all such liabilities and obligations of Seller referred to herein as the “</w:t>
      </w:r>
      <w:r>
        <w:rPr>
          <w:rFonts w:ascii="Arial" w:cs="Arial" w:eastAsia="Arial" w:hAnsi="Arial"/>
          <w:sz w:val="17"/>
          <w:szCs w:val="17"/>
          <w:b w:val="1"/>
          <w:bCs w:val="1"/>
          <w:i w:val="1"/>
          <w:iCs w:val="1"/>
          <w:color w:val="auto"/>
        </w:rPr>
        <w:t>Excluded Liabilities</w:t>
      </w:r>
      <w:r>
        <w:rPr>
          <w:rFonts w:ascii="Arial" w:cs="Arial" w:eastAsia="Arial" w:hAnsi="Arial"/>
          <w:sz w:val="17"/>
          <w:szCs w:val="17"/>
          <w:color w:val="auto"/>
        </w:rPr>
        <w:t>”), which Excluded Liabilities shall include, without limitation, any liabilities or obligations of Seller:</w:t>
      </w:r>
    </w:p>
    <w:p>
      <w:pPr>
        <w:spacing w:after="0" w:line="154" w:lineRule="exact"/>
        <w:rPr>
          <w:sz w:val="20"/>
          <w:szCs w:val="20"/>
          <w:color w:val="auto"/>
        </w:rPr>
      </w:pPr>
    </w:p>
    <w:p>
      <w:pPr>
        <w:jc w:val="both"/>
        <w:ind w:left="360" w:right="679" w:firstLine="354"/>
        <w:spacing w:after="0" w:line="264" w:lineRule="auto"/>
        <w:tabs>
          <w:tab w:leader="none" w:pos="977"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incurred in connection with this Agreement and the transactions provided for herein, including, without limitation, counsel, banking and accountant’s fees and expenses, and expenses pertaining to the performance by Seller of its obligations hereunder;</w:t>
      </w:r>
    </w:p>
    <w:p>
      <w:pPr>
        <w:spacing w:after="0" w:line="136" w:lineRule="exact"/>
        <w:rPr>
          <w:rFonts w:ascii="Arial" w:cs="Arial" w:eastAsia="Arial" w:hAnsi="Arial"/>
          <w:sz w:val="17"/>
          <w:szCs w:val="17"/>
          <w:color w:val="auto"/>
        </w:rPr>
      </w:pPr>
    </w:p>
    <w:p>
      <w:pPr>
        <w:ind w:left="980" w:hanging="251"/>
        <w:spacing w:after="0"/>
        <w:tabs>
          <w:tab w:leader="none" w:pos="9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relating to or arising out of the Excluded Assets;</w:t>
      </w:r>
    </w:p>
    <w:p>
      <w:pPr>
        <w:spacing w:after="0" w:line="176" w:lineRule="exact"/>
        <w:rPr>
          <w:sz w:val="20"/>
          <w:szCs w:val="20"/>
          <w:color w:val="auto"/>
        </w:rPr>
      </w:pPr>
    </w:p>
    <w:p>
      <w:pPr>
        <w:jc w:val="both"/>
        <w:ind w:left="360" w:right="679" w:firstLine="354"/>
        <w:spacing w:after="0" w:line="260" w:lineRule="auto"/>
        <w:tabs>
          <w:tab w:leader="none" w:pos="9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respect of Taxes of Seller and its Affiliates (whether relating to periods before or after the transactions contemplated in this Agreement or incurred by Seller or its Affiliates in connection with this Agreement and the transactions provided for herein), including any transfer Taxes, duties and other governmental charges applicable to the transfer of the Purchased Assets in connection with this Agreement;</w:t>
      </w:r>
    </w:p>
    <w:p>
      <w:pPr>
        <w:spacing w:after="0" w:line="152" w:lineRule="exact"/>
        <w:rPr>
          <w:rFonts w:ascii="Arial" w:cs="Arial" w:eastAsia="Arial" w:hAnsi="Arial"/>
          <w:sz w:val="17"/>
          <w:szCs w:val="17"/>
          <w:color w:val="auto"/>
        </w:rPr>
      </w:pPr>
    </w:p>
    <w:p>
      <w:pPr>
        <w:ind w:left="360" w:right="679" w:firstLine="354"/>
        <w:spacing w:after="0" w:line="277" w:lineRule="auto"/>
        <w:tabs>
          <w:tab w:leader="none" w:pos="962"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relating to past or present employees or independent contractors of Seller, including, without limitation, any amounts in respect of compensation, severance, stay bonuses or paid time off; and</w:t>
      </w:r>
    </w:p>
    <w:p>
      <w:pPr>
        <w:spacing w:after="0" w:line="125" w:lineRule="exact"/>
        <w:rPr>
          <w:rFonts w:ascii="Arial" w:cs="Arial" w:eastAsia="Arial" w:hAnsi="Arial"/>
          <w:sz w:val="17"/>
          <w:szCs w:val="17"/>
          <w:color w:val="auto"/>
        </w:rPr>
      </w:pPr>
    </w:p>
    <w:p>
      <w:pPr>
        <w:jc w:val="both"/>
        <w:ind w:left="360" w:right="679" w:firstLine="354"/>
        <w:spacing w:after="0" w:line="274" w:lineRule="auto"/>
        <w:tabs>
          <w:tab w:leader="none" w:pos="9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connection with or relating to any actions, suits, claims, proceedings, demands, assessments and judgments, costs, losses, liabilities, damages, deficiencies and expenses (whether or not arising out of third-party claims), including, without limitation, interest, penalties, attorneys’ and accountants’ fees and all amounts paid in investigation, defense or settlement of any of the foregoing, which liabilities or obligations arise out of or relate to (i) the use or ownership of the Purchased Assets or the operation of the Business prior to the Closing Date, (ii) any actions taken by Seller or any member of Seller or any of their respective related persons or Affiliates on or prior to the Closing Date, or (iii) any continuing business or other activities of Seller, its members, or any of their respective related persons or Affiliates following the Closing Date.</w:t>
      </w:r>
    </w:p>
    <w:p>
      <w:pPr>
        <w:spacing w:after="0" w:line="128" w:lineRule="exact"/>
        <w:rPr>
          <w:sz w:val="20"/>
          <w:szCs w:val="20"/>
          <w:color w:val="auto"/>
        </w:rPr>
      </w:pPr>
    </w:p>
    <w:p>
      <w:pPr>
        <w:ind w:right="679" w:firstLine="369"/>
        <w:spacing w:after="0" w:line="282"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u w:val="single" w:color="auto"/>
          <w:color w:val="auto"/>
        </w:rPr>
        <w:t>Access to Information</w:t>
      </w:r>
      <w:r>
        <w:rPr>
          <w:rFonts w:ascii="Arial" w:cs="Arial" w:eastAsia="Arial" w:hAnsi="Arial"/>
          <w:sz w:val="17"/>
          <w:szCs w:val="17"/>
          <w:color w:val="auto"/>
        </w:rPr>
        <w:t>. Seller will provide Buyer with all information relating to or otherwise constituting Purchased Assets in Seller’s databases in a format in which it currently exists.</w:t>
      </w:r>
    </w:p>
    <w:p>
      <w:pPr>
        <w:spacing w:after="0" w:line="130" w:lineRule="exact"/>
        <w:rPr>
          <w:sz w:val="20"/>
          <w:szCs w:val="20"/>
          <w:color w:val="auto"/>
        </w:rPr>
      </w:pPr>
    </w:p>
    <w:p>
      <w:pPr>
        <w:ind w:right="679" w:firstLine="369"/>
        <w:spacing w:after="0" w:line="314"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u w:val="single" w:color="auto"/>
          <w:color w:val="auto"/>
        </w:rPr>
        <w:t>Termination of Agreement; Release</w:t>
      </w:r>
      <w:r>
        <w:rPr>
          <w:rFonts w:ascii="Arial" w:cs="Arial" w:eastAsia="Arial" w:hAnsi="Arial"/>
          <w:sz w:val="16"/>
          <w:szCs w:val="16"/>
          <w:color w:val="auto"/>
        </w:rPr>
        <w:t>. Buyer and Seller acknowledge that the Collaboration Agreement terminates by its terms effective December 30, 2010. In connection with such termination, Buyer and Seller hereby agree as follows:</w:t>
      </w:r>
    </w:p>
    <w:p>
      <w:pPr>
        <w:spacing w:after="0" w:line="99" w:lineRule="exact"/>
        <w:rPr>
          <w:sz w:val="20"/>
          <w:szCs w:val="20"/>
          <w:color w:val="auto"/>
        </w:rPr>
      </w:pPr>
    </w:p>
    <w:p>
      <w:pPr>
        <w:jc w:val="both"/>
        <w:ind w:left="360" w:right="679" w:firstLine="354"/>
        <w:spacing w:after="0" w:line="260" w:lineRule="auto"/>
        <w:tabs>
          <w:tab w:leader="none" w:pos="9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Buyer and Seller hereby affirm the termination of the Collaboration Agreement in accordance with its terms, effective December 30, 2010. Except as provided in this Agreement with respect to the Payment Obligation (as defined below), those provisions of the Collaboration Agreement that expressly survive the termination thereof shall continue to survive as set forth therein.</w:t>
      </w:r>
    </w:p>
    <w:p>
      <w:pPr>
        <w:spacing w:after="0" w:line="140" w:lineRule="exact"/>
        <w:rPr>
          <w:rFonts w:ascii="Arial" w:cs="Arial" w:eastAsia="Arial" w:hAnsi="Arial"/>
          <w:sz w:val="17"/>
          <w:szCs w:val="17"/>
          <w:color w:val="auto"/>
        </w:rPr>
      </w:pPr>
    </w:p>
    <w:p>
      <w:pPr>
        <w:jc w:val="both"/>
        <w:ind w:left="360" w:right="679" w:firstLine="354"/>
        <w:spacing w:after="0" w:line="264" w:lineRule="auto"/>
        <w:tabs>
          <w:tab w:leader="none" w:pos="96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Closing Cash Payment paid by Buyer to Seller in accordance with Section 2.1(a) of this Agreement includes and constitutes full and final payment of all amounts due by Buyer to Seller under the Collaboration Agreement upon and as of the termination thereof (the “</w:t>
      </w:r>
      <w:r>
        <w:rPr>
          <w:rFonts w:ascii="Arial" w:cs="Arial" w:eastAsia="Arial" w:hAnsi="Arial"/>
          <w:sz w:val="17"/>
          <w:szCs w:val="17"/>
          <w:b w:val="1"/>
          <w:bCs w:val="1"/>
          <w:i w:val="1"/>
          <w:iCs w:val="1"/>
          <w:color w:val="auto"/>
        </w:rPr>
        <w:t>Payment Obligation</w:t>
      </w:r>
      <w:r>
        <w:rPr>
          <w:rFonts w:ascii="Arial" w:cs="Arial" w:eastAsia="Arial" w:hAnsi="Arial"/>
          <w:sz w:val="17"/>
          <w:szCs w:val="17"/>
          <w:color w:val="auto"/>
        </w:rPr>
        <w: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142240</wp:posOffset>
            </wp:positionV>
            <wp:extent cx="725805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899"/>
          </w:cols>
          <w:pgMar w:left="560" w:top="892" w:right="1440" w:bottom="1440" w:gutter="0" w:footer="0" w:header="0"/>
        </w:sectPr>
      </w:pPr>
    </w:p>
    <w:bookmarkStart w:id="142" w:name="page143"/>
    <w:bookmarkEnd w:id="142"/>
    <w:p>
      <w:pPr>
        <w:jc w:val="both"/>
        <w:ind w:left="370" w:right="679" w:firstLine="354"/>
        <w:spacing w:after="0" w:line="275" w:lineRule="auto"/>
        <w:tabs>
          <w:tab w:leader="none" w:pos="964" w:val="left"/>
        </w:tabs>
        <w:numPr>
          <w:ilvl w:val="1"/>
          <w:numId w:val="60"/>
        </w:numPr>
        <w:rPr>
          <w:rFonts w:ascii="Arial" w:cs="Arial" w:eastAsia="Arial" w:hAnsi="Arial"/>
          <w:sz w:val="16"/>
          <w:szCs w:val="16"/>
          <w:color w:val="auto"/>
        </w:rPr>
      </w:pPr>
      <w:r>
        <w:rPr>
          <w:rFonts w:ascii="Arial" w:cs="Arial" w:eastAsia="Arial" w:hAnsi="Arial"/>
          <w:sz w:val="16"/>
          <w:szCs w:val="16"/>
          <w:color w:val="auto"/>
        </w:rPr>
        <w:t>Seller, for itself and on behalf of its successors and assigns, does hereby (i) acknowledge complete and full satisfaction by Buyer of the Payment Obligation, and (ii) fully, finally, and forever releases and discharges Buyer of and from any and all claims, causes of action, damages, demands, liabilities, obligations, costs, expenses, and compensation of every kind or nature whatsoever, past, present, or future, at law or in equity, whether known or unknown, contingent or otherwise, that Seller had, has, or may have had at any time in the past and through and including the Closing Date, against the Buyer that relate to or arise out of the Payment Obligation (collectively, the “</w:t>
      </w:r>
      <w:r>
        <w:rPr>
          <w:rFonts w:ascii="Arial" w:cs="Arial" w:eastAsia="Arial" w:hAnsi="Arial"/>
          <w:sz w:val="16"/>
          <w:szCs w:val="16"/>
          <w:b w:val="1"/>
          <w:bCs w:val="1"/>
          <w:i w:val="1"/>
          <w:iCs w:val="1"/>
          <w:color w:val="auto"/>
        </w:rPr>
        <w:t>Causes of Action</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jc w:val="both"/>
        <w:ind w:left="370" w:right="679" w:firstLine="354"/>
        <w:spacing w:after="0" w:line="278" w:lineRule="auto"/>
        <w:tabs>
          <w:tab w:leader="none" w:pos="970" w:val="left"/>
        </w:tabs>
        <w:numPr>
          <w:ilvl w:val="1"/>
          <w:numId w:val="60"/>
        </w:numPr>
        <w:rPr>
          <w:rFonts w:ascii="Arial" w:cs="Arial" w:eastAsia="Arial" w:hAnsi="Arial"/>
          <w:sz w:val="16"/>
          <w:szCs w:val="16"/>
          <w:color w:val="auto"/>
        </w:rPr>
      </w:pPr>
      <w:r>
        <w:rPr>
          <w:rFonts w:ascii="Arial" w:cs="Arial" w:eastAsia="Arial" w:hAnsi="Arial"/>
          <w:sz w:val="16"/>
          <w:szCs w:val="16"/>
          <w:color w:val="auto"/>
        </w:rPr>
        <w:t>Seller represents, warrants, covenants, and agrees that it (i) has not and will not assign any Causes of Action or possible Causes of Action against Buyer, (ii) fully intends to release all Causes of Action against Buyer, including, without limitation, unknown and contingent Causes of Action (other than those specifically reserved above), (iii) has consulted with counsel with respect to the matters covered hereby and has been fully apprised of the consequences hereof, and (iv) will not institute any litigation, lawsuit, claim, or action against Buyer with respect to any released Causes of Action</w:t>
      </w:r>
    </w:p>
    <w:p>
      <w:pPr>
        <w:spacing w:after="0" w:line="126" w:lineRule="exact"/>
        <w:rPr>
          <w:rFonts w:ascii="Arial" w:cs="Arial" w:eastAsia="Arial" w:hAnsi="Arial"/>
          <w:sz w:val="16"/>
          <w:szCs w:val="16"/>
          <w:color w:val="auto"/>
        </w:rPr>
      </w:pPr>
    </w:p>
    <w:p>
      <w:pPr>
        <w:ind w:left="370" w:right="679" w:firstLine="354"/>
        <w:spacing w:after="0" w:line="309" w:lineRule="auto"/>
        <w:tabs>
          <w:tab w:leader="none" w:pos="953"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Anything in this Section 1.5 to the contrary notwithstanding, Seller is not releasing Buyer from, and Buyer shall remain fully obligated with respect to, Buyer’s obligation to make the Subsequent Payment described in Section 2.1(b) below.</w:t>
      </w:r>
    </w:p>
    <w:p>
      <w:pPr>
        <w:spacing w:after="0" w:line="99" w:lineRule="exact"/>
        <w:rPr>
          <w:rFonts w:ascii="Arial" w:cs="Arial" w:eastAsia="Arial" w:hAnsi="Arial"/>
          <w:sz w:val="16"/>
          <w:szCs w:val="16"/>
          <w:color w:val="auto"/>
        </w:rPr>
      </w:pPr>
    </w:p>
    <w:p>
      <w:pPr>
        <w:ind w:left="170" w:hanging="170"/>
        <w:spacing w:after="0"/>
        <w:tabs>
          <w:tab w:leader="none" w:pos="17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CONSIDERATION</w:t>
      </w:r>
      <w:r>
        <w:rPr>
          <w:rFonts w:ascii="Arial" w:cs="Arial" w:eastAsia="Arial" w:hAnsi="Arial"/>
          <w:sz w:val="17"/>
          <w:szCs w:val="17"/>
          <w:color w:val="auto"/>
        </w:rPr>
        <w:t>.</w:t>
      </w:r>
    </w:p>
    <w:p>
      <w:pPr>
        <w:spacing w:after="0" w:line="189" w:lineRule="exact"/>
        <w:rPr>
          <w:sz w:val="20"/>
          <w:szCs w:val="20"/>
          <w:color w:val="auto"/>
        </w:rPr>
      </w:pPr>
    </w:p>
    <w:p>
      <w:pPr>
        <w:jc w:val="both"/>
        <w:ind w:left="10" w:right="679" w:firstLine="369"/>
        <w:spacing w:after="0" w:line="27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Consideration</w:t>
      </w:r>
      <w:r>
        <w:rPr>
          <w:rFonts w:ascii="Arial" w:cs="Arial" w:eastAsia="Arial" w:hAnsi="Arial"/>
          <w:sz w:val="16"/>
          <w:szCs w:val="16"/>
          <w:color w:val="auto"/>
        </w:rPr>
        <w:t>. In consideration for the Purchased Assets, and in respect of the Payment Obligation, Buyer shall pay to Seller (a) an aggregate amount in cash equal to $8,500,000, such amount to be paid by Buyer to Seller at the Closing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Cash Payment</w:t>
      </w:r>
      <w:r>
        <w:rPr>
          <w:rFonts w:ascii="Arial" w:cs="Arial" w:eastAsia="Arial" w:hAnsi="Arial"/>
          <w:sz w:val="16"/>
          <w:szCs w:val="16"/>
          <w:color w:val="auto"/>
        </w:rPr>
        <w:t>”), and (b) amounts earned and payable to Seller, but not yet paid, under the Collaboration Agreement related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(as such term is defined in the Collaboration Agreement) actually received by Buyer on or prior to February 28, 2011 (the “</w:t>
      </w:r>
      <w:r>
        <w:rPr>
          <w:rFonts w:ascii="Arial" w:cs="Arial" w:eastAsia="Arial" w:hAnsi="Arial"/>
          <w:sz w:val="16"/>
          <w:szCs w:val="16"/>
          <w:b w:val="1"/>
          <w:bCs w:val="1"/>
          <w:i w:val="1"/>
          <w:iCs w:val="1"/>
          <w:color w:val="auto"/>
        </w:rPr>
        <w:t>End Date</w:t>
      </w:r>
      <w:r>
        <w:rPr>
          <w:rFonts w:ascii="Arial" w:cs="Arial" w:eastAsia="Arial" w:hAnsi="Arial"/>
          <w:sz w:val="16"/>
          <w:szCs w:val="16"/>
          <w:color w:val="auto"/>
        </w:rPr>
        <w:t>”) in respect of courses started on or before October 31, 2010, such amounts to be paid by Buyer to Seller no later than 15 days following the End Date (the “</w:t>
      </w:r>
      <w:r>
        <w:rPr>
          <w:rFonts w:ascii="Arial" w:cs="Arial" w:eastAsia="Arial" w:hAnsi="Arial"/>
          <w:sz w:val="16"/>
          <w:szCs w:val="16"/>
          <w:b w:val="1"/>
          <w:bCs w:val="1"/>
          <w:i w:val="1"/>
          <w:iCs w:val="1"/>
          <w:color w:val="auto"/>
        </w:rPr>
        <w:t>Subsequent Payments</w:t>
      </w:r>
      <w:r>
        <w:rPr>
          <w:rFonts w:ascii="Arial" w:cs="Arial" w:eastAsia="Arial" w:hAnsi="Arial"/>
          <w:sz w:val="16"/>
          <w:szCs w:val="16"/>
          <w:color w:val="auto"/>
        </w:rPr>
        <w:t>”).</w:t>
      </w:r>
    </w:p>
    <w:p>
      <w:pPr>
        <w:spacing w:after="0" w:line="123" w:lineRule="exact"/>
        <w:rPr>
          <w:sz w:val="20"/>
          <w:szCs w:val="20"/>
          <w:color w:val="auto"/>
        </w:rPr>
      </w:pPr>
    </w:p>
    <w:p>
      <w:pPr>
        <w:jc w:val="both"/>
        <w:ind w:left="10" w:right="679" w:firstLine="369"/>
        <w:spacing w:after="0" w:line="28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Payment of Consideration</w:t>
      </w:r>
      <w:r>
        <w:rPr>
          <w:rFonts w:ascii="Arial" w:cs="Arial" w:eastAsia="Arial" w:hAnsi="Arial"/>
          <w:sz w:val="17"/>
          <w:szCs w:val="17"/>
          <w:b w:val="1"/>
          <w:bCs w:val="1"/>
          <w:color w:val="auto"/>
        </w:rPr>
        <w:t>.</w:t>
      </w:r>
      <w:r>
        <w:rPr>
          <w:rFonts w:ascii="Arial" w:cs="Arial" w:eastAsia="Arial" w:hAnsi="Arial"/>
          <w:sz w:val="17"/>
          <w:szCs w:val="17"/>
          <w:color w:val="auto"/>
        </w:rPr>
        <w:t xml:space="preserve"> Each of the Closing Cash Payment and the Subsequent Payments shall be paid by Buyer to Seller by wire transfer of immediately available funds, to an account designated in writing by Seller.</w:t>
      </w:r>
    </w:p>
    <w:p>
      <w:pPr>
        <w:spacing w:after="0" w:line="118" w:lineRule="exact"/>
        <w:rPr>
          <w:sz w:val="20"/>
          <w:szCs w:val="20"/>
          <w:color w:val="auto"/>
        </w:rPr>
      </w:pPr>
    </w:p>
    <w:p>
      <w:pPr>
        <w:jc w:val="both"/>
        <w:ind w:left="10" w:right="679" w:firstLine="369"/>
        <w:spacing w:after="0" w:line="27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Allocation of Consideration to Purchased Assets</w:t>
      </w:r>
      <w:r>
        <w:rPr>
          <w:rFonts w:ascii="Arial" w:cs="Arial" w:eastAsia="Arial" w:hAnsi="Arial"/>
          <w:sz w:val="16"/>
          <w:szCs w:val="16"/>
          <w:color w:val="auto"/>
        </w:rPr>
        <w:t>. Within 180 days following the Closing Date, Buyer will deliver to Seller an allocation of the consideration paid to Seller hereunder in respect of the Purchased Assets. Seller and Buyer will follow and use such allocation in all Tax returns, filings or other related reports made by them to any governmental agencies. To the extent that disclosures of this allocation are required to be made by the parties to the Internal Revenue Service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under the provisions of Section 1060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or any regulations thereunder, Buyer and Seller will disclose such reports to the other prior to filing with the IRS.</w:t>
      </w:r>
    </w:p>
    <w:p>
      <w:pPr>
        <w:spacing w:after="0" w:line="200" w:lineRule="exact"/>
        <w:rPr>
          <w:sz w:val="20"/>
          <w:szCs w:val="20"/>
          <w:color w:val="auto"/>
        </w:rPr>
      </w:pPr>
    </w:p>
    <w:p>
      <w:pPr>
        <w:spacing w:after="0" w:line="312" w:lineRule="exact"/>
        <w:rPr>
          <w:sz w:val="20"/>
          <w:szCs w:val="20"/>
          <w:color w:val="auto"/>
        </w:rPr>
      </w:pPr>
    </w:p>
    <w:p>
      <w:pPr>
        <w:ind w:left="457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6" w:right="1440" w:bottom="1440" w:gutter="0" w:footer="0" w:header="0"/>
        </w:sectPr>
      </w:pPr>
    </w:p>
    <w:bookmarkStart w:id="143" w:name="page144"/>
    <w:bookmarkEnd w:id="143"/>
    <w:p>
      <w:pPr>
        <w:ind w:left="170" w:hanging="170"/>
        <w:spacing w:after="0"/>
        <w:tabs>
          <w:tab w:leader="none" w:pos="17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SELLER</w:t>
      </w:r>
      <w:r>
        <w:rPr>
          <w:rFonts w:ascii="Arial" w:cs="Arial" w:eastAsia="Arial" w:hAnsi="Arial"/>
          <w:sz w:val="17"/>
          <w:szCs w:val="17"/>
          <w:color w:val="auto"/>
        </w:rPr>
        <w:t>.</w:t>
      </w:r>
    </w:p>
    <w:p>
      <w:pPr>
        <w:spacing w:after="0" w:line="193" w:lineRule="exact"/>
        <w:rPr>
          <w:sz w:val="20"/>
          <w:szCs w:val="20"/>
          <w:color w:val="auto"/>
        </w:rPr>
      </w:pPr>
    </w:p>
    <w:p>
      <w:pPr>
        <w:jc w:val="both"/>
        <w:ind w:left="10" w:right="679" w:firstLine="369"/>
        <w:spacing w:after="0" w:line="277" w:lineRule="auto"/>
        <w:rPr>
          <w:sz w:val="20"/>
          <w:szCs w:val="20"/>
          <w:color w:val="auto"/>
        </w:rPr>
      </w:pPr>
      <w:r>
        <w:rPr>
          <w:rFonts w:ascii="Arial" w:cs="Arial" w:eastAsia="Arial" w:hAnsi="Arial"/>
          <w:sz w:val="17"/>
          <w:szCs w:val="17"/>
          <w:color w:val="auto"/>
        </w:rPr>
        <w:t>Seller makes the following representations and warranties to Buyer, each of which is true and correct and shall survive the Closing of the transactions provided for herein.</w:t>
      </w:r>
    </w:p>
    <w:p>
      <w:pPr>
        <w:spacing w:after="0" w:line="122" w:lineRule="exact"/>
        <w:rPr>
          <w:sz w:val="20"/>
          <w:szCs w:val="20"/>
          <w:color w:val="auto"/>
        </w:rPr>
      </w:pPr>
    </w:p>
    <w:p>
      <w:pPr>
        <w:jc w:val="both"/>
        <w:ind w:left="10" w:right="679" w:firstLine="369"/>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Organization and Power</w:t>
      </w:r>
      <w:r>
        <w:rPr>
          <w:rFonts w:ascii="Arial" w:cs="Arial" w:eastAsia="Arial" w:hAnsi="Arial"/>
          <w:sz w:val="16"/>
          <w:szCs w:val="16"/>
          <w:color w:val="auto"/>
        </w:rPr>
        <w:t>. Seller is a limited liability company duly organized, validly existing and in good standing under the laws of the State of Arizona. Seller has all requisite power and authority to own, operate and lease its properties, to carry on its business as and where such is now being conducted, to enter into this Agreement and the other documents and instruments to be executed and delivered by Seller pursuant hereto and to carry out the transactions contemplated hereby and thereby.</w:t>
      </w:r>
    </w:p>
    <w:p>
      <w:pPr>
        <w:spacing w:after="0" w:line="119" w:lineRule="exact"/>
        <w:rPr>
          <w:sz w:val="20"/>
          <w:szCs w:val="20"/>
          <w:color w:val="auto"/>
        </w:rPr>
      </w:pPr>
    </w:p>
    <w:p>
      <w:pPr>
        <w:jc w:val="both"/>
        <w:ind w:left="10" w:right="679" w:firstLine="369"/>
        <w:spacing w:after="0" w:line="27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The execution and delivery of this Agreement and the other documents and instruments to be executed and delivered by Seller pursuant hereto and the consummation of the transactions contemplated hereby and thereby have been duly authorized by Seller. No other limited liability company act or proceeding on the part of Seller or its members is necessary to authorize this Agreement or the other documents and instruments to be executed and delivered by Seller pursuant hereto or the consummation of the transactions contemplated hereby and thereby. This Agreement constitutes, and when executed and delivered, the other documents and instruments to be executed and delivered by Seller pursuant hereto will constitute, valid binding agreements of Seller, enforceable in accordance with their respective terms, except as such may be limited by bankruptcy, insolvency, reorganization or other laws affecting creditors’ rights generally, and by general equitable principles.</w:t>
      </w:r>
    </w:p>
    <w:p>
      <w:pPr>
        <w:spacing w:after="0" w:line="140" w:lineRule="exact"/>
        <w:rPr>
          <w:sz w:val="20"/>
          <w:szCs w:val="20"/>
          <w:color w:val="auto"/>
        </w:rPr>
      </w:pPr>
    </w:p>
    <w:p>
      <w:pPr>
        <w:jc w:val="both"/>
        <w:ind w:left="10" w:right="679" w:firstLine="369"/>
        <w:spacing w:after="0" w:line="295"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u w:val="single" w:color="auto"/>
          <w:color w:val="auto"/>
        </w:rPr>
        <w:t>No Violation</w:t>
      </w:r>
      <w:r>
        <w:rPr>
          <w:rFonts w:ascii="Arial" w:cs="Arial" w:eastAsia="Arial" w:hAnsi="Arial"/>
          <w:sz w:val="15"/>
          <w:szCs w:val="15"/>
          <w:color w:val="auto"/>
        </w:rPr>
        <w:t>. Neither the execution and delivery of this Agreement or the other documents and instruments to be executed and delivered by Seller pursuant hereto, nor the consummation by Seller of the transactions contemplated hereby and thereby</w:t>
      </w:r>
    </w:p>
    <w:p>
      <w:pPr>
        <w:spacing w:after="0" w:line="1" w:lineRule="exact"/>
        <w:rPr>
          <w:sz w:val="20"/>
          <w:szCs w:val="20"/>
          <w:color w:val="auto"/>
        </w:rPr>
      </w:pPr>
    </w:p>
    <w:p>
      <w:pPr>
        <w:jc w:val="both"/>
        <w:ind w:left="10" w:right="679" w:hanging="10"/>
        <w:spacing w:after="0" w:line="253" w:lineRule="auto"/>
        <w:tabs>
          <w:tab w:leader="none" w:pos="289" w:val="left"/>
        </w:tabs>
        <w:numPr>
          <w:ilvl w:val="0"/>
          <w:numId w:val="63"/>
        </w:numPr>
        <w:rPr>
          <w:rFonts w:ascii="Arial" w:cs="Arial" w:eastAsia="Arial" w:hAnsi="Arial"/>
          <w:sz w:val="17"/>
          <w:szCs w:val="17"/>
          <w:color w:val="auto"/>
        </w:rPr>
      </w:pPr>
      <w:r>
        <w:rPr>
          <w:rFonts w:ascii="Arial" w:cs="Arial" w:eastAsia="Arial" w:hAnsi="Arial"/>
          <w:sz w:val="17"/>
          <w:szCs w:val="17"/>
          <w:color w:val="auto"/>
        </w:rPr>
        <w:t>violates any law, regulation or governmental order applicable to Seller, (b) requires any authorization, consent, approval, exemption or other action by or notice to any government entity, or (c) violates or conflicts with, or constitutes a default (or an event which, with notice or lapse of time, or both, would constitute a default) under, or will result in the termination of, or accelerate the performance required by, or result in the creation of any Lien upon any of the assets of Seller under, any term or provision of the articles of organization or operating agreement of Seller or of any material contract, commitment, understanding, arrangement, agreement or restriction of any kind or character to which Seller is a party or by which Seller or any of its assets or properties may be bound or affected.</w:t>
      </w:r>
    </w:p>
    <w:p>
      <w:pPr>
        <w:spacing w:after="0" w:line="145" w:lineRule="exact"/>
        <w:rPr>
          <w:sz w:val="20"/>
          <w:szCs w:val="20"/>
          <w:color w:val="auto"/>
        </w:rPr>
      </w:pPr>
    </w:p>
    <w:p>
      <w:pPr>
        <w:jc w:val="both"/>
        <w:ind w:left="10" w:right="679" w:firstLine="369"/>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No Litigation or Claims</w:t>
      </w:r>
      <w:r>
        <w:rPr>
          <w:rFonts w:ascii="Arial" w:cs="Arial" w:eastAsia="Arial" w:hAnsi="Arial"/>
          <w:sz w:val="16"/>
          <w:szCs w:val="16"/>
          <w:color w:val="auto"/>
        </w:rPr>
        <w:t>. There is no action, suit, litigation, claim, counterclaim or legal or administrative proceeding or investigation pending or, to Seller’s knowledge, threatened against Seller in connection with the Business that would impact the Purchased Assets. Seller is not subject to any order in connection with the Business that would impact the Purchased Assets.</w:t>
      </w:r>
    </w:p>
    <w:p>
      <w:pPr>
        <w:spacing w:after="0" w:line="113" w:lineRule="exact"/>
        <w:rPr>
          <w:sz w:val="20"/>
          <w:szCs w:val="20"/>
          <w:color w:val="auto"/>
        </w:rPr>
      </w:pPr>
    </w:p>
    <w:p>
      <w:pPr>
        <w:jc w:val="both"/>
        <w:ind w:left="10" w:right="679" w:firstLine="369"/>
        <w:spacing w:after="0" w:line="318"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b w:val="1"/>
          <w:bCs w:val="1"/>
          <w:u w:val="single" w:color="auto"/>
          <w:color w:val="auto"/>
        </w:rPr>
        <w:t>Compliance With Laws and Orders</w:t>
      </w:r>
      <w:r>
        <w:rPr>
          <w:rFonts w:ascii="Arial" w:cs="Arial" w:eastAsia="Arial" w:hAnsi="Arial"/>
          <w:sz w:val="15"/>
          <w:szCs w:val="15"/>
          <w:color w:val="auto"/>
        </w:rPr>
        <w:t>. Seller is in compliance, in all material respects, with all applicable laws and orders in connection with the Business that impact the Purchased Assets, including, without limitation, those applicable to student recruitment for higher education and other applicable regulations related to Title IV of the Higher Education Act of 1965, as amended.</w:t>
      </w:r>
    </w:p>
    <w:p>
      <w:pPr>
        <w:spacing w:after="0" w:line="200" w:lineRule="exact"/>
        <w:rPr>
          <w:sz w:val="20"/>
          <w:szCs w:val="20"/>
          <w:color w:val="auto"/>
        </w:rPr>
      </w:pPr>
    </w:p>
    <w:p>
      <w:pPr>
        <w:spacing w:after="0" w:line="285" w:lineRule="exact"/>
        <w:rPr>
          <w:sz w:val="20"/>
          <w:szCs w:val="20"/>
          <w:color w:val="auto"/>
        </w:rPr>
      </w:pPr>
    </w:p>
    <w:p>
      <w:pPr>
        <w:ind w:left="457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44" w:name="page145"/>
    <w:bookmarkEnd w:id="144"/>
    <w:p>
      <w:pPr>
        <w:jc w:val="both"/>
        <w:ind w:left="10" w:right="679" w:firstLine="369"/>
        <w:spacing w:after="0" w:line="274"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Seller exclusively owns or possesses adequate rights to use all of the intellectual property included within the Purchased Assets, free and clear of all Liens. There are no pending, or, to the knowledge of Seller, threatened claims against Seller or any of its employees alleging that any of the intellectual property included within the Purchased Assets is invalid or unenforceable or that any of such intellectual property included within the Purchased Assets infringes or conflicts with, or otherwise violates, the rights of others (“</w:t>
      </w:r>
      <w:r>
        <w:rPr>
          <w:rFonts w:ascii="Arial" w:cs="Arial" w:eastAsia="Arial" w:hAnsi="Arial"/>
          <w:sz w:val="16"/>
          <w:szCs w:val="16"/>
          <w:b w:val="1"/>
          <w:bCs w:val="1"/>
          <w:i w:val="1"/>
          <w:iCs w:val="1"/>
          <w:color w:val="auto"/>
        </w:rPr>
        <w:t>Third-Party Rights</w:t>
      </w:r>
      <w:r>
        <w:rPr>
          <w:rFonts w:ascii="Arial" w:cs="Arial" w:eastAsia="Arial" w:hAnsi="Arial"/>
          <w:sz w:val="16"/>
          <w:szCs w:val="16"/>
          <w:color w:val="auto"/>
        </w:rPr>
        <w:t>”). To the knowledge of Seller, no intellectual property included within the Purchased Assets infringes or conflicts with any Third-Party Rights, and Seller is not aware of any violation or infringement by a third party of any of the intellectual property included within the Purchased Assets. Seller has taken reasonable security measures to protect the secrecy, confidentiality and value of all trade secrets included within the Purchased Assets.</w:t>
      </w:r>
    </w:p>
    <w:p>
      <w:pPr>
        <w:spacing w:after="0" w:line="140" w:lineRule="exact"/>
        <w:rPr>
          <w:sz w:val="20"/>
          <w:szCs w:val="20"/>
          <w:color w:val="auto"/>
        </w:rPr>
      </w:pPr>
    </w:p>
    <w:p>
      <w:pPr>
        <w:jc w:val="both"/>
        <w:ind w:left="10" w:right="679" w:firstLine="369"/>
        <w:spacing w:after="0" w:line="314"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u w:val="single" w:color="auto"/>
          <w:color w:val="auto"/>
        </w:rPr>
        <w:t>Title to and Condition of Purchased Assets</w:t>
      </w:r>
      <w:r>
        <w:rPr>
          <w:rFonts w:ascii="Arial" w:cs="Arial" w:eastAsia="Arial" w:hAnsi="Arial"/>
          <w:sz w:val="16"/>
          <w:szCs w:val="16"/>
          <w:color w:val="auto"/>
        </w:rPr>
        <w:t>. Seller has good and marketable title to all of the Purchased Assets. All of the Purchased Assets are free and clear of restrictions on or conditions to transfer or assignment, and free and clear of Liens.</w:t>
      </w:r>
    </w:p>
    <w:p>
      <w:pPr>
        <w:spacing w:after="0" w:line="95" w:lineRule="exact"/>
        <w:rPr>
          <w:sz w:val="20"/>
          <w:szCs w:val="20"/>
          <w:color w:val="auto"/>
        </w:rPr>
      </w:pPr>
    </w:p>
    <w:p>
      <w:pPr>
        <w:jc w:val="both"/>
        <w:ind w:left="10" w:right="679" w:firstLine="369"/>
        <w:spacing w:after="0" w:line="274"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u w:val="single" w:color="auto"/>
          <w:color w:val="auto"/>
        </w:rPr>
        <w:t>Privacy of Customer Information</w:t>
      </w:r>
      <w:r>
        <w:rPr>
          <w:rFonts w:ascii="Arial" w:cs="Arial" w:eastAsia="Arial" w:hAnsi="Arial"/>
          <w:sz w:val="16"/>
          <w:szCs w:val="16"/>
          <w:i w:val="1"/>
          <w:iCs w:val="1"/>
          <w:color w:val="auto"/>
        </w:rPr>
        <w:t>.</w:t>
      </w:r>
      <w:r>
        <w:rPr>
          <w:rFonts w:ascii="Arial" w:cs="Arial" w:eastAsia="Arial" w:hAnsi="Arial"/>
          <w:sz w:val="16"/>
          <w:szCs w:val="16"/>
          <w:color w:val="auto"/>
        </w:rPr>
        <w:t xml:space="preserve"> Seller has used and currently uses any of the customer information that it has received or currently receives through its website or otherwise and that is included in the Purchased Assets in a manner that complies, in all material respects, with applicable law, and in a manner that complies with Seller’s privacy policy and the privacy rights of its customers. Seller has collected any customer information through its website or otherwise that is included in the Purchased Assets in a manner that complies, in all material respects, with applicable law, and in a manner that does not violate its privacy policy. Seller has commercially reasonable security measures in place to protect the customer information it receives through its website or otherwise and that is included in the Purchased Assets and which it stores in its computer systems from illegal use by third parties or use by third parties in a manner violative of the rights of privacy of its customers.</w:t>
      </w:r>
    </w:p>
    <w:p>
      <w:pPr>
        <w:spacing w:after="0" w:line="127" w:lineRule="exact"/>
        <w:rPr>
          <w:sz w:val="20"/>
          <w:szCs w:val="20"/>
          <w:color w:val="auto"/>
        </w:rPr>
      </w:pPr>
    </w:p>
    <w:p>
      <w:pPr>
        <w:jc w:val="both"/>
        <w:ind w:left="10" w:right="679" w:firstLine="369"/>
        <w:spacing w:after="0" w:line="26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u w:val="single" w:color="auto"/>
          <w:color w:val="auto"/>
        </w:rPr>
        <w:t>No Brokers or Finders</w:t>
      </w:r>
      <w:r>
        <w:rPr>
          <w:rFonts w:ascii="Arial" w:cs="Arial" w:eastAsia="Arial" w:hAnsi="Arial"/>
          <w:sz w:val="17"/>
          <w:szCs w:val="17"/>
          <w:color w:val="auto"/>
        </w:rPr>
        <w:t>. Seller has not retained, employed or used any broker or finder in connection with the transactions provided for herein or the negotiation thereof. Seller shall be responsible for all broker or finder’s fees on account of actions by Seller or its members or representatives.</w:t>
      </w:r>
    </w:p>
    <w:p>
      <w:pPr>
        <w:spacing w:after="0" w:line="142" w:lineRule="exact"/>
        <w:rPr>
          <w:sz w:val="20"/>
          <w:szCs w:val="20"/>
          <w:color w:val="auto"/>
        </w:rPr>
      </w:pPr>
    </w:p>
    <w:p>
      <w:pPr>
        <w:ind w:left="170" w:hanging="170"/>
        <w:spacing w:after="0"/>
        <w:tabs>
          <w:tab w:leader="none" w:pos="17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BUYER</w:t>
      </w:r>
      <w:r>
        <w:rPr>
          <w:rFonts w:ascii="Arial" w:cs="Arial" w:eastAsia="Arial" w:hAnsi="Arial"/>
          <w:sz w:val="17"/>
          <w:szCs w:val="17"/>
          <w:color w:val="auto"/>
        </w:rPr>
        <w:t>.</w:t>
      </w:r>
    </w:p>
    <w:p>
      <w:pPr>
        <w:spacing w:after="0" w:line="180" w:lineRule="exact"/>
        <w:rPr>
          <w:sz w:val="20"/>
          <w:szCs w:val="20"/>
          <w:color w:val="auto"/>
        </w:rPr>
      </w:pPr>
    </w:p>
    <w:p>
      <w:pPr>
        <w:jc w:val="both"/>
        <w:ind w:left="10" w:right="679" w:firstLine="369"/>
        <w:spacing w:after="0" w:line="277" w:lineRule="auto"/>
        <w:rPr>
          <w:sz w:val="20"/>
          <w:szCs w:val="20"/>
          <w:color w:val="auto"/>
        </w:rPr>
      </w:pPr>
      <w:r>
        <w:rPr>
          <w:rFonts w:ascii="Arial" w:cs="Arial" w:eastAsia="Arial" w:hAnsi="Arial"/>
          <w:sz w:val="17"/>
          <w:szCs w:val="17"/>
          <w:color w:val="auto"/>
        </w:rPr>
        <w:t>Buyer makes the following representations and warranties to Seller, each of which is true and correct on the date hereof and the Closing Date, and shall survive the Closing of the transactions provided for herein.</w:t>
      </w:r>
    </w:p>
    <w:p>
      <w:pPr>
        <w:spacing w:after="0" w:line="122" w:lineRule="exact"/>
        <w:rPr>
          <w:sz w:val="20"/>
          <w:szCs w:val="20"/>
          <w:color w:val="auto"/>
        </w:rPr>
      </w:pPr>
    </w:p>
    <w:p>
      <w:pPr>
        <w:jc w:val="both"/>
        <w:ind w:left="10" w:right="679" w:firstLine="369"/>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Organization and Power</w:t>
      </w:r>
      <w:r>
        <w:rPr>
          <w:rFonts w:ascii="Arial" w:cs="Arial" w:eastAsia="Arial" w:hAnsi="Arial"/>
          <w:sz w:val="16"/>
          <w:szCs w:val="16"/>
          <w:color w:val="auto"/>
        </w:rPr>
        <w:t>. Buyer is a corporation duly organized, validly existing and in good standing under the laws of the State of Delaware. Buyer has all requisite corporate power to enter into this Agreement and the other documents and instruments to be executed and delivered by Buyer and to carry out the transactions contemplated hereby and thereby.</w:t>
      </w:r>
    </w:p>
    <w:p>
      <w:pPr>
        <w:spacing w:after="0" w:line="200" w:lineRule="exact"/>
        <w:rPr>
          <w:sz w:val="20"/>
          <w:szCs w:val="20"/>
          <w:color w:val="auto"/>
        </w:rPr>
      </w:pPr>
    </w:p>
    <w:p>
      <w:pPr>
        <w:spacing w:after="0" w:line="301" w:lineRule="exact"/>
        <w:rPr>
          <w:sz w:val="20"/>
          <w:szCs w:val="20"/>
          <w:color w:val="auto"/>
        </w:rPr>
      </w:pPr>
    </w:p>
    <w:p>
      <w:pPr>
        <w:ind w:left="457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45" w:name="page146"/>
    <w:bookmarkEnd w:id="145"/>
    <w:p>
      <w:pPr>
        <w:jc w:val="both"/>
        <w:ind w:left="10" w:right="679" w:firstLine="369"/>
        <w:spacing w:after="0" w:line="294"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b w:val="1"/>
          <w:bCs w:val="1"/>
          <w:u w:val="single" w:color="auto"/>
          <w:color w:val="auto"/>
        </w:rPr>
        <w:t>Authority</w:t>
      </w:r>
      <w:r>
        <w:rPr>
          <w:rFonts w:ascii="Arial" w:cs="Arial" w:eastAsia="Arial" w:hAnsi="Arial"/>
          <w:sz w:val="15"/>
          <w:szCs w:val="15"/>
          <w:color w:val="auto"/>
        </w:rPr>
        <w:t>. The execution and delivery of this Agreement and the other documents and instruments to be executed and delivered by Buyer pursuant hereto and the consummation of the transactions contemplated hereby and thereby have been duly authorized by the Board of Directors of Buyer. No other corporate act or proceeding on the part of Buyer or its members is necessary to authorize this Agreement or the other documents and instruments to be executed and delivered by Buyer pursuant hereto or the consummation of the transactions contemplated hereby and thereby. This Agreement constitutes, and when executed and delivered, the other documents and instruments to be executed and delivered by Buyer pursuant hereto will constitute, valid and binding agreements of Buyer, enforceable in accordance with their respective terms, except as such may be limited by bankruptcy, insolvency, reorganization or other laws affecting creditors’ rights generally, and by general equitable principles.</w:t>
      </w:r>
    </w:p>
    <w:p>
      <w:pPr>
        <w:spacing w:after="0" w:line="130" w:lineRule="exact"/>
        <w:rPr>
          <w:sz w:val="20"/>
          <w:szCs w:val="20"/>
          <w:color w:val="auto"/>
        </w:rPr>
      </w:pPr>
    </w:p>
    <w:p>
      <w:pPr>
        <w:jc w:val="both"/>
        <w:ind w:left="10" w:right="679" w:firstLine="369"/>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No Brokers or Finders</w:t>
      </w:r>
      <w:r>
        <w:rPr>
          <w:rFonts w:ascii="Arial" w:cs="Arial" w:eastAsia="Arial" w:hAnsi="Arial"/>
          <w:sz w:val="17"/>
          <w:szCs w:val="17"/>
          <w:color w:val="auto"/>
        </w:rPr>
        <w:t>. Buyer has not retained, employed or used any broker or finder in connection with the transactions provided for herein or the negotiation thereof. Buyer shall be responsible for all broker or finder’s fees on account of actions by Buyer or its representatives.</w:t>
      </w:r>
    </w:p>
    <w:p>
      <w:pPr>
        <w:spacing w:after="0" w:line="130" w:lineRule="exact"/>
        <w:rPr>
          <w:sz w:val="20"/>
          <w:szCs w:val="20"/>
          <w:color w:val="auto"/>
        </w:rPr>
      </w:pPr>
    </w:p>
    <w:p>
      <w:pPr>
        <w:ind w:left="170" w:hanging="170"/>
        <w:spacing w:after="0"/>
        <w:tabs>
          <w:tab w:leader="none" w:pos="17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EMPLOYEES — EMPLOYEE BENEFITS</w:t>
      </w:r>
      <w:r>
        <w:rPr>
          <w:rFonts w:ascii="Arial" w:cs="Arial" w:eastAsia="Arial" w:hAnsi="Arial"/>
          <w:sz w:val="17"/>
          <w:szCs w:val="17"/>
          <w:color w:val="auto"/>
        </w:rPr>
        <w:t>.</w:t>
      </w:r>
    </w:p>
    <w:p>
      <w:pPr>
        <w:spacing w:after="0" w:line="176" w:lineRule="exact"/>
        <w:rPr>
          <w:sz w:val="20"/>
          <w:szCs w:val="20"/>
          <w:color w:val="auto"/>
        </w:rPr>
      </w:pPr>
    </w:p>
    <w:p>
      <w:pPr>
        <w:jc w:val="both"/>
        <w:ind w:left="10" w:right="679" w:firstLine="369"/>
        <w:spacing w:after="0" w:line="29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b w:val="1"/>
          <w:bCs w:val="1"/>
          <w:u w:val="single" w:color="auto"/>
          <w:color w:val="auto"/>
        </w:rPr>
        <w:t>Election</w:t>
      </w:r>
      <w:r>
        <w:rPr>
          <w:rFonts w:ascii="Arial" w:cs="Arial" w:eastAsia="Arial" w:hAnsi="Arial"/>
          <w:sz w:val="15"/>
          <w:szCs w:val="15"/>
          <w:color w:val="auto"/>
        </w:rPr>
        <w:t>. Buyer and Seller have designated each of the employees engaged in the Business as Category 1 or Category 2 employees. If an employee is in Category 1, such employee shall remain an employee of Seller and will not have any association with Buyer. If an employee is in Category 2, then at the Closing, Buyer agrees to offer employment to such employee on substantially similar terms and with substantially similar benefits as similarly situated persons employed by Buyer. If a Category 2 employee accepts such offer of employment, then Seller shall terminate the employment of such employee and such employee shall become an employee of Buyer. Seller shall be responsible for any and all termination benefits in connection with its termination of any Category 1 or Category 2 employees, as well as any related obligations or liabilities relating to such employees or arising in connection with any such termination. Notwithstanding the foregoing, Buyer has no obligation to hire any employees of Seller.</w:t>
      </w:r>
    </w:p>
    <w:p>
      <w:pPr>
        <w:spacing w:after="0" w:line="130" w:lineRule="exact"/>
        <w:rPr>
          <w:sz w:val="20"/>
          <w:szCs w:val="20"/>
          <w:color w:val="auto"/>
        </w:rPr>
      </w:pPr>
    </w:p>
    <w:p>
      <w:pPr>
        <w:jc w:val="both"/>
        <w:ind w:left="10" w:right="679" w:firstLine="369"/>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Payroll Tax</w:t>
      </w:r>
      <w:r>
        <w:rPr>
          <w:rFonts w:ascii="Arial" w:cs="Arial" w:eastAsia="Arial" w:hAnsi="Arial"/>
          <w:sz w:val="16"/>
          <w:szCs w:val="16"/>
          <w:color w:val="auto"/>
        </w:rPr>
        <w:t>. Seller agrees to make a clean cut-off of payroll and payroll tax reporting with respect to the Category 2 employees hired by Buyer, paying over to the federal, state and city governments those amounts respectively withheld or required to be withheld for periods ending on or prior to the Closing Date. Seller also agrees to issue, by the date prescribed by IRS Regulations, Forms W-2 for wages paid through the Closing Date for Category 2 employees hired by Buyer.</w:t>
      </w:r>
    </w:p>
    <w:p>
      <w:pPr>
        <w:spacing w:after="0" w:line="119" w:lineRule="exact"/>
        <w:rPr>
          <w:sz w:val="20"/>
          <w:szCs w:val="20"/>
          <w:color w:val="auto"/>
        </w:rPr>
      </w:pPr>
    </w:p>
    <w:p>
      <w:pPr>
        <w:ind w:left="170" w:hanging="170"/>
        <w:spacing w:after="0"/>
        <w:tabs>
          <w:tab w:leader="none" w:pos="17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MATTERS</w:t>
      </w:r>
      <w:r>
        <w:rPr>
          <w:rFonts w:ascii="Arial" w:cs="Arial" w:eastAsia="Arial" w:hAnsi="Arial"/>
          <w:sz w:val="17"/>
          <w:szCs w:val="17"/>
          <w:color w:val="auto"/>
        </w:rPr>
        <w:t>.</w:t>
      </w:r>
    </w:p>
    <w:p>
      <w:pPr>
        <w:spacing w:after="0" w:line="176" w:lineRule="exact"/>
        <w:rPr>
          <w:sz w:val="20"/>
          <w:szCs w:val="20"/>
          <w:color w:val="auto"/>
        </w:rPr>
      </w:pPr>
    </w:p>
    <w:p>
      <w:pPr>
        <w:jc w:val="both"/>
        <w:ind w:left="10" w:right="679" w:firstLine="369"/>
        <w:spacing w:after="0" w:line="296"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b w:val="1"/>
          <w:bCs w:val="1"/>
          <w:u w:val="single" w:color="auto"/>
          <w:color w:val="auto"/>
        </w:rPr>
        <w:t>Confidential Information</w:t>
      </w:r>
      <w:r>
        <w:rPr>
          <w:rFonts w:ascii="Arial" w:cs="Arial" w:eastAsia="Arial" w:hAnsi="Arial"/>
          <w:sz w:val="15"/>
          <w:szCs w:val="15"/>
          <w:color w:val="auto"/>
        </w:rPr>
        <w:t>. Seller shall not at any time subsequent to the Closing, except as explicitly requested by Buyer, use for any purpose, disclose to any person, or keep or make copies of documents, tapes, discs, programs or other information storage media (“records”) containing, any confidential information concerning the Purchased Assets, all such information being deemed to be transferred to Buyer hereunder as part of the Purchased Assets. The foregoing provisions shall not apply to any information which is not a Purchased Asset. If at any time after Closing, Seller should discover that it is in possession of any records containing the confidential information of Buyer, then Seller shall immediately turn such records over to Buyer, which shall upon request make available to Seller any information contained therein which is not confidential information acquired by Buyer.</w:t>
      </w:r>
    </w:p>
    <w:p>
      <w:pPr>
        <w:spacing w:after="0" w:line="200" w:lineRule="exact"/>
        <w:rPr>
          <w:sz w:val="20"/>
          <w:szCs w:val="20"/>
          <w:color w:val="auto"/>
        </w:rPr>
      </w:pPr>
    </w:p>
    <w:p>
      <w:pPr>
        <w:spacing w:after="0" w:line="302" w:lineRule="exact"/>
        <w:rPr>
          <w:sz w:val="20"/>
          <w:szCs w:val="20"/>
          <w:color w:val="auto"/>
        </w:rPr>
      </w:pPr>
    </w:p>
    <w:p>
      <w:pPr>
        <w:ind w:left="457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46" w:name="page147"/>
    <w:bookmarkEnd w:id="146"/>
    <w:p>
      <w:pPr>
        <w:ind w:left="170" w:hanging="170"/>
        <w:spacing w:after="0"/>
        <w:tabs>
          <w:tab w:leader="none" w:pos="17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w:t>
      </w:r>
    </w:p>
    <w:p>
      <w:pPr>
        <w:spacing w:after="0" w:line="189" w:lineRule="exact"/>
        <w:rPr>
          <w:sz w:val="20"/>
          <w:szCs w:val="20"/>
          <w:color w:val="auto"/>
        </w:rPr>
      </w:pPr>
    </w:p>
    <w:p>
      <w:pPr>
        <w:jc w:val="both"/>
        <w:ind w:left="10" w:right="679" w:firstLine="369"/>
        <w:spacing w:after="0" w:line="257"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By Seller</w:t>
      </w:r>
      <w:r>
        <w:rPr>
          <w:rFonts w:ascii="Arial" w:cs="Arial" w:eastAsia="Arial" w:hAnsi="Arial"/>
          <w:sz w:val="17"/>
          <w:szCs w:val="17"/>
          <w:color w:val="auto"/>
        </w:rPr>
        <w:t>. Subject to the terms and conditions of this Article 7, Seller hereby agree to indemnify, defend and hold harmless Buyer, and its directors, officers, employees and controlled and controlling persons (hereinafter “</w:t>
      </w:r>
      <w:r>
        <w:rPr>
          <w:rFonts w:ascii="Arial" w:cs="Arial" w:eastAsia="Arial" w:hAnsi="Arial"/>
          <w:sz w:val="17"/>
          <w:szCs w:val="17"/>
          <w:b w:val="1"/>
          <w:bCs w:val="1"/>
          <w:i w:val="1"/>
          <w:iCs w:val="1"/>
          <w:color w:val="auto"/>
        </w:rPr>
        <w:t>Buyer’s Affiliates</w:t>
      </w:r>
      <w:r>
        <w:rPr>
          <w:rFonts w:ascii="Arial" w:cs="Arial" w:eastAsia="Arial" w:hAnsi="Arial"/>
          <w:sz w:val="17"/>
          <w:szCs w:val="17"/>
          <w:color w:val="auto"/>
        </w:rPr>
        <w:t>”), from and against all Claims asserted against, resulting to, imposed upon or incurred by Buyer, Buyer’s Affiliates or the Purchased Assets, directly or indirectly, by reason of, arising out of or resulting from (a) the inaccuracy or breach of any representation or warranty of Seller contained in or made pursuant to this Agreement; (b) the breach of any covenant or agreement of Seller contained in this Agreement; or (c) the Excluded Liabilities.</w:t>
      </w:r>
    </w:p>
    <w:p>
      <w:pPr>
        <w:spacing w:after="0" w:line="141" w:lineRule="exact"/>
        <w:rPr>
          <w:sz w:val="20"/>
          <w:szCs w:val="20"/>
          <w:color w:val="auto"/>
        </w:rPr>
      </w:pPr>
    </w:p>
    <w:p>
      <w:pPr>
        <w:jc w:val="both"/>
        <w:ind w:left="10" w:right="679" w:firstLine="369"/>
        <w:spacing w:after="0" w:line="302"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b w:val="1"/>
          <w:bCs w:val="1"/>
          <w:u w:val="single" w:color="auto"/>
          <w:color w:val="auto"/>
        </w:rPr>
        <w:t>By Buyer</w:t>
      </w:r>
      <w:r>
        <w:rPr>
          <w:rFonts w:ascii="Arial" w:cs="Arial" w:eastAsia="Arial" w:hAnsi="Arial"/>
          <w:sz w:val="15"/>
          <w:szCs w:val="15"/>
          <w:color w:val="auto"/>
        </w:rPr>
        <w:t>. Subject to the terms and conditions of this Article 7, Buyer hereby agrees to indemnify, defend and hold harmless Seller, and its managers, members, officers, employees and controlled and controlling persons (hereinafter “</w:t>
      </w:r>
      <w:r>
        <w:rPr>
          <w:rFonts w:ascii="Arial" w:cs="Arial" w:eastAsia="Arial" w:hAnsi="Arial"/>
          <w:sz w:val="15"/>
          <w:szCs w:val="15"/>
          <w:b w:val="1"/>
          <w:bCs w:val="1"/>
          <w:i w:val="1"/>
          <w:iCs w:val="1"/>
          <w:color w:val="auto"/>
        </w:rPr>
        <w:t>Seller’s Affiliates</w:t>
      </w:r>
      <w:r>
        <w:rPr>
          <w:rFonts w:ascii="Arial" w:cs="Arial" w:eastAsia="Arial" w:hAnsi="Arial"/>
          <w:sz w:val="15"/>
          <w:szCs w:val="15"/>
          <w:color w:val="auto"/>
        </w:rPr>
        <w:t>”), from and against all Claims asserted against, resulting to, imposed upon or incurred by Seller or Seller’s Affiliates, directly or indirectly, by reason of, arising out of or resulting from (a) the inaccuracy or breach of any representation or warranty of Buyer contained in or made pursuant to this Agreement; or (b) the breach of any covenant or other agreement of Buyer contained in this Agreement.</w:t>
      </w:r>
    </w:p>
    <w:p>
      <w:pPr>
        <w:spacing w:after="0" w:line="107" w:lineRule="exact"/>
        <w:rPr>
          <w:sz w:val="20"/>
          <w:szCs w:val="20"/>
          <w:color w:val="auto"/>
        </w:rPr>
      </w:pPr>
    </w:p>
    <w:p>
      <w:pPr>
        <w:jc w:val="both"/>
        <w:ind w:left="10" w:right="679" w:firstLine="369"/>
        <w:spacing w:after="0" w:line="267"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Indemnification of Third-Party Claims</w:t>
      </w:r>
      <w:r>
        <w:rPr>
          <w:rFonts w:ascii="Arial" w:cs="Arial" w:eastAsia="Arial" w:hAnsi="Arial"/>
          <w:sz w:val="17"/>
          <w:szCs w:val="17"/>
          <w:color w:val="auto"/>
        </w:rPr>
        <w:t>. The following provisions shall apply to any Claim subject to indemnification which is (i) a suit, action or arbitration proceeding filed or instituted by any third party, or (ii) any other form of proceeding or assessment instituted by any governmental entity:</w:t>
      </w:r>
    </w:p>
    <w:p>
      <w:pPr>
        <w:spacing w:after="0" w:line="142" w:lineRule="exact"/>
        <w:rPr>
          <w:sz w:val="20"/>
          <w:szCs w:val="20"/>
          <w:color w:val="auto"/>
        </w:rPr>
      </w:pPr>
    </w:p>
    <w:p>
      <w:pPr>
        <w:jc w:val="both"/>
        <w:ind w:left="370" w:right="679" w:firstLine="354"/>
        <w:spacing w:after="0" w:line="272" w:lineRule="auto"/>
        <w:tabs>
          <w:tab w:leader="none" w:pos="956" w:val="left"/>
        </w:tabs>
        <w:numPr>
          <w:ilvl w:val="0"/>
          <w:numId w:val="6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and Defense</w:t>
      </w:r>
      <w:r>
        <w:rPr>
          <w:rFonts w:ascii="Arial" w:cs="Arial" w:eastAsia="Arial" w:hAnsi="Arial"/>
          <w:sz w:val="16"/>
          <w:szCs w:val="16"/>
          <w:color w:val="auto"/>
        </w:rPr>
        <w:t>. The party or parties to be indemnified (whether one or more,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will give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party from whom indemnification is sought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prompt written notice of any such Claim, and the Indemnifying Party will undertake the defense thereof by representatives chosen by it. The assumption of defense shall constitute an admission by the Indemnifying Party of its indemnification obligation hereunder with respect to such Claim, and its undertaking to pay directly all costs, expenses, damages, judgments, awards, penalties and assessments incurred in connection therewith. Failure to give such notice shall not affect the Indemnifying Party’s duty or obligations under this Article 7, except to the extent the Indemnifying Party is prejudiced thereby. So long as the Indemnifying Party is defending any such Claim actively and in good faith, the Indemnified Party shall not settle such Claim. The Indemnified Party shall make available to the Indemnifying Party or its representatives all records and other materials required by them and in the possession or under the control of the Indemnified Party, for the use of the Indemnifying Party and its representatives in defending any such Claim, and shall in other respects give reasonable cooperation in such defense.</w:t>
      </w:r>
    </w:p>
    <w:p>
      <w:pPr>
        <w:spacing w:after="0" w:line="200" w:lineRule="exact"/>
        <w:rPr>
          <w:sz w:val="20"/>
          <w:szCs w:val="20"/>
          <w:color w:val="auto"/>
        </w:rPr>
      </w:pPr>
    </w:p>
    <w:p>
      <w:pPr>
        <w:spacing w:after="0" w:line="305" w:lineRule="exact"/>
        <w:rPr>
          <w:sz w:val="20"/>
          <w:szCs w:val="20"/>
          <w:color w:val="auto"/>
        </w:rPr>
      </w:pPr>
    </w:p>
    <w:p>
      <w:pPr>
        <w:ind w:left="457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47" w:name="page148"/>
    <w:bookmarkEnd w:id="147"/>
    <w:p>
      <w:pPr>
        <w:jc w:val="both"/>
        <w:ind w:left="370" w:right="679" w:firstLine="354"/>
        <w:spacing w:after="0" w:line="279" w:lineRule="auto"/>
        <w:tabs>
          <w:tab w:leader="none" w:pos="966"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Failure to Defend</w:t>
      </w:r>
      <w:r>
        <w:rPr>
          <w:rFonts w:ascii="Arial" w:cs="Arial" w:eastAsia="Arial" w:hAnsi="Arial"/>
          <w:sz w:val="16"/>
          <w:szCs w:val="16"/>
          <w:color w:val="auto"/>
        </w:rPr>
        <w:t>. If the Indemnifying Party, within a reasonable time after notice of any such Claim, fails to defend</w:t>
      </w:r>
      <w:r>
        <w:rPr>
          <w:rFonts w:ascii="Arial" w:cs="Arial" w:eastAsia="Arial" w:hAnsi="Arial"/>
          <w:sz w:val="16"/>
          <w:szCs w:val="16"/>
          <w:b w:val="1"/>
          <w:bCs w:val="1"/>
          <w:color w:val="auto"/>
        </w:rPr>
        <w:t xml:space="preserve"> </w:t>
      </w:r>
      <w:r>
        <w:rPr>
          <w:rFonts w:ascii="Arial" w:cs="Arial" w:eastAsia="Arial" w:hAnsi="Arial"/>
          <w:sz w:val="16"/>
          <w:szCs w:val="16"/>
          <w:color w:val="auto"/>
        </w:rPr>
        <w:t>such Claim actively and in good faith, the Indemnified Party will (upon further notice) have the right to undertake the defense, compromise or settlement of such Claim or consent to the entry of a judgment with respect to such Claim, on behalf of and for the account and risk of the Indemnifying Party, and the Indemnifying Party shall thereafter have no right to challenge the Indemnified Party’s defense, compromise, settlement or consent to judgment.</w:t>
      </w:r>
    </w:p>
    <w:p>
      <w:pPr>
        <w:spacing w:after="0" w:line="135" w:lineRule="exact"/>
        <w:rPr>
          <w:rFonts w:ascii="Arial" w:cs="Arial" w:eastAsia="Arial" w:hAnsi="Arial"/>
          <w:sz w:val="16"/>
          <w:szCs w:val="16"/>
          <w:color w:val="auto"/>
        </w:rPr>
      </w:pPr>
    </w:p>
    <w:p>
      <w:pPr>
        <w:jc w:val="both"/>
        <w:ind w:left="370" w:right="679" w:firstLine="354"/>
        <w:spacing w:after="0" w:line="277" w:lineRule="auto"/>
        <w:tabs>
          <w:tab w:leader="none" w:pos="969"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Indemnified Party’s Rights</w:t>
      </w:r>
      <w:r>
        <w:rPr>
          <w:rFonts w:ascii="Arial" w:cs="Arial" w:eastAsia="Arial" w:hAnsi="Arial"/>
          <w:sz w:val="16"/>
          <w:szCs w:val="16"/>
          <w:color w:val="auto"/>
        </w:rPr>
        <w:t>. Anything in this Article 7 to the contrary notwithstanding, (i) if there is a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probability that a Claim may materially and adversely affect the Indemnified Party other than as a result of money damages or other money payments, the Indemnified Party shall have the right to defend, compromise or settle such Claim, and (ii) the Indemnifying Party shall not, without the written consent of the Indemnified Party, settle or compromise any Claim or consent to the entry of any judgment which does not include as an unconditional term thereof the giving by the claimant or the plaintiff to the Indemnified Party of a release from all liability in respect of such Claim.</w:t>
      </w:r>
    </w:p>
    <w:p>
      <w:pPr>
        <w:spacing w:after="0" w:line="123" w:lineRule="exact"/>
        <w:rPr>
          <w:sz w:val="20"/>
          <w:szCs w:val="20"/>
          <w:color w:val="auto"/>
        </w:rPr>
      </w:pPr>
    </w:p>
    <w:p>
      <w:pPr>
        <w:ind w:left="370"/>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 The Indemnifying Party shall promptly pay the Indemnified Party any amount due under this Article 7.</w:t>
      </w:r>
    </w:p>
    <w:p>
      <w:pPr>
        <w:spacing w:after="0" w:line="176" w:lineRule="exact"/>
        <w:rPr>
          <w:sz w:val="20"/>
          <w:szCs w:val="20"/>
          <w:color w:val="auto"/>
        </w:rPr>
      </w:pPr>
    </w:p>
    <w:p>
      <w:pPr>
        <w:jc w:val="both"/>
        <w:ind w:left="10" w:right="679" w:firstLine="369"/>
        <w:spacing w:after="0" w:line="26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u w:val="single" w:color="auto"/>
          <w:color w:val="auto"/>
        </w:rPr>
        <w:t>Survival and Cap</w:t>
      </w:r>
      <w:r>
        <w:rPr>
          <w:rFonts w:ascii="Arial" w:cs="Arial" w:eastAsia="Arial" w:hAnsi="Arial"/>
          <w:sz w:val="17"/>
          <w:szCs w:val="17"/>
          <w:color w:val="auto"/>
        </w:rPr>
        <w:t>. Except for Claims arising from fraud, or any willful or knowing breach or misrepresentation, which Claims may be brought without limitation as to time or amount, no claim or action shall be brought under this Article 7 for indemnification after the lapse of one (1) year following the Closing. Further, the maximum obligation of Seller under Section 7.1 and Buyer under Section 7.2 shall be $250,000.</w:t>
      </w:r>
    </w:p>
    <w:p>
      <w:pPr>
        <w:spacing w:after="0" w:line="150" w:lineRule="exact"/>
        <w:rPr>
          <w:sz w:val="20"/>
          <w:szCs w:val="20"/>
          <w:color w:val="auto"/>
        </w:rPr>
      </w:pPr>
    </w:p>
    <w:p>
      <w:pPr>
        <w:ind w:left="170" w:hanging="170"/>
        <w:spacing w:after="0"/>
        <w:tabs>
          <w:tab w:leader="none" w:pos="17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w:t>
      </w:r>
    </w:p>
    <w:p>
      <w:pPr>
        <w:spacing w:after="0" w:line="176" w:lineRule="exact"/>
        <w:rPr>
          <w:sz w:val="20"/>
          <w:szCs w:val="20"/>
          <w:color w:val="auto"/>
        </w:rPr>
      </w:pPr>
    </w:p>
    <w:p>
      <w:pPr>
        <w:jc w:val="both"/>
        <w:ind w:left="10" w:right="679" w:firstLine="369"/>
        <w:spacing w:after="0" w:line="26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 The closing of this transaction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shall be held at the offices of DLA Piper LLP (US), 2525 E. Camelback Road, Suite 1000, Phoenix, Arizona 85016 concurrent with the execution of this Agreement. Such date and time is referred to in this Agreement as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w:t>
      </w:r>
    </w:p>
    <w:p>
      <w:pPr>
        <w:spacing w:after="0" w:line="130" w:lineRule="exact"/>
        <w:rPr>
          <w:sz w:val="20"/>
          <w:szCs w:val="20"/>
          <w:color w:val="auto"/>
        </w:rPr>
      </w:pPr>
    </w:p>
    <w:p>
      <w:pPr>
        <w:jc w:val="both"/>
        <w:ind w:left="10" w:right="679" w:firstLine="369"/>
        <w:spacing w:after="0" w:line="28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Documents to be Delivered by Seller</w:t>
      </w:r>
      <w:r>
        <w:rPr>
          <w:rFonts w:ascii="Arial" w:cs="Arial" w:eastAsia="Arial" w:hAnsi="Arial"/>
          <w:sz w:val="17"/>
          <w:szCs w:val="17"/>
          <w:color w:val="auto"/>
        </w:rPr>
        <w:t>. At the Closing, Seller shall deliver to Buyer the following documents, in each case duly executed or otherwise in proper form:</w:t>
      </w:r>
    </w:p>
    <w:p>
      <w:pPr>
        <w:spacing w:after="0" w:line="130" w:lineRule="exact"/>
        <w:rPr>
          <w:sz w:val="20"/>
          <w:szCs w:val="20"/>
          <w:color w:val="auto"/>
        </w:rPr>
      </w:pPr>
    </w:p>
    <w:p>
      <w:pPr>
        <w:jc w:val="both"/>
        <w:ind w:left="370" w:right="679" w:firstLine="354"/>
        <w:spacing w:after="0" w:line="267" w:lineRule="auto"/>
        <w:tabs>
          <w:tab w:leader="none" w:pos="969"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Bills of Sale</w:t>
      </w:r>
      <w:r>
        <w:rPr>
          <w:rFonts w:ascii="Arial" w:cs="Arial" w:eastAsia="Arial" w:hAnsi="Arial"/>
          <w:sz w:val="17"/>
          <w:szCs w:val="17"/>
          <w:color w:val="auto"/>
        </w:rPr>
        <w:t>. Bills of sale and such other instruments of assignment, transfer, conveyance and endorsement as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sufficient in the reasonable opinion of Buyer and its counsel to transfer, assign, convey and deliver to Buyer the Purchased Assets as contemplated hereby.</w:t>
      </w:r>
    </w:p>
    <w:p>
      <w:pPr>
        <w:spacing w:after="0" w:line="129" w:lineRule="exact"/>
        <w:rPr>
          <w:rFonts w:ascii="Arial" w:cs="Arial" w:eastAsia="Arial" w:hAnsi="Arial"/>
          <w:sz w:val="17"/>
          <w:szCs w:val="17"/>
          <w:color w:val="auto"/>
        </w:rPr>
      </w:pPr>
    </w:p>
    <w:p>
      <w:pPr>
        <w:ind w:left="370" w:right="699" w:firstLine="354"/>
        <w:spacing w:after="0" w:line="314" w:lineRule="auto"/>
        <w:tabs>
          <w:tab w:leader="none" w:pos="979"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Certified Resolutions</w:t>
      </w:r>
      <w:r>
        <w:rPr>
          <w:rFonts w:ascii="Arial" w:cs="Arial" w:eastAsia="Arial" w:hAnsi="Arial"/>
          <w:sz w:val="16"/>
          <w:szCs w:val="16"/>
          <w:color w:val="auto"/>
        </w:rPr>
        <w:t>. A certified copy of the resolutions of the manager and/or members of Seller authorizing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this Agreement and the consummation of the transactions contemplated by this Agreement.</w:t>
      </w:r>
    </w:p>
    <w:p>
      <w:pPr>
        <w:spacing w:after="0" w:line="95" w:lineRule="exact"/>
        <w:rPr>
          <w:rFonts w:ascii="Arial" w:cs="Arial" w:eastAsia="Arial" w:hAnsi="Arial"/>
          <w:sz w:val="16"/>
          <w:szCs w:val="16"/>
          <w:color w:val="auto"/>
        </w:rPr>
      </w:pPr>
    </w:p>
    <w:p>
      <w:pPr>
        <w:ind w:left="370" w:right="679" w:firstLine="354"/>
        <w:spacing w:after="0" w:line="314" w:lineRule="auto"/>
        <w:tabs>
          <w:tab w:leader="none" w:pos="969"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Documents</w:t>
      </w:r>
      <w:r>
        <w:rPr>
          <w:rFonts w:ascii="Arial" w:cs="Arial" w:eastAsia="Arial" w:hAnsi="Arial"/>
          <w:sz w:val="16"/>
          <w:szCs w:val="16"/>
          <w:color w:val="auto"/>
        </w:rPr>
        <w:t>. All other documents, instruments or writings required to be delivered to Buyer at or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pursuant to this Agreement and such other certificates of authority and documents as Buyer may reasonably request.</w:t>
      </w:r>
    </w:p>
    <w:p>
      <w:pPr>
        <w:spacing w:after="0" w:line="200" w:lineRule="exact"/>
        <w:rPr>
          <w:sz w:val="20"/>
          <w:szCs w:val="20"/>
          <w:color w:val="auto"/>
        </w:rPr>
      </w:pPr>
    </w:p>
    <w:p>
      <w:pPr>
        <w:spacing w:after="0" w:line="284" w:lineRule="exact"/>
        <w:rPr>
          <w:sz w:val="20"/>
          <w:szCs w:val="20"/>
          <w:color w:val="auto"/>
        </w:rPr>
      </w:pPr>
    </w:p>
    <w:p>
      <w:pPr>
        <w:ind w:left="457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48" w:name="page149"/>
    <w:bookmarkEnd w:id="148"/>
    <w:p>
      <w:pPr>
        <w:ind w:left="10" w:right="679" w:firstLine="369"/>
        <w:spacing w:after="0" w:line="28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Documents to be Delivered by Buyer</w:t>
      </w:r>
      <w:r>
        <w:rPr>
          <w:rFonts w:ascii="Arial" w:cs="Arial" w:eastAsia="Arial" w:hAnsi="Arial"/>
          <w:sz w:val="17"/>
          <w:szCs w:val="17"/>
          <w:color w:val="auto"/>
        </w:rPr>
        <w:t>. At the Closing, Buyer shall deliver to Seller the following, in each case duly executed or otherwise in proper form:</w:t>
      </w:r>
    </w:p>
    <w:p>
      <w:pPr>
        <w:spacing w:after="0" w:line="130" w:lineRule="exact"/>
        <w:rPr>
          <w:sz w:val="20"/>
          <w:szCs w:val="20"/>
          <w:color w:val="auto"/>
        </w:rPr>
      </w:pPr>
    </w:p>
    <w:p>
      <w:pPr>
        <w:ind w:left="950" w:hanging="226"/>
        <w:spacing w:after="0"/>
        <w:tabs>
          <w:tab w:leader="none" w:pos="950" w:val="left"/>
        </w:tabs>
        <w:numPr>
          <w:ilvl w:val="1"/>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Closing Cash Payment</w:t>
      </w:r>
      <w:r>
        <w:rPr>
          <w:rFonts w:ascii="Arial" w:cs="Arial" w:eastAsia="Arial" w:hAnsi="Arial"/>
          <w:sz w:val="17"/>
          <w:szCs w:val="17"/>
          <w:color w:val="auto"/>
        </w:rPr>
        <w:t>. The Closing Cash Payment, by wire transfer of immediately available funds.</w:t>
      </w:r>
    </w:p>
    <w:p>
      <w:pPr>
        <w:spacing w:after="0" w:line="176" w:lineRule="exact"/>
        <w:rPr>
          <w:rFonts w:ascii="Arial" w:cs="Arial" w:eastAsia="Arial" w:hAnsi="Arial"/>
          <w:sz w:val="17"/>
          <w:szCs w:val="17"/>
          <w:color w:val="auto"/>
        </w:rPr>
      </w:pPr>
    </w:p>
    <w:p>
      <w:pPr>
        <w:ind w:left="370" w:right="679" w:firstLine="354"/>
        <w:spacing w:after="0" w:line="282" w:lineRule="auto"/>
        <w:tabs>
          <w:tab w:leader="none" w:pos="966" w:val="left"/>
        </w:tabs>
        <w:numPr>
          <w:ilvl w:val="1"/>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Certified Resolutions</w:t>
      </w:r>
      <w:r>
        <w:rPr>
          <w:rFonts w:ascii="Arial" w:cs="Arial" w:eastAsia="Arial" w:hAnsi="Arial"/>
          <w:sz w:val="17"/>
          <w:szCs w:val="17"/>
          <w:color w:val="auto"/>
        </w:rPr>
        <w:t>. A certified copy of the resolutions of the board of directors of Buyer authorizing and approving</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consummation of the transactions contemplated by this Agreement.</w:t>
      </w:r>
    </w:p>
    <w:p>
      <w:pPr>
        <w:spacing w:after="0" w:line="117" w:lineRule="exact"/>
        <w:rPr>
          <w:rFonts w:ascii="Arial" w:cs="Arial" w:eastAsia="Arial" w:hAnsi="Arial"/>
          <w:sz w:val="17"/>
          <w:szCs w:val="17"/>
          <w:color w:val="auto"/>
        </w:rPr>
      </w:pPr>
    </w:p>
    <w:p>
      <w:pPr>
        <w:ind w:left="370" w:right="679" w:firstLine="354"/>
        <w:spacing w:after="0" w:line="314" w:lineRule="auto"/>
        <w:tabs>
          <w:tab w:leader="none" w:pos="969" w:val="left"/>
        </w:tabs>
        <w:numPr>
          <w:ilvl w:val="1"/>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Documents</w:t>
      </w:r>
      <w:r>
        <w:rPr>
          <w:rFonts w:ascii="Arial" w:cs="Arial" w:eastAsia="Arial" w:hAnsi="Arial"/>
          <w:sz w:val="16"/>
          <w:szCs w:val="16"/>
          <w:color w:val="auto"/>
        </w:rPr>
        <w:t>. All other documents, instruments or writings required to be delivered to Seller at or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pursuant to this Agreement and such other certificates of authority and documents as Seller may reasonably request.</w:t>
      </w:r>
    </w:p>
    <w:p>
      <w:pPr>
        <w:spacing w:after="0" w:line="108" w:lineRule="exact"/>
        <w:rPr>
          <w:rFonts w:ascii="Arial" w:cs="Arial" w:eastAsia="Arial" w:hAnsi="Arial"/>
          <w:sz w:val="16"/>
          <w:szCs w:val="16"/>
          <w:color w:val="auto"/>
        </w:rPr>
      </w:pPr>
    </w:p>
    <w:p>
      <w:pPr>
        <w:ind w:left="170" w:hanging="170"/>
        <w:spacing w:after="0"/>
        <w:tabs>
          <w:tab w:leader="none" w:pos="17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DEFINITIONS</w:t>
      </w:r>
      <w:r>
        <w:rPr>
          <w:rFonts w:ascii="Arial" w:cs="Arial" w:eastAsia="Arial" w:hAnsi="Arial"/>
          <w:sz w:val="17"/>
          <w:szCs w:val="17"/>
          <w:color w:val="auto"/>
        </w:rPr>
        <w:t>.</w:t>
      </w:r>
    </w:p>
    <w:p>
      <w:pPr>
        <w:spacing w:after="0" w:line="176" w:lineRule="exact"/>
        <w:rPr>
          <w:sz w:val="20"/>
          <w:szCs w:val="20"/>
          <w:color w:val="auto"/>
        </w:rPr>
      </w:pPr>
    </w:p>
    <w:p>
      <w:pPr>
        <w:ind w:left="370"/>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For purposes of this Agreement, the following terms shall have the following meanings:</w:t>
      </w:r>
    </w:p>
    <w:p>
      <w:pPr>
        <w:spacing w:after="0" w:line="180" w:lineRule="exact"/>
        <w:rPr>
          <w:sz w:val="20"/>
          <w:szCs w:val="20"/>
          <w:color w:val="auto"/>
        </w:rPr>
      </w:pPr>
    </w:p>
    <w:p>
      <w:pPr>
        <w:jc w:val="both"/>
        <w:ind w:left="10" w:right="679" w:firstLine="73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of a person or entity means any person or entity which directly or indirectly controls, is controlled by, or is under common control with such person or entity.</w:t>
      </w:r>
    </w:p>
    <w:p>
      <w:pPr>
        <w:spacing w:after="0" w:line="139" w:lineRule="exact"/>
        <w:rPr>
          <w:sz w:val="20"/>
          <w:szCs w:val="20"/>
          <w:color w:val="auto"/>
        </w:rPr>
      </w:pPr>
    </w:p>
    <w:p>
      <w:pPr>
        <w:jc w:val="both"/>
        <w:ind w:left="10" w:right="679" w:firstLine="73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means (i) all liabilities; (ii) all losses, deficiencies, actual damages (but not including consequential or punitive damages), judgments, awards, penalties and settlements; (iii) all demands, claims, suits, actions, causes of action, proceedings and assessments; and (iv) all costs and expenses (including, without limitation, interest (including prejudgment interest in any litigated or arbitrated matter), court costs and fees and reasonable expenses of attorneys and expert witnesses) of investigating, defending or asserting any of the foregoing or of enforcing this Agreement.</w:t>
      </w:r>
    </w:p>
    <w:p>
      <w:pPr>
        <w:spacing w:after="0" w:line="142" w:lineRule="exact"/>
        <w:rPr>
          <w:sz w:val="20"/>
          <w:szCs w:val="20"/>
          <w:color w:val="auto"/>
        </w:rPr>
      </w:pPr>
    </w:p>
    <w:p>
      <w:pPr>
        <w:jc w:val="both"/>
        <w:ind w:left="10" w:right="679" w:firstLine="73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Liens</w:t>
      </w:r>
      <w:r>
        <w:rPr>
          <w:rFonts w:ascii="Arial" w:cs="Arial" w:eastAsia="Arial" w:hAnsi="Arial"/>
          <w:sz w:val="16"/>
          <w:szCs w:val="16"/>
          <w:color w:val="auto"/>
        </w:rPr>
        <w:t>” means mortgages, liens, pledges, security interests, charges, encumbrances, claims, easements, rights of way, covenants, conditions or restrictions or any other adverse claims, rights or encumbrances of any kind or nature whatsoever.</w:t>
      </w:r>
    </w:p>
    <w:p>
      <w:pPr>
        <w:spacing w:after="0" w:line="103" w:lineRule="exact"/>
        <w:rPr>
          <w:sz w:val="20"/>
          <w:szCs w:val="20"/>
          <w:color w:val="auto"/>
        </w:rPr>
      </w:pPr>
    </w:p>
    <w:p>
      <w:pPr>
        <w:jc w:val="both"/>
        <w:ind w:left="10" w:right="679" w:firstLine="73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any and all federal, state, provincial, local, foreign or other taxes, including, without limitation, income taxes, estimated taxes, excise taxes, sales taxes, transaction privilege taxes, use taxes, gross receipts taxes, franchise taxes, employment and payroll related taxes, withholding taxes, stamp taxes, transfer and property taxes, or other tax of any kind whatsoever, whether or not measured in whole or in part by net income, including any interest, penalty, or addition thereto, whether disputed or not.</w:t>
      </w:r>
    </w:p>
    <w:p>
      <w:pPr>
        <w:spacing w:after="0" w:line="200" w:lineRule="exact"/>
        <w:rPr>
          <w:sz w:val="20"/>
          <w:szCs w:val="20"/>
          <w:color w:val="auto"/>
        </w:rPr>
      </w:pPr>
    </w:p>
    <w:p>
      <w:pPr>
        <w:spacing w:after="0" w:line="326" w:lineRule="exact"/>
        <w:rPr>
          <w:sz w:val="20"/>
          <w:szCs w:val="20"/>
          <w:color w:val="auto"/>
        </w:rPr>
      </w:pPr>
    </w:p>
    <w:p>
      <w:pPr>
        <w:ind w:left="457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49" w:name="page150"/>
    <w:bookmarkEnd w:id="149"/>
    <w:p>
      <w:pPr>
        <w:ind w:left="250" w:hanging="250"/>
        <w:spacing w:after="0"/>
        <w:tabs>
          <w:tab w:leader="none" w:pos="25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89" w:lineRule="exact"/>
        <w:rPr>
          <w:sz w:val="20"/>
          <w:szCs w:val="20"/>
          <w:color w:val="auto"/>
        </w:rPr>
      </w:pPr>
    </w:p>
    <w:p>
      <w:pPr>
        <w:jc w:val="both"/>
        <w:ind w:left="10" w:right="679" w:firstLine="369"/>
        <w:spacing w:after="0" w:line="26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Further Assurance</w:t>
      </w:r>
      <w:r>
        <w:rPr>
          <w:rFonts w:ascii="Arial" w:cs="Arial" w:eastAsia="Arial" w:hAnsi="Arial"/>
          <w:sz w:val="17"/>
          <w:szCs w:val="17"/>
          <w:color w:val="auto"/>
        </w:rPr>
        <w:t>. From time to time following the Closing Date, at Buyer’s request and without further consideration, Seller will execute and deliver to Buyer such documents, instruments and consents and take such other action as Buyer may reasonably request in order to effect the transactions contemplated hereby, to discharge the covenants of Seller and to vest in Buyer good, valid and marketable title to the Purchased Assets.</w:t>
      </w:r>
    </w:p>
    <w:p>
      <w:pPr>
        <w:spacing w:after="0" w:line="137" w:lineRule="exact"/>
        <w:rPr>
          <w:sz w:val="20"/>
          <w:szCs w:val="20"/>
          <w:color w:val="auto"/>
        </w:rPr>
      </w:pPr>
    </w:p>
    <w:p>
      <w:pPr>
        <w:jc w:val="both"/>
        <w:ind w:left="10" w:right="679" w:firstLine="369"/>
        <w:spacing w:after="0" w:line="26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Disclosures and Announcements</w:t>
      </w:r>
      <w:r>
        <w:rPr>
          <w:rFonts w:ascii="Arial" w:cs="Arial" w:eastAsia="Arial" w:hAnsi="Arial"/>
          <w:sz w:val="17"/>
          <w:szCs w:val="17"/>
          <w:color w:val="auto"/>
        </w:rPr>
        <w:t>. Both the timing and the content of all disclosure to third parties and public announcements concerning the transactions provided for in this Agreement by either Seller or Buyer shall be subject to the approval of Buyer.</w:t>
      </w:r>
    </w:p>
    <w:p>
      <w:pPr>
        <w:spacing w:after="0" w:line="130" w:lineRule="exact"/>
        <w:rPr>
          <w:sz w:val="20"/>
          <w:szCs w:val="20"/>
          <w:color w:val="auto"/>
        </w:rPr>
      </w:pPr>
    </w:p>
    <w:p>
      <w:pPr>
        <w:ind w:left="370"/>
        <w:spacing w:after="0"/>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Assignment; Parties in Interest</w:t>
      </w:r>
      <w:r>
        <w:rPr>
          <w:rFonts w:ascii="Arial" w:cs="Arial" w:eastAsia="Arial" w:hAnsi="Arial"/>
          <w:sz w:val="17"/>
          <w:szCs w:val="17"/>
          <w:color w:val="auto"/>
        </w:rPr>
        <w:t>.</w:t>
      </w:r>
    </w:p>
    <w:p>
      <w:pPr>
        <w:spacing w:after="0" w:line="189" w:lineRule="exact"/>
        <w:rPr>
          <w:sz w:val="20"/>
          <w:szCs w:val="20"/>
          <w:color w:val="auto"/>
        </w:rPr>
      </w:pPr>
    </w:p>
    <w:p>
      <w:pPr>
        <w:ind w:left="370" w:right="679" w:firstLine="354"/>
        <w:spacing w:after="0" w:line="282" w:lineRule="auto"/>
        <w:tabs>
          <w:tab w:leader="none" w:pos="956"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Except as expressly provided herein, the rights and obligations of a party hereunder may not be assigned,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or encumbered without the prior written consent of the other party.</w:t>
      </w:r>
    </w:p>
    <w:p>
      <w:pPr>
        <w:spacing w:after="0" w:line="117" w:lineRule="exact"/>
        <w:rPr>
          <w:rFonts w:ascii="Arial" w:cs="Arial" w:eastAsia="Arial" w:hAnsi="Arial"/>
          <w:sz w:val="17"/>
          <w:szCs w:val="17"/>
          <w:color w:val="auto"/>
        </w:rPr>
      </w:pPr>
    </w:p>
    <w:p>
      <w:pPr>
        <w:jc w:val="both"/>
        <w:ind w:left="370" w:right="679" w:firstLine="354"/>
        <w:spacing w:after="0" w:line="267" w:lineRule="auto"/>
        <w:tabs>
          <w:tab w:leader="none" w:pos="966"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Parties in Interest</w:t>
      </w:r>
      <w:r>
        <w:rPr>
          <w:rFonts w:ascii="Arial" w:cs="Arial" w:eastAsia="Arial" w:hAnsi="Arial"/>
          <w:sz w:val="17"/>
          <w:szCs w:val="17"/>
          <w:color w:val="auto"/>
        </w:rPr>
        <w:t>. This Agreement shall be binding upon, inure to the benefit of and be enforceable by the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permitted assigns of the parties hereto. Nothing contained herein shall be deemed to confer upon any other person any right or remedy under or by reason of this Agreement.</w:t>
      </w:r>
    </w:p>
    <w:p>
      <w:pPr>
        <w:spacing w:after="0" w:line="130" w:lineRule="exact"/>
        <w:rPr>
          <w:sz w:val="20"/>
          <w:szCs w:val="20"/>
          <w:color w:val="auto"/>
        </w:rPr>
      </w:pPr>
    </w:p>
    <w:p>
      <w:pPr>
        <w:jc w:val="both"/>
        <w:ind w:left="10" w:right="679" w:firstLine="369"/>
        <w:spacing w:after="0" w:line="298"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b w:val="1"/>
          <w:bCs w:val="1"/>
          <w:u w:val="single" w:color="auto"/>
          <w:color w:val="auto"/>
        </w:rPr>
        <w:t>Law Governing Agreement</w:t>
      </w:r>
      <w:r>
        <w:rPr>
          <w:rFonts w:ascii="Arial" w:cs="Arial" w:eastAsia="Arial" w:hAnsi="Arial"/>
          <w:sz w:val="15"/>
          <w:szCs w:val="15"/>
          <w:color w:val="auto"/>
        </w:rPr>
        <w:t>. This Agreement shall be construed and interpreted according to the internal laws of the State of Arizona, excluding any choice of law rules that may direct the application of the laws of another jurisdiction. The parties hereby stipulate that any action or other legal proceeding arising under or in connection with this Agreement may be commenced and prosecuted in its entirety in the federal or state courts having jurisdiction in the State of Arizona, each party hereby submitting to the personal jurisdiction thereof, and the parties agree not to raise the objection that such courts are not a convenient forum. Process and pleadings mailed to a party at the address provided in Section 10.6 shall be deemed properly served and accepted for all purposes.</w:t>
      </w:r>
    </w:p>
    <w:p>
      <w:pPr>
        <w:spacing w:after="0" w:line="125" w:lineRule="exact"/>
        <w:rPr>
          <w:sz w:val="20"/>
          <w:szCs w:val="20"/>
          <w:color w:val="auto"/>
        </w:rPr>
      </w:pPr>
    </w:p>
    <w:p>
      <w:pPr>
        <w:jc w:val="both"/>
        <w:ind w:left="10" w:right="679" w:firstLine="369"/>
        <w:spacing w:after="0" w:line="282"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Amendment and Modification</w:t>
      </w:r>
      <w:r>
        <w:rPr>
          <w:rFonts w:ascii="Arial" w:cs="Arial" w:eastAsia="Arial" w:hAnsi="Arial"/>
          <w:sz w:val="17"/>
          <w:szCs w:val="17"/>
          <w:color w:val="auto"/>
        </w:rPr>
        <w:t>. Buyer and Seller may amend, modify and supplement this Agreement in such manner as may be agreed upon by them in writing.</w:t>
      </w:r>
    </w:p>
    <w:p>
      <w:pPr>
        <w:spacing w:after="0" w:line="118" w:lineRule="exact"/>
        <w:rPr>
          <w:sz w:val="20"/>
          <w:szCs w:val="20"/>
          <w:color w:val="auto"/>
        </w:rPr>
      </w:pPr>
    </w:p>
    <w:p>
      <w:pPr>
        <w:ind w:left="370"/>
        <w:spacing w:after="0"/>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All notices, requests, demands and other communications hereunder shall be given in writing and shall be:</w:t>
      </w:r>
    </w:p>
    <w:p>
      <w:pPr>
        <w:spacing w:after="0" w:line="36" w:lineRule="exact"/>
        <w:rPr>
          <w:sz w:val="20"/>
          <w:szCs w:val="20"/>
          <w:color w:val="auto"/>
        </w:rPr>
      </w:pPr>
    </w:p>
    <w:p>
      <w:pPr>
        <w:ind w:left="230" w:hanging="230"/>
        <w:spacing w:after="0"/>
        <w:tabs>
          <w:tab w:leader="none" w:pos="230" w:val="left"/>
        </w:tabs>
        <w:numPr>
          <w:ilvl w:val="0"/>
          <w:numId w:val="76"/>
        </w:numPr>
        <w:rPr>
          <w:rFonts w:ascii="Arial" w:cs="Arial" w:eastAsia="Arial" w:hAnsi="Arial"/>
          <w:sz w:val="15"/>
          <w:szCs w:val="15"/>
          <w:color w:val="auto"/>
        </w:rPr>
      </w:pPr>
      <w:r>
        <w:rPr>
          <w:rFonts w:ascii="Arial" w:cs="Arial" w:eastAsia="Arial" w:hAnsi="Arial"/>
          <w:sz w:val="15"/>
          <w:szCs w:val="15"/>
          <w:color w:val="auto"/>
        </w:rPr>
        <w:t>personally delivered; (b) sent by telecopier, facsimile transmission or other electronic means of transmitting written documents; or</w:t>
      </w:r>
    </w:p>
    <w:p>
      <w:pPr>
        <w:spacing w:after="0" w:line="32" w:lineRule="exact"/>
        <w:rPr>
          <w:rFonts w:ascii="Arial" w:cs="Arial" w:eastAsia="Arial" w:hAnsi="Arial"/>
          <w:sz w:val="15"/>
          <w:szCs w:val="15"/>
          <w:color w:val="auto"/>
        </w:rPr>
      </w:pPr>
    </w:p>
    <w:p>
      <w:pPr>
        <w:jc w:val="both"/>
        <w:ind w:left="10" w:right="679" w:hanging="10"/>
        <w:spacing w:after="0" w:line="257" w:lineRule="auto"/>
        <w:tabs>
          <w:tab w:leader="none" w:pos="257" w:val="left"/>
        </w:tabs>
        <w:numPr>
          <w:ilvl w:val="0"/>
          <w:numId w:val="77"/>
        </w:numPr>
        <w:rPr>
          <w:rFonts w:ascii="Arial" w:cs="Arial" w:eastAsia="Arial" w:hAnsi="Arial"/>
          <w:sz w:val="17"/>
          <w:szCs w:val="17"/>
          <w:color w:val="auto"/>
        </w:rPr>
      </w:pPr>
      <w:r>
        <w:rPr>
          <w:rFonts w:ascii="Arial" w:cs="Arial" w:eastAsia="Arial" w:hAnsi="Arial"/>
          <w:sz w:val="17"/>
          <w:szCs w:val="17"/>
          <w:color w:val="auto"/>
        </w:rPr>
        <w:t>sent to the parties at their respective addresses indicated herein by registered or certified U.S. mail, return receipt requested and postage prepaid, or by private overnight mail courier service. The respective addresses to be used for all such notices, demands or requests are as follows:</w:t>
      </w:r>
    </w:p>
    <w:p>
      <w:pPr>
        <w:spacing w:after="0" w:line="142" w:lineRule="exact"/>
        <w:rPr>
          <w:rFonts w:ascii="Arial" w:cs="Arial" w:eastAsia="Arial" w:hAnsi="Arial"/>
          <w:sz w:val="17"/>
          <w:szCs w:val="17"/>
          <w:color w:val="auto"/>
        </w:rPr>
      </w:pPr>
    </w:p>
    <w:p>
      <w:pPr>
        <w:ind w:left="970" w:hanging="231"/>
        <w:spacing w:after="0"/>
        <w:tabs>
          <w:tab w:leader="none" w:pos="97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to Buyer, to:</w:t>
      </w:r>
    </w:p>
    <w:p>
      <w:pPr>
        <w:spacing w:after="0" w:line="189" w:lineRule="exact"/>
        <w:rPr>
          <w:sz w:val="20"/>
          <w:szCs w:val="20"/>
          <w:color w:val="auto"/>
        </w:rPr>
      </w:pPr>
    </w:p>
    <w:p>
      <w:pPr>
        <w:ind w:left="1470"/>
        <w:spacing w:after="0"/>
        <w:rPr>
          <w:sz w:val="20"/>
          <w:szCs w:val="20"/>
          <w:color w:val="auto"/>
        </w:rPr>
      </w:pPr>
      <w:r>
        <w:rPr>
          <w:rFonts w:ascii="Arial" w:cs="Arial" w:eastAsia="Arial" w:hAnsi="Arial"/>
          <w:sz w:val="17"/>
          <w:szCs w:val="17"/>
          <w:color w:val="auto"/>
        </w:rPr>
        <w:t>Dan Bachus</w:t>
      </w:r>
    </w:p>
    <w:p>
      <w:pPr>
        <w:spacing w:after="0" w:line="21" w:lineRule="exact"/>
        <w:rPr>
          <w:sz w:val="20"/>
          <w:szCs w:val="20"/>
          <w:color w:val="auto"/>
        </w:rPr>
      </w:pPr>
    </w:p>
    <w:p>
      <w:pPr>
        <w:ind w:left="1470"/>
        <w:spacing w:after="0"/>
        <w:rPr>
          <w:sz w:val="20"/>
          <w:szCs w:val="20"/>
          <w:color w:val="auto"/>
        </w:rPr>
      </w:pPr>
      <w:r>
        <w:rPr>
          <w:rFonts w:ascii="Arial" w:cs="Arial" w:eastAsia="Arial" w:hAnsi="Arial"/>
          <w:sz w:val="17"/>
          <w:szCs w:val="17"/>
          <w:color w:val="auto"/>
        </w:rPr>
        <w:t>Grand Canyon Education, Inc.</w:t>
      </w:r>
    </w:p>
    <w:p>
      <w:pPr>
        <w:spacing w:after="0" w:line="10" w:lineRule="exact"/>
        <w:rPr>
          <w:sz w:val="20"/>
          <w:szCs w:val="20"/>
          <w:color w:val="auto"/>
        </w:rPr>
      </w:pPr>
    </w:p>
    <w:p>
      <w:pPr>
        <w:ind w:left="1470"/>
        <w:spacing w:after="0"/>
        <w:rPr>
          <w:sz w:val="20"/>
          <w:szCs w:val="20"/>
          <w:color w:val="auto"/>
        </w:rPr>
      </w:pPr>
      <w:r>
        <w:rPr>
          <w:rFonts w:ascii="Arial" w:cs="Arial" w:eastAsia="Arial" w:hAnsi="Arial"/>
          <w:sz w:val="17"/>
          <w:szCs w:val="17"/>
          <w:color w:val="auto"/>
        </w:rPr>
        <w:t>3300 West Camelback Road</w:t>
      </w:r>
    </w:p>
    <w:p>
      <w:pPr>
        <w:spacing w:after="0" w:line="10" w:lineRule="exact"/>
        <w:rPr>
          <w:sz w:val="20"/>
          <w:szCs w:val="20"/>
          <w:color w:val="auto"/>
        </w:rPr>
      </w:pPr>
    </w:p>
    <w:p>
      <w:pPr>
        <w:ind w:left="1470"/>
        <w:spacing w:after="0"/>
        <w:rPr>
          <w:sz w:val="20"/>
          <w:szCs w:val="20"/>
          <w:color w:val="auto"/>
        </w:rPr>
      </w:pPr>
      <w:r>
        <w:rPr>
          <w:rFonts w:ascii="Arial" w:cs="Arial" w:eastAsia="Arial" w:hAnsi="Arial"/>
          <w:sz w:val="17"/>
          <w:szCs w:val="17"/>
          <w:color w:val="auto"/>
        </w:rPr>
        <w:t>Phoenix, Arizona 85017</w:t>
      </w:r>
    </w:p>
    <w:p>
      <w:pPr>
        <w:spacing w:after="0" w:line="10" w:lineRule="exact"/>
        <w:rPr>
          <w:sz w:val="20"/>
          <w:szCs w:val="20"/>
          <w:color w:val="auto"/>
        </w:rPr>
      </w:pPr>
    </w:p>
    <w:p>
      <w:pPr>
        <w:ind w:left="1470"/>
        <w:spacing w:after="0"/>
        <w:rPr>
          <w:sz w:val="20"/>
          <w:szCs w:val="20"/>
          <w:color w:val="auto"/>
        </w:rPr>
      </w:pPr>
      <w:r>
        <w:rPr>
          <w:rFonts w:ascii="Arial" w:cs="Arial" w:eastAsia="Arial" w:hAnsi="Arial"/>
          <w:sz w:val="17"/>
          <w:szCs w:val="17"/>
          <w:color w:val="auto"/>
        </w:rPr>
        <w:t>Facsimile: (602) 589-2510</w:t>
      </w:r>
    </w:p>
    <w:p>
      <w:pPr>
        <w:spacing w:after="0" w:line="200" w:lineRule="exact"/>
        <w:rPr>
          <w:sz w:val="20"/>
          <w:szCs w:val="20"/>
          <w:color w:val="auto"/>
        </w:rPr>
      </w:pPr>
    </w:p>
    <w:p>
      <w:pPr>
        <w:spacing w:after="0" w:line="337" w:lineRule="exact"/>
        <w:rPr>
          <w:sz w:val="20"/>
          <w:szCs w:val="20"/>
          <w:color w:val="auto"/>
        </w:rPr>
      </w:pPr>
    </w:p>
    <w:p>
      <w:pPr>
        <w:ind w:left="453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142240</wp:posOffset>
            </wp:positionV>
            <wp:extent cx="725805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or to such other person or address as Buyer shall furnish to Seller in writing.</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 If to Seller, to:</w:t>
      </w:r>
    </w:p>
    <w:p>
      <w:pPr>
        <w:spacing w:after="0" w:line="17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Gail Richardson</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Mind Streams, L.L.C.</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7227 North 16</w:t>
      </w:r>
      <w:r>
        <w:rPr>
          <w:rFonts w:ascii="Arial" w:cs="Arial" w:eastAsia="Arial" w:hAnsi="Arial"/>
          <w:sz w:val="14"/>
          <w:szCs w:val="14"/>
          <w:color w:val="auto"/>
        </w:rPr>
        <w:t>th</w:t>
      </w:r>
      <w:r>
        <w:rPr>
          <w:rFonts w:ascii="Arial" w:cs="Arial" w:eastAsia="Arial" w:hAnsi="Arial"/>
          <w:sz w:val="17"/>
          <w:szCs w:val="17"/>
          <w:color w:val="auto"/>
        </w:rPr>
        <w:t xml:space="preserve"> Street, Suite 190</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Phoenix, Arizona 85820</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Facsimile: (602) 906- 6098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person or address as Seller shall furnish to Buyer in writing.</w:t>
      </w:r>
    </w:p>
    <w:p>
      <w:pPr>
        <w:spacing w:after="0" w:line="176" w:lineRule="exact"/>
        <w:rPr>
          <w:sz w:val="20"/>
          <w:szCs w:val="20"/>
          <w:color w:val="auto"/>
        </w:rPr>
      </w:pPr>
    </w:p>
    <w:p>
      <w:pPr>
        <w:jc w:val="both"/>
        <w:ind w:right="679" w:firstLine="369"/>
        <w:spacing w:after="0" w:line="274" w:lineRule="auto"/>
        <w:rPr>
          <w:sz w:val="20"/>
          <w:szCs w:val="20"/>
          <w:color w:val="auto"/>
        </w:rPr>
      </w:pPr>
      <w:r>
        <w:rPr>
          <w:rFonts w:ascii="Arial" w:cs="Arial" w:eastAsia="Arial" w:hAnsi="Arial"/>
          <w:sz w:val="16"/>
          <w:szCs w:val="16"/>
          <w:color w:val="auto"/>
        </w:rPr>
        <w:t>If personally delivered, such communication shall be deemed delivered upon actual receipt; if electronically transmitted pursuant to this Section, such communication shall be deemed delivered the next business day after transmission (and sender shall bear the burden of proof of delivery); if sent by overnight courier pursuant to this Section, such communication shall be deemed delivered upon receipt; and if sent by U.S. mail pursuant to this Section, such communication shall be deemed delivered as of the date of delivery indicated on the receipt issued by the relevant postal service, or, if the addressee fails or refuses to accept delivery, as of the date of such failure or refusal. Any party to this Agreement may change its address for the purposes of this Agreement by giving notice thereof in accordance with this Section.</w:t>
      </w:r>
    </w:p>
    <w:p>
      <w:pPr>
        <w:spacing w:after="0" w:line="128" w:lineRule="exact"/>
        <w:rPr>
          <w:sz w:val="20"/>
          <w:szCs w:val="20"/>
          <w:color w:val="auto"/>
        </w:rPr>
      </w:pPr>
    </w:p>
    <w:p>
      <w:pPr>
        <w:jc w:val="both"/>
        <w:ind w:right="679" w:firstLine="369"/>
        <w:spacing w:after="0" w:line="267"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Each of the parties shall bear its own expenses and the expenses of its counsel and other agents in connection with the transactions contemplated hereby. Seller shall pay all applicable sales, use and similar transfer taxes relating to the sale of the Purchased Assets hereunder.</w:t>
      </w:r>
    </w:p>
    <w:p>
      <w:pPr>
        <w:spacing w:after="0" w:line="142" w:lineRule="exact"/>
        <w:rPr>
          <w:sz w:val="20"/>
          <w:szCs w:val="20"/>
          <w:color w:val="auto"/>
        </w:rPr>
      </w:pPr>
    </w:p>
    <w:p>
      <w:pPr>
        <w:jc w:val="both"/>
        <w:ind w:right="679" w:firstLine="369"/>
        <w:spacing w:after="0" w:line="267"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instrument embodies the entire agreement between the parties hereto with respect to the transactions contemplated herein, and there have been and are no agreements, representations or warranties between the parties other than those set forth or provided for herein.</w:t>
      </w:r>
    </w:p>
    <w:p>
      <w:pPr>
        <w:spacing w:after="0" w:line="130" w:lineRule="exact"/>
        <w:rPr>
          <w:sz w:val="20"/>
          <w:szCs w:val="20"/>
          <w:color w:val="auto"/>
        </w:rPr>
      </w:pPr>
    </w:p>
    <w:p>
      <w:pPr>
        <w:jc w:val="both"/>
        <w:ind w:right="679" w:firstLine="369"/>
        <w:spacing w:after="0" w:line="282"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each of which shall be deemed an original, but all of which together shall constitute one and the same instrument.</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The headings in this Agreement are inserted for convenience only and shall not constitute a part hereof.</w:t>
      </w:r>
    </w:p>
    <w:p>
      <w:pPr>
        <w:spacing w:after="0" w:line="201" w:lineRule="exact"/>
        <w:rPr>
          <w:sz w:val="20"/>
          <w:szCs w:val="20"/>
          <w:color w:val="auto"/>
        </w:rPr>
      </w:pPr>
    </w:p>
    <w:p>
      <w:pPr>
        <w:jc w:val="both"/>
        <w:ind w:right="679" w:firstLine="369"/>
        <w:spacing w:after="0" w:line="314"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b w:val="1"/>
          <w:bCs w:val="1"/>
          <w:u w:val="single" w:color="auto"/>
          <w:color w:val="auto"/>
        </w:rPr>
        <w:t>Singular and Plural in Definition</w:t>
      </w:r>
      <w:r>
        <w:rPr>
          <w:rFonts w:ascii="Arial" w:cs="Arial" w:eastAsia="Arial" w:hAnsi="Arial"/>
          <w:sz w:val="16"/>
          <w:szCs w:val="16"/>
          <w:color w:val="auto"/>
        </w:rPr>
        <w:t>. Where any group or category of items or matters is defined collectively in the plural number, any item or matter within such definition may be referred to using such defined term in the singular number.</w:t>
      </w:r>
    </w:p>
    <w:p>
      <w:pPr>
        <w:spacing w:after="0" w:line="99"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36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142240</wp:posOffset>
            </wp:positionV>
            <wp:extent cx="725805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899"/>
          </w:cols>
          <w:pgMar w:left="560" w:top="1076" w:right="1440" w:bottom="1440" w:gutter="0" w:footer="0" w:header="0"/>
        </w:sectPr>
      </w:pPr>
    </w:p>
    <w:bookmarkStart w:id="151" w:name="page152"/>
    <w:bookmarkEnd w:id="151"/>
    <w:p>
      <w:pPr>
        <w:ind w:left="6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executed this Agreement as of the date and year first above written.</w:t>
      </w:r>
    </w:p>
    <w:p>
      <w:pPr>
        <w:sectPr>
          <w:pgSz w:w="11900" w:h="16838" w:orient="portrait"/>
          <w:cols w:equalWidth="0" w:num="1">
            <w:col w:w="11420"/>
          </w:cols>
          <w:pgMar w:left="240" w:top="892" w:right="239" w:bottom="1440" w:gutter="0" w:footer="0" w:header="0"/>
        </w:sectPr>
      </w:pPr>
    </w:p>
    <w:p>
      <w:pPr>
        <w:spacing w:after="0" w:line="238"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GRAND CANYON EDUCATION, INC.</w:t>
      </w:r>
    </w:p>
    <w:p>
      <w:pPr>
        <w:spacing w:after="0" w:line="21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By: /s/ Daniel E. Bachus</w:t>
      </w:r>
    </w:p>
    <w:p>
      <w:pPr>
        <w:spacing w:after="0" w:line="21" w:lineRule="exact"/>
        <w:rPr>
          <w:sz w:val="20"/>
          <w:szCs w:val="20"/>
          <w:color w:val="auto"/>
        </w:rPr>
      </w:pPr>
    </w:p>
    <w:tbl>
      <w:tblPr>
        <w:tblLayout w:type="fixed"/>
        <w:tblInd w:w="4660" w:type="dxa"/>
        <w:tblCellMar>
          <w:top w:w="0" w:type="dxa"/>
          <w:left w:w="0" w:type="dxa"/>
          <w:bottom w:w="0" w:type="dxa"/>
          <w:right w:w="0" w:type="dxa"/>
        </w:tblCellMar>
      </w:tblPr>
      <w:tr>
        <w:trPr>
          <w:trHeight w:val="187"/>
        </w:trPr>
        <w:tc>
          <w:tcPr>
            <w:tcW w:w="52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w w:val="99"/>
              </w:rPr>
              <w:t>Name:</w:t>
            </w:r>
          </w:p>
        </w:tc>
        <w:tc>
          <w:tcPr>
            <w:tcW w:w="310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7"/>
                <w:szCs w:val="17"/>
                <w:color w:val="auto"/>
              </w:rPr>
              <w:t>Daniel E. Bachus</w:t>
            </w:r>
          </w:p>
        </w:tc>
      </w:tr>
      <w:tr>
        <w:trPr>
          <w:trHeight w:val="216"/>
        </w:trPr>
        <w:tc>
          <w:tcPr>
            <w:tcW w:w="520" w:type="dxa"/>
            <w:vAlign w:val="bottom"/>
          </w:tcPr>
          <w:p>
            <w:pPr>
              <w:spacing w:after="0"/>
              <w:rPr>
                <w:sz w:val="20"/>
                <w:szCs w:val="20"/>
                <w:color w:val="auto"/>
              </w:rPr>
            </w:pPr>
            <w:r>
              <w:rPr>
                <w:rFonts w:ascii="Arial" w:cs="Arial" w:eastAsia="Arial" w:hAnsi="Arial"/>
                <w:sz w:val="17"/>
                <w:szCs w:val="17"/>
                <w:color w:val="auto"/>
              </w:rPr>
              <w:t>Its:</w:t>
            </w:r>
          </w:p>
        </w:tc>
        <w:tc>
          <w:tcPr>
            <w:tcW w:w="310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bl>
    <w:p>
      <w:pPr>
        <w:spacing w:after="0" w:line="190"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MIND STREAMS, L.L.C.</w:t>
      </w:r>
    </w:p>
    <w:p>
      <w:pPr>
        <w:spacing w:after="0" w:line="21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By: /s/ Dennis L. Little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52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w w:val="99"/>
              </w:rPr>
              <w:t>Name:</w:t>
            </w:r>
          </w:p>
        </w:tc>
        <w:tc>
          <w:tcPr>
            <w:tcW w:w="310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7"/>
                <w:szCs w:val="17"/>
                <w:color w:val="auto"/>
              </w:rPr>
              <w:t>Dennis L. Little</w:t>
            </w:r>
          </w:p>
        </w:tc>
        <w:tc>
          <w:tcPr>
            <w:tcW w:w="3140" w:type="dxa"/>
            <w:vAlign w:val="bottom"/>
          </w:tcPr>
          <w:p>
            <w:pPr>
              <w:spacing w:after="0"/>
              <w:rPr>
                <w:sz w:val="16"/>
                <w:szCs w:val="16"/>
                <w:color w:val="auto"/>
              </w:rPr>
            </w:pPr>
          </w:p>
        </w:tc>
      </w:tr>
      <w:tr>
        <w:trPr>
          <w:trHeight w:val="216"/>
        </w:trPr>
        <w:tc>
          <w:tcPr>
            <w:tcW w:w="46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Its:</w:t>
            </w:r>
          </w:p>
        </w:tc>
        <w:tc>
          <w:tcPr>
            <w:tcW w:w="3100" w:type="dxa"/>
            <w:vAlign w:val="bottom"/>
          </w:tcPr>
          <w:p>
            <w:pPr>
              <w:ind w:left="40"/>
              <w:spacing w:after="0"/>
              <w:rPr>
                <w:sz w:val="20"/>
                <w:szCs w:val="20"/>
                <w:color w:val="auto"/>
              </w:rPr>
            </w:pPr>
            <w:r>
              <w:rPr>
                <w:rFonts w:ascii="Arial" w:cs="Arial" w:eastAsia="Arial" w:hAnsi="Arial"/>
                <w:sz w:val="17"/>
                <w:szCs w:val="17"/>
                <w:color w:val="auto"/>
              </w:rPr>
              <w:t>Vice President/Chief Financial Officer</w:t>
            </w:r>
          </w:p>
        </w:tc>
        <w:tc>
          <w:tcPr>
            <w:tcW w:w="3140" w:type="dxa"/>
            <w:vAlign w:val="bottom"/>
          </w:tcPr>
          <w:p>
            <w:pPr>
              <w:spacing w:after="0"/>
              <w:rPr>
                <w:sz w:val="18"/>
                <w:szCs w:val="18"/>
                <w:color w:val="auto"/>
              </w:rPr>
            </w:pPr>
          </w:p>
        </w:tc>
      </w:tr>
      <w:tr>
        <w:trPr>
          <w:trHeight w:val="972"/>
        </w:trPr>
        <w:tc>
          <w:tcPr>
            <w:tcW w:w="46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type w:val="continuous"/>
        </w:sectPr>
      </w:pPr>
    </w:p>
    <w:bookmarkStart w:id="152" w:name="page153"/>
    <w:bookmarkEnd w:id="152"/>
    <w:p>
      <w:pPr>
        <w:jc w:val="center"/>
        <w:ind w:right="689"/>
        <w:spacing w:after="0"/>
        <w:rPr>
          <w:sz w:val="20"/>
          <w:szCs w:val="20"/>
          <w:color w:val="auto"/>
        </w:rPr>
      </w:pPr>
      <w:r>
        <w:rPr>
          <w:rFonts w:ascii="Arial" w:cs="Arial" w:eastAsia="Arial" w:hAnsi="Arial"/>
          <w:sz w:val="17"/>
          <w:szCs w:val="17"/>
          <w:b w:val="1"/>
          <w:bCs w:val="1"/>
          <w:color w:val="auto"/>
        </w:rPr>
        <w:t>Schedule 1.1</w:t>
      </w:r>
    </w:p>
    <w:p>
      <w:pPr>
        <w:spacing w:after="0" w:line="215" w:lineRule="exact"/>
        <w:rPr>
          <w:sz w:val="20"/>
          <w:szCs w:val="20"/>
          <w:color w:val="auto"/>
        </w:rPr>
      </w:pPr>
    </w:p>
    <w:p>
      <w:pPr>
        <w:ind w:left="3990"/>
        <w:spacing w:after="0"/>
        <w:rPr>
          <w:sz w:val="20"/>
          <w:szCs w:val="20"/>
          <w:color w:val="auto"/>
        </w:rPr>
      </w:pPr>
      <w:r>
        <w:rPr>
          <w:rFonts w:ascii="Arial" w:cs="Arial" w:eastAsia="Arial" w:hAnsi="Arial"/>
          <w:sz w:val="17"/>
          <w:szCs w:val="17"/>
          <w:b w:val="1"/>
          <w:bCs w:val="1"/>
          <w:color w:val="auto"/>
        </w:rPr>
        <w:t>Purchased Assets</w:t>
      </w:r>
    </w:p>
    <w:p>
      <w:pPr>
        <w:spacing w:after="0" w:line="193" w:lineRule="exact"/>
        <w:rPr>
          <w:sz w:val="20"/>
          <w:szCs w:val="20"/>
          <w:color w:val="auto"/>
        </w:rPr>
      </w:pPr>
    </w:p>
    <w:p>
      <w:pPr>
        <w:ind w:left="350" w:hanging="350"/>
        <w:spacing w:after="0"/>
        <w:tabs>
          <w:tab w:leader="none" w:pos="350" w:val="left"/>
        </w:tabs>
        <w:numPr>
          <w:ilvl w:val="0"/>
          <w:numId w:val="78"/>
        </w:numPr>
        <w:rPr>
          <w:rFonts w:ascii="Arial" w:cs="Arial" w:eastAsia="Arial" w:hAnsi="Arial"/>
          <w:sz w:val="15"/>
          <w:szCs w:val="15"/>
          <w:color w:val="auto"/>
        </w:rPr>
      </w:pPr>
      <w:r>
        <w:rPr>
          <w:rFonts w:ascii="Arial" w:cs="Arial" w:eastAsia="Arial" w:hAnsi="Arial"/>
          <w:sz w:val="15"/>
          <w:szCs w:val="15"/>
          <w:color w:val="auto"/>
        </w:rPr>
        <w:t>Sole and exclusive ownership and use of database of self-developed customer contacts.</w:t>
      </w:r>
    </w:p>
    <w:p>
      <w:pPr>
        <w:spacing w:after="0" w:line="173" w:lineRule="exact"/>
        <w:rPr>
          <w:rFonts w:ascii="Arial" w:cs="Arial" w:eastAsia="Arial" w:hAnsi="Arial"/>
          <w:sz w:val="15"/>
          <w:szCs w:val="15"/>
          <w:color w:val="auto"/>
        </w:rPr>
      </w:pPr>
    </w:p>
    <w:p>
      <w:pPr>
        <w:ind w:left="350" w:hanging="350"/>
        <w:spacing w:after="0"/>
        <w:tabs>
          <w:tab w:leader="none" w:pos="350" w:val="left"/>
        </w:tabs>
        <w:numPr>
          <w:ilvl w:val="0"/>
          <w:numId w:val="78"/>
        </w:numPr>
        <w:rPr>
          <w:rFonts w:ascii="Arial" w:cs="Arial" w:eastAsia="Arial" w:hAnsi="Arial"/>
          <w:sz w:val="17"/>
          <w:szCs w:val="17"/>
          <w:color w:val="auto"/>
        </w:rPr>
      </w:pPr>
      <w:r>
        <w:rPr>
          <w:rFonts w:ascii="Arial" w:cs="Arial" w:eastAsia="Arial" w:hAnsi="Arial"/>
          <w:sz w:val="17"/>
          <w:szCs w:val="17"/>
          <w:color w:val="auto"/>
        </w:rPr>
        <w:t>Know how related to database.</w:t>
      </w:r>
    </w:p>
    <w:p>
      <w:pPr>
        <w:spacing w:after="0" w:line="150" w:lineRule="exact"/>
        <w:rPr>
          <w:rFonts w:ascii="Arial" w:cs="Arial" w:eastAsia="Arial" w:hAnsi="Arial"/>
          <w:sz w:val="17"/>
          <w:szCs w:val="17"/>
          <w:color w:val="auto"/>
        </w:rPr>
      </w:pPr>
    </w:p>
    <w:p>
      <w:pPr>
        <w:ind w:left="350" w:hanging="350"/>
        <w:spacing w:after="0"/>
        <w:tabs>
          <w:tab w:leader="none" w:pos="350" w:val="left"/>
        </w:tabs>
        <w:numPr>
          <w:ilvl w:val="0"/>
          <w:numId w:val="78"/>
        </w:numPr>
        <w:rPr>
          <w:rFonts w:ascii="Arial" w:cs="Arial" w:eastAsia="Arial" w:hAnsi="Arial"/>
          <w:sz w:val="17"/>
          <w:szCs w:val="17"/>
          <w:color w:val="auto"/>
        </w:rPr>
      </w:pPr>
      <w:r>
        <w:rPr>
          <w:rFonts w:ascii="Arial" w:cs="Arial" w:eastAsia="Arial" w:hAnsi="Arial"/>
          <w:sz w:val="17"/>
          <w:szCs w:val="17"/>
          <w:color w:val="auto"/>
        </w:rPr>
        <w:t>Goodwill related to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614045</wp:posOffset>
            </wp:positionV>
            <wp:extent cx="725805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909"/>
          </w:cols>
          <w:pgMar w:left="550" w:top="892" w:right="1440" w:bottom="1440" w:gutter="0" w:footer="0" w:header="0"/>
        </w:sectPr>
      </w:pPr>
    </w:p>
    <w:bookmarkStart w:id="153" w:name="page154"/>
    <w:bookmarkEnd w:id="153"/>
    <w:p>
      <w:pPr>
        <w:jc w:val="center"/>
        <w:ind w:right="669"/>
        <w:spacing w:after="0"/>
        <w:rPr>
          <w:sz w:val="20"/>
          <w:szCs w:val="20"/>
          <w:color w:val="auto"/>
        </w:rPr>
      </w:pPr>
      <w:r>
        <w:rPr>
          <w:rFonts w:ascii="Arial" w:cs="Arial" w:eastAsia="Arial" w:hAnsi="Arial"/>
          <w:sz w:val="17"/>
          <w:szCs w:val="17"/>
          <w:b w:val="1"/>
          <w:bCs w:val="1"/>
          <w:color w:val="auto"/>
        </w:rPr>
        <w:t>Schedule 1.2</w:t>
      </w:r>
    </w:p>
    <w:p>
      <w:pPr>
        <w:spacing w:after="0" w:line="189" w:lineRule="exact"/>
        <w:rPr>
          <w:sz w:val="20"/>
          <w:szCs w:val="20"/>
          <w:color w:val="auto"/>
        </w:rPr>
      </w:pPr>
    </w:p>
    <w:p>
      <w:pPr>
        <w:jc w:val="right"/>
        <w:ind w:right="4699"/>
        <w:spacing w:after="0"/>
        <w:rPr>
          <w:sz w:val="20"/>
          <w:szCs w:val="20"/>
          <w:color w:val="auto"/>
        </w:rPr>
      </w:pPr>
      <w:r>
        <w:rPr>
          <w:rFonts w:ascii="Arial" w:cs="Arial" w:eastAsia="Arial" w:hAnsi="Arial"/>
          <w:sz w:val="17"/>
          <w:szCs w:val="17"/>
          <w:b w:val="1"/>
          <w:bCs w:val="1"/>
          <w:color w:val="auto"/>
        </w:rPr>
        <w:t>Excluded Assets</w:t>
      </w:r>
    </w:p>
    <w:p>
      <w:pPr>
        <w:spacing w:after="0" w:line="180" w:lineRule="exact"/>
        <w:rPr>
          <w:sz w:val="20"/>
          <w:szCs w:val="20"/>
          <w:color w:val="auto"/>
        </w:rPr>
      </w:pPr>
    </w:p>
    <w:p>
      <w:pPr>
        <w:ind w:left="350" w:hanging="350"/>
        <w:spacing w:after="0"/>
        <w:tabs>
          <w:tab w:leader="none" w:pos="35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University Contracts including:</w:t>
      </w:r>
    </w:p>
    <w:p>
      <w:pPr>
        <w:spacing w:after="0" w:line="176"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Jones International University</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Western Governor’s University</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National University</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Nova Southeastern University</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Ivy Bridge College</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Northcentral University</w:t>
      </w:r>
    </w:p>
    <w:p>
      <w:pPr>
        <w:spacing w:after="0" w:line="189" w:lineRule="exact"/>
        <w:rPr>
          <w:rFonts w:ascii="Arial" w:cs="Arial" w:eastAsia="Arial" w:hAnsi="Arial"/>
          <w:sz w:val="17"/>
          <w:szCs w:val="17"/>
          <w:color w:val="auto"/>
        </w:rPr>
      </w:pPr>
    </w:p>
    <w:p>
      <w:pPr>
        <w:ind w:left="350" w:hanging="350"/>
        <w:spacing w:after="0"/>
        <w:tabs>
          <w:tab w:leader="none" w:pos="35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School District Contracts including:</w:t>
      </w:r>
    </w:p>
    <w:p>
      <w:pPr>
        <w:spacing w:after="0" w:line="176"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Los Angeles Unified School District</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San Diego Unifies School District</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Harlandale Independent School District</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Houston Independent School District</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El Paso Independent School District</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Riverside Unified School District</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Fort Worth Independent School District</w:t>
      </w:r>
    </w:p>
    <w:p>
      <w:pPr>
        <w:spacing w:after="0" w:line="176" w:lineRule="exact"/>
        <w:rPr>
          <w:rFonts w:ascii="Arial" w:cs="Arial" w:eastAsia="Arial" w:hAnsi="Arial"/>
          <w:sz w:val="17"/>
          <w:szCs w:val="17"/>
          <w:color w:val="auto"/>
        </w:rPr>
      </w:pPr>
    </w:p>
    <w:p>
      <w:pPr>
        <w:ind w:left="350" w:hanging="350"/>
        <w:spacing w:after="0"/>
        <w:tabs>
          <w:tab w:leader="none" w:pos="35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Other Excluded Assets:</w:t>
      </w:r>
    </w:p>
    <w:p>
      <w:pPr>
        <w:spacing w:after="0" w:line="189"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billed and unbilled accounts receivable</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cash and bank accounts</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tangible personal property</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business name “Mind Streams” and associated URLs</w:t>
      </w:r>
    </w:p>
    <w:p>
      <w:pPr>
        <w:spacing w:after="0" w:line="150" w:lineRule="exact"/>
        <w:rPr>
          <w:rFonts w:ascii="Arial" w:cs="Arial" w:eastAsia="Arial" w:hAnsi="Arial"/>
          <w:sz w:val="17"/>
          <w:szCs w:val="17"/>
          <w:color w:val="auto"/>
        </w:rPr>
      </w:pPr>
    </w:p>
    <w:p>
      <w:pPr>
        <w:ind w:left="710" w:hanging="351"/>
        <w:spacing w:after="0"/>
        <w:tabs>
          <w:tab w:leader="none" w:pos="71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other assets of the Business except the Purchased Assets</w:t>
      </w:r>
    </w:p>
    <w:p>
      <w:pPr>
        <w:sectPr>
          <w:pgSz w:w="11900" w:h="16838" w:orient="portrait"/>
          <w:cols w:equalWidth="0" w:num="1">
            <w:col w:w="9909"/>
          </w:cols>
          <w:pgMar w:left="550" w:top="892" w:right="1440" w:bottom="1440" w:gutter="0" w:footer="0" w:header="0"/>
        </w:sectPr>
      </w:pPr>
    </w:p>
    <w:bookmarkStart w:id="154" w:name="page155"/>
    <w:bookmarkEnd w:id="154"/>
    <w:p>
      <w:pPr>
        <w:jc w:val="right"/>
        <w:ind w:right="679"/>
        <w:spacing w:after="0"/>
        <w:rPr>
          <w:sz w:val="20"/>
          <w:szCs w:val="20"/>
          <w:color w:val="auto"/>
        </w:rPr>
      </w:pPr>
      <w:r>
        <w:rPr>
          <w:rFonts w:ascii="Arial" w:cs="Arial" w:eastAsia="Arial" w:hAnsi="Arial"/>
          <w:sz w:val="17"/>
          <w:szCs w:val="17"/>
          <w:b w:val="1"/>
          <w:bCs w:val="1"/>
          <w:color w:val="auto"/>
        </w:rPr>
        <w:t>Exhibit 23.1</w:t>
      </w:r>
    </w:p>
    <w:p>
      <w:pPr>
        <w:spacing w:after="0" w:line="16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6" w:lineRule="exact"/>
        <w:rPr>
          <w:sz w:val="20"/>
          <w:szCs w:val="20"/>
          <w:color w:val="auto"/>
        </w:rPr>
      </w:pPr>
    </w:p>
    <w:p>
      <w:pPr>
        <w:ind w:right="899" w:firstLine="369"/>
        <w:spacing w:after="0" w:line="239" w:lineRule="auto"/>
        <w:rPr>
          <w:sz w:val="20"/>
          <w:szCs w:val="20"/>
          <w:color w:val="auto"/>
        </w:rPr>
      </w:pPr>
      <w:r>
        <w:rPr>
          <w:rFonts w:ascii="Arial" w:cs="Arial" w:eastAsia="Arial" w:hAnsi="Arial"/>
          <w:sz w:val="17"/>
          <w:szCs w:val="17"/>
          <w:color w:val="auto"/>
        </w:rPr>
        <w:t>We consent to the incorporation by reference in the Registration Statements on Form S-8 (No. 333-155973 and No. 333-165019) pertaining to the 2008 Equity Incentive Plan of Grand Canyon Education, Inc. of our reports dated February 22, 2011, with respect to the financial statements of Grand Canyon Education, Inc., and the effectiveness of internal control over financial reporting of Grand Canyon Education, Inc., included in this Annual Report (Form 10-K) for the year ended December 31, 2010.</w:t>
      </w:r>
    </w:p>
    <w:p>
      <w:pPr>
        <w:spacing w:after="0" w:line="37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Ernst &amp; Young LLP</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w:t>
      </w:r>
    </w:p>
    <w:p>
      <w:pPr>
        <w:spacing w:after="0"/>
        <w:rPr>
          <w:sz w:val="20"/>
          <w:szCs w:val="20"/>
          <w:color w:val="auto"/>
        </w:rPr>
      </w:pPr>
      <w:r>
        <w:rPr>
          <w:rFonts w:ascii="Arial" w:cs="Arial" w:eastAsia="Arial" w:hAnsi="Arial"/>
          <w:sz w:val="17"/>
          <w:szCs w:val="17"/>
          <w:color w:val="auto"/>
        </w:rPr>
        <w:t>February 22, 2011</w:t>
      </w:r>
    </w:p>
    <w:p>
      <w:pPr>
        <w:sectPr>
          <w:pgSz w:w="11900" w:h="16838" w:orient="portrait"/>
          <w:cols w:equalWidth="0" w:num="1">
            <w:col w:w="9899"/>
          </w:cols>
          <w:pgMar w:left="560" w:top="118" w:right="1440" w:bottom="1440" w:gutter="0" w:footer="0" w:header="0"/>
        </w:sectPr>
      </w:pPr>
    </w:p>
    <w:bookmarkStart w:id="155" w:name="page156"/>
    <w:bookmarkEnd w:id="155"/>
    <w:p>
      <w:pPr>
        <w:jc w:val="right"/>
        <w:ind w:right="679"/>
        <w:spacing w:after="0"/>
        <w:rPr>
          <w:sz w:val="20"/>
          <w:szCs w:val="20"/>
          <w:color w:val="auto"/>
        </w:rPr>
      </w:pPr>
      <w:r>
        <w:rPr>
          <w:rFonts w:ascii="Arial" w:cs="Arial" w:eastAsia="Arial" w:hAnsi="Arial"/>
          <w:sz w:val="17"/>
          <w:szCs w:val="17"/>
          <w:b w:val="1"/>
          <w:bCs w:val="1"/>
          <w:color w:val="auto"/>
        </w:rPr>
        <w:t>Exhibit 31.1</w:t>
      </w:r>
    </w:p>
    <w:p>
      <w:pPr>
        <w:spacing w:after="0" w:line="176"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CERTIFICATION PURSUANT TO RULES 13a-14(a) AND 15d-14(a)</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Brian E. Mueller, certify that:</w:t>
      </w:r>
    </w:p>
    <w:p>
      <w:pPr>
        <w:spacing w:after="0" w:line="176" w:lineRule="exact"/>
        <w:rPr>
          <w:sz w:val="20"/>
          <w:szCs w:val="20"/>
          <w:color w:val="auto"/>
        </w:rPr>
      </w:pPr>
    </w:p>
    <w:p>
      <w:pPr>
        <w:ind w:left="540" w:hanging="181"/>
        <w:spacing w:after="0"/>
        <w:tabs>
          <w:tab w:leader="none" w:pos="5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year ending December 31, 2010 of Grand Canyon Education, Inc.;</w:t>
      </w:r>
    </w:p>
    <w:p>
      <w:pPr>
        <w:spacing w:after="0" w:line="199" w:lineRule="exact"/>
        <w:rPr>
          <w:rFonts w:ascii="Arial" w:cs="Arial" w:eastAsia="Arial" w:hAnsi="Arial"/>
          <w:sz w:val="15"/>
          <w:szCs w:val="15"/>
          <w:color w:val="auto"/>
        </w:rPr>
      </w:pPr>
    </w:p>
    <w:p>
      <w:pPr>
        <w:jc w:val="both"/>
        <w:ind w:right="959" w:firstLine="359"/>
        <w:spacing w:after="0" w:line="264"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7"/>
          <w:szCs w:val="17"/>
          <w:color w:val="auto"/>
        </w:rPr>
      </w:pPr>
    </w:p>
    <w:p>
      <w:pPr>
        <w:jc w:val="both"/>
        <w:ind w:right="839" w:firstLine="359"/>
        <w:spacing w:after="0" w:line="264"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7"/>
          <w:szCs w:val="17"/>
          <w:color w:val="auto"/>
        </w:rPr>
      </w:pPr>
    </w:p>
    <w:p>
      <w:pPr>
        <w:ind w:right="979" w:firstLine="359"/>
        <w:spacing w:after="0" w:line="264" w:lineRule="auto"/>
        <w:tabs>
          <w:tab w:leader="none" w:pos="537"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ind w:right="979" w:firstLine="729"/>
        <w:spacing w:after="0" w:line="315" w:lineRule="auto"/>
        <w:tabs>
          <w:tab w:leader="none" w:pos="914" w:val="left"/>
        </w:tabs>
        <w:numPr>
          <w:ilvl w:val="1"/>
          <w:numId w:val="8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5"/>
          <w:szCs w:val="15"/>
          <w:color w:val="auto"/>
        </w:rPr>
      </w:pPr>
    </w:p>
    <w:p>
      <w:pPr>
        <w:ind w:right="799" w:firstLine="729"/>
        <w:spacing w:after="0" w:line="288" w:lineRule="auto"/>
        <w:tabs>
          <w:tab w:leader="none" w:pos="923"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right="819" w:firstLine="729"/>
        <w:spacing w:after="0" w:line="264" w:lineRule="auto"/>
        <w:tabs>
          <w:tab w:leader="none" w:pos="914"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7"/>
          <w:szCs w:val="17"/>
          <w:color w:val="auto"/>
        </w:rPr>
      </w:pPr>
    </w:p>
    <w:p>
      <w:pPr>
        <w:ind w:right="779" w:firstLine="729"/>
        <w:spacing w:after="0" w:line="288" w:lineRule="auto"/>
        <w:tabs>
          <w:tab w:leader="none" w:pos="923"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6"/>
          <w:szCs w:val="16"/>
          <w:color w:val="auto"/>
        </w:rPr>
      </w:pPr>
    </w:p>
    <w:p>
      <w:pPr>
        <w:ind w:right="719" w:firstLine="359"/>
        <w:spacing w:after="0" w:line="264" w:lineRule="auto"/>
        <w:tabs>
          <w:tab w:leader="none" w:pos="537"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7"/>
          <w:szCs w:val="17"/>
          <w:color w:val="auto"/>
        </w:rPr>
      </w:pPr>
    </w:p>
    <w:p>
      <w:pPr>
        <w:ind w:right="699" w:firstLine="729"/>
        <w:spacing w:after="0" w:line="264" w:lineRule="auto"/>
        <w:tabs>
          <w:tab w:leader="none" w:pos="914"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7"/>
          <w:szCs w:val="17"/>
          <w:color w:val="auto"/>
        </w:rPr>
      </w:pPr>
    </w:p>
    <w:p>
      <w:pPr>
        <w:ind w:right="1059" w:firstLine="729"/>
        <w:spacing w:after="0" w:line="277" w:lineRule="auto"/>
        <w:tabs>
          <w:tab w:leader="none" w:pos="923"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4540" w:val="left"/>
        </w:tabs>
        <w:rPr>
          <w:sz w:val="20"/>
          <w:szCs w:val="20"/>
          <w:color w:val="auto"/>
        </w:rPr>
      </w:pPr>
      <w:r>
        <w:rPr>
          <w:rFonts w:ascii="Arial" w:cs="Arial" w:eastAsia="Arial" w:hAnsi="Arial"/>
          <w:sz w:val="17"/>
          <w:szCs w:val="17"/>
          <w:color w:val="auto"/>
        </w:rPr>
        <w:t>Date: February 22, 2011</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13970</wp:posOffset>
            </wp:positionV>
            <wp:extent cx="26295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Brian E. Mueller</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Chief Executive Officer</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9899"/>
          </w:cols>
          <w:pgMar w:left="560" w:top="123" w:right="1440" w:bottom="1440" w:gutter="0" w:footer="0" w:header="0"/>
        </w:sectPr>
      </w:pPr>
    </w:p>
    <w:bookmarkStart w:id="156" w:name="page157"/>
    <w:bookmarkEnd w:id="156"/>
    <w:p>
      <w:pPr>
        <w:jc w:val="right"/>
        <w:ind w:right="679"/>
        <w:spacing w:after="0"/>
        <w:rPr>
          <w:sz w:val="20"/>
          <w:szCs w:val="20"/>
          <w:color w:val="auto"/>
        </w:rPr>
      </w:pPr>
      <w:r>
        <w:rPr>
          <w:rFonts w:ascii="Arial" w:cs="Arial" w:eastAsia="Arial" w:hAnsi="Arial"/>
          <w:sz w:val="17"/>
          <w:szCs w:val="17"/>
          <w:b w:val="1"/>
          <w:bCs w:val="1"/>
          <w:color w:val="auto"/>
        </w:rPr>
        <w:t>Exhibit 31.2</w:t>
      </w:r>
    </w:p>
    <w:p>
      <w:pPr>
        <w:spacing w:after="0" w:line="176"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CERTIFICATION PURSUANT TO RULES 13a-14(a) AND 15d-14(a)</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Daniel E. Bachus, certify that:</w:t>
      </w:r>
    </w:p>
    <w:p>
      <w:pPr>
        <w:spacing w:after="0" w:line="176" w:lineRule="exact"/>
        <w:rPr>
          <w:sz w:val="20"/>
          <w:szCs w:val="20"/>
          <w:color w:val="auto"/>
        </w:rPr>
      </w:pPr>
    </w:p>
    <w:p>
      <w:pPr>
        <w:ind w:left="540" w:hanging="181"/>
        <w:spacing w:after="0"/>
        <w:tabs>
          <w:tab w:leader="none" w:pos="5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year ending December 31, 2010 of Grand Canyon Education, Inc.;</w:t>
      </w:r>
    </w:p>
    <w:p>
      <w:pPr>
        <w:spacing w:after="0" w:line="199" w:lineRule="exact"/>
        <w:rPr>
          <w:rFonts w:ascii="Arial" w:cs="Arial" w:eastAsia="Arial" w:hAnsi="Arial"/>
          <w:sz w:val="15"/>
          <w:szCs w:val="15"/>
          <w:color w:val="auto"/>
        </w:rPr>
      </w:pPr>
    </w:p>
    <w:p>
      <w:pPr>
        <w:jc w:val="both"/>
        <w:ind w:right="959" w:firstLine="359"/>
        <w:spacing w:after="0" w:line="264"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7"/>
          <w:szCs w:val="17"/>
          <w:color w:val="auto"/>
        </w:rPr>
      </w:pPr>
    </w:p>
    <w:p>
      <w:pPr>
        <w:jc w:val="both"/>
        <w:ind w:right="839" w:firstLine="359"/>
        <w:spacing w:after="0" w:line="264"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7"/>
          <w:szCs w:val="17"/>
          <w:color w:val="auto"/>
        </w:rPr>
      </w:pPr>
    </w:p>
    <w:p>
      <w:pPr>
        <w:ind w:right="979" w:firstLine="359"/>
        <w:spacing w:after="0" w:line="264" w:lineRule="auto"/>
        <w:tabs>
          <w:tab w:leader="none" w:pos="53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ind w:right="979" w:firstLine="729"/>
        <w:spacing w:after="0" w:line="315" w:lineRule="auto"/>
        <w:tabs>
          <w:tab w:leader="none" w:pos="914" w:val="left"/>
        </w:tabs>
        <w:numPr>
          <w:ilvl w:val="1"/>
          <w:numId w:val="8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5"/>
          <w:szCs w:val="15"/>
          <w:color w:val="auto"/>
        </w:rPr>
      </w:pPr>
    </w:p>
    <w:p>
      <w:pPr>
        <w:ind w:right="799" w:firstLine="729"/>
        <w:spacing w:after="0" w:line="288" w:lineRule="auto"/>
        <w:tabs>
          <w:tab w:leader="none" w:pos="923"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right="819" w:firstLine="729"/>
        <w:spacing w:after="0" w:line="264" w:lineRule="auto"/>
        <w:tabs>
          <w:tab w:leader="none" w:pos="914"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7"/>
          <w:szCs w:val="17"/>
          <w:color w:val="auto"/>
        </w:rPr>
      </w:pPr>
    </w:p>
    <w:p>
      <w:pPr>
        <w:ind w:right="779" w:firstLine="729"/>
        <w:spacing w:after="0" w:line="288" w:lineRule="auto"/>
        <w:tabs>
          <w:tab w:leader="none" w:pos="923"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6"/>
          <w:szCs w:val="16"/>
          <w:color w:val="auto"/>
        </w:rPr>
      </w:pPr>
    </w:p>
    <w:p>
      <w:pPr>
        <w:ind w:right="719" w:firstLine="359"/>
        <w:spacing w:after="0" w:line="264" w:lineRule="auto"/>
        <w:tabs>
          <w:tab w:leader="none" w:pos="53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7"/>
          <w:szCs w:val="17"/>
          <w:color w:val="auto"/>
        </w:rPr>
      </w:pPr>
    </w:p>
    <w:p>
      <w:pPr>
        <w:ind w:right="699" w:firstLine="729"/>
        <w:spacing w:after="0" w:line="264" w:lineRule="auto"/>
        <w:tabs>
          <w:tab w:leader="none" w:pos="914"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7"/>
          <w:szCs w:val="17"/>
          <w:color w:val="auto"/>
        </w:rPr>
      </w:pPr>
    </w:p>
    <w:p>
      <w:pPr>
        <w:ind w:right="1059" w:firstLine="729"/>
        <w:spacing w:after="0" w:line="277" w:lineRule="auto"/>
        <w:tabs>
          <w:tab w:leader="none" w:pos="923"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4300" w:val="left"/>
        </w:tabs>
        <w:rPr>
          <w:sz w:val="20"/>
          <w:szCs w:val="20"/>
          <w:color w:val="auto"/>
        </w:rPr>
      </w:pPr>
      <w:r>
        <w:rPr>
          <w:rFonts w:ascii="Arial" w:cs="Arial" w:eastAsia="Arial" w:hAnsi="Arial"/>
          <w:sz w:val="17"/>
          <w:szCs w:val="17"/>
          <w:color w:val="auto"/>
        </w:rPr>
        <w:t>Date: February 22, 2011</w:t>
      </w:r>
      <w:r>
        <w:rPr>
          <w:sz w:val="20"/>
          <w:szCs w:val="20"/>
          <w:color w:val="auto"/>
        </w:rPr>
        <w:tab/>
      </w:r>
      <w:r>
        <w:rPr>
          <w:rFonts w:ascii="Arial" w:cs="Arial" w:eastAsia="Arial" w:hAnsi="Arial"/>
          <w:sz w:val="15"/>
          <w:szCs w:val="15"/>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13970</wp:posOffset>
            </wp:positionV>
            <wp:extent cx="27597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59710" cy="8255"/>
                    </a:xfrm>
                    <a:prstGeom prst="rect">
                      <a:avLst/>
                    </a:prstGeom>
                    <a:noFill/>
                  </pic:spPr>
                </pic:pic>
              </a:graphicData>
            </a:graphic>
          </wp:anchor>
        </w:drawing>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Daniel E. Bachus</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(Principal Financial Officer and Principal Accounting Officer)</w:t>
      </w:r>
    </w:p>
    <w:p>
      <w:pPr>
        <w:sectPr>
          <w:pgSz w:w="11900" w:h="16838" w:orient="portrait"/>
          <w:cols w:equalWidth="0" w:num="1">
            <w:col w:w="9899"/>
          </w:cols>
          <w:pgMar w:left="560" w:top="123" w:right="1440" w:bottom="1440" w:gutter="0" w:footer="0" w:header="0"/>
        </w:sectPr>
      </w:pPr>
    </w:p>
    <w:bookmarkStart w:id="157" w:name="page158"/>
    <w:bookmarkEnd w:id="157"/>
    <w:p>
      <w:pPr>
        <w:jc w:val="right"/>
        <w:ind w:right="679"/>
        <w:spacing w:after="0"/>
        <w:rPr>
          <w:sz w:val="20"/>
          <w:szCs w:val="20"/>
          <w:color w:val="auto"/>
        </w:rPr>
      </w:pPr>
      <w:r>
        <w:rPr>
          <w:rFonts w:ascii="Arial" w:cs="Arial" w:eastAsia="Arial" w:hAnsi="Arial"/>
          <w:sz w:val="17"/>
          <w:szCs w:val="17"/>
          <w:b w:val="1"/>
          <w:bCs w:val="1"/>
          <w:color w:val="auto"/>
        </w:rPr>
        <w:t>Exhibit 32.1</w:t>
      </w:r>
    </w:p>
    <w:p>
      <w:pPr>
        <w:spacing w:after="0" w:line="176"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78" w:lineRule="exact"/>
        <w:rPr>
          <w:sz w:val="20"/>
          <w:szCs w:val="20"/>
          <w:color w:val="auto"/>
        </w:rPr>
      </w:pPr>
    </w:p>
    <w:p>
      <w:pPr>
        <w:ind w:left="10" w:right="839" w:firstLine="369"/>
        <w:spacing w:after="0" w:line="281" w:lineRule="auto"/>
        <w:rPr>
          <w:sz w:val="20"/>
          <w:szCs w:val="20"/>
          <w:color w:val="auto"/>
        </w:rPr>
      </w:pPr>
      <w:r>
        <w:rPr>
          <w:rFonts w:ascii="Arial" w:cs="Arial" w:eastAsia="Arial" w:hAnsi="Arial"/>
          <w:sz w:val="16"/>
          <w:szCs w:val="16"/>
          <w:color w:val="auto"/>
        </w:rPr>
        <w:t>In connection with the Annual Report on Form 10-K of Grand Canyon Education, Inc. (the “Company”) for the year ending December 31, 2010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25" w:lineRule="exact"/>
        <w:rPr>
          <w:sz w:val="20"/>
          <w:szCs w:val="20"/>
          <w:color w:val="auto"/>
        </w:rPr>
      </w:pPr>
    </w:p>
    <w:p>
      <w:pPr>
        <w:ind w:left="350" w:right="979" w:hanging="350"/>
        <w:spacing w:after="0" w:line="277" w:lineRule="auto"/>
        <w:tabs>
          <w:tab w:leader="none" w:pos="35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and</w:t>
      </w:r>
    </w:p>
    <w:p>
      <w:pPr>
        <w:spacing w:after="0" w:line="125" w:lineRule="exact"/>
        <w:rPr>
          <w:rFonts w:ascii="Arial" w:cs="Arial" w:eastAsia="Arial" w:hAnsi="Arial"/>
          <w:sz w:val="17"/>
          <w:szCs w:val="17"/>
          <w:color w:val="auto"/>
        </w:rPr>
      </w:pPr>
    </w:p>
    <w:p>
      <w:pPr>
        <w:ind w:left="350" w:right="819" w:hanging="350"/>
        <w:spacing w:after="0" w:line="277" w:lineRule="auto"/>
        <w:tabs>
          <w:tab w:leader="none" w:pos="35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Date: February 22, 2011</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27762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spacing w:after="0" w:line="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Brian E. Mueller</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7"/>
          <w:szCs w:val="17"/>
          <w:color w:val="auto"/>
        </w:rPr>
        <w:t>Chief Executive Officer (Principal Executive Officer)</w:t>
      </w:r>
    </w:p>
    <w:p>
      <w:pPr>
        <w:sectPr>
          <w:pgSz w:w="11900" w:h="16838" w:orient="portrait"/>
          <w:cols w:equalWidth="0" w:num="1">
            <w:col w:w="9909"/>
          </w:cols>
          <w:pgMar w:left="550" w:top="123" w:right="1440" w:bottom="1440" w:gutter="0" w:footer="0" w:header="0"/>
        </w:sectPr>
      </w:pPr>
    </w:p>
    <w:bookmarkStart w:id="158" w:name="page159"/>
    <w:bookmarkEnd w:id="158"/>
    <w:p>
      <w:pPr>
        <w:jc w:val="right"/>
        <w:ind w:right="679"/>
        <w:spacing w:after="0"/>
        <w:rPr>
          <w:sz w:val="20"/>
          <w:szCs w:val="20"/>
          <w:color w:val="auto"/>
        </w:rPr>
      </w:pPr>
      <w:r>
        <w:rPr>
          <w:rFonts w:ascii="Arial" w:cs="Arial" w:eastAsia="Arial" w:hAnsi="Arial"/>
          <w:sz w:val="17"/>
          <w:szCs w:val="17"/>
          <w:b w:val="1"/>
          <w:bCs w:val="1"/>
          <w:color w:val="auto"/>
        </w:rPr>
        <w:t>Exhibit 32.2</w:t>
      </w:r>
    </w:p>
    <w:p>
      <w:pPr>
        <w:spacing w:after="0" w:line="176"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78" w:lineRule="exact"/>
        <w:rPr>
          <w:sz w:val="20"/>
          <w:szCs w:val="20"/>
          <w:color w:val="auto"/>
        </w:rPr>
      </w:pPr>
    </w:p>
    <w:p>
      <w:pPr>
        <w:ind w:left="10" w:right="879" w:firstLine="369"/>
        <w:spacing w:after="0" w:line="281" w:lineRule="auto"/>
        <w:rPr>
          <w:sz w:val="20"/>
          <w:szCs w:val="20"/>
          <w:color w:val="auto"/>
        </w:rPr>
      </w:pPr>
      <w:r>
        <w:rPr>
          <w:rFonts w:ascii="Arial" w:cs="Arial" w:eastAsia="Arial" w:hAnsi="Arial"/>
          <w:sz w:val="16"/>
          <w:szCs w:val="16"/>
          <w:color w:val="auto"/>
        </w:rPr>
        <w:t>In connection with the Annual Report on Form 10-K of Grand Canyon Education, Inc. (the “Company”) for the year ending December 31, 2010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25" w:lineRule="exact"/>
        <w:rPr>
          <w:sz w:val="20"/>
          <w:szCs w:val="20"/>
          <w:color w:val="auto"/>
        </w:rPr>
      </w:pPr>
    </w:p>
    <w:p>
      <w:pPr>
        <w:ind w:left="350" w:right="979" w:hanging="350"/>
        <w:spacing w:after="0" w:line="277" w:lineRule="auto"/>
        <w:tabs>
          <w:tab w:leader="none" w:pos="35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and</w:t>
      </w:r>
    </w:p>
    <w:p>
      <w:pPr>
        <w:spacing w:after="0" w:line="125" w:lineRule="exact"/>
        <w:rPr>
          <w:rFonts w:ascii="Arial" w:cs="Arial" w:eastAsia="Arial" w:hAnsi="Arial"/>
          <w:sz w:val="17"/>
          <w:szCs w:val="17"/>
          <w:color w:val="auto"/>
        </w:rPr>
      </w:pPr>
    </w:p>
    <w:p>
      <w:pPr>
        <w:ind w:left="350" w:right="819" w:hanging="350"/>
        <w:spacing w:after="0" w:line="277" w:lineRule="auto"/>
        <w:tabs>
          <w:tab w:leader="none" w:pos="35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Date: February 22, 2011</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34112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11220" cy="8255"/>
                    </a:xfrm>
                    <a:prstGeom prst="rect">
                      <a:avLst/>
                    </a:prstGeom>
                    <a:noFill/>
                  </pic:spPr>
                </pic:pic>
              </a:graphicData>
            </a:graphic>
          </wp:anchor>
        </w:drawing>
      </w:r>
    </w:p>
    <w:p>
      <w:pPr>
        <w:spacing w:after="0" w:line="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Daniel E. Bachus</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7"/>
          <w:szCs w:val="17"/>
          <w:color w:val="auto"/>
        </w:rPr>
        <w:t>Chief Financial Officer (Principal Financial and Principal Accounting Officer)</w:t>
      </w:r>
    </w:p>
    <w:sectPr>
      <w:pgSz w:w="11900" w:h="16838" w:orient="portrait"/>
      <w:cols w:equalWidth="0" w:num="1">
        <w:col w:w="9909"/>
      </w:cols>
      <w:pgMar w:left="55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lvl w:ilvl="1">
      <w:lvlJc w:val="left"/>
      <w:lvlText w:val="•"/>
      <w:numFmt w:val="bullet"/>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1)"/>
      <w:numFmt w:val="lowerRoman"/>
      <w:start w:val="4"/>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lowerRoman"/>
      <w:start w:val="1"/>
    </w:lvl>
  </w:abstractNum>
  <w:abstractNum w:abstractNumId="50">
    <w:nsid w:val="1F48EAA1"/>
    <w:multiLevelType w:val="hybridMultilevel"/>
    <w:lvl w:ilvl="0">
      <w:lvlJc w:val="left"/>
      <w:lvlText w:val="%1."/>
      <w:numFmt w:val="decimal"/>
      <w:start w:val="3"/>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lowerLetter"/>
      <w:start w:val="1"/>
    </w:lvl>
    <w:lvl w:ilvl="1">
      <w:lvlJc w:val="left"/>
      <w:lvlText w:val="(%2)"/>
      <w:numFmt w:val="lowerLetter"/>
      <w:start w:val="2"/>
    </w:lvl>
  </w:abstractNum>
  <w:abstractNum w:abstractNumId="57">
    <w:nsid w:val="98A3148"/>
    <w:multiLevelType w:val="hybridMultilevel"/>
    <w:lvl w:ilvl="0">
      <w:lvlJc w:val="left"/>
      <w:lvlText w:val="(%1)"/>
      <w:numFmt w:val="lowerLetter"/>
      <w:start w:val="3"/>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decimal"/>
      <w:start w:val="1"/>
    </w:lvl>
    <w:lvl w:ilvl="1">
      <w:lvlJc w:val="left"/>
      <w:lvlText w:val="(%2)"/>
      <w:numFmt w:val="lowerLetter"/>
      <w:start w:val="3"/>
    </w:lvl>
  </w:abstractNum>
  <w:abstractNum w:abstractNumId="60">
    <w:nsid w:val="42C296BD"/>
    <w:multiLevelType w:val="hybridMultilevel"/>
    <w:lvl w:ilvl="0">
      <w:lvlJc w:val="left"/>
      <w:lvlText w:val="%1."/>
      <w:numFmt w:val="decimal"/>
      <w:start w:val="2"/>
    </w:lvl>
    <w:lvl w:ilvl="1">
      <w:lvlJc w:val="left"/>
      <w:lvlText w:val="%2"/>
      <w:numFmt w:val="lowerLetter"/>
      <w:start w:val="1"/>
    </w:lvl>
  </w:abstractNum>
  <w:abstractNum w:abstractNumId="61">
    <w:nsid w:val="168E121F"/>
    <w:multiLevelType w:val="hybridMultilevel"/>
    <w:lvl w:ilvl="0">
      <w:lvlJc w:val="left"/>
      <w:lvlText w:val="%1."/>
      <w:numFmt w:val="decimal"/>
      <w:start w:val="3"/>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decimal"/>
      <w:start w:val="4"/>
    </w:lvl>
  </w:abstractNum>
  <w:abstractNum w:abstractNumId="64">
    <w:nsid w:val="5DC79EA8"/>
    <w:multiLevelType w:val="hybridMultilevel"/>
    <w:lvl w:ilvl="0">
      <w:lvlJc w:val="left"/>
      <w:lvlText w:val="%1."/>
      <w:numFmt w:val="decimal"/>
      <w:start w:val="5"/>
    </w:lvl>
  </w:abstractNum>
  <w:abstractNum w:abstractNumId="65">
    <w:nsid w:val="540A471C"/>
    <w:multiLevelType w:val="hybridMultilevel"/>
    <w:lvl w:ilvl="0">
      <w:lvlJc w:val="left"/>
      <w:lvlText w:val="%1."/>
      <w:numFmt w:val="decimal"/>
      <w:start w:val="6"/>
    </w:lvl>
  </w:abstractNum>
  <w:abstractNum w:abstractNumId="66">
    <w:nsid w:val="7BD3EE7B"/>
    <w:multiLevelType w:val="hybridMultilevel"/>
    <w:lvl w:ilvl="0">
      <w:lvlJc w:val="left"/>
      <w:lvlText w:val="%1."/>
      <w:numFmt w:val="decimal"/>
      <w:start w:val="7"/>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2"/>
    </w:lvl>
  </w:abstractNum>
  <w:abstractNum w:abstractNumId="69">
    <w:nsid w:val="BF72B14"/>
    <w:multiLevelType w:val="hybridMultilevel"/>
    <w:lvl w:ilvl="0">
      <w:lvlJc w:val="left"/>
      <w:lvlText w:val="%1."/>
      <w:numFmt w:val="decimal"/>
      <w:start w:val="8"/>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1"/>
    </w:lvl>
  </w:abstractNum>
  <w:abstractNum w:abstractNumId="72">
    <w:nsid w:val="A0382C5"/>
    <w:multiLevelType w:val="hybridMultilevel"/>
    <w:lvl w:ilvl="0">
      <w:lvlJc w:val="left"/>
      <w:lvlText w:val="%1."/>
      <w:numFmt w:val="decimal"/>
      <w:start w:val="9"/>
    </w:lvl>
    <w:lvl w:ilvl="1">
      <w:lvlJc w:val="left"/>
      <w:lvlText w:val="%2"/>
      <w:numFmt w:val="lowerLetter"/>
      <w:start w:val="1"/>
    </w:lvl>
  </w:abstractNum>
  <w:abstractNum w:abstractNumId="73">
    <w:nsid w:val="8F2B15E"/>
    <w:multiLevelType w:val="hybridMultilevel"/>
    <w:lvl w:ilvl="0">
      <w:lvlJc w:val="left"/>
      <w:lvlText w:val="%1."/>
      <w:numFmt w:val="decimal"/>
      <w:start w:val="10"/>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1"/>
    </w:lvl>
    <w:lvl w:ilvl="1">
      <w:lvlJc w:val="left"/>
      <w:lvlText w:val="%2"/>
      <w:numFmt w:val="lowerLetter"/>
      <w:start w:val="1"/>
    </w:lvl>
  </w:abstractNum>
  <w:abstractNum w:abstractNumId="76">
    <w:nsid w:val="68EB2F63"/>
    <w:multiLevelType w:val="hybridMultilevel"/>
    <w:lvl w:ilvl="0">
      <w:lvlJc w:val="left"/>
      <w:lvlText w:val="(%1)"/>
      <w:numFmt w:val="lowerLetter"/>
      <w:start w:val="3"/>
    </w:lvl>
    <w:lvl w:ilvl="1">
      <w:lvlJc w:val="left"/>
      <w:lvlText w:val="(%2)"/>
      <w:numFmt w:val="lowerLetter"/>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decimal"/>
      <w:start w:val="1"/>
    </w:lvl>
    <w:lvl w:ilvl="1">
      <w:lvlJc w:val="left"/>
      <w:lvlText w:val="%2."/>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2019-12-11T08:00:56Z</dcterms:created>
  <dcterms:modified xsi:type="dcterms:W3CDTF">2019-12-11T08:00:56Z</dcterms:modified>
</cp:coreProperties>
</file>