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October 29, 2013 (October 25,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4200" w:type="dxa"/>
            <w:vAlign w:val="bottom"/>
          </w:tcPr>
          <w:p>
            <w:pPr>
              <w:jc w:val="center"/>
              <w:ind w:right="2319"/>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ind w:left="220"/>
              <w:spacing w:after="0"/>
              <w:rPr>
                <w:sz w:val="20"/>
                <w:szCs w:val="20"/>
                <w:color w:val="auto"/>
              </w:rPr>
            </w:pPr>
            <w:r>
              <w:rPr>
                <w:rFonts w:ascii="Arial" w:cs="Arial" w:eastAsia="Arial" w:hAnsi="Arial"/>
                <w:sz w:val="18"/>
                <w:szCs w:val="18"/>
                <w:b w:val="1"/>
                <w:bCs w:val="1"/>
                <w:color w:val="auto"/>
              </w:rPr>
              <w:t>001-34211</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20-3356009</w:t>
            </w:r>
          </w:p>
        </w:tc>
      </w:tr>
      <w:tr>
        <w:trPr>
          <w:trHeight w:val="149"/>
        </w:trPr>
        <w:tc>
          <w:tcPr>
            <w:tcW w:w="4200" w:type="dxa"/>
            <w:vAlign w:val="bottom"/>
          </w:tcPr>
          <w:p>
            <w:pPr>
              <w:jc w:val="center"/>
              <w:ind w:right="2299"/>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24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0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Incorporation)</w:t>
            </w:r>
          </w:p>
        </w:tc>
        <w:tc>
          <w:tcPr>
            <w:tcW w:w="2400" w:type="dxa"/>
            <w:vAlign w:val="bottom"/>
          </w:tcPr>
          <w:p>
            <w:pPr>
              <w:ind w:left="18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200" w:type="dxa"/>
            <w:vAlign w:val="bottom"/>
          </w:tcPr>
          <w:p>
            <w:pPr>
              <w:jc w:val="center"/>
              <w:ind w:left="1299"/>
              <w:spacing w:after="0"/>
              <w:rPr>
                <w:sz w:val="20"/>
                <w:szCs w:val="20"/>
                <w:color w:val="auto"/>
              </w:rPr>
            </w:pPr>
            <w:r>
              <w:rPr>
                <w:rFonts w:ascii="Arial" w:cs="Arial" w:eastAsia="Arial" w:hAnsi="Arial"/>
                <w:sz w:val="18"/>
                <w:szCs w:val="18"/>
                <w:b w:val="1"/>
                <w:bCs w:val="1"/>
                <w:color w:val="auto"/>
                <w:w w:val="91"/>
              </w:rPr>
              <w:t>3300 W. Camelback Road</w:t>
            </w:r>
          </w:p>
        </w:tc>
        <w:tc>
          <w:tcPr>
            <w:tcW w:w="240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4200" w:type="dxa"/>
            <w:vAlign w:val="bottom"/>
          </w:tcPr>
          <w:p>
            <w:pPr>
              <w:jc w:val="center"/>
              <w:ind w:left="1279"/>
              <w:spacing w:after="0"/>
              <w:rPr>
                <w:sz w:val="20"/>
                <w:szCs w:val="20"/>
                <w:color w:val="auto"/>
              </w:rPr>
            </w:pPr>
            <w:r>
              <w:rPr>
                <w:rFonts w:ascii="Arial" w:cs="Arial" w:eastAsia="Arial" w:hAnsi="Arial"/>
                <w:sz w:val="18"/>
                <w:szCs w:val="18"/>
                <w:b w:val="1"/>
                <w:bCs w:val="1"/>
                <w:color w:val="auto"/>
                <w:w w:val="90"/>
              </w:rPr>
              <w:t>Phoenix, Arizona</w:t>
            </w:r>
          </w:p>
        </w:tc>
        <w:tc>
          <w:tcPr>
            <w:tcW w:w="2400" w:type="dxa"/>
            <w:vAlign w:val="bottom"/>
          </w:tcPr>
          <w:p>
            <w:pPr>
              <w:spacing w:after="0"/>
              <w:rPr>
                <w:sz w:val="18"/>
                <w:szCs w:val="18"/>
                <w:color w:val="auto"/>
              </w:rPr>
            </w:pPr>
          </w:p>
        </w:tc>
        <w:tc>
          <w:tcPr>
            <w:tcW w:w="2520" w:type="dxa"/>
            <w:vAlign w:val="bottom"/>
          </w:tcPr>
          <w:p>
            <w:pPr>
              <w:jc w:val="right"/>
              <w:ind w:right="201"/>
              <w:spacing w:after="0"/>
              <w:rPr>
                <w:sz w:val="20"/>
                <w:szCs w:val="20"/>
                <w:color w:val="auto"/>
              </w:rPr>
            </w:pPr>
            <w:r>
              <w:rPr>
                <w:rFonts w:ascii="Arial" w:cs="Arial" w:eastAsia="Arial" w:hAnsi="Arial"/>
                <w:sz w:val="18"/>
                <w:szCs w:val="18"/>
                <w:b w:val="1"/>
                <w:bCs w:val="1"/>
                <w:color w:val="auto"/>
              </w:rPr>
              <w:t>85017</w:t>
            </w:r>
          </w:p>
        </w:tc>
      </w:tr>
      <w:tr>
        <w:trPr>
          <w:trHeight w:val="186"/>
        </w:trPr>
        <w:tc>
          <w:tcPr>
            <w:tcW w:w="4200" w:type="dxa"/>
            <w:vAlign w:val="bottom"/>
          </w:tcPr>
          <w:p>
            <w:pPr>
              <w:jc w:val="center"/>
              <w:ind w:left="12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4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(602) 639-7500</w:t>
      </w: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left="1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This amended report on Form 8-K updates and amends the prior Form 8-K filed on March 28, 2013. On October 25, 2013, the Board of Directors of Grand Canyon Education, Inc. appointed Sara Dial to the Compensation Committee and Nominating and Corporate Governance Committee for a term expiring at the 2014 annual meeting of stockholders, or until her respective successor is elected or qualified or her earlier resignation or removal. Ms. Dial will receive an annual cash retainer for service on each Board committee of $5,000. With the addition of Ms. Dial to the Compensation and the Nominating and Corporate Governance Committees, such committees have three and four members, respectively.</w:t>
      </w:r>
    </w:p>
    <w:p>
      <w:pPr>
        <w:sectPr>
          <w:pgSz w:w="11900" w:h="16838" w:orient="portrait"/>
          <w:cols w:equalWidth="0" w:num="1">
            <w:col w:w="11300"/>
          </w:cols>
          <w:pgMar w:left="240" w:top="270" w:right="359" w:bottom="1440" w:gutter="0" w:footer="0" w:header="0"/>
        </w:sectPr>
      </w:pPr>
    </w:p>
    <w:bookmarkStart w:id="2" w:name="page3"/>
    <w:bookmarkEnd w:id="2"/>
    <w:p>
      <w:pPr>
        <w:jc w:val="center"/>
        <w:ind w:right="-6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spacing w:after="0"/>
        <w:tabs>
          <w:tab w:leader="none" w:pos="5440" w:val="left"/>
        </w:tabs>
        <w:rPr>
          <w:sz w:val="20"/>
          <w:szCs w:val="20"/>
          <w:color w:val="auto"/>
        </w:rPr>
      </w:pPr>
      <w:r>
        <w:rPr>
          <w:rFonts w:ascii="Arial" w:cs="Arial" w:eastAsia="Arial" w:hAnsi="Arial"/>
          <w:sz w:val="18"/>
          <w:szCs w:val="18"/>
          <w:color w:val="auto"/>
        </w:rPr>
        <w:t>Date: October 29, 2013</w:t>
      </w:r>
      <w:r>
        <w:rPr>
          <w:sz w:val="20"/>
          <w:szCs w:val="20"/>
          <w:color w:val="auto"/>
        </w:rPr>
        <w:tab/>
      </w:r>
      <w:r>
        <w:rPr>
          <w:rFonts w:ascii="Arial" w:cs="Arial" w:eastAsia="Arial" w:hAnsi="Arial"/>
          <w:sz w:val="16"/>
          <w:szCs w:val="16"/>
          <w:color w:val="auto"/>
        </w:rPr>
        <w:t>By:  /s/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14605</wp:posOffset>
            </wp:positionV>
            <wp:extent cx="355028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3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and Principal Accounting Officer)</w:t>
      </w:r>
    </w:p>
    <w:sectPr>
      <w:pgSz w:w="11900" w:h="16838" w:orient="portrait"/>
      <w:cols w:equalWidth="0" w:num="1">
        <w:col w:w="10800"/>
      </w:cols>
      <w:pgMar w:left="240" w:top="270"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2019-12-07T17:56:18Z</dcterms:created>
  <dcterms:modified xsi:type="dcterms:W3CDTF">2019-12-07T17:56:18Z</dcterms:modified>
</cp:coreProperties>
</file>