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4"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10" w:right="240" w:hanging="406"/>
        <w:spacing w:after="0" w:line="352" w:lineRule="auto"/>
        <w:tabs>
          <w:tab w:leader="none" w:pos="4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AND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-367030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84" w:lineRule="exact"/>
        <w:rPr>
          <w:sz w:val="24"/>
          <w:szCs w:val="24"/>
          <w:color w:val="auto"/>
        </w:rPr>
      </w:pPr>
    </w:p>
    <w:p>
      <w:pPr>
        <w:ind w:left="410"/>
        <w:spacing w:after="0"/>
        <w:tabs>
          <w:tab w:leader="none" w:pos="40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9" w:lineRule="exact"/>
        <w:rPr>
          <w:sz w:val="24"/>
          <w:szCs w:val="24"/>
          <w:color w:val="auto"/>
        </w:rPr>
      </w:pPr>
    </w:p>
    <w:tbl>
      <w:tblPr>
        <w:tblLayout w:type="fixed"/>
        <w:tblInd w:w="137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ind w:left="309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05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1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6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6295" cy="8890"/>
                    </a:xfrm>
                    <a:prstGeom prst="rect">
                      <a:avLst/>
                    </a:prstGeom>
                    <a:noFill/>
                  </pic:spPr>
                </pic:pic>
              </a:graphicData>
            </a:graphic>
          </wp:anchor>
        </w:drawing>
      </w:r>
    </w:p>
    <w:p>
      <w:pPr>
        <w:ind w:left="10"/>
        <w:spacing w:after="0" w:line="188" w:lineRule="exact"/>
        <w:tabs>
          <w:tab w:leader="none" w:pos="581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left="10"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1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76" w:lineRule="exact"/>
        <w:rPr>
          <w:sz w:val="24"/>
          <w:szCs w:val="24"/>
          <w:color w:val="auto"/>
        </w:rPr>
      </w:pPr>
    </w:p>
    <w:p>
      <w:pPr>
        <w:ind w:left="1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10" w:space="160"/>
            <w:col w:w="5180" w:space="720"/>
            <w:col w:w="2060" w:space="220"/>
            <w:col w:w="180"/>
          </w:cols>
          <w:pgMar w:left="830" w:top="665" w:right="839" w:bottom="1440" w:gutter="0" w:footer="0" w:header="0"/>
          <w:type w:val="continuous"/>
        </w:sectPr>
      </w:pPr>
    </w:p>
    <w:p>
      <w:pPr>
        <w:ind w:left="10"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50" w:right="1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July 31, 2020, was 47,281,676.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506095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86360</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8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8"/>
        </w:trPr>
        <w:tc>
          <w:tcPr>
            <w:tcW w:w="8480" w:type="dxa"/>
            <w:vAlign w:val="bottom"/>
            <w:gridSpan w:val="2"/>
            <w:vMerge w:val="continue"/>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4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 Management’s Discussion and Analysis of Financial Condition and Results of Operations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 Quantitative and Qualitative Disclosures About Market Risk</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 Controls and Procedures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 – 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418"/>
        </w:trPr>
        <w:tc>
          <w:tcPr>
            <w:tcW w:w="848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 Legal Proceedings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1A 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2 Unregistered Sales of Equity Securities and Use of Proceeds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8">
              <w:r>
                <w:rPr>
                  <w:rFonts w:ascii="Arial" w:cs="Arial" w:eastAsia="Arial" w:hAnsi="Arial"/>
                  <w:sz w:val="18"/>
                  <w:szCs w:val="18"/>
                  <w:u w:val="single" w:color="auto"/>
                  <w:color w:val="0000EE"/>
                  <w:w w:val="91"/>
                </w:rPr>
                <w:t>Item 3</w:t>
              </w:r>
            </w:hyperlink>
          </w:p>
        </w:tc>
        <w:tc>
          <w:tcPr>
            <w:tcW w:w="800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Defaults Upon Senior Securities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8">
              <w:r>
                <w:rPr>
                  <w:rFonts w:ascii="Arial" w:cs="Arial" w:eastAsia="Arial" w:hAnsi="Arial"/>
                  <w:sz w:val="18"/>
                  <w:szCs w:val="18"/>
                  <w:u w:val="single" w:color="auto"/>
                  <w:color w:val="0000EE"/>
                  <w:w w:val="91"/>
                </w:rPr>
                <w:t>Item 4</w:t>
              </w:r>
            </w:hyperlink>
          </w:p>
        </w:tc>
        <w:tc>
          <w:tcPr>
            <w:tcW w:w="800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Mine Safety Disclosures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8">
              <w:r>
                <w:rPr>
                  <w:rFonts w:ascii="Arial" w:cs="Arial" w:eastAsia="Arial" w:hAnsi="Arial"/>
                  <w:sz w:val="18"/>
                  <w:szCs w:val="18"/>
                  <w:u w:val="single" w:color="auto"/>
                  <w:color w:val="0000EE"/>
                  <w:w w:val="91"/>
                </w:rPr>
                <w:t>Item 5</w:t>
              </w:r>
            </w:hyperlink>
          </w:p>
        </w:tc>
        <w:tc>
          <w:tcPr>
            <w:tcW w:w="800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9">
              <w:r>
                <w:rPr>
                  <w:rFonts w:ascii="Arial" w:cs="Arial" w:eastAsia="Arial" w:hAnsi="Arial"/>
                  <w:sz w:val="18"/>
                  <w:szCs w:val="18"/>
                  <w:u w:val="single" w:color="auto"/>
                  <w:color w:val="0000EE"/>
                  <w:w w:val="91"/>
                </w:rPr>
                <w:t>Item 6</w:t>
              </w:r>
            </w:hyperlink>
          </w:p>
        </w:tc>
        <w:tc>
          <w:tcPr>
            <w:tcW w:w="8000" w:type="dxa"/>
            <w:vAlign w:val="bottom"/>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SIGNATURES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185,768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174,820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407,423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372,107</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41,153</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117,815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107,392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71,693</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20,613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on transaction</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137,458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123,826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278,317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248,682</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129,106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123,425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on Secured Note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interest and other</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156,532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149,936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25,581</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47,010</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118,395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124,355</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Earnings per share: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97"/>
        </w:trPr>
        <w:tc>
          <w:tcPr>
            <w:tcW w:w="50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Diluted income per share</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Basic weighted average shares outstanding</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46,893</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47,851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47,174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47,788</w:t>
            </w: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Diluted weighted average shares outstanding</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47,151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48,313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47,457</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48,307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2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$ 47,010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$ 51,112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$ 118,395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$ 124,355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Unrealized losses on hedging derivative, net of taxes of $35 for the</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three months ended June 30, 2019 and $70 for the six months ended</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30, 2019</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$ 47,010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$ 50,948</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$ 118,395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$ 124,084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122,272</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Restricted cash and cash equivalents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48,939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receivable on Secured Note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222,619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208,344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Right-of-use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27,770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Secured Note receivable,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1,039,912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969,912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Amortizable intangible assets,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202,057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1,790,284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1,690,289</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16,771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lease liability</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notes payable</w:t>
            </w: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liability</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Lease liability, less current portion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25,519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246,856</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$0.01 par value, 10,000 shares authorized; 0 shares issued and</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2020 and December 31, 2019</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100,000 shares authorized; 53,225 and 53,054 shares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2"/>
              </w:rPr>
              <w:t>issued and 47,306 and 48,105 shares outstanding at June 30, 2020 and December 31,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2019, respectively</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Treasury stock, at cost, 5,919 and 4,949 shares of common stock at June 30, 2020 and</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respectively</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270,923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1,455,907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1,341,344</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1,489,387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1,443,433</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1,790,284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1,690,289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7"/>
          </w:tcPr>
          <w:p>
            <w:pPr>
              <w:ind w:left="40"/>
              <w:spacing w:after="0"/>
              <w:rPr>
                <w:sz w:val="20"/>
                <w:szCs w:val="20"/>
                <w:color w:val="auto"/>
              </w:rPr>
            </w:pPr>
            <w:r>
              <w:rPr>
                <w:rFonts w:ascii="Arial" w:cs="Arial" w:eastAsia="Arial" w:hAnsi="Arial"/>
                <w:sz w:val="14"/>
                <w:szCs w:val="14"/>
                <w:b w:val="1"/>
                <w:bCs w:val="1"/>
                <w:color w:val="auto"/>
                <w:w w:val="92"/>
              </w:rPr>
              <w:t>Six Months Ended June 30, 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2019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53,054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4,949</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(169,365)</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$ 270,923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$ 1,341,344</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$ 1,443,433</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line="195" w:lineRule="exact"/>
              <w:rPr>
                <w:sz w:val="20"/>
                <w:szCs w:val="20"/>
                <w:color w:val="auto"/>
              </w:rPr>
            </w:pPr>
            <w:r>
              <w:rPr>
                <w:rFonts w:ascii="Arial" w:cs="Arial" w:eastAsia="Arial" w:hAnsi="Arial"/>
                <w:sz w:val="18"/>
                <w:szCs w:val="18"/>
                <w:color w:val="auto"/>
              </w:rPr>
              <w:t>Cumulative effect from the</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adoption of accounting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8"/>
              </w:rPr>
              <w:t>pronouncements, net of taxes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of $1,168</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118,395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118,395</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treasury</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898</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(69,048)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(69,048)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jc w:val="right"/>
              <w:spacing w:after="0"/>
              <w:rPr>
                <w:sz w:val="20"/>
                <w:szCs w:val="20"/>
                <w:color w:val="auto"/>
              </w:rPr>
            </w:pPr>
            <w:r>
              <w:rPr>
                <w:rFonts w:ascii="Arial" w:cs="Arial" w:eastAsia="Arial" w:hAnsi="Arial"/>
                <w:sz w:val="17"/>
                <w:szCs w:val="17"/>
                <w:color w:val="auto"/>
              </w:rPr>
              <w:t>167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(4,969)</w:t>
            </w:r>
          </w:p>
        </w:tc>
        <w:tc>
          <w:tcPr>
            <w:tcW w:w="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5,333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rPr>
              <w:t>Balance at June 30, 2020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53,225</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5,919</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(243,382)</w:t>
            </w: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276,330</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1,455,907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1,489,387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7"/>
          </w:tcPr>
          <w:p>
            <w:pPr>
              <w:ind w:left="40"/>
              <w:spacing w:after="0"/>
              <w:rPr>
                <w:sz w:val="20"/>
                <w:szCs w:val="20"/>
                <w:color w:val="auto"/>
              </w:rPr>
            </w:pPr>
            <w:r>
              <w:rPr>
                <w:rFonts w:ascii="Arial" w:cs="Arial" w:eastAsia="Arial" w:hAnsi="Arial"/>
                <w:sz w:val="14"/>
                <w:szCs w:val="14"/>
                <w:b w:val="1"/>
                <w:bCs w:val="1"/>
                <w:color w:val="auto"/>
                <w:w w:val="92"/>
              </w:rPr>
              <w:t>Six Months Ended June 30,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2018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52,690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4,489</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(125,452)</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256,806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1,082,169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1,213,597</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vMerge w:val="continue"/>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(271)</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124,355</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124,084</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(10,340)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(10,340)</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(8,127)</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(2,942)</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3,408</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June 30,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53,033</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4,682</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(143,919)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265,396</w:t>
            </w: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1,206,524</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1,327,807</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118,395</w:t>
            </w:r>
          </w:p>
        </w:tc>
        <w:tc>
          <w:tcPr>
            <w:tcW w:w="4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124,355</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5,334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5,185</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9,065</w:t>
            </w: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4,210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3,865</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Loss on transaction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33,384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41,056</w:t>
            </w:r>
          </w:p>
        </w:tc>
        <w:tc>
          <w:tcPr>
            <w:tcW w:w="0" w:type="dxa"/>
            <w:vAlign w:val="bottom"/>
          </w:tcPr>
          <w:p>
            <w:pPr>
              <w:spacing w:after="0"/>
              <w:rPr>
                <w:sz w:val="1"/>
                <w:szCs w:val="1"/>
                <w:color w:val="auto"/>
              </w:rPr>
            </w:pPr>
          </w:p>
        </w:tc>
      </w:tr>
      <w:tr>
        <w:trPr>
          <w:trHeight w:val="149"/>
        </w:trPr>
        <w:tc>
          <w:tcPr>
            <w:tcW w:w="656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(5,234)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8"/>
        </w:trPr>
        <w:tc>
          <w:tcPr>
            <w:tcW w:w="656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2,846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148"/>
        </w:trPr>
        <w:tc>
          <w:tcPr>
            <w:tcW w:w="6560" w:type="dxa"/>
            <w:vAlign w:val="bottom"/>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32,206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(8,812)</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7,689</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9,996</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221,052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189,335</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(12,229)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(9,656)</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Acquisition, net of cash acquired</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(361,184)</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(169,819)</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6,799</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56,897</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(80,577)</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(485,762)</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provided by financing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(16,572)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(72,041)</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issuance costs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(2,385)</w:t>
            </w: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Proceeds from notes 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243,750</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26,250</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(74,017)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(18,467)</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3,408</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(90,515)</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180,515</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49,960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(115,912)</w:t>
            </w:r>
          </w:p>
        </w:tc>
        <w:tc>
          <w:tcPr>
            <w:tcW w:w="0" w:type="dxa"/>
            <w:vAlign w:val="bottom"/>
          </w:tcPr>
          <w:p>
            <w:pPr>
              <w:spacing w:after="0"/>
              <w:rPr>
                <w:sz w:val="1"/>
                <w:szCs w:val="1"/>
                <w:color w:val="auto"/>
              </w:rPr>
            </w:pPr>
          </w:p>
        </w:tc>
      </w:tr>
      <w:tr>
        <w:trPr>
          <w:trHeight w:val="149"/>
        </w:trPr>
        <w:tc>
          <w:tcPr>
            <w:tcW w:w="65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122,572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182,013</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172,532</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66,101</w:t>
            </w:r>
          </w:p>
        </w:tc>
        <w:tc>
          <w:tcPr>
            <w:tcW w:w="0" w:type="dxa"/>
            <w:vAlign w:val="bottom"/>
          </w:tcPr>
          <w:p>
            <w:pPr>
              <w:spacing w:after="0"/>
              <w:rPr>
                <w:sz w:val="1"/>
                <w:szCs w:val="1"/>
                <w:color w:val="auto"/>
              </w:rPr>
            </w:pPr>
          </w:p>
        </w:tc>
      </w:tr>
      <w:tr>
        <w:trPr>
          <w:trHeight w:val="142"/>
        </w:trPr>
        <w:tc>
          <w:tcPr>
            <w:tcW w:w="656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w:t>
            </w:r>
          </w:p>
        </w:tc>
        <w:tc>
          <w:tcPr>
            <w:tcW w:w="4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4,837</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1,850</w:t>
            </w:r>
          </w:p>
        </w:tc>
        <w:tc>
          <w:tcPr>
            <w:tcW w:w="4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35,114</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2,689</w:t>
            </w:r>
          </w:p>
        </w:tc>
        <w:tc>
          <w:tcPr>
            <w:tcW w:w="4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Allowance for credit losses of $5,000, net of taxes of $1,168 from adoption of ASU 2016-13</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3,832</w:t>
            </w:r>
          </w:p>
        </w:tc>
        <w:tc>
          <w:tcPr>
            <w:tcW w:w="4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Lease adoption - recognition of right of use assets and lease liabilities</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ROU Asset and Liability recognition</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15,510</w:t>
            </w:r>
          </w:p>
        </w:tc>
        <w:tc>
          <w:tcPr>
            <w:tcW w:w="4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and on ground at its campus in Phoenix, Arizona.</w:t>
      </w:r>
    </w:p>
    <w:p>
      <w:pPr>
        <w:spacing w:after="0" w:line="164"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In January 2019, GCE began providing education services to numerous university partners across the United States, through our wholly owned subsidiary, Orbis Education, which we acquired, by merger on January 22, 2019 for $361,184, net of cash acquired (the “Acquisition”). Orbis Education works in partnership with a growing number of top universities and healthcare networks across the country to develop high-quality, career-ready graduates who enter the workforce and ease healthcare industry demands. Orbis Education offers four primary academic programs with site simulation and skill labs located near healthcare providers. Therefore, the results of operations for the six months ended June 30, 2019 include Orbis Education’s financial results for the period from January 22, 2019 to June 30, 2019. See Note 2 to our consolidated financial statements for a full description of the Acquisition.</w:t>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Orbis Education is an education services company that supports healthcare education programs for 25 university partners across the United States. Concurrent with the closing of the Acquisition, GCE entered into an amended and restated credit agreement and used $191,000 from the amended and restated credit agreement and $171,034 of operating cash on hand to complete the purchase. See Note 10 of our consolidated financial statements for a description of the amended and restated credit agreement. The fair value of the assets acquired, less the liabilities assumed exceeded the purchase price by $157,825 which was recorded as goodwill. Transaction costs for the Acquisition for the six months ended June 30, 2019 were $3,966, which are included in the loss on transaction in our consolidated income statement.</w:t>
      </w:r>
    </w:p>
    <w:p>
      <w:pPr>
        <w:spacing w:after="0" w:line="165"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The Acquisition was accounted for in accordance with the acquisition method of accounting. Under this method the cost of the target is allocated to the identifiable assets acquired and liabilities assumed based on their estimated fair values at the date of acquisition. The following table provides a tabular depiction of the Company’s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allocation of the total purchase price to each of the assets acquired and liabilities assumed based on the Company’s fair value estimates.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including $300 of pledged collateral</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of $0</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i w:val="1"/>
                <w:iCs w:val="1"/>
                <w:color w:val="auto"/>
              </w:rPr>
              <w:t>Liabilities assumed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 net asset or liability purchased and assumed</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Purchase price</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365,977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Excess of fair value of net assets acquired over consideration given</w:t>
            </w: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w:t>
      </w:r>
    </w:p>
    <w:p>
      <w:pPr>
        <w:spacing w:after="0" w:line="188"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Subsequent to the closing of the Acquisition, the Company revised its allocation of the purchase price by $9,538 during the year ended December 31, 2019, primarily as the result of the tax effect of a lower tax basis in the acquired assets. The Company completed the allocation of the purchase price of the Acquisition as of December 31, 2019. The Company has consolidated the results of operations for Orbis Education since its Acquisition on January 22, 2019.</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2019. They do not include all of the information and footnotes required by U.S. generally accepted accounting principles for complete financial statements. Such interim financial information is unaudited but reflects all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2019 from which the December 31, 2019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5"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Restricted cash and cash equivalents at December 31, 2019 represented cash pledged for leased office space, which was released during the six months ended June 30,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379" w:firstLine="648"/>
        <w:spacing w:after="0" w:line="279" w:lineRule="auto"/>
        <w:rPr>
          <w:sz w:val="20"/>
          <w:szCs w:val="20"/>
          <w:color w:val="auto"/>
        </w:rPr>
      </w:pPr>
      <w:r>
        <w:rPr>
          <w:rFonts w:ascii="Arial" w:cs="Arial" w:eastAsia="Arial" w:hAnsi="Arial"/>
          <w:sz w:val="17"/>
          <w:szCs w:val="17"/>
          <w:color w:val="auto"/>
        </w:rPr>
        <w:t>The Company considers its investments in municipal bonds, mutual funds, municipal securities, certificates of deposit and commercial paper as trading securities based on the Company’s intent for the respective security. Trading securities are carried at fair value and unrealized holding gains and losses are included in earnings. See Note 2 of our consolidated financial statements for further discussion on the Acquisition.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June 30, 2020, the Company had loaned $169,815 to GCU, net of repayments, including $75.0 million in June 2020. The $75.0 million that was borrowed in June 2020 was repaid in July 2020.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June 30, 2020, $1,041, net of amortization, of deferred content assets are included in other assets, long-term in the Company’s consolidated balance sheets and amortization is included in technical and academic services where the costs originated.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classroom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left="60" w:right="479" w:firstLine="648"/>
        <w:spacing w:after="0" w:line="311" w:lineRule="auto"/>
        <w:rPr>
          <w:sz w:val="20"/>
          <w:szCs w:val="20"/>
          <w:color w:val="auto"/>
        </w:rPr>
      </w:pPr>
      <w:r>
        <w:rPr>
          <w:rFonts w:ascii="Arial" w:cs="Arial" w:eastAsia="Arial" w:hAnsi="Arial"/>
          <w:sz w:val="16"/>
          <w:szCs w:val="16"/>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two-step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64"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8"/>
          <w:szCs w:val="18"/>
          <w:color w:val="auto"/>
        </w:rPr>
        <w:t>Finite-lived intangible assets that are acquired in a business combination are recorded at fair value on their acquisition dates and are amortized on a straight-line basis over the estimated useful life of the intangible asset.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61"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Derivative financial instruments enable the Company to manage its exposure to interest rate risk. The Company does not engage in any derivative instrument trading activity.</w:t>
      </w:r>
    </w:p>
    <w:p>
      <w:pPr>
        <w:spacing w:after="0" w:line="170"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2013, the Company entered into an interest rate corridor to manage its 30-Day LIBOR interest exposure related to its variable rate debt. In December 2019 this cash flow hedge expired. The fair value of the interest rate corridor instrument as of June 30, 2019 was $187, which was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$341 for the six months ended June 30, 2019, for the effective portion of the losses on the derivative was included as a component of other comprehensive income, net of taxes.</w:t>
      </w:r>
    </w:p>
    <w:p>
      <w:pPr>
        <w:spacing w:after="0" w:line="177"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interest rate corridor instrument reduced variable interest rate risk starting March 1, 2013 through December 20, 2019. The corridor instrument’s terms permitted the Company to hedge its interest rate risk at several thresholds; the Company paid variable interest monthly based on the 30-Day LIBOR rates until that index reached 1.5%. If 30-Day LIBOR is equal to 1.5% through 3.0%, the Company paid 1.5%. If 30-Day LIBOR exceeded 3.0%, the Company paid actual 30-Day LIBOR less 1.5%. Therefore, the Company hedged its exposure to future variable rate cash flows through December 20, 2019.</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carrying value of cash and cash equivalents, investments, accounts receivable, accounts payable, accrued compensation and benefits and accrued liabilities expenses approximate their fair value based on the liquidity or the short-term maturities of these instruments. The carrying value of Secured Note receivable, non-current approximates fair value as the Secured Note resulted from the GCU Transaction and was negotiated at fair market value. The carrying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value of notes payable approximates fair value as it is based on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w:t>
      </w:r>
    </w:p>
    <w:p>
      <w:pPr>
        <w:spacing w:after="0" w:line="187"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fair value of investments, primarily municipal securities, was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Starting July 1, 2018, 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w:t>
      </w:r>
    </w:p>
    <w:p>
      <w:pPr>
        <w:spacing w:after="0" w:line="18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June 30, 2020 given historical collection experience. The Company will continue to review and revise its allowance methodology based on its collection experience with its partners.</w:t>
      </w:r>
    </w:p>
    <w:p>
      <w:pPr>
        <w:spacing w:after="0" w:line="19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$7,275 as of June 30, 2020 are included in accounts receivable in our consolidated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 xml:space="preserve">The Company records our accounts receivable and Secured Note receivable at the net amount expected to be collected. Our accounts receivable are derived through education services provided to university partners. Our Secured Note receivable was derived through the sale of university 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Since our transition to an education services company on July 1, 2018, and continued growth to 25 university partners, the Company has no credit losses with any of our university partners. In the first quarter of 2020, the Company adopted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using a modified retrospective approach. This model requires 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 The Company will continue to actively monitor the impact of the COVID-19 pandemic on expected credit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639" w:firstLine="648"/>
        <w:spacing w:after="0" w:line="311" w:lineRule="auto"/>
        <w:rPr>
          <w:sz w:val="20"/>
          <w:szCs w:val="20"/>
          <w:color w:val="auto"/>
        </w:rPr>
      </w:pPr>
      <w:r>
        <w:rPr>
          <w:rFonts w:ascii="Arial" w:cs="Arial" w:eastAsia="Arial" w:hAnsi="Arial"/>
          <w:sz w:val="16"/>
          <w:szCs w:val="16"/>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June 30, 2020 and December 31, 2019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The Company has not experienced any losses on receivables since July 1, 2018, the date the Company transitioned to an educational service provider. To manage accounts receivable risk, the Company maintains an allowance for doubtful accounts, if needed. Our dependence on our most significant university partner, with 87.0% and 89.7% of total service revenue for the six-month periods ended June 30, 2020 and 2019, respectively, subjects us to the risk that declines in our customer’s operations would result in a sustained reduction in service revenue and interest income on the Secured Note for the Company.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The Company operates as a single education services company using a core infrastructure that serves the curriculum and educational delivery needs of its university partners. The Company’s Chief Executive Officer manages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 Company’s operations as a whole and no expense or operating income information is generated or evaluated on any component level.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Pronouncements Adopted in 2020</w:t>
      </w:r>
    </w:p>
    <w:p>
      <w:pPr>
        <w:spacing w:after="0" w:line="225"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Under this guidance, the Company is required to utilize an “expected credit loss model”</w:t>
      </w:r>
      <w:r>
        <w:rPr>
          <w:rFonts w:ascii="Arial" w:cs="Arial" w:eastAsia="Arial" w:hAnsi="Arial"/>
          <w:sz w:val="16"/>
          <w:szCs w:val="16"/>
          <w:i w:val="1"/>
          <w:iCs w:val="1"/>
          <w:color w:val="auto"/>
        </w:rPr>
        <w:t xml:space="preserve"> </w:t>
      </w:r>
      <w:r>
        <w:rPr>
          <w:rFonts w:ascii="Arial" w:cs="Arial" w:eastAsia="Arial" w:hAnsi="Arial"/>
          <w:sz w:val="16"/>
          <w:szCs w:val="16"/>
          <w:color w:val="auto"/>
        </w:rPr>
        <w:t>on certain financial instruments, including receivables and the Secured note receivable. This model requires consideration of a broader range of reasonable and supportable information and requires the Company to estimate expected credit losses including a measure of the expected risk of credit loss even if that risk is remote over the lifetime of the asset. The standard is effective for fiscal years, and interim periods within those years, beginning after December 15, 2019. Accordingly, the standard was adopted by the Company as of January 1, 2020 using a modified retrospective approach. Upon adoption, the Company recorded a reserve of $5,000 on its long-term Secured Note receivable. The cumulative effect for the Company upon adoption of this new standard was $3,832, net of tax. The adoption of this guidance did not have a material impact on the Company’s financial condition, results of operations or statements of cash flows. The Company will continue to actively monitor the impact of the COVID-19 pandemic on expected credit losses.</w:t>
      </w:r>
    </w:p>
    <w:p>
      <w:pPr>
        <w:spacing w:after="0" w:line="17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 xml:space="preserve">In April 2019, the FASB issued ASU 2019-04, </w:t>
      </w:r>
      <w:r>
        <w:rPr>
          <w:rFonts w:ascii="Arial" w:cs="Arial" w:eastAsia="Arial" w:hAnsi="Arial"/>
          <w:sz w:val="18"/>
          <w:szCs w:val="18"/>
          <w:i w:val="1"/>
          <w:iCs w:val="1"/>
          <w:color w:val="auto"/>
        </w:rPr>
        <w:t>Codification Improvements to Topic 326, 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815, Derivatives and Hedging, and Topic 825, Financial Instruments</w:t>
      </w:r>
      <w:r>
        <w:rPr>
          <w:rFonts w:ascii="Arial" w:cs="Arial" w:eastAsia="Arial" w:hAnsi="Arial"/>
          <w:sz w:val="18"/>
          <w:szCs w:val="18"/>
          <w:color w:val="auto"/>
        </w:rPr>
        <w:t>. The amendments in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the Codification by eliminating inconsistencies and providing clarifications. Under this guidance, the Company made an election not to measure an allowance for credit losses on its accrued interest receivable amounts earned on the Secured Note receivable. The Company will write off any uncollectible accrued interest in a timely manner. The adoption of this guidance did not have a material impact on the Company’s financial condition, results of operations or statements of cash flows.</w:t>
      </w:r>
    </w:p>
    <w:p>
      <w:pPr>
        <w:spacing w:after="0" w:line="19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which eliminated step two from the goodwill impairment test and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 impairment charge for the amount by which the carrying amount of a reporting unit exceeds its fair value, up to the amount of goodwill allocated to that reporting unit. The amendments in this standard are effective for fiscal years beginning after December 15, 2019, with early adoption permitted. Accordingly, the standard was adopted by us as of January 1, 2020. The adoption of this guidance did not have a material impact on the Company’s financial condition, results of operations or statements of cash flows.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This ASU is intended to simplify various aspects related to accounting for income taxes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The Company is currently evaluating the impact of the new standard on our consolidated financial statements and related disclosures.</w:t>
      </w:r>
    </w:p>
    <w:p>
      <w:pPr>
        <w:spacing w:after="0" w:line="165"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 xml:space="preserve">In March 2020, the FASB issued ASU No. 2020-04, Reference Rate Reform (Topic 848): </w:t>
      </w:r>
      <w:r>
        <w:rPr>
          <w:rFonts w:ascii="Arial" w:cs="Arial" w:eastAsia="Arial" w:hAnsi="Arial"/>
          <w:sz w:val="16"/>
          <w:szCs w:val="16"/>
          <w:i w:val="1"/>
          <w:iCs w:val="1"/>
          <w:color w:val="auto"/>
        </w:rPr>
        <w:t>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of Reference Rate Reform on Financial Reporting</w:t>
      </w:r>
      <w:r>
        <w:rPr>
          <w:rFonts w:ascii="Arial" w:cs="Arial" w:eastAsia="Arial" w:hAnsi="Arial"/>
          <w:sz w:val="16"/>
          <w:szCs w:val="16"/>
          <w:color w:val="auto"/>
        </w:rPr>
        <w:t>. The amendments in this update provide optional guidance for 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period of time to ease the potential burden in accounting for (or recognizing the effect of) reference rate reform on financial reporting. It provides optional expedients and exceptions for applying generally accepted accounting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principles to contracts, hedging relationships, and other transactions affected by reference rate reform if certain criteria are met. The amendments in this update are effective for all entities as of March 12, 2020 through December 31, 2022. The Company plans to elect the optional expedient for its credit facility by prospectively adjusting the effective interest rate if the cessation of the London Interbank Offered Rate (LIBOR) occurs. The Company does not believe the adoption of the reference rate reform will have a material impact on the Company’s financial condition, results of operations or statements of cash flows.</w:t>
      </w:r>
    </w:p>
    <w:p>
      <w:pPr>
        <w:spacing w:after="0" w:line="192"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The Company classifies its investments as trading. At June 30, 2020 and December 31, 2019, the Company had $14,691 and $21,601, respectively, of investments. These investments were held in municipal and corporate securities as of June 30, 2020 and December 31,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Net Income Per Common Share</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46,893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47,851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47,788</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47,151</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48,313</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47,457</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Diluted weighted average shares outstanding excludes the incremental effect of unvested restricted stock and shares that would be issued upon the assumed exercise of stock options in accordance with the treasury stock method. For the three month periods ended June 30, 2020 and 2019, approximately 81 and 0, respectively, and for the six month periods ended June 30, 2020 and 2019, approximately 182 and 0, respectively, of the Company’s restricted stock awards outstanding were excluded from the calculation of diluted earnings per share as their inclusion would have been anti-dilutive. These options and restricted stock awards could be dilutive in the future.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Allowance for Credit Losses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Charged to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Deductions/</w:t>
            </w:r>
          </w:p>
        </w:tc>
        <w:tc>
          <w:tcPr>
            <w:tcW w:w="1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520" w:type="dxa"/>
            <w:vAlign w:val="bottom"/>
            <w:gridSpan w:val="4"/>
          </w:tcPr>
          <w:p>
            <w:pPr>
              <w:ind w:left="1580"/>
              <w:spacing w:after="0" w:line="149" w:lineRule="exact"/>
              <w:rPr>
                <w:sz w:val="20"/>
                <w:szCs w:val="20"/>
                <w:color w:val="auto"/>
              </w:rPr>
            </w:pPr>
            <w:r>
              <w:rPr>
                <w:rFonts w:ascii="Arial" w:cs="Arial" w:eastAsia="Arial" w:hAnsi="Arial"/>
                <w:sz w:val="14"/>
                <w:szCs w:val="14"/>
                <w:b w:val="1"/>
                <w:bCs w:val="1"/>
                <w:color w:val="auto"/>
              </w:rPr>
              <w:t>Beginning of</w:t>
            </w:r>
          </w:p>
        </w:tc>
        <w:tc>
          <w:tcPr>
            <w:tcW w:w="8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Period (1)</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Expense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Transfers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1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Six months ended June 30, 2020</w:t>
            </w:r>
          </w:p>
        </w:tc>
        <w:tc>
          <w:tcPr>
            <w:tcW w:w="17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2019</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40" w:type="dxa"/>
            <w:vAlign w:val="bottom"/>
            <w:tcBorders>
              <w:bottom w:val="single" w:sz="8" w:color="auto"/>
            </w:tcBorders>
          </w:tcPr>
          <w:p>
            <w:pPr>
              <w:spacing w:after="0"/>
              <w:rPr>
                <w:sz w:val="22"/>
                <w:szCs w:val="22"/>
                <w:color w:val="auto"/>
              </w:rPr>
            </w:pPr>
          </w:p>
        </w:tc>
        <w:tc>
          <w:tcPr>
            <w:tcW w:w="16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Represents the cumulative effect of the adoption of ASU No. 2016-13 on the Secured Note receivable.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20" w:lineRule="exact"/>
        <w:rPr>
          <w:rFonts w:ascii="Arial" w:cs="Arial" w:eastAsia="Arial" w:hAnsi="Arial"/>
          <w:sz w:val="18"/>
          <w:szCs w:val="18"/>
          <w:color w:val="auto"/>
        </w:rPr>
      </w:pPr>
    </w:p>
    <w:p>
      <w:pPr>
        <w:ind w:left="240" w:hanging="190"/>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69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Land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11,691</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10,423</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37,175</w:t>
            </w: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r>
      <w:tr>
        <w:trPr>
          <w:trHeight w:val="209"/>
        </w:trPr>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229,771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216,767</w:t>
            </w: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(105,705)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(97,033)</w:t>
            </w:r>
          </w:p>
        </w:tc>
      </w:tr>
      <w:tr>
        <w:trPr>
          <w:trHeight w:val="209"/>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124,066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119,734</w:t>
            </w: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9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197,847</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197,847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159,961</w:t>
            </w:r>
          </w:p>
        </w:tc>
      </w:tr>
      <w:tr>
        <w:trPr>
          <w:trHeight w:val="210"/>
        </w:trPr>
        <w:tc>
          <w:tcPr>
            <w:tcW w:w="7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197,847</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have terms that range from 9 months to 10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color w:val="auto"/>
        </w:rPr>
        <w:t>Company had operating lease costs of $3,055 and $1,507 for the six-month periods ended June 30, 2020 and 2019, respectively.</w:t>
      </w:r>
    </w:p>
    <w:p>
      <w:pPr>
        <w:spacing w:after="0" w:line="170"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As of June 30, 2020, the Company had $17,416 of non-cancelable operating lease commitments for classroom site locations, that had not yet commenced. These operating leases will commence in 2020 with an average lease term of 9.25 years. The Company’s weighted-average remaining lease term relating to its operating leases is 8.83 years, with a weighted-average discount rate of 3.72%. As of June 30, 2020, the Company had no financing leases.</w:t>
      </w:r>
    </w:p>
    <w:p>
      <w:pPr>
        <w:spacing w:after="0" w:line="157"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June 30, 2020,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6,499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25,971</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53,047</w:t>
            </w: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45,192</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Notes Payable and Other Noncurrent Liabilities</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entered into an amended and restated credit agreement dated January 22, 2019 and two related amendments dated January 31, 2019 and dated February 1, 2019, respectively, that together provide a credit facility of $325,000 comprised of a term loan facility of $243,750 and a revolving credit facility of $81,250, both with a five-year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$6,250 drawn under the revolver and operating cash on hand were used to complete the Acquisition. Concurrent with the amendment of the credit agreement and Acquisition, we repaid our existing term loan of $59,850 and our cash collateral of $61,667 was released. The Company concluded that the amended and restated credit agreement is considered a loan modification. Accordingly, the Company allocated the costs paid to the bank consortium based on the borrowing dollars and recorded an asset of $596 and a contra liability of $1,639, which are related to our revolver and term loan, respectively, that is being amortized to interest expense over the five-year maturity date. Additionally, the Company expensed $150 of third-party costs in the first quarter of 2019 related to this loan modification.</w:t>
      </w:r>
    </w:p>
    <w:p>
      <w:pPr>
        <w:spacing w:after="0" w:line="174" w:lineRule="exact"/>
        <w:rPr>
          <w:sz w:val="20"/>
          <w:szCs w:val="20"/>
          <w:color w:val="auto"/>
        </w:rPr>
      </w:pPr>
    </w:p>
    <w:p>
      <w:pPr>
        <w:ind w:left="60" w:right="319" w:firstLine="648"/>
        <w:spacing w:after="0" w:line="293" w:lineRule="auto"/>
        <w:rPr>
          <w:sz w:val="20"/>
          <w:szCs w:val="20"/>
          <w:color w:val="auto"/>
        </w:rPr>
      </w:pPr>
      <w:r>
        <w:rPr>
          <w:rFonts w:ascii="Arial" w:cs="Arial" w:eastAsia="Arial" w:hAnsi="Arial"/>
          <w:sz w:val="16"/>
          <w:szCs w:val="16"/>
          <w:color w:val="auto"/>
        </w:rPr>
        <w:t>The Company entered into a further amendment for the credit facility on October 31, 2019. This amendment increased the revolving commitment by $68,750 to $150,000, while reducing the term loan by the same $68,750 to $150,625. The Company concluded that this amendment is considered a loan modification. The amended and restated credit agreement contains standard covenants that, among other things, restrict the Company’s ability to incur additional debt or make certain investments, and require the Company to achieve certain financial ratios and maintain certain financial conditions. The Company’s obligations under the credit facility are secured by its assets, including all rights,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benefits and payments under the Secured Note and the Master Services Agreement. As of June 30, 2020, the Company is in compliance with its debt covenants.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460" w:type="dxa"/>
            <w:vAlign w:val="bottom"/>
            <w:gridSpan w:val="8"/>
          </w:tcPr>
          <w:p>
            <w:pPr>
              <w:jc w:val="right"/>
              <w:spacing w:after="0"/>
              <w:rPr>
                <w:sz w:val="20"/>
                <w:szCs w:val="20"/>
                <w:color w:val="auto"/>
              </w:rPr>
            </w:pPr>
            <w:r>
              <w:rPr>
                <w:rFonts w:ascii="Arial" w:cs="Arial" w:eastAsia="Arial" w:hAnsi="Arial"/>
                <w:sz w:val="14"/>
                <w:szCs w:val="14"/>
                <w:b w:val="1"/>
                <w:bCs w:val="1"/>
                <w:color w:val="auto"/>
              </w:rPr>
              <w:t>As of June 30,   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line="201" w:lineRule="exact"/>
              <w:rPr>
                <w:sz w:val="20"/>
                <w:szCs w:val="20"/>
                <w:color w:val="auto"/>
              </w:rPr>
            </w:pPr>
            <w:r>
              <w:rPr>
                <w:rFonts w:ascii="Arial" w:cs="Arial" w:eastAsia="Arial" w:hAnsi="Arial"/>
                <w:sz w:val="18"/>
                <w:szCs w:val="18"/>
                <w:color w:val="auto"/>
                <w:w w:val="93"/>
              </w:rPr>
              <w:t>Note payable, quarterly payment of $8,368 starting December 31, 2019; interest at 30-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Day LIBOR plus 2.00% (2.17% at June 30, 2020) through January 22, 2024</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124,346</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3"/>
              </w:rPr>
              <w:t>Revolving line of credit; interest at 30-Day LIBOR plus 2.0% (2.17% at June 30, 2020)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124,346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91,202</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780" w:type="dxa"/>
            <w:vAlign w:val="bottom"/>
            <w:gridSpan w:val="3"/>
          </w:tcPr>
          <w:p>
            <w:pPr>
              <w:jc w:val="right"/>
              <w:spacing w:after="0"/>
              <w:rPr>
                <w:sz w:val="20"/>
                <w:szCs w:val="20"/>
                <w:color w:val="auto"/>
              </w:rPr>
            </w:pPr>
            <w:r>
              <w:rPr>
                <w:rFonts w:ascii="Arial" w:cs="Arial" w:eastAsia="Arial" w:hAnsi="Arial"/>
                <w:sz w:val="18"/>
                <w:szCs w:val="18"/>
                <w:color w:val="auto"/>
                <w:w w:val="97"/>
              </w:rPr>
              <w:t>Payments due under the notes payable obligations are as follows as of June 30, 2020:</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09"/>
        </w:trPr>
        <w:tc>
          <w:tcPr>
            <w:tcW w:w="6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Income Tax Related</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During the first quarter of 2019, the Company reached an agreement with the Arizona Department of Revenue regarding previously filed refund claims related to income tax obligations for calendar year 2008 through calendar year 2013. As a result of the agreement, the Company received a refund of $7,500, inclusive of both tax and interest. Net of the federal tax benefit, the refund has a favorable tax impact of $5,925. The Company recorded the impact of this discrete tax item in its first quarter 2019 financials.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193" w:lineRule="exact"/>
        <w:rPr>
          <w:sz w:val="20"/>
          <w:szCs w:val="20"/>
          <w:color w:val="auto"/>
        </w:rPr>
      </w:pPr>
    </w:p>
    <w:p>
      <w:pPr>
        <w:ind w:left="700" w:right="6579" w:hanging="650"/>
        <w:spacing w:after="0" w:line="603" w:lineRule="auto"/>
        <w:tabs>
          <w:tab w:leader="none" w:pos="32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June 30, 2020, 1,598 shares were available for grants under the 2017 Plan. All grants of equity incentives made after June 2017 have been made from the 2017 Plan.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During the six months ended June 30, 2020, the Company granted 164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held in lieu of taxes equivalent to the minimum statutory tax withholding required to be paid when the restricted stock vests. During the six months ended June 30, 2020, the Company withheld 62 shares of common stock in lieu of taxes at a cost of $4,969 on the restricted stock vesting dates. In June 2020, following the annual stockholders meeting, the Company granted 3 shares of common stock to the non-employee members of the Company’s Board of Directors. The restricted shares granted to these directors have voting rights and vest on the earlier of (a) the one year anniversary of the date of grant or (b) immediately prior to the following year’s annual stockholders’ meeting. A summary of the activity related to restricted stock granted under the Company’s Incentive Plan since December 31, 2019 is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3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Forfeited, canceled or expired</w:t>
            </w:r>
          </w:p>
        </w:tc>
        <w:tc>
          <w:tcPr>
            <w:tcW w:w="39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June 30, 2020</w:t>
            </w: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20" w:type="dxa"/>
            <w:vAlign w:val="bottom"/>
            <w:vMerge w:val="restart"/>
          </w:tcPr>
          <w:p>
            <w:pPr>
              <w:jc w:val="right"/>
              <w:ind w:right="2090"/>
              <w:spacing w:after="0"/>
              <w:rPr>
                <w:sz w:val="20"/>
                <w:szCs w:val="20"/>
                <w:color w:val="auto"/>
              </w:rPr>
            </w:pPr>
            <w:r>
              <w:rPr>
                <w:rFonts w:ascii="Arial" w:cs="Arial" w:eastAsia="Arial" w:hAnsi="Arial"/>
                <w:sz w:val="18"/>
                <w:szCs w:val="18"/>
                <w:color w:val="auto"/>
              </w:rPr>
              <w:t>21</w:t>
            </w: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six months ended June 30, 2020, no options were granted. A summary of the activity since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 related to stock options granted under the Company’s Incentive Plan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Summary of Stock Options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Price per</w:t>
            </w:r>
          </w:p>
        </w:tc>
        <w:tc>
          <w:tcPr>
            <w:tcW w:w="10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Term (Years)</w:t>
            </w:r>
          </w:p>
        </w:tc>
        <w:tc>
          <w:tcPr>
            <w:tcW w:w="700" w:type="dxa"/>
            <w:vAlign w:val="bottom"/>
          </w:tcPr>
          <w:p>
            <w:pPr>
              <w:spacing w:after="0" w:line="176" w:lineRule="exact"/>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canceled or expired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0.69</w:t>
            </w: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6"/>
              </w:rPr>
              <w:t>$ 17,096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Exercisable as of June 30, 2020</w:t>
            </w: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3"/>
            <w:vMerge w:val="continue"/>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15.34</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4"/>
              <w:spacing w:after="0" w:line="196" w:lineRule="exact"/>
              <w:rPr>
                <w:sz w:val="20"/>
                <w:szCs w:val="20"/>
                <w:color w:val="auto"/>
              </w:rPr>
            </w:pPr>
            <w:r>
              <w:rPr>
                <w:rFonts w:ascii="Arial" w:cs="Arial" w:eastAsia="Arial" w:hAnsi="Arial"/>
                <w:sz w:val="18"/>
                <w:szCs w:val="18"/>
                <w:color w:val="auto"/>
              </w:rPr>
              <w:t>0.69</w:t>
            </w:r>
          </w:p>
        </w:tc>
        <w:tc>
          <w:tcPr>
            <w:tcW w:w="160" w:type="dxa"/>
            <w:vAlign w:val="bottom"/>
          </w:tcPr>
          <w:p>
            <w:pPr>
              <w:spacing w:after="0"/>
              <w:rPr>
                <w:sz w:val="17"/>
                <w:szCs w:val="17"/>
                <w:color w:val="auto"/>
              </w:rPr>
            </w:pPr>
          </w:p>
        </w:tc>
        <w:tc>
          <w:tcPr>
            <w:tcW w:w="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6"/>
              </w:rPr>
              <w:t>$ 17,096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519" w:hanging="330"/>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Company’s closing stock price on June 30, 2020 ($90.53) in excess of the exercise price multiplied by the number of shares underlying options outstanding or exercisable, as applicable.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2020 and 2019 related to restricted stock and stock options granted: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2,649</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r>
      <w:tr>
        <w:trPr>
          <w:trHeight w:val="210"/>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w:t>
            </w: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r>
      <w:tr>
        <w:trPr>
          <w:trHeight w:val="210"/>
        </w:trPr>
        <w:tc>
          <w:tcPr>
            <w:tcW w:w="6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r>
      <w:tr>
        <w:trPr>
          <w:trHeight w:val="20"/>
        </w:trPr>
        <w:tc>
          <w:tcPr>
            <w:tcW w:w="6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Treasury Stock</w:t>
      </w:r>
    </w:p>
    <w:p>
      <w:pPr>
        <w:spacing w:after="0" w:line="229" w:lineRule="exact"/>
        <w:rPr>
          <w:sz w:val="20"/>
          <w:szCs w:val="20"/>
          <w:color w:val="auto"/>
        </w:rPr>
      </w:pPr>
    </w:p>
    <w:p>
      <w:pPr>
        <w:jc w:val="both"/>
        <w:ind w:left="60" w:right="319" w:firstLine="648"/>
        <w:spacing w:after="0" w:line="287" w:lineRule="auto"/>
        <w:rPr>
          <w:sz w:val="20"/>
          <w:szCs w:val="20"/>
          <w:color w:val="auto"/>
        </w:rPr>
      </w:pPr>
      <w:r>
        <w:rPr>
          <w:rFonts w:ascii="Arial" w:cs="Arial" w:eastAsia="Arial" w:hAnsi="Arial"/>
          <w:sz w:val="16"/>
          <w:szCs w:val="16"/>
          <w:color w:val="auto"/>
        </w:rPr>
        <w:t>In July 2020, the Board of Directors increased the authorization under its existing stock repurchase program by $50,000 to a total of $300,000 in aggregate of common stock it can repurchase, from time to time, depending on market conditions and other considerations. The expiration date on the repurchase authorization is December 31, 2021.</w:t>
      </w:r>
    </w:p>
    <w:p>
      <w:pPr>
        <w:spacing w:after="0" w:line="2"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auto"/>
        </w:rPr>
        <w:t>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six months ended June 30, 2020 the Company repurchased 898 shares of common stock at an aggregate cost of $69,048. At June 30, 2020, there remained $58,268 available under its current share repurchase authorization, prior to the increase made in July. Shares repurchased in lieu of taxes are not included in the repurchase plan totals as they were approved in conjunction with the restricted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14. Subsequent Event</w:t>
      </w:r>
    </w:p>
    <w:p>
      <w:pPr>
        <w:spacing w:after="0" w:line="229"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231F20"/>
        </w:rPr>
        <w:t>In March 2020, the World Health Organization declared COVID-19 a global pandemic. This contagious outbreak and the related adverse public health developments, including orders to shelter-in-place, travel restrictions and mandated non-essential business closures, have adversely affected our business, primarily through reduced ancillary revenue at our most significant university partner, GCU and as a result of certain of Orbis Education’s partner institution’s students deferring the start of their program from the Summer semester to the Fall semester. There is a risk that not all of the students interested in starting their program in the Fall will be able to given potential constraints on the availability of clinical rotations. These recent developments are expected to result in lower education service revenue and lower operating income and margins in the third and fourth quarters of 2020. At this time there remains considerable uncertainty around the duration of the COVID-19 pandemic. If some of our university partners are not able to allow their students to return to their campus locations in the Fall of 2020, this will have a further impact on our service revenue, operating income and margins. These factors, or material changes in the fair value of the collateral underlying our Secured Note receivable and accounts receivable could also materially impact the allowance for expected credit losses on our Secured Note receivable and our accounts receivable. However, the related financial impact and duration of the COVID-19 pandemic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whether regulatory developments or other matters may or may not have a material adverse effect on our financial position, results of operations, or liquidity; projections, predictions, expectations, estimates, or forecasts as to our business, financial and operational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68" w:lineRule="exact"/>
        <w:rPr>
          <w:sz w:val="20"/>
          <w:szCs w:val="20"/>
          <w:color w:val="auto"/>
        </w:rPr>
      </w:pPr>
    </w:p>
    <w:p>
      <w:pPr>
        <w:ind w:left="60" w:right="299" w:firstLine="648"/>
        <w:spacing w:after="0" w:line="293"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64" w:lineRule="exact"/>
        <w:rPr>
          <w:sz w:val="20"/>
          <w:szCs w:val="20"/>
          <w:color w:val="auto"/>
        </w:rPr>
      </w:pPr>
    </w:p>
    <w:p>
      <w:pPr>
        <w:ind w:left="720" w:right="7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harm to our business, results of operations, and financial condition, and harm to our most significant university partner in connection with the COVID-19 outbreak;</w:t>
      </w:r>
    </w:p>
    <w:p>
      <w:pPr>
        <w:spacing w:after="0" w:line="170"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pacing w:after="0" w:line="170" w:lineRule="exact"/>
        <w:rPr>
          <w:rFonts w:ascii="Arial" w:cs="Arial" w:eastAsia="Arial" w:hAnsi="Arial"/>
          <w:sz w:val="18"/>
          <w:szCs w:val="18"/>
          <w:color w:val="auto"/>
        </w:rPr>
      </w:pPr>
    </w:p>
    <w:p>
      <w:pPr>
        <w:ind w:left="720" w:right="3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client;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right="7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and</w:t>
      </w:r>
    </w:p>
    <w:p>
      <w:pPr>
        <w:spacing w:after="0" w:line="238"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“2019 Form 10-K”) for the fiscal year ended December 31, 2019,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379" w:firstLine="648"/>
        <w:spacing w:after="0" w:line="275" w:lineRule="auto"/>
        <w:rPr>
          <w:sz w:val="20"/>
          <w:szCs w:val="20"/>
          <w:color w:val="auto"/>
        </w:rPr>
      </w:pPr>
      <w:r>
        <w:rPr>
          <w:rFonts w:ascii="Arial" w:cs="Arial" w:eastAsia="Arial" w:hAnsi="Arial"/>
          <w:sz w:val="17"/>
          <w:szCs w:val="17"/>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nine colleges both online and on ground at its campus in Phoenix, Arizona.</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 xml:space="preserve">In January 2019, GCE began providing education services to numerous university partners across the United States, through our wholly owned subsidiary, Orbis Education, which we acquired on January 22, 2019. See </w:t>
      </w:r>
      <w:r>
        <w:rPr>
          <w:rFonts w:ascii="Arial" w:cs="Arial" w:eastAsia="Arial" w:hAnsi="Arial"/>
          <w:sz w:val="18"/>
          <w:szCs w:val="18"/>
          <w:i w:val="1"/>
          <w:iCs w:val="1"/>
          <w:color w:val="auto"/>
        </w:rPr>
        <w:t>Note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 </w:t>
      </w:r>
      <w:r>
        <w:rPr>
          <w:rFonts w:ascii="Arial" w:cs="Arial" w:eastAsia="Arial" w:hAnsi="Arial"/>
          <w:sz w:val="18"/>
          <w:szCs w:val="18"/>
          <w:color w:val="auto"/>
        </w:rPr>
        <w:t>to consolidated financial statements for a full description of the Acquisition. Orbis Education works in</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with a growing number of top universities and healthcare networks across the country to develop high-quality, career-ready graduates who enter the workforce and ease healthcare industry demands. Orbis Education offers four primary academic programs with site simulation and skill labs located near healthcare providers. Therefore, the results of operations for the six months ended June 30, 2019 include Orbis Education’s financial results for the period from January 22, 2019 to June 30,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231F20"/>
        </w:rPr>
        <w:t>In March 2020, the World Health Organization declared the novel coronavirus outbreak (“COVID-19”)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our university partners. Due to the economic disruption caused by the COVID-19 pandemic, the National Bureau of Economic Research announced in June 2020 that the United States entered into a recession in February 2020.</w:t>
      </w:r>
    </w:p>
    <w:p>
      <w:pPr>
        <w:spacing w:after="0" w:line="16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231F20"/>
        </w:rPr>
        <w:t>The Company has a long-term master services agreement pursuant to which the Company provides education services to its most significant university partner, GCU, in return for 60% of GCU’s tuition and fee revenues, which includes fee revenues from room, board, and other ancillary businesses including a student-run golf course and hotel. GCU has three types of students, traditional ground university students attending class on its campus in Phoenix, Arizona and of which approximately 70% live on campus in university owned residence halls, professional studies students who are working adult students that attend class one night a week on the Phoenix campus, and online students that attend class fully online.</w:t>
      </w:r>
    </w:p>
    <w:p>
      <w:pPr>
        <w:spacing w:after="0" w:line="195"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231F20"/>
        </w:rPr>
        <w:t>This outbreak, as well as measures taken to contain the spread of COVID-19, has impacted GCU’s students and its business in a number of ways. Beginning in March 2020, GCU’s programs for its professional studies students and its traditional ground university students were immediately converted to an online learning environment and residential students were strongly encouraged to move off campus. Given the Company’s historical experience delivering online education services and the fact that all of GCU’s students and faculty use the university’s online learning management system for at least some of the coursework, the transition thus far has been seamless and thus, the university has not incurred a significant decrease in tuition revenue or significant increase in costs associated with this transition. In addition, the following impacts from the COVID-19 pandemic have served to reduce GCU’s non-tuition revenue during its Spring and Summer semesters and, consequently, the service revenues we earn under the master services agreement:</w:t>
      </w:r>
    </w:p>
    <w:p>
      <w:pPr>
        <w:spacing w:after="0" w:line="382" w:lineRule="exact"/>
        <w:rPr>
          <w:sz w:val="20"/>
          <w:szCs w:val="20"/>
          <w:color w:val="auto"/>
        </w:rPr>
      </w:pPr>
    </w:p>
    <w:p>
      <w:pPr>
        <w:ind w:left="720" w:right="379" w:hanging="319"/>
        <w:spacing w:after="0" w:line="286" w:lineRule="auto"/>
        <w:tabs>
          <w:tab w:leader="none" w:pos="720"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Traditional ground university students who elected to move off campus near the end of the Spring semester received partial refunds for dormitory and meal payments, which reduced GCU’s revenue and thus the service revenues earned by the Company in the last nine days of March and the month of April;</w:t>
      </w:r>
    </w:p>
    <w:p>
      <w:pPr>
        <w:spacing w:after="0" w:line="165" w:lineRule="exact"/>
        <w:rPr>
          <w:rFonts w:ascii="Arial" w:cs="Arial" w:eastAsia="Arial" w:hAnsi="Arial"/>
          <w:sz w:val="17"/>
          <w:szCs w:val="17"/>
          <w:color w:val="231F20"/>
        </w:rPr>
      </w:pPr>
    </w:p>
    <w:p>
      <w:pPr>
        <w:jc w:val="both"/>
        <w:ind w:left="720" w:right="159" w:hanging="319"/>
        <w:spacing w:after="0" w:line="263"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Ancillary businesses operated by GCU such as its hotel and merchandise shops were closed in late March, which reduced and will continue to reduce GCU’s revenues and thus the service revenues earned by the Company until these businesses are reopened;</w:t>
      </w:r>
    </w:p>
    <w:p>
      <w:pPr>
        <w:spacing w:after="0" w:line="183" w:lineRule="exact"/>
        <w:rPr>
          <w:rFonts w:ascii="Arial" w:cs="Arial" w:eastAsia="Arial" w:hAnsi="Arial"/>
          <w:sz w:val="18"/>
          <w:szCs w:val="18"/>
          <w:color w:val="231F20"/>
        </w:rPr>
      </w:pPr>
    </w:p>
    <w:p>
      <w:pPr>
        <w:ind w:left="720" w:right="459" w:hanging="319"/>
        <w:spacing w:after="0" w:line="277"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Summer semester classes were moved to an online environment and limited residential students remained on campus during the Summer semester;</w:t>
      </w:r>
    </w:p>
    <w:p>
      <w:pPr>
        <w:spacing w:after="0" w:line="170" w:lineRule="exact"/>
        <w:rPr>
          <w:rFonts w:ascii="Arial" w:cs="Arial" w:eastAsia="Arial" w:hAnsi="Arial"/>
          <w:sz w:val="18"/>
          <w:szCs w:val="18"/>
          <w:color w:val="231F20"/>
        </w:rPr>
      </w:pPr>
    </w:p>
    <w:p>
      <w:pPr>
        <w:ind w:left="720" w:right="139" w:hanging="319"/>
        <w:spacing w:after="0" w:line="286" w:lineRule="auto"/>
        <w:tabs>
          <w:tab w:leader="none" w:pos="720"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GCU’s doctoral students are required to attend two residencies on the university’s campus and at its hotel in Phoenix, Arizona as part of their dissertation. On an annual basis approximately 3,000 learners attend the week-long residency, most of whom have historically attended in the Summer. Most of the residencies that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color w:val="231F20"/>
        </w:rPr>
        <w:t>were scheduled for the last week of March through the end of July were cancelled and it is likely that most of the residencies through the end of the calendar year will also be cancelled.</w:t>
      </w:r>
    </w:p>
    <w:p>
      <w:pPr>
        <w:spacing w:after="0" w:line="170"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On July 17, 2020, GCU announced its plans for the traditional campus Fall semester. Those plans include moving back the start of instruction for the Fall semester from August 24, 2020 to September 7, 2020, beginning the semester with online instruction for all students, providing for residential students to move in during the week of September 21, 2020, beginning face-to-face instruction on September 28, 2020, eliminating some holiday breaks, and adding an additional week of instruction in December. The change in the start date for GCU’s ground traditional students will have the effect of moving tuition revenue for all GCU traditional students, and certain ancillary revenue for residential students, from the 3rd quarter of 2020 to the 4th quarter of 2020, and the change in the move-in date for GCU’s residential students will reduce Fall semester room and board revenue for the university by three weeks.</w:t>
      </w:r>
    </w:p>
    <w:p>
      <w:pPr>
        <w:spacing w:after="0" w:line="17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Although the complete financial impact of COVID-19 on GCU’s Fall semester enrollment will not be known until it begins the Fall semester, it is currently anticipated that GCU’s ground traditional enrollment will be higher than initially anticipated but that the number of students living on campus in the Fall semester will be less as a significant number of students have informed the university that they plan to take all of their Fall semester courses online and remain at home given COVID-19 health concerns. The changes described above at GCU will impact the Company’s service revenue under its Master Services Agreement with GCU.</w:t>
      </w:r>
    </w:p>
    <w:p>
      <w:pPr>
        <w:spacing w:after="0" w:line="192"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231F20"/>
        </w:rPr>
        <w:t xml:space="preserve">The Company also has long-term services agreements with </w:t>
      </w:r>
      <w:r>
        <w:rPr>
          <w:rFonts w:ascii="Arial" w:cs="Arial" w:eastAsia="Arial" w:hAnsi="Arial"/>
          <w:sz w:val="16"/>
          <w:szCs w:val="16"/>
          <w:color w:val="000000"/>
        </w:rPr>
        <w:t>numerous university partners across the United States</w:t>
      </w:r>
      <w:r>
        <w:rPr>
          <w:rFonts w:ascii="Arial" w:cs="Arial" w:eastAsia="Arial" w:hAnsi="Arial"/>
          <w:sz w:val="16"/>
          <w:szCs w:val="16"/>
          <w:color w:val="231F20"/>
        </w:rPr>
        <w:t xml:space="preserve"> </w:t>
      </w:r>
      <w:r>
        <w:rPr>
          <w:rFonts w:ascii="Arial" w:cs="Arial" w:eastAsia="Arial" w:hAnsi="Arial"/>
          <w:sz w:val="16"/>
          <w:szCs w:val="16"/>
          <w:color w:val="000000"/>
        </w:rPr>
        <w:t>through its wholly owned subsidiary, Orbis Education. Orbis Education offers four primary academic programs with site simulation and skill labs located near healthcare providers. The majority of Orbis Education university partners’ students are studying in the Accelerated Bachelor of Science in Nursing program which is offered in a 12-16 month format in three or four academic semesters. The Spring semester was completed without interruption and each university partner is in its Summer semester. Some students who were scheduled to start their program in the Summer semester delayed their start until the Fall semester which resulted in slightly lower enrollments and revenues in the Summer semester.</w:t>
      </w:r>
    </w:p>
    <w:p>
      <w:pPr>
        <w:spacing w:after="0" w:line="166" w:lineRule="exact"/>
        <w:rPr>
          <w:sz w:val="20"/>
          <w:szCs w:val="20"/>
          <w:color w:val="auto"/>
        </w:rPr>
      </w:pPr>
    </w:p>
    <w:p>
      <w:pPr>
        <w:jc w:val="both"/>
        <w:ind w:left="60" w:right="219" w:firstLine="648"/>
        <w:spacing w:after="0" w:line="287" w:lineRule="auto"/>
        <w:rPr>
          <w:sz w:val="20"/>
          <w:szCs w:val="20"/>
          <w:color w:val="auto"/>
        </w:rPr>
      </w:pPr>
      <w:r>
        <w:rPr>
          <w:rFonts w:ascii="Arial" w:cs="Arial" w:eastAsia="Arial" w:hAnsi="Arial"/>
          <w:sz w:val="16"/>
          <w:szCs w:val="16"/>
          <w:color w:val="auto"/>
        </w:rPr>
        <w:t>Although the complete financial impact of COVID-19 on our other university partners’ Fall semester enrollment will not be known until they begin the Fall semester, it is currently anticipated that all university partners will begin their Fall semesters on schedule and that new student starts in the Fall semester will meet or exceed our initial estimates.</w:t>
      </w:r>
    </w:p>
    <w:p>
      <w:pPr>
        <w:spacing w:after="0" w:line="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However, we expect total Fall enrollment to be less than initially anticipated; while additional students would like to start the program in the Fall semester, in most cases the university partner or hospital partner are not comfortable increasing the Fall cohort size to make up for the students that deferred their start from the Summer semester to the Fall semester primarily due to concerns around the availability of clinical rotations.</w:t>
      </w:r>
    </w:p>
    <w:p>
      <w:pPr>
        <w:spacing w:after="0" w:line="193"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231F20"/>
        </w:rPr>
        <w:t>As a result of the items mentioned above, we expect lower service revenue for the third quarter of 2020 under both the Master Services Agreement with GCU and under the Orbis Education’s services agreements with our other university partners. In addition, due to the limited operating expenses that we incur to deliver those services, we expect there to be a direct reduction in our operating profit and operating margins.</w:t>
      </w:r>
    </w:p>
    <w:p>
      <w:pPr>
        <w:spacing w:after="0" w:line="18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212529"/>
        </w:rPr>
        <w:t>The COVID-19 outbreak also presents operational challenges to the Company as approximately 90% of our entire workforce is currently working remotely and is expected to continue doing so for the foreseeable future. This degree of remote working could increase risks in the areas of internal control, cyber security and the use of remote technology, which could result in interruptions or disruptions in normal operational processes.</w:t>
      </w:r>
    </w:p>
    <w:p>
      <w:pPr>
        <w:spacing w:after="0" w:line="171"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212529"/>
        </w:rPr>
        <w:t xml:space="preserve">It is not possible for us to completely predict the duration or magnitude </w:t>
      </w:r>
      <w:r>
        <w:rPr>
          <w:rFonts w:ascii="Arial" w:cs="Arial" w:eastAsia="Arial" w:hAnsi="Arial"/>
          <w:sz w:val="16"/>
          <w:szCs w:val="16"/>
          <w:color w:val="231F20"/>
        </w:rPr>
        <w:t>of the adverse results of the COVID-19</w:t>
      </w:r>
      <w:r>
        <w:rPr>
          <w:rFonts w:ascii="Arial" w:cs="Arial" w:eastAsia="Arial" w:hAnsi="Arial"/>
          <w:sz w:val="16"/>
          <w:szCs w:val="16"/>
          <w:color w:val="212529"/>
        </w:rPr>
        <w:t xml:space="preserve"> </w:t>
      </w:r>
      <w:r>
        <w:rPr>
          <w:rFonts w:ascii="Arial" w:cs="Arial" w:eastAsia="Arial" w:hAnsi="Arial"/>
          <w:sz w:val="16"/>
          <w:szCs w:val="16"/>
          <w:color w:val="231F20"/>
        </w:rPr>
        <w:t xml:space="preserve">pandemic and its effects on our business, results of operations or financial condition at this time, but such effects may be material in future quarters. If GCU is not able to fully open its campus to its traditional residential students for the Fall academic semester, now commencing in late September 2020, that will have a material impact on GCU’s revenue and thus the service revenue earned by the Company. Any </w:t>
      </w:r>
      <w:r>
        <w:rPr>
          <w:rFonts w:ascii="Arial" w:cs="Arial" w:eastAsia="Arial" w:hAnsi="Arial"/>
          <w:sz w:val="16"/>
          <w:szCs w:val="16"/>
          <w:color w:val="000000"/>
        </w:rPr>
        <w:t>decision by a number of the Orbis Education’s university partners to</w:t>
      </w:r>
      <w:r>
        <w:rPr>
          <w:rFonts w:ascii="Arial" w:cs="Arial" w:eastAsia="Arial" w:hAnsi="Arial"/>
          <w:sz w:val="16"/>
          <w:szCs w:val="16"/>
          <w:color w:val="231F20"/>
        </w:rPr>
        <w:t xml:space="preserve"> </w:t>
      </w:r>
      <w:r>
        <w:rPr>
          <w:rFonts w:ascii="Arial" w:cs="Arial" w:eastAsia="Arial" w:hAnsi="Arial"/>
          <w:sz w:val="16"/>
          <w:szCs w:val="16"/>
          <w:color w:val="000000"/>
        </w:rPr>
        <w:t>cancel or postpone the Fall semester would also have a material impact on the service revenue earned by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231F20"/>
        </w:rPr>
        <w:t>We estimate that the shift in net revenue from the third quarter to the fourth quarter as a result of the shift in the start date of the GCU Fall semester is $9.9 million lower revenue in the third quarter and $9.9 million higher revenue in the fourth quarter. We estimate that the potential reduction in net revenue attributable to COVID-19, even assuming that all of our university partners including GCU starts and completes their Fall semesters as planned, will be approximately $20 million in the second half of 2020, $13.1 million in the third quarter and $6.9 million in the fourth quarter with a comparable reduction in operating profit during each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critical accounting policies are disclosed in the 2019 Form 10-K for the fiscal year ended December 31, 2019.</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During the six months ended June 30, 2020, there have been no significant changes in our critical accounting policies.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The following table sets forth certain income statement data as a percentage of net revenue for each of the periods indicated. Amortization of intangible assets and the loss on transaction have been excluded from the table below:</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5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5600" w:type="dxa"/>
            <w:vAlign w:val="bottom"/>
          </w:tcPr>
          <w:p>
            <w:pPr>
              <w:spacing w:after="0"/>
              <w:rPr>
                <w:sz w:val="14"/>
                <w:szCs w:val="14"/>
                <w:color w:val="auto"/>
              </w:rPr>
            </w:pPr>
          </w:p>
        </w:tc>
        <w:tc>
          <w:tcPr>
            <w:tcW w:w="96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6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2019</w:t>
            </w:r>
          </w:p>
        </w:tc>
        <w:tc>
          <w:tcPr>
            <w:tcW w:w="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60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14.6 %</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12.9 %</w:t>
            </w:r>
          </w:p>
        </w:tc>
        <w:tc>
          <w:tcPr>
            <w:tcW w:w="1500" w:type="dxa"/>
            <w:vAlign w:val="bottom"/>
            <w:gridSpan w:val="4"/>
          </w:tcPr>
          <w:p>
            <w:pPr>
              <w:jc w:val="right"/>
              <w:ind w:right="100"/>
              <w:spacing w:after="0"/>
              <w:rPr>
                <w:sz w:val="20"/>
                <w:szCs w:val="20"/>
                <w:color w:val="auto"/>
              </w:rPr>
            </w:pPr>
            <w:r>
              <w:rPr>
                <w:rFonts w:ascii="Arial" w:cs="Arial" w:eastAsia="Arial" w:hAnsi="Arial"/>
                <w:sz w:val="18"/>
                <w:szCs w:val="18"/>
                <w:color w:val="auto"/>
              </w:rPr>
              <w:t>13.1 %   11.1 %</w:t>
            </w:r>
          </w:p>
        </w:tc>
      </w:tr>
      <w:tr>
        <w:trPr>
          <w:trHeight w:val="216"/>
        </w:trPr>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r>
      <w:tr>
        <w:trPr>
          <w:trHeight w:val="216"/>
        </w:trPr>
        <w:tc>
          <w:tcPr>
            <w:tcW w:w="560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r>
      <w:tr>
        <w:trPr>
          <w:trHeight w:val="216"/>
        </w:trPr>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June 30, 2020 was $185.8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$11.0 million, or 6.3%, as compared to service revenue of $174.8 million for the three months ended June 30, 2019. The increase year over year in service revenue was primarily due to an increase in university partner enrollments between years of 8.2% partially offset by a decrease in revenue per student year over year. Partner enrollments in programs serviced by Orbis Education at June 30, 2020 were 3,720, an increase of 12.2% over 3,316 enrollments at June 30, 2019, while enrollments at GCU grew to 94,606, an increase of 8.0%. The decrease in revenue per student is primarily due to the reduced Spring and Summer semester ancillary revenues at GCU resulting from COVID-19 and the fact that there were two less revenue producing days for GCU’s ground campus Spring semester in the second quarter of 2020 as compared to the second quarter of 2019 partially offset by the following factors (described below) that have historically produced an increase in revenue per student year over year. The partnership agreements that were acquired as part of the Orbis Education acquisition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 In addition, Orbis Education had five more locations opened in the second quarter of 2020 than it did in the prior year period, resulting in a 24.2% year over year increase in Orbis Education revenues.</w:t>
      </w:r>
    </w:p>
    <w:p>
      <w:pPr>
        <w:spacing w:after="0" w:line="167"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2020 were $27.2 million, an increase of $4.7 million, or 20.5%, as compared to technology and academic services expenses of $22.5 million for the three months ended June 30, 2019. These increases were primarily due to increases in employee compensation and related expenses including share-based compensation, and in occupancy and depreciation including lease expenses of $3.9 million and $1.0 million, respectively, partially offset by a slight decrease in technology and academic supply costs of $0.2 million. These increases were primarily due to increased headcount to support our 24 university partners, and their increased enrollment growth, tenure-based salary adjustments, an increase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in benefit costs, and the increased number of Orbis Education site location openings year over year. Our technology and academic services expenses as a percentage of net revenue increased 1.7% to 14.6% for the three months ended June 30, 2020, from 12.9% for the three months ended June 30, 2019 primarily due to the Orbis Education university partnership agreements requiring a higher level of technology and academic services than our agreement with GCU and due to the reduced Spring and Summer semester ancillary revenues at GCU resulting from COVID-19. Additionally, Orbis Education is incurring costs related to the planned opening of seven new locations in Fall 2020 and four more in the Spring of 2021 as compared to the five locations that were opened in the same period in the prior year.</w:t>
      </w:r>
    </w:p>
    <w:p>
      <w:pPr>
        <w:spacing w:after="0" w:line="166"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were $57.6 million, an increase of $3.3 million, or 6.1%, as compared to counseling services and support expenses of $54.3 million for the three months ended June 30, 2019. These increases were primarily attributable to increases in employee compensation and related expenses including share-based compensation, and in depreciation, amortization and occupancy costs of $5.1 million and $0.4 million, respectively, partially offset by a decrease in other counseling services and support expenses of $2.2 million. The increases in employee compensation and related expenses were primarily due to increased headcount to support our 24 university partners, and their increased enrollment growth, tenure-based salary adjustments, an increase in benefit costs, and the increased number of Orbis Education site location openings year over year. The decrease in other counseling services and support expenses is primarily the result of decreased travel costs to service our 24 university partners. All non-essential travel ceased when the COVID-19 national emergency was announced in mid-March. Our counseling services and support expenses as a percentage of net revenue decreased 0.1% to 31.0% for the three months ended June 30, 2020, from 31.1% for the three months ended June 30, 2019 primarily due to our ability to leverage our other counseling services and support expenses across an increasing revenue base partially offset by the reduced Spring and Summer semester ancillary revenues at GCU resulting from COVID-19.</w:t>
      </w:r>
    </w:p>
    <w:p>
      <w:pPr>
        <w:spacing w:after="0" w:line="171"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were $41.1 million, an increase of $5.4 million, or 15.1%, as compared to marketing and communication expenses of $35.7 million for the three months ended June 30, 2019. This increase was primarily attributable to the increased cost to market our university partners’ programs and due to the marketing of new university partners and new locations which resulted in increased advertising of $5.4 million. Our marketing and communication expenses as a percentage of net revenue increased by 1.7% to 22.1% for the three months ended June 30, 2020, from 20.4% for the three months ended June 30, 2019, primarily due to the increase in the number of new university partners and locations opening in the Fall of 2020 and Spring of 2021 as compared to the same period in the prior year and due to the reduced Spring and Summer semester ancillary revenues at GCU resulting from COVID-19.</w:t>
      </w:r>
    </w:p>
    <w:p>
      <w:pPr>
        <w:spacing w:after="0" w:line="16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for the three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were $9.5 million, an increase of $0.3 million, or 3.1%, as compared to general and administrative expenses of $9.2 million for the three months ended June 30, 2019. This increase was primarily due to increases in occupancy and depreciation of $0.3 million and an increase in professional fees of $0.2 million, partially offset by a decrease in other general and administrative expenses of $0.2 million. Our increases in occupancy and depreciation are primarily related to the expansion of office space at our Orbis Education headquarters in Indianapolis, Indiana. Our general and administrative expenses as a percentage of net revenue decreased by 0.2% to 5.1% for the three months ended June 30, 2020, from 5.3% for the three months ended June 30, 2019 due to our ability to leverage our other general and administrative expenses across an increasing revenue base partially offset by the reduced Spring and Summer semester ancillary revenues at GCU resulting from COVID-19.</w:t>
      </w:r>
    </w:p>
    <w:p>
      <w:pPr>
        <w:spacing w:after="0" w:line="18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i w:val="1"/>
          <w:iCs w:val="1"/>
          <w:color w:val="auto"/>
        </w:rPr>
        <w:t>Amortization of intangible assets</w:t>
      </w:r>
      <w:r>
        <w:rPr>
          <w:rFonts w:ascii="Arial" w:cs="Arial" w:eastAsia="Arial" w:hAnsi="Arial"/>
          <w:sz w:val="17"/>
          <w:szCs w:val="17"/>
          <w:color w:val="auto"/>
        </w:rPr>
        <w:t>. Amortization of intangible assets for the three months ended June 30, 2020 was</w:t>
      </w:r>
      <w:r>
        <w:rPr>
          <w:rFonts w:ascii="Arial" w:cs="Arial" w:eastAsia="Arial" w:hAnsi="Arial"/>
          <w:sz w:val="17"/>
          <w:szCs w:val="17"/>
          <w:i w:val="1"/>
          <w:iCs w:val="1"/>
          <w:color w:val="auto"/>
        </w:rPr>
        <w:t xml:space="preserve"> </w:t>
      </w:r>
      <w:r>
        <w:rPr>
          <w:rFonts w:ascii="Arial" w:cs="Arial" w:eastAsia="Arial" w:hAnsi="Arial"/>
          <w:sz w:val="17"/>
          <w:szCs w:val="17"/>
          <w:color w:val="auto"/>
        </w:rPr>
        <w:t>$2.1 million a decrease of $0.1 million as compared to amortization of intangible assets for the three months ended June 30, 2019 of $2.2 million. As a result of the Orbis Education acquisition, certain identifiable intangible assets were created (primarily customer relationships) that will be amortized over their expected lives.</w:t>
      </w:r>
    </w:p>
    <w:p>
      <w:pPr>
        <w:spacing w:after="0" w:line="17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$0.1 million of transaction expenses were reversed in the three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GCU transaction.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i w:val="1"/>
          <w:iCs w:val="1"/>
          <w:color w:val="auto"/>
        </w:rPr>
        <w:t>Interest income on Secured Note</w:t>
      </w:r>
      <w:r>
        <w:rPr>
          <w:rFonts w:ascii="Arial" w:cs="Arial" w:eastAsia="Arial" w:hAnsi="Arial"/>
          <w:sz w:val="17"/>
          <w:szCs w:val="17"/>
          <w:color w:val="auto"/>
        </w:rPr>
        <w:t>. Interest income on the secured note from GCU in the initial principal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$870.1 million (the “Secured Note”) for the three months ended June 30, 2020 was $14.7 million, an increase of $0.2 million, or 1.7%, as compared to $14.5 million for the three months ended June 30, 2019. The Secured Note bears interest at 6% annually, and GCU makes monthly interest payments. The increase over the prior year was primarily due to an increase in the average principal balance of the Secured Note between periods due to net capital expenditure loans made to GCU under the Secured Note during the past twelve months.</w:t>
      </w:r>
    </w:p>
    <w:p>
      <w:pPr>
        <w:spacing w:after="0" w:line="178"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$1.1 million for the three months ended June 30, 2020, a decrease of $1.8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interest expense of $2.9 million for the three months ended June 30, 2019. The decrease in interest expense was primarily due to a decline in the average credit facility outstanding balance between periods due to the paydown of the credit facility during the past twelve months and an interest rate reduction of approximately 150 basis points since the end of 2019.</w:t>
      </w:r>
    </w:p>
    <w:p>
      <w:pPr>
        <w:spacing w:after="0" w:line="188" w:lineRule="exact"/>
        <w:rPr>
          <w:sz w:val="20"/>
          <w:szCs w:val="20"/>
          <w:color w:val="auto"/>
        </w:rPr>
      </w:pPr>
    </w:p>
    <w:p>
      <w:pPr>
        <w:jc w:val="both"/>
        <w:ind w:left="60" w:right="299" w:firstLine="648"/>
        <w:spacing w:after="0" w:line="259"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three months ended June 30, 2020 was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$2.3 million, as compared to $2.7 million in the three months ended June 30, 2019. This decrease was primarily attributable to a decline in interest income on excess cash as the average investment balance declined year over year and lower interest rates.</w:t>
      </w:r>
    </w:p>
    <w:p>
      <w:pPr>
        <w:spacing w:after="0" w:line="187"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three months ended June 30, 2020 was $15.3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$1.2 million, or 8.6%, as compared to income tax expense of $14.1 million for the three months ended June 30, 2019. This increase was the result of an increase in our effective tax rate between periods, partially offset by a decrease in taxable income. Our effective tax rate was 24.6% during the second quarter of 2020 compared to 21.7% during the second quarter of 2019. In the second quarter of 2020, the effective tax rate was impacted by higher state taxes and lower excess tax benefits of nil in the second quarter of 2020 as compared to $2.2 million in the same period in 2019 due to a lower stock price and lower stock option exercises in the second quarter of 2020.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72" w:lineRule="exact"/>
        <w:rPr>
          <w:sz w:val="20"/>
          <w:szCs w:val="20"/>
          <w:color w:val="auto"/>
        </w:rPr>
      </w:pPr>
    </w:p>
    <w:p>
      <w:pPr>
        <w:jc w:val="both"/>
        <w:ind w:left="60" w:right="49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2020 was $47.0 million, a decrease of $4.1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8.0%, as compared to $51.1 million for the three months ended June 30, 2019, due to the factors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six months ended June 30, 2020 was $407.4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$35.3 million, or 9.5%, as compared to service revenue of $372.1 million for the six months ended June 30, 2019. The increase year over year in service revenue was primarily due to an increase in university partner enrollments between years of 8.2% and an increase in revenue per student year over year. Partner enrollments in programs serviced by Orbis Education at June 30, 2020 were 3,720, an increase of 12.2% over 3,316 enrollments at June 30, 2019, while enrollments at GCU grew to 94,606, an increase of 8.0%. The increase in revenue per student is primarily due to the following factors (described below). The partnership agreements that were acquired as part of the Orbis Education acquisition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 Also, we generated slightly more Spring semester revenues in the first half of 2020 as compared to the first half of 2019 due to the timing of the Orbis Education acquisition on January 22, 2019, due to 2020 being a Leap Year and thus providing an extra day of revenue in 2020 as compared to 2019, and because our most significant university partner, GCU, had residential student enrollment growth year over year of 10.0% and residential students generate higher revenue per student than other GCU students due to ancillary revenues such as room and board. In addition, Orbis Education had five more locations opened in the second quarter of 2020 than it did in the prior year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period, resulting in a 37.6% year over year increase in Orbis Education revenues. This was partially offset by reduced Spring and Summer semester ancillary revenues at GCU resulting from COVID-19.</w:t>
      </w:r>
    </w:p>
    <w:p>
      <w:pPr>
        <w:spacing w:after="0" w:line="170"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six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were $53.4 million, an increase of $12.2 million, or 29.8%, as compared to technology and academic services expenses of $41.2 million for the six months ended June 30, 2019. These increases were primarily due to increases in employee compensation and related expenses including share-based compensation and in occupancy and depreciation including lease expenses of $10.1 million and $2.2 million, respectively, partially offset by a slight decrease of $0.1 million in other technology and academic supply costs. These increases were primarily due to increased headcount to support our 24 university partners, and their increased enrollment growth, tenure-based salary adjustments, an increase in benefit costs, the timing of the Orbis Education acquisition and the increased number of sites between years. Our technology and academic services expenses as a percentage of net revenue increased 2.0% to 13.1% for the six months ended June 30, 2020, from 11.1% for the six months ended June 30, 2019 primarily due to the Orbis Education university partnership agreements requiring a higher level of technology and academic services than our agreement with GCU and due to the reduced Spring and Summer semester ancillary revenues at GCU resulting from COVID-19. Additionally, Orbis Education is incurring costs related to the planned opening of seven new locations in Fall 2020 and four more in the Spring of 2021 as compared to the five locations that were opened in the same period in the prior year.</w:t>
      </w:r>
    </w:p>
    <w:p>
      <w:pPr>
        <w:spacing w:after="0" w:line="171" w:lineRule="exact"/>
        <w:rPr>
          <w:sz w:val="20"/>
          <w:szCs w:val="20"/>
          <w:color w:val="auto"/>
        </w:rPr>
      </w:pPr>
    </w:p>
    <w:p>
      <w:pPr>
        <w:ind w:left="60" w:right="99" w:firstLine="648"/>
        <w:spacing w:after="0" w:line="283"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were $117.8 million, an increase of $10.4 million, or 9.7%, as compared to counseling services and support expenses of $107.4 million for the six months ended June 30, 2019. These increases were primarily attributable to increases in employee compensation and related expenses including share-based compensation and in depreciation, amortization and occupancy costs of $12.3 million and $0.7 million, respectively, partially offset by a decrease in other counseling services and support expenses of $2.6 million. The increases in employee compensation and related expenses were primarily due to increased headcount to support our 24 university partners, and their increased enrollment growth, tenure-based salary adjustments, an increase in benefit costs, the timing of the Orbis Education acquisition and the increased number of Orbis Education site location openings year over year. The decrease in other counseling services and support expenses is primarily the result of decreased travel costs to service our 24 university partners. All non-essential travel ceased when the COVID-19 national emergency was announced in mid-March. Our counseling services and support expenses as</w:t>
      </w:r>
    </w:p>
    <w:p>
      <w:pPr>
        <w:spacing w:after="0" w:line="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7"/>
          <w:szCs w:val="17"/>
          <w:color w:val="auto"/>
        </w:rPr>
        <w:t>a percentage of net revenue stayed flat at 28.9% for both the six months ended June 30, 2020 and 2019 primarily due to our ability to leverage our other counseling services and support expenses across an increasing revenue base partially offset by the reduced Spring and Summer semester ancillary revenues at GCU resulting from COVID-19.</w:t>
      </w:r>
    </w:p>
    <w:p>
      <w:pPr>
        <w:spacing w:after="0" w:line="173"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were $83.8 million, an increase of $12.1 million, or 16.9%, as compared to marketing and communication expenses of $71.7 million for the six months ended June 30, 2019. This increase was primarily attributable to the increased cost to market our university partners’ programs and due to the marketing of new university partners and new locations which resulted in increased advertising of $12.0 million and increased employee compensation expenses and related expenses including share-based compensation of $0.2 million, partially offset by a slight decrease in other marketing supplies of $0.1 million. Our marketing and communication expenses as a percentage of net revenue increased by 1.3% to 20.6% for the six months ended June 30, 2020, from 19.3% for the six months ended June 30, 2019, primarily due to the increase in the number of new university partners and locations opening between years and due to the reduced Spring and Summer semester ancillary revenues at GCU resulting from COVID-19.</w:t>
      </w:r>
    </w:p>
    <w:p>
      <w:pPr>
        <w:spacing w:after="0" w:line="168"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six months ended June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were $19.1 million, a decrease of $1.5 million, or 7.5%, as compared to general and administrative expenses of $20.6 million for the six months ended June 30, 2019. This decrease was primarily due to decreases in professional fees of $1.8 million and other general and administrative expenses of $0.3 million, partially offset by an increase in occupancy and depreciation of $0.5 million and in employee compensation of $0.1 million. In the first half of 2019, our professional fees were significantly higher due to a payment made to an outside provider that assisted us in obtaining a state tax refund with a favorable impact of $5.9 million in the first quarter of 2019. Our increases in occupancy and depreciation are primarily related to the timing of the acquisition resulting in higher costs such as the office space at our Orbis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Education headquarters in Indianapolis, Indiana. Our general and administrative expenses as a percentage of net revenue decreased by 0.8% to 4.7% for the six months ended June 30, 2020, from 5.5% for the six months ended June 30, 2019 due to lower professional fees and our ability to leverage our other general and administrative expenses across an increasing revenue base.</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six months ended June 30,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$4.2 million, an increase of $0.3 million or 8.9% as compared to $3.9 million for the six months ended June 30, 2019. This increase is related to the timing of the Acquisition date of Orbis Education, which occurred on January 22, 2019. As a result of the Orbis Education acquisition, certain identifiable intangible assets were created (primarily customer relationships) that will be amortized over their expected lives.</w:t>
      </w:r>
    </w:p>
    <w:p>
      <w:pPr>
        <w:spacing w:after="0" w:line="188"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The loss on transaction for the six months ended June 30, 2019 was $4.0 million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costs related to the Acquisition of Orbis Education.</w:t>
      </w:r>
    </w:p>
    <w:p>
      <w:pPr>
        <w:spacing w:after="0" w:line="170"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i w:val="1"/>
          <w:iCs w:val="1"/>
          <w:color w:val="auto"/>
        </w:rPr>
        <w:t>Interest income on Secured Note</w:t>
      </w:r>
      <w:r>
        <w:rPr>
          <w:rFonts w:ascii="Arial" w:cs="Arial" w:eastAsia="Arial" w:hAnsi="Arial"/>
          <w:sz w:val="17"/>
          <w:szCs w:val="17"/>
          <w:color w:val="auto"/>
        </w:rPr>
        <w:t>. Interest income on the secured note from GCU in the initial principal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$870.1 million (the “Secured Note”) for the six months ended June 30, 2020 was $29.4 million, an increase of $1.2 million, or 4.3%, as compared to $28.2 million for the six months ended June 30, 2019. The Secured Note bears interest at 6% annually, and GCU makes monthly interest payments. The increase over the prior year was primarily due to an increase in the average principal balance of the Secured Note between periods due to net capital expenditure loans made to GCU under the Secured Note during the past twelve months.</w:t>
      </w:r>
    </w:p>
    <w:p>
      <w:pPr>
        <w:spacing w:after="0" w:line="178"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$2.6 million for the six months ended June 30, 2020, a decrease of $2.9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interest expense of $5.5 million for the six months ended June 30, 2019. The decrease in interest expense was primarily due to a decline in the average credit facility outstanding balance between periods due to the paydown of the credit facility during the past twelve months and an interest rate reduction of approximately 150 basis points since the end of 2019.</w:t>
      </w:r>
    </w:p>
    <w:p>
      <w:pPr>
        <w:spacing w:after="0" w:line="188"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six months ended June 30, 2020 was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$3.2 million, as compared to $3.8 million in the six months ended June 30, 2019. This decrease was primarily attributable to a decline in interest income on excess cash as the average investment balance declined year over year and lower interest rates.</w:t>
      </w:r>
    </w:p>
    <w:p>
      <w:pPr>
        <w:spacing w:after="0" w:line="187"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six months ended June 30, 2020 was $38.1 million,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$12.5 million, or 49.1%, as compared to income tax expense of $25.6 million for the six months ended June 30, 2019. This increase was the result of an increase in our effective tax rate, and an increase in our taxable income between periods. Our effective tax rate was 24.4% during the six months ended June 30, 2020 compared to 17.1% during the six months ended June 30, 2019. The lower effective tax rate in 2019 resulted from an agreement with the Arizona Department of Revenue regarding previously filed refund claims related to income tax obligations for prior calendar years, which resulted in a favorable tax impact of $5.9 million recorded as a discrete tax item in the first quarter of 2019. In the second quarter of 2020, the effective tax rate was impacted by higher state income taxes and lower excess tax benefits of $0.6 million in the first six months of 2020 as compared to $6.8 million in the same period in 2019. The lower excess tax benefits is primarily due to a decrease in our stock price between years and lower stock option exercises.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82" w:lineRule="exact"/>
        <w:rPr>
          <w:sz w:val="20"/>
          <w:szCs w:val="20"/>
          <w:color w:val="auto"/>
        </w:rPr>
      </w:pPr>
    </w:p>
    <w:p>
      <w:pPr>
        <w:jc w:val="both"/>
        <w:ind w:left="60" w:right="55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2020 was $118.4 million, a decrease of $6.0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4.8%, as compared to $124.4 million for the six months ended June 30, 2019, due to the factors discussed above.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unrestricted cash and cash equivalents and investments were $187.2 million at June 30, 2020. Our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had an available line of credit of $150.0 million as of June 30, 2020.</w:t>
      </w:r>
    </w:p>
    <w:p>
      <w:pPr>
        <w:spacing w:after="0" w:line="170"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In conjunction with the Asset Purchase Agreement with GCU, we received a secured note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June 30, 2020, the Company had loaned an additional $169,815 to GCU, net of repayments. The additional amount loaned includes the $75.0 million borrowed by GCU in June 2020. In practice, GCU pays for the service fees and its interest due on the secured note receivable for the month in arrears. However, at the same time as the additional borrowing of $75.0 million, GCU paid its June 2020 estimated service fee and interest due on the secured note receivable of $50.0 million and $4.8 million, respectively, at the end of June 2020 thereby reducing the accounts receivable, net and interest receivable on secured note on our consolidated balance sheet at June 30, 2020. GCU believes that its cash flows from operations are currently sufficient to fund all of its capital expenditures although it is possible that it will continue to borrow for short term cash flow needs. The $75.0 million that was borrowed in June 2020 was repaid in July 2020 and GCU has returned to its practice of paying the service fee and interest due on the secured note receivable for the month in arrears. GCU paid the June 2019 estimated service fee and interest due on the secured note receivable at the end of June 2019 so the impact on cash flows for the change in accounts receivable and interest receivable from university partners during the six months ended June 30, 2020 in comparison to the six months ended June 30, 2019 was not material.</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In July 2020, our Board of Directors increased the authorization under its existing stock repurchase program by $50.0 million to a total of $300.0 million of our common stock we can repurchase, from time to time, depending on market conditions and other considerations. The current expiration date on the repurchase authorization by our Board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Directors is December 31, 2021. Repurchases occur at the Company’s discretion and the Company may modify, suspend or discontinue the repurchase authorization at any time.</w:t>
      </w:r>
    </w:p>
    <w:p>
      <w:pPr>
        <w:spacing w:after="0" w:line="170"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4"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During the three months ended June 30, 2020, 111,100 shares of common stock were repurchased by the Company. At June 30, 2020, there remains $58.3 million available under our share repurchase authorization, prior to the increase made in July.</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six months ended June 30,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$221.1 million as compared to $189.3 million for the six months ended June 30, 2019. The increase in cash generated from operating activities between the six months ended June 30, 2019 and the six months ended June 30, 2020 was primarily due to changes in other working capital balances partially offset by the decrease in net income between periods. We define working capital as the assets and liabilities, other than cash, generated through the Company’s primary operating activities. Changes in these balances are included in the changes in assets and liabilities presented in the consolidated statement of cash flows. Our income taxes payable balances increased $41.0 million between periods, primarily due to the Treasury Department extending the due date of certain estimated tax payments due to COVID-19 from April 15, 2020 to July 15, 2020.</w:t>
      </w:r>
    </w:p>
    <w:p>
      <w:pPr>
        <w:spacing w:after="0" w:line="19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$80.6 million and $485.8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2020 and 2019, respectively. The net cash used in investing activities in the six months ended June 30, 2020 was capital expenditures of $12.2 million, partially offset by proceeds from the sale of investments of $6.8 million. Funding to GCU during the first six months of 2020 totaled $75.0 million. During the six months ended June 30, 2019, we paid $361.2 million, net of cash acquired, to acquire Orbis Education on January 22, 2019. Funding to GCU during the first six months of 2019 totaled $169.8 million. Proceeds from investments, net of purchases of short-term investments, was $55.1 million for the six months ended June 30, 2019. Capital expenditures were $9.7 million for the six months ended June 30, 2019. During the six-month period for 2020 and 2019, capital expenditures primarily consisted of leasehold improvements and equipment for new university partner locations, as well as purchases of computer equipment, other internal use software projects and furniture and equipment to support our increasing employee headcount. The increase in capital expenditures between periods is primarily due to the increase in the number of Orbis Education location openings. Orbis Education invests approximately $1.5 million in leasehold improvements and equipment for each location. Orbis Education plans to open seven new locations in the Fall of 2020 and another four new locations in the Spring of 2021 as compared to the five locations it opened in the Fall of 2019 and no new locations opened in the Spring of 2020.</w:t>
      </w:r>
    </w:p>
    <w:p>
      <w:pPr>
        <w:spacing w:after="0" w:line="171"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$90.5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Net cash provided by financing activities was $180.5 million for the six months ended June 30, 2019. During the six months ended June 30, 2020, $5.0 million was used to purchase common shares withheld in lieu of income taxes resulting from the vesting of restricted share awards and $69.0 million was used to purchase treasury stock in accordance with the Company’s share repurchase program. Principal payments on notes payable and capital leases totaled $16.6 million. During the six months ended June 30, 2019, $270.0 million of proceeds was drawn on the credit facility, and the term loan balance of the prior credit agreement of $59.9 million was repaid along with $12.1 million of principal payments on the new credit facility. In addition, $2.4 million of debt issuance costs were incurred on the new credit facility and $8.1 million was used to purchase common shares withheld in lieu of income taxes resulting from the vesting of restricted share awards and $10.4 million was used to purchase treasury stock in accordance with the Company’s share repurchase program. Proceeds from the exercise of stock options of $3.4 million were received in the six months ended June 30, 2019.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239" w:firstLine="648"/>
        <w:spacing w:after="0" w:line="286" w:lineRule="auto"/>
        <w:rPr>
          <w:sz w:val="20"/>
          <w:szCs w:val="20"/>
          <w:color w:val="auto"/>
        </w:rPr>
      </w:pPr>
      <w:r>
        <w:rPr>
          <w:rFonts w:ascii="Arial" w:cs="Arial" w:eastAsia="Arial" w:hAnsi="Arial"/>
          <w:sz w:val="17"/>
          <w:szCs w:val="17"/>
          <w:color w:val="auto"/>
        </w:rPr>
        <w:t>The following table sets forth, as of June 30, 2020, the aggregate amounts of GCE’s significant contractual obligations and commitments with definitive payment terms due in each of the periods presented (in millions). Less than one year amounts represent payments due from July 1, 2020 through December 31, 2020.</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2-3 Years</w:t>
            </w:r>
          </w:p>
        </w:tc>
        <w:tc>
          <w:tcPr>
            <w:tcW w:w="16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2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line="216" w:lineRule="exact"/>
              <w:rPr>
                <w:sz w:val="20"/>
                <w:szCs w:val="20"/>
                <w:color w:val="auto"/>
              </w:rPr>
            </w:pPr>
            <w:r>
              <w:rPr>
                <w:rFonts w:ascii="Arial" w:cs="Arial" w:eastAsia="Arial" w:hAnsi="Arial"/>
                <w:sz w:val="17"/>
                <w:szCs w:val="17"/>
                <w:color w:val="auto"/>
              </w:rPr>
              <w:t>Lease liabilities</w:t>
            </w:r>
            <w:r>
              <w:rPr>
                <w:rFonts w:ascii="Arial" w:cs="Arial" w:eastAsia="Arial" w:hAnsi="Arial"/>
                <w:sz w:val="25"/>
                <w:szCs w:val="25"/>
                <w:color w:val="auto"/>
                <w:vertAlign w:val="superscript"/>
              </w:rPr>
              <w:t>(1)</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5"/>
                <w:szCs w:val="25"/>
                <w:color w:val="auto"/>
                <w:vertAlign w:val="superscript"/>
              </w:rPr>
              <w:t>(2)</w:t>
            </w:r>
          </w:p>
        </w:tc>
        <w:tc>
          <w:tcPr>
            <w:tcW w:w="2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40" w:type="dxa"/>
            <w:vAlign w:val="bottom"/>
            <w:gridSpan w:val="2"/>
          </w:tcPr>
          <w:p>
            <w:pPr>
              <w:ind w:left="20"/>
              <w:spacing w:after="0"/>
              <w:rPr>
                <w:sz w:val="20"/>
                <w:szCs w:val="20"/>
                <w:color w:val="auto"/>
              </w:rPr>
            </w:pPr>
            <w:r>
              <w:rPr>
                <w:rFonts w:ascii="Arial" w:cs="Arial" w:eastAsia="Arial" w:hAnsi="Arial"/>
                <w:sz w:val="18"/>
                <w:szCs w:val="18"/>
                <w:color w:val="auto"/>
                <w:w w:val="98"/>
              </w:rPr>
              <w:t>Total contractual obligations</w:t>
            </w:r>
          </w:p>
        </w:tc>
        <w:tc>
          <w:tcPr>
            <w:tcW w:w="2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lease liabilities exclude $17.4 million of non-cancelable operating lease commitments for classroom site locations, that had not yet commenced.</w:t>
      </w:r>
    </w:p>
    <w:p>
      <w:pPr>
        <w:spacing w:after="0" w:line="170" w:lineRule="exact"/>
        <w:rPr>
          <w:rFonts w:ascii="Arial" w:cs="Arial" w:eastAsia="Arial" w:hAnsi="Arial"/>
          <w:sz w:val="18"/>
          <w:szCs w:val="18"/>
          <w:color w:val="auto"/>
        </w:rPr>
      </w:pPr>
    </w:p>
    <w:p>
      <w:pPr>
        <w:ind w:left="380" w:right="239" w:hanging="330"/>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for GCE that were in effect at June 30,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or 2019. There can be no assurance that future inflation will not have an adverse impact on our operating results and financial condition.</w:t>
      </w:r>
    </w:p>
    <w:p>
      <w:pPr>
        <w:spacing w:after="0" w:line="184" w:lineRule="exact"/>
        <w:rPr>
          <w:sz w:val="20"/>
          <w:szCs w:val="20"/>
          <w:color w:val="auto"/>
        </w:rPr>
      </w:pPr>
    </w:p>
    <w:p>
      <w:pPr>
        <w:ind w:left="60" w:right="399" w:firstLine="648"/>
        <w:spacing w:after="0" w:line="286"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As of June 30, 2020, we have no derivative financial instruments or derivative commodity</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We invest cash in excess of current operating requirements in short-term certificates of deposit and money market instruments, municipal bond portfolios, or municipal mutual funds at multiple financial institutions.</w:t>
      </w:r>
    </w:p>
    <w:p>
      <w:pPr>
        <w:spacing w:after="0" w:line="16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BBB or higher rated</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bonds, municipal mutual funds and commercial paper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June 30, 2020, a 10% increase or decrease in interest rates would not have a material impact on our future earnings, fair values, or cash flows. For information regarding our variable rate debt, see “Market risk” above.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June 30, 2020, in ensuring that material information relating to us required to be disclosed by us in reports that we file or submit under the Exchange Act is recorded, processed, summarized and reported within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75" w:lineRule="auto"/>
        <w:rPr>
          <w:sz w:val="20"/>
          <w:szCs w:val="20"/>
          <w:color w:val="auto"/>
        </w:rPr>
      </w:pPr>
      <w:r>
        <w:rPr>
          <w:rFonts w:ascii="Arial" w:cs="Arial" w:eastAsia="Arial" w:hAnsi="Arial"/>
          <w:sz w:val="17"/>
          <w:szCs w:val="17"/>
          <w:color w:val="auto"/>
        </w:rPr>
        <w:t>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following additional risk factors should be read in conjunction with the risk factors previously disclosed in Part 1, Item 1A, “Risk Factors,” of the 2019 Form 10-K, Item 1A. “Risk Factors” of our quarterly report on Form 10-Q for the period ended March 31, 2020, and the information contained in this Quarterly Report on Form 10-Q and our other reports and registration statements filed with the SEC. The developments described in these additional risk factors have heightened, or in some cases manifested, certain of the risks disclosed in the “Risk Factors” section of the 2019 Form 10-K, and such risk factors are further qualified by the information relating to COVID-19 that is described in this Quarterly Report on Form 10-Q, including in the additional risk factor below. Except as described herein, there have been no material changes with respect to the risk factors disclosed in the 2019 Form 10-K.</w:t>
      </w: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12529"/>
        </w:rPr>
        <w:t>COVID-19 Risk Factor</w:t>
      </w:r>
    </w:p>
    <w:p>
      <w:pPr>
        <w:spacing w:after="0" w:line="225"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231F20"/>
        </w:rPr>
        <w:t>The recent global coronavirus outbreak could harm our business, results of operations, and financial condition, and has harmed our most significant university partner.</w:t>
      </w:r>
    </w:p>
    <w:p>
      <w:pPr>
        <w:spacing w:after="0" w:line="170"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231F20"/>
        </w:rPr>
        <w:t>In March 2020, the World Health Organization declared COVID-19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those of our university partners.</w:t>
      </w:r>
    </w:p>
    <w:p>
      <w:pPr>
        <w:spacing w:after="0" w:line="161"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231F20"/>
        </w:rPr>
        <w:t>The Company has a long-term master services agreement pursuant to which the Company provides education services to its most significant university partner, GCU, in return for 60% of GCU’s tuition and fee revenues, which includes fee revenues from room, board, and other ancillary businesses including a student-run golf course and hotel. GCU has three types of students, traditional ground university students attending class on its campus in Phoenix, Arizona and of which approximately 70% live on campus in university owned residence halls, professional studies students who are working adult students that attend class one night a week on the Phoenix campus, and online students that attend class fully online.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231F20"/>
        </w:rPr>
        <w:t>This outbreak, as well as measures taken to contain the spread of COVID-19, has impacted GCU’s students and its business in a number of ways, including the closure of dormitories and GCU’s hotel and various ancillary businesses near the end of the Spring 2020 semester. It has limited the number of residential students, doctoral residencies and the various ancillary businesses in the summer months and it has caused the university to move back the start of its Fall 2020 ground traditional student semester including when residential students can move on to campus. These actions have served to reduce GCU’s non-tuition revenue and, consequently, the service revenue we earn under the master services agreement. If GCU is not able to fully open its campus to its traditional residential ground university students for the Fall semester or if a greater than expected number of these students choose to take the Fall semester online rather than live on campus, then our service revenue would be further materially impacted.</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7"/>
          <w:szCs w:val="17"/>
          <w:color w:val="231F20"/>
        </w:rPr>
        <w:t>The COVID-19 outbreak could cause disruptions to our other university partners as well, including, but not limited to:</w:t>
      </w:r>
    </w:p>
    <w:p>
      <w:pPr>
        <w:spacing w:after="0" w:line="237" w:lineRule="exact"/>
        <w:rPr>
          <w:sz w:val="20"/>
          <w:szCs w:val="20"/>
          <w:color w:val="auto"/>
        </w:rPr>
      </w:pPr>
    </w:p>
    <w:p>
      <w:pPr>
        <w:ind w:left="1040" w:right="219" w:hanging="328"/>
        <w:spacing w:after="0" w:line="308" w:lineRule="auto"/>
        <w:tabs>
          <w:tab w:leader="none" w:pos="1040" w:val="left"/>
        </w:tabs>
        <w:numPr>
          <w:ilvl w:val="0"/>
          <w:numId w:val="11"/>
        </w:numPr>
        <w:rPr>
          <w:rFonts w:ascii="Arial" w:cs="Arial" w:eastAsia="Arial" w:hAnsi="Arial"/>
          <w:sz w:val="17"/>
          <w:szCs w:val="17"/>
          <w:color w:val="212529"/>
        </w:rPr>
      </w:pPr>
      <w:r>
        <w:rPr>
          <w:rFonts w:ascii="Arial" w:cs="Arial" w:eastAsia="Arial" w:hAnsi="Arial"/>
          <w:sz w:val="17"/>
          <w:szCs w:val="17"/>
          <w:color w:val="212529"/>
        </w:rPr>
        <w:t>Decreasing the student enrollments at our other university partners as prelicensure nursing and occupational therapy students might delay their education including those that relocate to attend class;</w:t>
      </w:r>
    </w:p>
    <w:p>
      <w:pPr>
        <w:spacing w:after="0" w:line="146" w:lineRule="exact"/>
        <w:rPr>
          <w:rFonts w:ascii="Arial" w:cs="Arial" w:eastAsia="Arial" w:hAnsi="Arial"/>
          <w:sz w:val="17"/>
          <w:szCs w:val="17"/>
          <w:color w:val="212529"/>
        </w:rPr>
      </w:pPr>
    </w:p>
    <w:p>
      <w:pPr>
        <w:ind w:left="1040" w:hanging="328"/>
        <w:spacing w:after="0"/>
        <w:tabs>
          <w:tab w:leader="none" w:pos="1040" w:val="left"/>
        </w:tabs>
        <w:numPr>
          <w:ilvl w:val="0"/>
          <w:numId w:val="11"/>
        </w:numPr>
        <w:rPr>
          <w:rFonts w:ascii="Arial" w:cs="Arial" w:eastAsia="Arial" w:hAnsi="Arial"/>
          <w:sz w:val="18"/>
          <w:szCs w:val="18"/>
          <w:color w:val="212529"/>
        </w:rPr>
      </w:pPr>
      <w:r>
        <w:rPr>
          <w:rFonts w:ascii="Arial" w:cs="Arial" w:eastAsia="Arial" w:hAnsi="Arial"/>
          <w:sz w:val="18"/>
          <w:szCs w:val="18"/>
          <w:color w:val="231F20"/>
        </w:rPr>
        <w:t>impacting current and prospective university partners’ desire to launch new locations with us;</w:t>
      </w:r>
    </w:p>
    <w:p>
      <w:pPr>
        <w:spacing w:after="0" w:line="225" w:lineRule="exact"/>
        <w:rPr>
          <w:rFonts w:ascii="Arial" w:cs="Arial" w:eastAsia="Arial" w:hAnsi="Arial"/>
          <w:sz w:val="18"/>
          <w:szCs w:val="18"/>
          <w:color w:val="212529"/>
        </w:rPr>
      </w:pPr>
    </w:p>
    <w:p>
      <w:pPr>
        <w:ind w:left="1040" w:hanging="328"/>
        <w:spacing w:after="0"/>
        <w:tabs>
          <w:tab w:leader="none" w:pos="1040" w:val="left"/>
        </w:tabs>
        <w:numPr>
          <w:ilvl w:val="0"/>
          <w:numId w:val="11"/>
        </w:numPr>
        <w:rPr>
          <w:rFonts w:ascii="Arial" w:cs="Arial" w:eastAsia="Arial" w:hAnsi="Arial"/>
          <w:sz w:val="18"/>
          <w:szCs w:val="18"/>
          <w:color w:val="212529"/>
        </w:rPr>
      </w:pPr>
      <w:r>
        <w:rPr>
          <w:rFonts w:ascii="Arial" w:cs="Arial" w:eastAsia="Arial" w:hAnsi="Arial"/>
          <w:sz w:val="18"/>
          <w:szCs w:val="18"/>
          <w:color w:val="231F20"/>
        </w:rPr>
        <w:t>negatively impacting collections of accounts receivable from university partners;</w:t>
      </w:r>
    </w:p>
    <w:p>
      <w:pPr>
        <w:spacing w:after="0" w:line="225" w:lineRule="exact"/>
        <w:rPr>
          <w:rFonts w:ascii="Arial" w:cs="Arial" w:eastAsia="Arial" w:hAnsi="Arial"/>
          <w:sz w:val="18"/>
          <w:szCs w:val="18"/>
          <w:color w:val="212529"/>
        </w:rPr>
      </w:pPr>
    </w:p>
    <w:p>
      <w:pPr>
        <w:ind w:left="1040" w:right="439" w:hanging="328"/>
        <w:spacing w:after="0" w:line="277" w:lineRule="auto"/>
        <w:tabs>
          <w:tab w:leader="none" w:pos="1040" w:val="left"/>
        </w:tabs>
        <w:numPr>
          <w:ilvl w:val="0"/>
          <w:numId w:val="11"/>
        </w:numPr>
        <w:rPr>
          <w:rFonts w:ascii="Arial" w:cs="Arial" w:eastAsia="Arial" w:hAnsi="Arial"/>
          <w:sz w:val="18"/>
          <w:szCs w:val="18"/>
          <w:color w:val="212529"/>
        </w:rPr>
      </w:pPr>
      <w:r>
        <w:rPr>
          <w:rFonts w:ascii="Arial" w:cs="Arial" w:eastAsia="Arial" w:hAnsi="Arial"/>
          <w:sz w:val="18"/>
          <w:szCs w:val="18"/>
          <w:color w:val="212529"/>
        </w:rPr>
        <w:t>negatively impacting our ability to facilitate placements for students in clinical graduate programs which could delay their path to graduation; and</w:t>
      </w:r>
    </w:p>
    <w:p>
      <w:pPr>
        <w:spacing w:after="0" w:line="170" w:lineRule="exact"/>
        <w:rPr>
          <w:rFonts w:ascii="Arial" w:cs="Arial" w:eastAsia="Arial" w:hAnsi="Arial"/>
          <w:sz w:val="18"/>
          <w:szCs w:val="18"/>
          <w:color w:val="212529"/>
        </w:rPr>
      </w:pPr>
    </w:p>
    <w:p>
      <w:pPr>
        <w:ind w:left="1040" w:hanging="328"/>
        <w:spacing w:after="0"/>
        <w:tabs>
          <w:tab w:leader="none" w:pos="1040" w:val="left"/>
        </w:tabs>
        <w:numPr>
          <w:ilvl w:val="0"/>
          <w:numId w:val="11"/>
        </w:numPr>
        <w:rPr>
          <w:rFonts w:ascii="Arial" w:cs="Arial" w:eastAsia="Arial" w:hAnsi="Arial"/>
          <w:sz w:val="18"/>
          <w:szCs w:val="18"/>
          <w:color w:val="212529"/>
        </w:rPr>
      </w:pPr>
      <w:r>
        <w:rPr>
          <w:rFonts w:ascii="Arial" w:cs="Arial" w:eastAsia="Arial" w:hAnsi="Arial"/>
          <w:sz w:val="18"/>
          <w:szCs w:val="18"/>
          <w:color w:val="212529"/>
        </w:rPr>
        <w:t>harming our business, results of operations and financial condition.</w:t>
      </w:r>
    </w:p>
    <w:p>
      <w:pPr>
        <w:spacing w:after="0" w:line="200" w:lineRule="exact"/>
        <w:rPr>
          <w:sz w:val="20"/>
          <w:szCs w:val="20"/>
          <w:color w:val="auto"/>
        </w:rPr>
      </w:pPr>
    </w:p>
    <w:p>
      <w:pPr>
        <w:spacing w:after="0" w:line="24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212529"/>
        </w:rPr>
        <w:t>The outbreak also presents challenges as approximately 90% of our entire workforce is currently, and is expected to continue for the foreseeable future, working remotely and this could cause increased risks in the areas of internal control, cyber security and the use of remote technology, which could result in interruptions or disruptions in normal operational processes. We have eliminated all non-essential travel as a result of the pandemic and as a result are seeing a decrease in travel costs.</w:t>
      </w:r>
    </w:p>
    <w:p>
      <w:pPr>
        <w:spacing w:after="0" w:line="18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212529"/>
        </w:rPr>
        <w:t>The COVID-19 pandemic presents material uncertainty and risk with respect to our financial condition, results of operations, cash flows and performance and it is not possible for us to completely predict the duration or magnitude of the adverse results of the outbreak and its effects on us. The COVID-19 pandemic may also have the effect of heightening many of the risks factors identified in the “Risk Factors” section of the 2019 Form 10-K, such as those related to disruption or failures of our learning platform.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In July 2020, our Board of Directors increased the authorization under its existing stock repurchase program by $50.0 million to a total of $300.0 million of common stock that we can repurchase, from time to time, depending on market conditions and other considerations. The current expiration date on the repurchase authorization is December 31, 2021.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share repurchases, if any, will be made as market and business conditions warrant. During the six months ended June 30, 2020, we repurchased 897,603 shares of common stock. At June 30, 2020, there remains $58.3 million available under our share repurchase authorization, prior to the increase in authorization made in July.</w:t>
      </w:r>
    </w:p>
    <w:p>
      <w:pPr>
        <w:spacing w:after="0" w:line="381"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2020:</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Value of Shares</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Total Number of</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9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1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April 1, 2020 – April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72.97</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59,300,000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2020 – May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59,300,000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June 1, 2020 – June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11,100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91.37</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11,100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58,300,000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74.81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58,300,000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2020 – April 30,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May 1, 2020 – May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2020 – June 30,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 Safety Disclosures</w:t>
      </w:r>
    </w:p>
    <w:p>
      <w:pPr>
        <w:spacing w:after="0" w:line="222" w:lineRule="exact"/>
        <w:rPr>
          <w:sz w:val="20"/>
          <w:szCs w:val="20"/>
          <w:color w:val="auto"/>
        </w:rPr>
      </w:pPr>
    </w:p>
    <w:p>
      <w:pPr>
        <w:sectPr>
          <w:pgSz w:w="11900" w:h="16838" w:orient="portrait"/>
          <w:cols w:equalWidth="0" w:num="2">
            <w:col w:w="600" w:space="120"/>
            <w:col w:w="8299"/>
          </w:cols>
          <w:pgMar w:left="1440" w:top="517" w:right="1440" w:bottom="1440" w:gutter="0" w:footer="0" w:header="0"/>
          <w:type w:val="continuous"/>
        </w:sectPr>
      </w:pPr>
    </w:p>
    <w:p>
      <w:pPr>
        <w:spacing w:after="0" w:line="4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9019"/>
          </w:cols>
          <w:pgMar w:left="1440" w:top="517" w:right="1440" w:bottom="1440" w:gutter="0" w:footer="0" w:header="0"/>
          <w:type w:val="continuous"/>
        </w:sect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00" w:lineRule="exact"/>
        <w:rPr>
          <w:sz w:val="20"/>
          <w:szCs w:val="20"/>
          <w:color w:val="auto"/>
        </w:rPr>
      </w:pPr>
    </w:p>
    <w:p>
      <w:pPr>
        <w:sectPr>
          <w:pgSz w:w="11900" w:h="16838" w:orient="portrait"/>
          <w:cols w:equalWidth="0" w:num="2">
            <w:col w:w="600" w:space="120"/>
            <w:col w:w="8299"/>
          </w:cols>
          <w:pgMar w:left="1440" w:top="517" w:right="1440" w:bottom="1440" w:gutter="0" w:footer="0" w:header="0"/>
          <w:type w:val="continuous"/>
        </w:sectPr>
      </w:pPr>
    </w:p>
    <w:p>
      <w:pPr>
        <w:spacing w:after="0" w:line="4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0" w:type="dxa"/>
            <w:vAlign w:val="bottom"/>
          </w:tcPr>
          <w:p>
            <w:pPr>
              <w:spacing w:after="0"/>
              <w:rPr>
                <w:sz w:val="20"/>
                <w:szCs w:val="20"/>
                <w:color w:val="auto"/>
              </w:rPr>
            </w:pPr>
          </w:p>
        </w:tc>
        <w:tc>
          <w:tcPr>
            <w:tcW w:w="4820" w:type="dxa"/>
            <w:vAlign w:val="bottom"/>
            <w:gridSpan w:val="12"/>
          </w:tcPr>
          <w:p>
            <w:pPr>
              <w:spacing w:after="0"/>
              <w:rPr>
                <w:sz w:val="20"/>
                <w:szCs w:val="20"/>
                <w:color w:val="auto"/>
              </w:rPr>
            </w:pPr>
            <w:r>
              <w:rPr>
                <w:rFonts w:ascii="Arial" w:cs="Arial" w:eastAsia="Arial" w:hAnsi="Arial"/>
                <w:sz w:val="18"/>
                <w:szCs w:val="18"/>
                <w:b w:val="1"/>
                <w:bCs w:val="1"/>
                <w:color w:val="auto"/>
              </w:rPr>
              <w:t>Exhibits</w:t>
            </w:r>
          </w:p>
        </w:tc>
        <w:tc>
          <w:tcPr>
            <w:tcW w:w="34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gridSpan w:val="13"/>
          </w:tcPr>
          <w:p>
            <w:pPr>
              <w:ind w:left="60"/>
              <w:spacing w:after="0"/>
              <w:rPr>
                <w:sz w:val="20"/>
                <w:szCs w:val="20"/>
                <w:color w:val="auto"/>
              </w:rPr>
            </w:pPr>
            <w:r>
              <w:rPr>
                <w:rFonts w:ascii="Arial" w:cs="Arial" w:eastAsia="Arial" w:hAnsi="Arial"/>
                <w:sz w:val="18"/>
                <w:szCs w:val="18"/>
                <w:color w:val="auto"/>
              </w:rPr>
              <w:t>(a)  Exhibits</w:t>
            </w:r>
          </w:p>
        </w:tc>
        <w:tc>
          <w:tcPr>
            <w:tcW w:w="3420" w:type="dxa"/>
            <w:vAlign w:val="bottom"/>
          </w:tcPr>
          <w:p>
            <w:pPr>
              <w:spacing w:after="0"/>
              <w:rPr>
                <w:sz w:val="24"/>
                <w:szCs w:val="24"/>
                <w:color w:val="auto"/>
              </w:rPr>
            </w:pPr>
          </w:p>
        </w:tc>
      </w:tr>
      <w:tr>
        <w:trPr>
          <w:trHeight w:val="270"/>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c>
          <w:tcPr>
            <w:tcW w:w="3420" w:type="dxa"/>
            <w:vAlign w:val="bottom"/>
          </w:tcPr>
          <w:p>
            <w:pPr>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500" w:type="dxa"/>
            <w:vAlign w:val="bottom"/>
            <w:tcBorders>
              <w:top w:val="single" w:sz="8" w:color="auto"/>
            </w:tcBorders>
            <w:gridSpan w:val="10"/>
          </w:tcPr>
          <w:p>
            <w:pPr>
              <w:spacing w:after="0" w:line="195" w:lineRule="exact"/>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Amended and Restated Certificate of Incorporation.</w:t>
              </w:r>
            </w:hyperlink>
          </w:p>
        </w:tc>
        <w:tc>
          <w:tcPr>
            <w:tcW w:w="14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Incorporated by reference to Exhibit 3.1 to the</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Company’s Annual Report on Form 10-K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February 20, 2019.</w:t>
            </w:r>
          </w:p>
        </w:tc>
      </w:tr>
      <w:tr>
        <w:trPr>
          <w:trHeight w:val="350"/>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1"/>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Third Amended and Restated Bylaws.</w:t>
              </w:r>
            </w:hyperlink>
          </w:p>
        </w:tc>
        <w:tc>
          <w:tcPr>
            <w:tcW w:w="3420" w:type="dxa"/>
            <w:vAlign w:val="bottom"/>
          </w:tcPr>
          <w:p>
            <w:pPr>
              <w:spacing w:after="0"/>
              <w:rPr>
                <w:sz w:val="20"/>
                <w:szCs w:val="20"/>
                <w:color w:val="auto"/>
              </w:rPr>
            </w:pPr>
            <w:r>
              <w:rPr>
                <w:rFonts w:ascii="Arial" w:cs="Arial" w:eastAsia="Arial" w:hAnsi="Arial"/>
                <w:sz w:val="18"/>
                <w:szCs w:val="18"/>
                <w:color w:val="auto"/>
                <w:w w:val="93"/>
              </w:rPr>
              <w:t>Incorporated by reference to Exhibit 3.1 to the</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Company’s Current Report on Form 8-K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October 29, 2014.</w:t>
            </w:r>
          </w:p>
        </w:tc>
      </w:tr>
      <w:tr>
        <w:trPr>
          <w:trHeight w:val="350"/>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1"/>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Specimen of Stock Certificate.</w:t>
              </w:r>
            </w:hyperlink>
          </w:p>
        </w:tc>
        <w:tc>
          <w:tcPr>
            <w:tcW w:w="342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Amendment No. 2 to the Company’s</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Registration Statement on Form S-1 filed with</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SEC on September 29, 2008.</w:t>
            </w:r>
          </w:p>
        </w:tc>
      </w:tr>
      <w:tr>
        <w:trPr>
          <w:trHeight w:val="391"/>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Second Amended and Restated Executive Employment</w:t>
              </w:r>
            </w:hyperlink>
          </w:p>
        </w:tc>
        <w:tc>
          <w:tcPr>
            <w:tcW w:w="660" w:type="dxa"/>
            <w:vAlign w:val="bottom"/>
            <w:gridSpan w:val="6"/>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Agreement, dated April 29, 2020, by and between Grand</w:t>
              </w:r>
            </w:hyperlink>
          </w:p>
        </w:tc>
        <w:tc>
          <w:tcPr>
            <w:tcW w:w="560" w:type="dxa"/>
            <w:vAlign w:val="bottom"/>
            <w:gridSpan w:val="5"/>
          </w:tcPr>
          <w:p>
            <w:pPr>
              <w:spacing w:after="0"/>
              <w:rPr>
                <w:sz w:val="17"/>
                <w:szCs w:val="17"/>
                <w:color w:val="auto"/>
              </w:rPr>
            </w:pPr>
          </w:p>
        </w:tc>
        <w:tc>
          <w:tcPr>
            <w:tcW w:w="34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40" w:type="dxa"/>
            <w:vAlign w:val="bottom"/>
            <w:gridSpan w:val="11"/>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Canyon Education, Inc. and Daniel J. Briggs</w:t>
              </w:r>
            </w:hyperlink>
          </w:p>
        </w:tc>
        <w:tc>
          <w:tcPr>
            <w:tcW w:w="34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Principal Executive Officer pursuant to</w:t>
              </w:r>
            </w:hyperlink>
          </w:p>
        </w:tc>
        <w:tc>
          <w:tcPr>
            <w:tcW w:w="680" w:type="dxa"/>
            <w:vAlign w:val="bottom"/>
            <w:gridSpan w:val="7"/>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Rules 13a-14(a) and 15d-14(a), as adopted pursuant to</w:t>
              </w:r>
            </w:hyperlink>
          </w:p>
        </w:tc>
        <w:tc>
          <w:tcPr>
            <w:tcW w:w="740" w:type="dxa"/>
            <w:vAlign w:val="bottom"/>
            <w:gridSpan w:val="9"/>
          </w:tcPr>
          <w:p>
            <w:pPr>
              <w:spacing w:after="0"/>
              <w:rPr>
                <w:sz w:val="17"/>
                <w:szCs w:val="17"/>
                <w:color w:val="auto"/>
              </w:rPr>
            </w:pPr>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40" w:type="dxa"/>
            <w:vAlign w:val="bottom"/>
            <w:gridSpan w:val="11"/>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Section 302 of the Sarbanes-Oxley Act of 2002.</w:t>
              </w:r>
            </w:hyperlink>
          </w:p>
        </w:tc>
        <w:tc>
          <w:tcPr>
            <w:tcW w:w="3420" w:type="dxa"/>
            <w:vAlign w:val="bottom"/>
          </w:tcPr>
          <w:p>
            <w:pPr>
              <w:spacing w:after="0"/>
              <w:rPr>
                <w:sz w:val="20"/>
                <w:szCs w:val="20"/>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Certification of Principal Financial Officer pursuant to</w:t>
              </w:r>
            </w:hyperlink>
          </w:p>
        </w:tc>
        <w:tc>
          <w:tcPr>
            <w:tcW w:w="720" w:type="dxa"/>
            <w:vAlign w:val="bottom"/>
            <w:gridSpan w:val="8"/>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Rules 13a-14(a) and 15d-14(a), as adopted pursuant to</w:t>
              </w:r>
            </w:hyperlink>
          </w:p>
        </w:tc>
        <w:tc>
          <w:tcPr>
            <w:tcW w:w="740" w:type="dxa"/>
            <w:vAlign w:val="bottom"/>
            <w:gridSpan w:val="9"/>
          </w:tcPr>
          <w:p>
            <w:pPr>
              <w:spacing w:after="0"/>
              <w:rPr>
                <w:sz w:val="17"/>
                <w:szCs w:val="17"/>
                <w:color w:val="auto"/>
              </w:rPr>
            </w:pPr>
          </w:p>
        </w:tc>
        <w:tc>
          <w:tcPr>
            <w:tcW w:w="34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40" w:type="dxa"/>
            <w:vAlign w:val="bottom"/>
            <w:gridSpan w:val="11"/>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302 of the Sarbanes-Oxley Act of 2002.</w:t>
              </w:r>
            </w:hyperlink>
          </w:p>
        </w:tc>
        <w:tc>
          <w:tcPr>
            <w:tcW w:w="34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Principal Executive Officer pursuant to 18</w:t>
              </w:r>
            </w:hyperlink>
          </w:p>
        </w:tc>
        <w:tc>
          <w:tcPr>
            <w:tcW w:w="460" w:type="dxa"/>
            <w:vAlign w:val="bottom"/>
            <w:gridSpan w:val="3"/>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U.S.C. Section 1350, as adopted pursuant to Section 906 of</w:t>
              </w:r>
            </w:hyperlink>
          </w:p>
        </w:tc>
        <w:tc>
          <w:tcPr>
            <w:tcW w:w="38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1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the Sarbanes-Oxley Act of 2002. ††</w:t>
              </w:r>
            </w:hyperlink>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Certification of Principal Financial Officer pursuant to 18</w:t>
              </w:r>
            </w:hyperlink>
          </w:p>
        </w:tc>
        <w:tc>
          <w:tcPr>
            <w:tcW w:w="3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120" w:type="dxa"/>
            <w:vAlign w:val="bottom"/>
            <w:gridSpan w:val="7"/>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U.S.C. Section 1350, as adopted pursuant to Section 906 of</w:t>
              </w:r>
            </w:hyperlink>
          </w:p>
        </w:tc>
        <w:tc>
          <w:tcPr>
            <w:tcW w:w="38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1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the Sarbanes-Oxley Act of 2002. ††</w:t>
              </w:r>
            </w:hyperlink>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right="3639" w:hanging="824"/>
        <w:spacing w:after="0" w:line="284"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June 30, 2020, formatted in Inline XBRL: (i) Consolidated Income Statements, (ii) Consolidated Statements of Comprehensive Income, (iii) Consolidated Balance Sheets, (iv) Consolidated Statements of Stockholders’ Equity, (v) Consolidated</w:t>
      </w:r>
    </w:p>
    <w:tbl>
      <w:tblPr>
        <w:tblLayout w:type="fixed"/>
        <w:tblInd w:w="60" w:type="dxa"/>
        <w:tblCellMar>
          <w:top w:w="0" w:type="dxa"/>
          <w:left w:w="0" w:type="dxa"/>
          <w:bottom w:w="0" w:type="dxa"/>
          <w:right w:w="0" w:type="dxa"/>
        </w:tblCellMar>
      </w:tblPr>
      <w:tr>
        <w:trPr>
          <w:trHeight w:val="206"/>
        </w:trPr>
        <w:tc>
          <w:tcPr>
            <w:tcW w:w="540" w:type="dxa"/>
            <w:vAlign w:val="bottom"/>
          </w:tcPr>
          <w:p>
            <w:pPr>
              <w:spacing w:after="0"/>
              <w:rPr>
                <w:sz w:val="17"/>
                <w:szCs w:val="17"/>
                <w:color w:val="auto"/>
              </w:rPr>
            </w:pPr>
          </w:p>
        </w:tc>
        <w:tc>
          <w:tcPr>
            <w:tcW w:w="4800" w:type="dxa"/>
            <w:vAlign w:val="bottom"/>
          </w:tcPr>
          <w:p>
            <w:pPr>
              <w:ind w:left="280"/>
              <w:spacing w:after="0" w:line="206" w:lineRule="exact"/>
              <w:rPr>
                <w:sz w:val="20"/>
                <w:szCs w:val="20"/>
                <w:color w:val="auto"/>
              </w:rPr>
            </w:pPr>
            <w:r>
              <w:rPr>
                <w:rFonts w:ascii="Arial" w:cs="Arial" w:eastAsia="Arial" w:hAnsi="Arial"/>
                <w:sz w:val="18"/>
                <w:szCs w:val="18"/>
                <w:color w:val="auto"/>
                <w:w w:val="97"/>
              </w:rPr>
              <w:t>Statements of Cash Flows, and (vi) Notes to Consolidated</w:t>
            </w:r>
          </w:p>
        </w:tc>
        <w:tc>
          <w:tcPr>
            <w:tcW w:w="122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w w:val="95"/>
              </w:rPr>
              <w:t>Financial Statements tagged as blocks of text and including</w:t>
            </w:r>
          </w:p>
        </w:tc>
        <w:tc>
          <w:tcPr>
            <w:tcW w:w="1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detailed tags.</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350"/>
        </w:trPr>
        <w:tc>
          <w:tcPr>
            <w:tcW w:w="540" w:type="dxa"/>
            <w:vAlign w:val="bottom"/>
          </w:tcPr>
          <w:p>
            <w:pPr>
              <w:jc w:val="right"/>
              <w:ind w:right="190"/>
              <w:spacing w:after="0"/>
              <w:rPr>
                <w:sz w:val="20"/>
                <w:szCs w:val="20"/>
                <w:color w:val="auto"/>
              </w:rPr>
            </w:pPr>
            <w:r>
              <w:rPr>
                <w:rFonts w:ascii="Arial" w:cs="Arial" w:eastAsia="Arial" w:hAnsi="Arial"/>
                <w:sz w:val="18"/>
                <w:szCs w:val="18"/>
                <w:color w:val="auto"/>
                <w:w w:val="79"/>
              </w:rPr>
              <w:t>104</w:t>
            </w:r>
          </w:p>
        </w:tc>
        <w:tc>
          <w:tcPr>
            <w:tcW w:w="4800" w:type="dxa"/>
            <w:vAlign w:val="bottom"/>
          </w:tcPr>
          <w:p>
            <w:pPr>
              <w:ind w:left="280"/>
              <w:spacing w:after="0"/>
              <w:rPr>
                <w:sz w:val="20"/>
                <w:szCs w:val="20"/>
                <w:color w:val="auto"/>
              </w:rPr>
            </w:pPr>
            <w:r>
              <w:rPr>
                <w:rFonts w:ascii="Arial" w:cs="Arial" w:eastAsia="Arial" w:hAnsi="Arial"/>
                <w:sz w:val="18"/>
                <w:szCs w:val="18"/>
                <w:color w:val="auto"/>
                <w:w w:val="99"/>
              </w:rPr>
              <w:t>The cover page from the Company’s Quarterly Report on</w:t>
            </w:r>
          </w:p>
        </w:tc>
        <w:tc>
          <w:tcPr>
            <w:tcW w:w="122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w w:val="92"/>
              </w:rPr>
              <w:t>Form 10-Q for the quarter ended June 30, 2020, formatted in</w:t>
            </w:r>
          </w:p>
        </w:tc>
        <w:tc>
          <w:tcPr>
            <w:tcW w:w="1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Inline XBRL (included as Exhibit 101).</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380" w:right="199" w:hanging="330"/>
        <w:spacing w:after="0" w:line="253" w:lineRule="auto"/>
        <w:tabs>
          <w:tab w:leader="none" w:pos="3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4, 2020</w:t>
            </w: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By: /s/ Daniel E. Bachus</w:t>
            </w:r>
          </w:p>
        </w:tc>
      </w:tr>
      <w:tr>
        <w:trPr>
          <w:trHeight w:val="20"/>
        </w:trPr>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2"/>
        </w:trPr>
        <w:tc>
          <w:tcPr>
            <w:tcW w:w="3040" w:type="dxa"/>
            <w:vAlign w:val="bottom"/>
          </w:tcPr>
          <w:p>
            <w:pPr>
              <w:spacing w:after="0"/>
              <w:rPr>
                <w:sz w:val="15"/>
                <w:szCs w:val="15"/>
                <w:color w:val="auto"/>
              </w:rPr>
            </w:pPr>
          </w:p>
        </w:tc>
        <w:tc>
          <w:tcPr>
            <w:tcW w:w="5860" w:type="dxa"/>
            <w:vAlign w:val="bottom"/>
            <w:gridSpan w:val="2"/>
          </w:tcPr>
          <w:p>
            <w:pPr>
              <w:ind w:left="150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040" w:type="dxa"/>
            <w:vAlign w:val="bottom"/>
          </w:tcPr>
          <w:p>
            <w:pPr>
              <w:spacing w:after="0"/>
              <w:rPr>
                <w:sz w:val="18"/>
                <w:szCs w:val="18"/>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Chief Financial Officer</w:t>
            </w:r>
          </w:p>
        </w:tc>
      </w:tr>
      <w:tr>
        <w:trPr>
          <w:trHeight w:val="230"/>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10.1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F1F1F"/>
        </w:rPr>
        <w:t>SECOND AMENDED AND 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F1F1F"/>
        </w:rPr>
        <w:t>EXECUTIVE EMPLOYMENT AGREEMENT</w:t>
      </w:r>
    </w:p>
    <w:p>
      <w:pPr>
        <w:spacing w:after="0" w:line="20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1F1F1F"/>
        </w:rPr>
        <w:t>This Second Amended and Restated Executive Employment Agreement (the “</w:t>
      </w:r>
      <w:r>
        <w:rPr>
          <w:rFonts w:ascii="Arial" w:cs="Arial" w:eastAsia="Arial" w:hAnsi="Arial"/>
          <w:sz w:val="20"/>
          <w:szCs w:val="20"/>
          <w:u w:val="single" w:color="auto"/>
          <w:color w:val="1F1F1F"/>
        </w:rPr>
        <w:t>Agreement"</w:t>
      </w:r>
      <w:r>
        <w:rPr>
          <w:rFonts w:ascii="Arial" w:cs="Arial" w:eastAsia="Arial" w:hAnsi="Arial"/>
          <w:sz w:val="20"/>
          <w:szCs w:val="20"/>
          <w:color w:val="1F1F1F"/>
        </w:rPr>
        <w:t>) is entered into on April 29, 2020, by and among Grand Canyon Education, Inc., a Delaware corporation (“GCE”), GCE’s subsidiary. Orbis Education Services, LLC, a Delaware limited liability company (“Orbis”), and Daniel J. Briggs (“</w:t>
      </w:r>
      <w:r>
        <w:rPr>
          <w:rFonts w:ascii="Arial" w:cs="Arial" w:eastAsia="Arial" w:hAnsi="Arial"/>
          <w:sz w:val="20"/>
          <w:szCs w:val="20"/>
          <w:u w:val="single" w:color="auto"/>
          <w:color w:val="1F1F1F"/>
        </w:rPr>
        <w:t>Executive</w:t>
      </w:r>
      <w:r>
        <w:rPr>
          <w:rFonts w:ascii="Arial" w:cs="Arial" w:eastAsia="Arial" w:hAnsi="Arial"/>
          <w:sz w:val="20"/>
          <w:szCs w:val="20"/>
          <w:color w:val="1F1F1F"/>
        </w:rPr>
        <w:t>”).</w:t>
      </w:r>
    </w:p>
    <w:p>
      <w:pPr>
        <w:spacing w:after="0" w:line="19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1F1F1F"/>
        </w:rPr>
        <w:t>WHEREAS, Orbis and Executive are parties to an amended and restated executive employment agreement effective as of December 17, 2018 and effective January 22, 2019, (as amended, the “</w:t>
      </w:r>
      <w:r>
        <w:rPr>
          <w:rFonts w:ascii="Arial" w:cs="Arial" w:eastAsia="Arial" w:hAnsi="Arial"/>
          <w:sz w:val="20"/>
          <w:szCs w:val="20"/>
          <w:u w:val="single" w:color="auto"/>
          <w:color w:val="1F1F1F"/>
        </w:rPr>
        <w:t>Original</w:t>
      </w:r>
      <w:r>
        <w:rPr>
          <w:rFonts w:ascii="Arial" w:cs="Arial" w:eastAsia="Arial" w:hAnsi="Arial"/>
          <w:sz w:val="20"/>
          <w:szCs w:val="20"/>
          <w:color w:val="1F1F1F"/>
        </w:rPr>
        <w:t xml:space="preserve"> </w:t>
      </w:r>
      <w:r>
        <w:rPr>
          <w:rFonts w:ascii="Arial" w:cs="Arial" w:eastAsia="Arial" w:hAnsi="Arial"/>
          <w:sz w:val="20"/>
          <w:szCs w:val="20"/>
          <w:u w:val="single" w:color="auto"/>
          <w:color w:val="1F1F1F"/>
        </w:rPr>
        <w:t>Agreement”</w:t>
      </w:r>
      <w:r>
        <w:rPr>
          <w:rFonts w:ascii="Arial" w:cs="Arial" w:eastAsia="Arial" w:hAnsi="Arial"/>
          <w:sz w:val="20"/>
          <w:szCs w:val="20"/>
          <w:color w:val="1F1F1F"/>
        </w:rPr>
        <w:t>), and Executive has been employed with Orbis since that time;</w:t>
      </w:r>
    </w:p>
    <w:p>
      <w:pPr>
        <w:spacing w:after="0" w:line="19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1F1F1F"/>
        </w:rPr>
        <w:t>WHEREAS, Orbis and Executive desire to amend and restate the Original Agreement through the execution and delivery of this Agreement.</w:t>
      </w:r>
    </w:p>
    <w:p>
      <w:pPr>
        <w:spacing w:after="0" w:line="19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1F1F1F"/>
        </w:rPr>
        <w:t>NOW, THEREFORE, for good and valuable consideration, the receipt and sufficiency of which are hereby acknowledged, the parties agree as follows:</w:t>
      </w:r>
    </w:p>
    <w:p>
      <w:pPr>
        <w:spacing w:after="0" w:line="196" w:lineRule="exact"/>
        <w:rPr>
          <w:sz w:val="20"/>
          <w:szCs w:val="20"/>
          <w:color w:val="auto"/>
        </w:rPr>
      </w:pPr>
    </w:p>
    <w:p>
      <w:pPr>
        <w:ind w:firstLine="656"/>
        <w:spacing w:after="0" w:line="236" w:lineRule="auto"/>
        <w:tabs>
          <w:tab w:leader="none" w:pos="1429" w:val="left"/>
        </w:tabs>
        <w:numPr>
          <w:ilvl w:val="0"/>
          <w:numId w:val="15"/>
        </w:numPr>
        <w:rPr>
          <w:rFonts w:ascii="Arial" w:cs="Arial" w:eastAsia="Arial" w:hAnsi="Arial"/>
          <w:sz w:val="20"/>
          <w:szCs w:val="20"/>
          <w:color w:val="1F1F1F"/>
        </w:rPr>
      </w:pPr>
      <w:r>
        <w:rPr>
          <w:rFonts w:ascii="Arial" w:cs="Arial" w:eastAsia="Arial" w:hAnsi="Arial"/>
          <w:sz w:val="20"/>
          <w:szCs w:val="20"/>
          <w:u w:val="single" w:color="auto"/>
          <w:color w:val="1F1F1F"/>
        </w:rPr>
        <w:t>Employment.</w:t>
      </w:r>
      <w:r>
        <w:rPr>
          <w:rFonts w:ascii="Arial" w:cs="Arial" w:eastAsia="Arial" w:hAnsi="Arial"/>
          <w:sz w:val="20"/>
          <w:szCs w:val="20"/>
          <w:color w:val="1F1F1F"/>
        </w:rPr>
        <w:t xml:space="preserve"> Orbis desires to continue to employ Executive, and Executive desires to continue such employment, upon the terms and conditions set forth herein.</w:t>
      </w:r>
    </w:p>
    <w:p>
      <w:pPr>
        <w:spacing w:after="0" w:line="195" w:lineRule="exact"/>
        <w:rPr>
          <w:rFonts w:ascii="Arial" w:cs="Arial" w:eastAsia="Arial" w:hAnsi="Arial"/>
          <w:sz w:val="20"/>
          <w:szCs w:val="20"/>
          <w:color w:val="1F1F1F"/>
        </w:rPr>
      </w:pPr>
    </w:p>
    <w:p>
      <w:pPr>
        <w:ind w:left="1320" w:hanging="664"/>
        <w:spacing w:after="0"/>
        <w:tabs>
          <w:tab w:leader="none" w:pos="1320" w:val="left"/>
        </w:tabs>
        <w:numPr>
          <w:ilvl w:val="0"/>
          <w:numId w:val="15"/>
        </w:numPr>
        <w:rPr>
          <w:rFonts w:ascii="Arial" w:cs="Arial" w:eastAsia="Arial" w:hAnsi="Arial"/>
          <w:sz w:val="20"/>
          <w:szCs w:val="20"/>
          <w:color w:val="1F1F1F"/>
        </w:rPr>
      </w:pPr>
      <w:r>
        <w:rPr>
          <w:rFonts w:ascii="Arial" w:cs="Arial" w:eastAsia="Arial" w:hAnsi="Arial"/>
          <w:sz w:val="20"/>
          <w:szCs w:val="20"/>
          <w:u w:val="single" w:color="auto"/>
          <w:color w:val="1F1F1F"/>
        </w:rPr>
        <w:t>Duties</w:t>
      </w:r>
      <w:r>
        <w:rPr>
          <w:rFonts w:ascii="Arial" w:cs="Arial" w:eastAsia="Arial" w:hAnsi="Arial"/>
          <w:sz w:val="20"/>
          <w:szCs w:val="20"/>
          <w:color w:val="1F1F1F"/>
        </w:rPr>
        <w:t>.</w:t>
      </w:r>
    </w:p>
    <w:p>
      <w:pPr>
        <w:spacing w:after="0" w:line="20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1F1F1F"/>
        </w:rPr>
        <w:t xml:space="preserve">2.1 </w:t>
      </w:r>
      <w:r>
        <w:rPr>
          <w:rFonts w:ascii="Arial" w:cs="Arial" w:eastAsia="Arial" w:hAnsi="Arial"/>
          <w:sz w:val="20"/>
          <w:szCs w:val="20"/>
          <w:u w:val="single" w:color="auto"/>
          <w:color w:val="1F1F1F"/>
        </w:rPr>
        <w:t>Position</w:t>
      </w:r>
      <w:r>
        <w:rPr>
          <w:rFonts w:ascii="Arial" w:cs="Arial" w:eastAsia="Arial" w:hAnsi="Arial"/>
          <w:sz w:val="20"/>
          <w:szCs w:val="20"/>
          <w:color w:val="1F1F1F"/>
        </w:rPr>
        <w:t>. Executive is employed by Orbis and shall have the duties and responsibilities reasonably assigned to Executive from time to time by GCE’s Chief Executive Officer, Brian Mueller, or such other executive officer of GCE as may be designated by Mr. Mueller. Executive shall perform faithfully and diligently all duties assigned to Executive. Orbis reserves the right to modify Executive’s position and duties at any time in its sole and absolute discretion, except that any material diminution in Executive’s duties shall be subject to Section 7.3(ii).</w:t>
      </w:r>
    </w:p>
    <w:p>
      <w:pPr>
        <w:spacing w:after="0" w:line="19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1F1F1F"/>
        </w:rPr>
        <w:t xml:space="preserve">2.2 </w:t>
      </w:r>
      <w:r>
        <w:rPr>
          <w:rFonts w:ascii="Arial" w:cs="Arial" w:eastAsia="Arial" w:hAnsi="Arial"/>
          <w:sz w:val="20"/>
          <w:szCs w:val="20"/>
          <w:u w:val="single" w:color="auto"/>
          <w:color w:val="1F1F1F"/>
        </w:rPr>
        <w:t>Best Efforts/Full-time</w:t>
      </w:r>
      <w:r>
        <w:rPr>
          <w:rFonts w:ascii="Arial" w:cs="Arial" w:eastAsia="Arial" w:hAnsi="Arial"/>
          <w:sz w:val="20"/>
          <w:szCs w:val="20"/>
          <w:color w:val="1F1F1F"/>
        </w:rPr>
        <w:t>. Executive will expend Executive’s best efforts on behalf of Orbis in the performance of duties assigned to Executive under this Agreement, and will abide by all policies and decisions made by Orbis, as well as all applicable federal, state and local laws, regulations or ordinances. Executive will act in the best interest of Orbis at all times in the performance of duties assigned to Executive under this Agreement. Executive shall devote Executive's full business time and efforts to the performance of Executive’s assigned duties for Orbis, unless Executive notifies GCE in advance of Executive's intent to engage in other paid work and receives GCE’s express written consent to do so. Notwithstanding the foregoing, Executive will be permitted to serve as an outside director on the board of directors for corporate, civic, nonprofit or charitable entities, so long as Executive obtains the consent of GCE and provided such entities are not competitive with Orbis or GCE and subject to the provisions of Section 9.</w:t>
      </w:r>
    </w:p>
    <w:p>
      <w:pPr>
        <w:spacing w:after="0" w:line="201"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1F1F1F"/>
        </w:rPr>
        <w:t xml:space="preserve">2.3 </w:t>
      </w:r>
      <w:r>
        <w:rPr>
          <w:rFonts w:ascii="Arial" w:cs="Arial" w:eastAsia="Arial" w:hAnsi="Arial"/>
          <w:sz w:val="20"/>
          <w:szCs w:val="20"/>
          <w:u w:val="single" w:color="auto"/>
          <w:color w:val="1F1F1F"/>
        </w:rPr>
        <w:t>Work Location</w:t>
      </w:r>
      <w:r>
        <w:rPr>
          <w:rFonts w:ascii="Arial" w:cs="Arial" w:eastAsia="Arial" w:hAnsi="Arial"/>
          <w:sz w:val="20"/>
          <w:szCs w:val="20"/>
          <w:color w:val="1F1F1F"/>
        </w:rPr>
        <w:t>. Executive's principal place of work shall be located in Indianapolis, Indiana, or such other location as Orbis may direct from time to time.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1" w:name="page42"/>
    <w:bookmarkEnd w:id="41"/>
    <w:p>
      <w:pPr>
        <w:ind w:left="1320" w:hanging="664"/>
        <w:spacing w:after="0"/>
        <w:tabs>
          <w:tab w:leader="none" w:pos="1320" w:val="left"/>
        </w:tabs>
        <w:numPr>
          <w:ilvl w:val="0"/>
          <w:numId w:val="16"/>
        </w:numPr>
        <w:rPr>
          <w:rFonts w:ascii="Arial" w:cs="Arial" w:eastAsia="Arial" w:hAnsi="Arial"/>
          <w:sz w:val="20"/>
          <w:szCs w:val="20"/>
          <w:color w:val="1F1F1F"/>
        </w:rPr>
      </w:pPr>
      <w:r>
        <w:rPr>
          <w:rFonts w:ascii="Arial" w:cs="Arial" w:eastAsia="Arial" w:hAnsi="Arial"/>
          <w:sz w:val="20"/>
          <w:szCs w:val="20"/>
          <w:u w:val="single" w:color="auto"/>
          <w:color w:val="1F1F1F"/>
        </w:rPr>
        <w:t>Term</w:t>
      </w:r>
      <w:r>
        <w:rPr>
          <w:rFonts w:ascii="Arial" w:cs="Arial" w:eastAsia="Arial" w:hAnsi="Arial"/>
          <w:sz w:val="20"/>
          <w:szCs w:val="20"/>
          <w:color w:val="1F1F1F"/>
        </w:rPr>
        <w:t>.</w:t>
      </w:r>
    </w:p>
    <w:p>
      <w:pPr>
        <w:spacing w:after="0" w:line="20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1F1F1F"/>
        </w:rPr>
        <w:t xml:space="preserve">3.1 </w:t>
      </w:r>
      <w:r>
        <w:rPr>
          <w:rFonts w:ascii="Arial" w:cs="Arial" w:eastAsia="Arial" w:hAnsi="Arial"/>
          <w:sz w:val="20"/>
          <w:szCs w:val="20"/>
          <w:u w:val="single" w:color="auto"/>
          <w:color w:val="1F1F1F"/>
        </w:rPr>
        <w:t>Initial Term</w:t>
      </w:r>
      <w:r>
        <w:rPr>
          <w:rFonts w:ascii="Arial" w:cs="Arial" w:eastAsia="Arial" w:hAnsi="Arial"/>
          <w:sz w:val="20"/>
          <w:szCs w:val="20"/>
          <w:color w:val="1F1F1F"/>
        </w:rPr>
        <w:t>. The employment relationship pursuant to this Agreement shall be for an initial term commencing on the Effective Date and shall continue in effect for a period through June 30, 2023 (the “</w:t>
      </w:r>
      <w:r>
        <w:rPr>
          <w:rFonts w:ascii="Arial" w:cs="Arial" w:eastAsia="Arial" w:hAnsi="Arial"/>
          <w:sz w:val="20"/>
          <w:szCs w:val="20"/>
          <w:u w:val="single" w:color="auto"/>
          <w:color w:val="1F1F1F"/>
        </w:rPr>
        <w:t>Initial Term</w:t>
      </w:r>
      <w:r>
        <w:rPr>
          <w:rFonts w:ascii="Arial" w:cs="Arial" w:eastAsia="Arial" w:hAnsi="Arial"/>
          <w:sz w:val="20"/>
          <w:szCs w:val="20"/>
          <w:color w:val="1F1F1F"/>
        </w:rPr>
        <w:t>"), unless sooner terminated in accordance with Section 7.</w:t>
      </w:r>
    </w:p>
    <w:p>
      <w:pPr>
        <w:spacing w:after="0" w:line="197"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1F1F1F"/>
        </w:rPr>
        <w:t xml:space="preserve">3.2 </w:t>
      </w:r>
      <w:r>
        <w:rPr>
          <w:rFonts w:ascii="Arial" w:cs="Arial" w:eastAsia="Arial" w:hAnsi="Arial"/>
          <w:sz w:val="20"/>
          <w:szCs w:val="20"/>
          <w:u w:val="single" w:color="auto"/>
          <w:color w:val="1F1F1F"/>
        </w:rPr>
        <w:t>Renewal</w:t>
      </w:r>
      <w:r>
        <w:rPr>
          <w:rFonts w:ascii="Arial" w:cs="Arial" w:eastAsia="Arial" w:hAnsi="Arial"/>
          <w:sz w:val="20"/>
          <w:szCs w:val="20"/>
          <w:color w:val="1F1F1F"/>
        </w:rPr>
        <w:t>. Upon expiration of the Initial Term and each Renewal Term, this Agreement will automatically renew for subsequent one (1) year terms (each a “</w:t>
      </w:r>
      <w:r>
        <w:rPr>
          <w:rFonts w:ascii="Arial" w:cs="Arial" w:eastAsia="Arial" w:hAnsi="Arial"/>
          <w:sz w:val="20"/>
          <w:szCs w:val="20"/>
          <w:u w:val="single" w:color="auto"/>
          <w:color w:val="1F1F1F"/>
        </w:rPr>
        <w:t>Renewal Term</w:t>
      </w:r>
      <w:r>
        <w:rPr>
          <w:rFonts w:ascii="Arial" w:cs="Arial" w:eastAsia="Arial" w:hAnsi="Arial"/>
          <w:sz w:val="20"/>
          <w:szCs w:val="20"/>
          <w:color w:val="1F1F1F"/>
        </w:rPr>
        <w:t>”) unless either party provides ninety (90) days' advance written notice to the other that Orbis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20"/>
          <w:szCs w:val="20"/>
          <w:u w:val="single" w:color="auto"/>
          <w:color w:val="1F1F1F"/>
        </w:rPr>
        <w:t>Term</w:t>
      </w:r>
      <w:r>
        <w:rPr>
          <w:rFonts w:ascii="Arial" w:cs="Arial" w:eastAsia="Arial" w:hAnsi="Arial"/>
          <w:sz w:val="20"/>
          <w:szCs w:val="20"/>
          <w:color w:val="1F1F1F"/>
        </w:rPr>
        <w:t>”.</w:t>
      </w:r>
    </w:p>
    <w:p>
      <w:pPr>
        <w:spacing w:after="0" w:line="195" w:lineRule="exact"/>
        <w:rPr>
          <w:sz w:val="20"/>
          <w:szCs w:val="20"/>
          <w:color w:val="auto"/>
        </w:rPr>
      </w:pPr>
    </w:p>
    <w:p>
      <w:pPr>
        <w:ind w:left="1320" w:hanging="664"/>
        <w:spacing w:after="0"/>
        <w:tabs>
          <w:tab w:leader="none" w:pos="1320" w:val="left"/>
        </w:tabs>
        <w:numPr>
          <w:ilvl w:val="0"/>
          <w:numId w:val="17"/>
        </w:numPr>
        <w:rPr>
          <w:rFonts w:ascii="Arial" w:cs="Arial" w:eastAsia="Arial" w:hAnsi="Arial"/>
          <w:sz w:val="20"/>
          <w:szCs w:val="20"/>
          <w:color w:val="1F1F1F"/>
        </w:rPr>
      </w:pPr>
      <w:r>
        <w:rPr>
          <w:rFonts w:ascii="Arial" w:cs="Arial" w:eastAsia="Arial" w:hAnsi="Arial"/>
          <w:sz w:val="20"/>
          <w:szCs w:val="20"/>
          <w:u w:val="single" w:color="auto"/>
          <w:color w:val="1F1F1F"/>
        </w:rPr>
        <w:t>Compensation.</w:t>
      </w:r>
    </w:p>
    <w:p>
      <w:pPr>
        <w:spacing w:after="0" w:line="202"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1F1F1F"/>
        </w:rPr>
        <w:t xml:space="preserve">4.1 </w:t>
      </w:r>
      <w:r>
        <w:rPr>
          <w:rFonts w:ascii="Arial" w:cs="Arial" w:eastAsia="Arial" w:hAnsi="Arial"/>
          <w:sz w:val="20"/>
          <w:szCs w:val="20"/>
          <w:u w:val="single" w:color="auto"/>
          <w:color w:val="1F1F1F"/>
        </w:rPr>
        <w:t>Base-Salary</w:t>
      </w:r>
      <w:r>
        <w:rPr>
          <w:rFonts w:ascii="Arial" w:cs="Arial" w:eastAsia="Arial" w:hAnsi="Arial"/>
          <w:sz w:val="20"/>
          <w:szCs w:val="20"/>
          <w:color w:val="1F1F1F"/>
        </w:rPr>
        <w:t>. As compensation for Executive’s performance of Executive’s duties hereunder, effective beginning on the Effective Date Orbis shall pay to Executive an initial Base Salary a the rate of Two Hundred Ninety-Four Thousand Eighty-One and 58/100 Dollars ($294,081.58) per year, payable in accordance with the normal payroll practices of Orbis, less required deductions for state and federal withholding tax, social security and all other employment taxes and payroll deductions. Executives Base Salary shall be reviewed annually by the Compensation Committee of GCE (the “</w:t>
      </w:r>
      <w:r>
        <w:rPr>
          <w:rFonts w:ascii="Arial" w:cs="Arial" w:eastAsia="Arial" w:hAnsi="Arial"/>
          <w:sz w:val="20"/>
          <w:szCs w:val="20"/>
          <w:u w:val="single" w:color="auto"/>
          <w:color w:val="1F1F1F"/>
        </w:rPr>
        <w:t>Compensation Committee</w:t>
      </w:r>
      <w:r>
        <w:rPr>
          <w:rFonts w:ascii="Arial" w:cs="Arial" w:eastAsia="Arial" w:hAnsi="Arial"/>
          <w:sz w:val="20"/>
          <w:szCs w:val="20"/>
          <w:color w:val="1F1F1F"/>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spacing w:after="0" w:line="208" w:lineRule="exact"/>
        <w:rPr>
          <w:sz w:val="20"/>
          <w:szCs w:val="20"/>
          <w:color w:val="auto"/>
        </w:rPr>
      </w:pPr>
    </w:p>
    <w:p>
      <w:pPr>
        <w:jc w:val="both"/>
        <w:ind w:firstLine="1296"/>
        <w:spacing w:after="0"/>
        <w:rPr>
          <w:sz w:val="20"/>
          <w:szCs w:val="20"/>
          <w:color w:val="auto"/>
        </w:rPr>
      </w:pPr>
      <w:r>
        <w:rPr>
          <w:rFonts w:ascii="Arial" w:cs="Arial" w:eastAsia="Arial" w:hAnsi="Arial"/>
          <w:sz w:val="21"/>
          <w:szCs w:val="21"/>
          <w:color w:val="1F1F1F"/>
        </w:rPr>
        <w:t xml:space="preserve">4.2 </w:t>
      </w:r>
      <w:r>
        <w:rPr>
          <w:rFonts w:ascii="Arial" w:cs="Arial" w:eastAsia="Arial" w:hAnsi="Arial"/>
          <w:sz w:val="21"/>
          <w:szCs w:val="21"/>
          <w:u w:val="single" w:color="auto"/>
          <w:color w:val="1F1F1F"/>
        </w:rPr>
        <w:t>Incentive</w:t>
      </w:r>
      <w:r>
        <w:rPr>
          <w:rFonts w:ascii="Arial" w:cs="Arial" w:eastAsia="Arial" w:hAnsi="Arial"/>
          <w:sz w:val="21"/>
          <w:szCs w:val="21"/>
          <w:color w:val="1F1F1F"/>
        </w:rPr>
        <w:t xml:space="preserve"> </w:t>
      </w:r>
      <w:r>
        <w:rPr>
          <w:rFonts w:ascii="Arial" w:cs="Arial" w:eastAsia="Arial" w:hAnsi="Arial"/>
          <w:sz w:val="19"/>
          <w:szCs w:val="19"/>
          <w:u w:val="single" w:color="auto"/>
          <w:color w:val="1F1F1F"/>
        </w:rPr>
        <w:t>Compensation.</w:t>
      </w:r>
      <w:r>
        <w:rPr>
          <w:rFonts w:ascii="Arial" w:cs="Arial" w:eastAsia="Arial" w:hAnsi="Arial"/>
          <w:sz w:val="21"/>
          <w:szCs w:val="21"/>
          <w:color w:val="1F1F1F"/>
        </w:rPr>
        <w:t xml:space="preserve"> </w:t>
      </w:r>
      <w:r>
        <w:rPr>
          <w:rFonts w:ascii="Arial" w:cs="Arial" w:eastAsia="Arial" w:hAnsi="Arial"/>
          <w:sz w:val="19"/>
          <w:szCs w:val="19"/>
          <w:color w:val="1F1F1F"/>
        </w:rPr>
        <w:t>Executive will be eligible to earn incentive compensation in the</w:t>
      </w:r>
      <w:r>
        <w:rPr>
          <w:rFonts w:ascii="Arial" w:cs="Arial" w:eastAsia="Arial" w:hAnsi="Arial"/>
          <w:sz w:val="21"/>
          <w:szCs w:val="21"/>
          <w:color w:val="1F1F1F"/>
        </w:rPr>
        <w:t xml:space="preserve"> </w:t>
      </w:r>
      <w:r>
        <w:rPr>
          <w:rFonts w:ascii="Arial" w:cs="Arial" w:eastAsia="Arial" w:hAnsi="Arial"/>
          <w:sz w:val="19"/>
          <w:szCs w:val="19"/>
          <w:color w:val="1F1F1F"/>
        </w:rPr>
        <w:t>form of an annual bonus for each fiscal year of Orbis, to be awarded under Orbis’s annual cash incentive plan as then in effect, with a target amount equal to seventy-five percent (75%) of Executive's Base Salary (the “</w:t>
      </w:r>
      <w:r>
        <w:rPr>
          <w:rFonts w:ascii="Arial" w:cs="Arial" w:eastAsia="Arial" w:hAnsi="Arial"/>
          <w:sz w:val="19"/>
          <w:szCs w:val="19"/>
          <w:u w:val="single" w:color="auto"/>
          <w:color w:val="1F1F1F"/>
        </w:rPr>
        <w:t>Target</w:t>
      </w:r>
      <w:r>
        <w:rPr>
          <w:rFonts w:ascii="Arial" w:cs="Arial" w:eastAsia="Arial" w:hAnsi="Arial"/>
          <w:sz w:val="19"/>
          <w:szCs w:val="19"/>
          <w:color w:val="1F1F1F"/>
        </w:rPr>
        <w:t xml:space="preserve"> </w:t>
      </w:r>
      <w:r>
        <w:rPr>
          <w:rFonts w:ascii="Arial" w:cs="Arial" w:eastAsia="Arial" w:hAnsi="Arial"/>
          <w:sz w:val="19"/>
          <w:szCs w:val="19"/>
          <w:u w:val="single" w:color="auto"/>
          <w:color w:val="1F1F1F"/>
        </w:rPr>
        <w:t>Bonus</w:t>
      </w:r>
      <w:r>
        <w:rPr>
          <w:rFonts w:ascii="Arial" w:cs="Arial" w:eastAsia="Arial" w:hAnsi="Arial"/>
          <w:sz w:val="19"/>
          <w:szCs w:val="19"/>
          <w:color w:val="1F1F1F"/>
        </w:rPr>
        <w:t>").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Orbis's achievement of overall performance metrics for the year and Executive's achievement of individual performance metrics as agreed upon by the Compensation Committee and Executive. Earned bonus amounts, if any, shah be paid within two and one-half months following the end of the applicable Orbis fiscal year.</w:t>
      </w:r>
    </w:p>
    <w:p>
      <w:pPr>
        <w:spacing w:after="0" w:line="200" w:lineRule="exact"/>
        <w:rPr>
          <w:sz w:val="20"/>
          <w:szCs w:val="20"/>
          <w:color w:val="auto"/>
        </w:rPr>
      </w:pPr>
    </w:p>
    <w:p>
      <w:pPr>
        <w:spacing w:after="0" w:line="21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1"/>
          <w:szCs w:val="21"/>
          <w:color w:val="1F1F1F"/>
        </w:rPr>
        <w:t xml:space="preserve">4.3 </w:t>
      </w:r>
      <w:r>
        <w:rPr>
          <w:rFonts w:ascii="Arial" w:cs="Arial" w:eastAsia="Arial" w:hAnsi="Arial"/>
          <w:sz w:val="21"/>
          <w:szCs w:val="21"/>
          <w:u w:val="single" w:color="auto"/>
          <w:color w:val="1F1F1F"/>
        </w:rPr>
        <w:t>Equity</w:t>
      </w:r>
      <w:r>
        <w:rPr>
          <w:rFonts w:ascii="Arial" w:cs="Arial" w:eastAsia="Arial" w:hAnsi="Arial"/>
          <w:sz w:val="21"/>
          <w:szCs w:val="21"/>
          <w:color w:val="1F1F1F"/>
        </w:rPr>
        <w:t xml:space="preserve"> </w:t>
      </w:r>
      <w:r>
        <w:rPr>
          <w:rFonts w:ascii="Arial" w:cs="Arial" w:eastAsia="Arial" w:hAnsi="Arial"/>
          <w:sz w:val="19"/>
          <w:szCs w:val="19"/>
          <w:u w:val="single" w:color="auto"/>
          <w:color w:val="1F1F1F"/>
        </w:rPr>
        <w:t>Awards</w:t>
      </w:r>
      <w:r>
        <w:rPr>
          <w:rFonts w:ascii="Arial" w:cs="Arial" w:eastAsia="Arial" w:hAnsi="Arial"/>
          <w:sz w:val="19"/>
          <w:szCs w:val="19"/>
          <w:color w:val="1F1F1F"/>
        </w:rPr>
        <w:t>. Executive will be eligible to receive stock, option or other equity awards</w:t>
      </w:r>
      <w:r>
        <w:rPr>
          <w:rFonts w:ascii="Arial" w:cs="Arial" w:eastAsia="Arial" w:hAnsi="Arial"/>
          <w:sz w:val="21"/>
          <w:szCs w:val="21"/>
          <w:color w:val="1F1F1F"/>
        </w:rPr>
        <w:t xml:space="preserve"> </w:t>
      </w:r>
      <w:r>
        <w:rPr>
          <w:rFonts w:ascii="Arial" w:cs="Arial" w:eastAsia="Arial" w:hAnsi="Arial"/>
          <w:sz w:val="19"/>
          <w:szCs w:val="19"/>
          <w:color w:val="1F1F1F"/>
        </w:rPr>
        <w:t>(each, an “</w:t>
      </w:r>
      <w:r>
        <w:rPr>
          <w:rFonts w:ascii="Arial" w:cs="Arial" w:eastAsia="Arial" w:hAnsi="Arial"/>
          <w:sz w:val="19"/>
          <w:szCs w:val="19"/>
          <w:u w:val="single" w:color="auto"/>
          <w:color w:val="1F1F1F"/>
        </w:rPr>
        <w:t>Equity Award</w:t>
      </w:r>
      <w:r>
        <w:rPr>
          <w:rFonts w:ascii="Arial" w:cs="Arial" w:eastAsia="Arial" w:hAnsi="Arial"/>
          <w:sz w:val="19"/>
          <w:szCs w:val="19"/>
          <w:color w:val="1F1F1F"/>
        </w:rPr>
        <w:t>”) under GCE’s equity incentive plan as then in effect (the “</w:t>
      </w:r>
      <w:r>
        <w:rPr>
          <w:rFonts w:ascii="Arial" w:cs="Arial" w:eastAsia="Arial" w:hAnsi="Arial"/>
          <w:sz w:val="19"/>
          <w:szCs w:val="19"/>
          <w:u w:val="single" w:color="auto"/>
          <w:color w:val="1F1F1F"/>
        </w:rPr>
        <w:t>Plan</w:t>
      </w:r>
      <w:r>
        <w:rPr>
          <w:rFonts w:ascii="Arial" w:cs="Arial" w:eastAsia="Arial" w:hAnsi="Arial"/>
          <w:sz w:val="19"/>
          <w:szCs w:val="19"/>
          <w:color w:val="1F1F1F"/>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98" w:lineRule="exact"/>
        <w:rPr>
          <w:sz w:val="20"/>
          <w:szCs w:val="20"/>
          <w:color w:val="auto"/>
        </w:rPr>
      </w:pPr>
    </w:p>
    <w:p>
      <w:pPr>
        <w:jc w:val="both"/>
        <w:ind w:firstLine="656"/>
        <w:spacing w:after="0" w:line="230" w:lineRule="auto"/>
        <w:tabs>
          <w:tab w:leader="none" w:pos="1429" w:val="left"/>
        </w:tabs>
        <w:numPr>
          <w:ilvl w:val="0"/>
          <w:numId w:val="18"/>
        </w:numPr>
        <w:rPr>
          <w:rFonts w:ascii="Arial" w:cs="Arial" w:eastAsia="Arial" w:hAnsi="Arial"/>
          <w:sz w:val="20"/>
          <w:szCs w:val="20"/>
          <w:color w:val="1F1F1F"/>
        </w:rPr>
      </w:pPr>
      <w:r>
        <w:rPr>
          <w:rFonts w:ascii="Arial" w:cs="Arial" w:eastAsia="Arial" w:hAnsi="Arial"/>
          <w:sz w:val="20"/>
          <w:szCs w:val="20"/>
          <w:u w:val="single" w:color="auto"/>
          <w:color w:val="1F1F1F"/>
        </w:rPr>
        <w:t>Customary Fringe Benefits</w:t>
      </w:r>
      <w:r>
        <w:rPr>
          <w:rFonts w:ascii="Arial" w:cs="Arial" w:eastAsia="Arial" w:hAnsi="Arial"/>
          <w:sz w:val="20"/>
          <w:szCs w:val="20"/>
          <w:color w:val="1F1F1F"/>
        </w:rPr>
        <w:t>. Executive will be eligible for all customary and usual fringe benefits generally available to senior management of Orbis, subject to the terms and conditions of Orbis's benefit plan documents. Orbis reserves the right to change or eliminate fringe benefits on a prospective basis, at any time, effective upon notice to Executive.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42" w:name="page43"/>
    <w:bookmarkEnd w:id="42"/>
    <w:p>
      <w:pPr>
        <w:jc w:val="both"/>
        <w:ind w:firstLine="656"/>
        <w:spacing w:after="0" w:line="225" w:lineRule="auto"/>
        <w:tabs>
          <w:tab w:leader="none" w:pos="1537" w:val="left"/>
        </w:tabs>
        <w:numPr>
          <w:ilvl w:val="1"/>
          <w:numId w:val="19"/>
        </w:numPr>
        <w:rPr>
          <w:rFonts w:ascii="Arial" w:cs="Arial" w:eastAsia="Arial" w:hAnsi="Arial"/>
          <w:sz w:val="20"/>
          <w:szCs w:val="20"/>
          <w:color w:val="1F1F1F"/>
        </w:rPr>
      </w:pPr>
      <w:r>
        <w:rPr>
          <w:rFonts w:ascii="Arial" w:cs="Arial" w:eastAsia="Arial" w:hAnsi="Arial"/>
          <w:sz w:val="20"/>
          <w:szCs w:val="20"/>
          <w:u w:val="single" w:color="auto"/>
          <w:color w:val="1F1F1F"/>
        </w:rPr>
        <w:t>Business Expenses</w:t>
      </w:r>
      <w:r>
        <w:rPr>
          <w:rFonts w:ascii="Arial" w:cs="Arial" w:eastAsia="Arial" w:hAnsi="Arial"/>
          <w:sz w:val="20"/>
          <w:szCs w:val="20"/>
          <w:color w:val="1F1F1F"/>
        </w:rPr>
        <w:t>. Executive will be reimbursed for all reasonable, out-of- pocket business expenses incurred in the performance of Executive's duties on behalf of Orbis. To obtain reimbursement, expenses must be submitted promptly with appropriate supporting documentation and will be reimbursed in accordance with Orbis's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w:t>
      </w:r>
    </w:p>
    <w:p>
      <w:pPr>
        <w:spacing w:after="0" w:line="2" w:lineRule="exact"/>
        <w:rPr>
          <w:rFonts w:ascii="Arial" w:cs="Arial" w:eastAsia="Arial" w:hAnsi="Arial"/>
          <w:sz w:val="20"/>
          <w:szCs w:val="20"/>
          <w:color w:val="1F1F1F"/>
        </w:rPr>
      </w:pPr>
    </w:p>
    <w:p>
      <w:pPr>
        <w:ind w:left="300" w:hanging="292"/>
        <w:spacing w:after="0"/>
        <w:tabs>
          <w:tab w:leader="none" w:pos="300" w:val="left"/>
        </w:tabs>
        <w:numPr>
          <w:ilvl w:val="0"/>
          <w:numId w:val="20"/>
        </w:numPr>
        <w:rPr>
          <w:rFonts w:ascii="Arial" w:cs="Arial" w:eastAsia="Arial" w:hAnsi="Arial"/>
          <w:sz w:val="20"/>
          <w:szCs w:val="20"/>
          <w:color w:val="1F1F1F"/>
        </w:rPr>
      </w:pPr>
      <w:r>
        <w:rPr>
          <w:rFonts w:ascii="Arial" w:cs="Arial" w:eastAsia="Arial" w:hAnsi="Arial"/>
          <w:sz w:val="20"/>
          <w:szCs w:val="20"/>
          <w:color w:val="1F1F1F"/>
        </w:rPr>
        <w:t>not be subject to liquidation or exchange for another benefit.</w:t>
      </w:r>
    </w:p>
    <w:p>
      <w:pPr>
        <w:spacing w:after="0" w:line="202" w:lineRule="exact"/>
        <w:rPr>
          <w:rFonts w:ascii="Arial" w:cs="Arial" w:eastAsia="Arial" w:hAnsi="Arial"/>
          <w:sz w:val="20"/>
          <w:szCs w:val="20"/>
          <w:color w:val="1F1F1F"/>
        </w:rPr>
      </w:pPr>
    </w:p>
    <w:p>
      <w:pPr>
        <w:ind w:left="1320" w:hanging="664"/>
        <w:spacing w:after="0"/>
        <w:tabs>
          <w:tab w:leader="none" w:pos="1320" w:val="left"/>
        </w:tabs>
        <w:numPr>
          <w:ilvl w:val="1"/>
          <w:numId w:val="20"/>
        </w:numPr>
        <w:rPr>
          <w:rFonts w:ascii="Arial" w:cs="Arial" w:eastAsia="Arial" w:hAnsi="Arial"/>
          <w:sz w:val="20"/>
          <w:szCs w:val="20"/>
          <w:color w:val="1F1F1F"/>
        </w:rPr>
      </w:pPr>
      <w:r>
        <w:rPr>
          <w:rFonts w:ascii="Arial" w:cs="Arial" w:eastAsia="Arial" w:hAnsi="Arial"/>
          <w:sz w:val="20"/>
          <w:szCs w:val="20"/>
          <w:u w:val="single" w:color="auto"/>
          <w:color w:val="1F1F1F"/>
        </w:rPr>
        <w:t>Termination of Executive's Employment</w:t>
      </w:r>
      <w:r>
        <w:rPr>
          <w:rFonts w:ascii="Arial" w:cs="Arial" w:eastAsia="Arial" w:hAnsi="Arial"/>
          <w:sz w:val="20"/>
          <w:szCs w:val="20"/>
          <w:color w:val="1F1F1F"/>
        </w:rPr>
        <w:t>.</w:t>
      </w:r>
    </w:p>
    <w:p>
      <w:pPr>
        <w:spacing w:after="0" w:line="20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color w:val="1F1F1F"/>
        </w:rPr>
        <w:t xml:space="preserve">7.1 </w:t>
      </w:r>
      <w:r>
        <w:rPr>
          <w:rFonts w:ascii="Arial" w:cs="Arial" w:eastAsia="Arial" w:hAnsi="Arial"/>
          <w:sz w:val="19"/>
          <w:szCs w:val="19"/>
          <w:u w:val="single" w:color="auto"/>
          <w:color w:val="1F1F1F"/>
        </w:rPr>
        <w:t>Termination for Cause by Orbis</w:t>
      </w:r>
      <w:r>
        <w:rPr>
          <w:rFonts w:ascii="Arial" w:cs="Arial" w:eastAsia="Arial" w:hAnsi="Arial"/>
          <w:sz w:val="19"/>
          <w:szCs w:val="19"/>
          <w:color w:val="1F1F1F"/>
        </w:rPr>
        <w:t>. Although Orbis anticipates the continuation of a mutually rewarding employment relationship with Executive, Orbis may terminate Executive’s employment immediately at any time for Cause. For purposes of this Agreement, "</w:t>
      </w:r>
      <w:r>
        <w:rPr>
          <w:rFonts w:ascii="Arial" w:cs="Arial" w:eastAsia="Arial" w:hAnsi="Arial"/>
          <w:sz w:val="19"/>
          <w:szCs w:val="19"/>
          <w:u w:val="single" w:color="auto"/>
          <w:color w:val="1F1F1F"/>
        </w:rPr>
        <w:t>Cause</w:t>
      </w:r>
      <w:r>
        <w:rPr>
          <w:rFonts w:ascii="Arial" w:cs="Arial" w:eastAsia="Arial" w:hAnsi="Arial"/>
          <w:sz w:val="19"/>
          <w:szCs w:val="19"/>
          <w:color w:val="1F1F1F"/>
        </w:rPr>
        <w:t xml:space="preserve"> is defined as: (a) acts or omissions constituting gross negligence, recklessness or willful misconduct on the part of Executive with respect to Executive’s ' obligations or otherwise relating to the business of Orbis; (b) Executive’s material breach of this Agreement including, without limitation, any breach of Section 8, Section 9 or Section 11; (c) Executive’s breach of Orbis's Employee Nondisclosure and Assignment Agreement (a copy of which has been executed and delivered to Orbis with this Agreement) (the “</w:t>
      </w:r>
      <w:r>
        <w:rPr>
          <w:rFonts w:ascii="Arial" w:cs="Arial" w:eastAsia="Arial" w:hAnsi="Arial"/>
          <w:sz w:val="19"/>
          <w:szCs w:val="19"/>
          <w:u w:val="single" w:color="auto"/>
          <w:color w:val="1F1F1F"/>
        </w:rPr>
        <w:t>Nondisclosure Agreement”</w:t>
      </w:r>
      <w:r>
        <w:rPr>
          <w:rFonts w:ascii="Arial" w:cs="Arial" w:eastAsia="Arial" w:hAnsi="Arial"/>
          <w:sz w:val="19"/>
          <w:szCs w:val="19"/>
          <w:color w:val="1F1F1F"/>
        </w:rPr>
        <w:t xml:space="preserve">); (d) Executive's conviction or entry of a plea of </w:t>
      </w:r>
      <w:r>
        <w:rPr>
          <w:rFonts w:ascii="Arial" w:cs="Arial" w:eastAsia="Arial" w:hAnsi="Arial"/>
          <w:sz w:val="19"/>
          <w:szCs w:val="19"/>
          <w:i w:val="1"/>
          <w:iCs w:val="1"/>
          <w:color w:val="1F1F1F"/>
        </w:rPr>
        <w:t>nolo</w:t>
      </w:r>
      <w:r>
        <w:rPr>
          <w:rFonts w:ascii="Arial" w:cs="Arial" w:eastAsia="Arial" w:hAnsi="Arial"/>
          <w:sz w:val="19"/>
          <w:szCs w:val="19"/>
          <w:color w:val="1F1F1F"/>
        </w:rPr>
        <w:t xml:space="preserve"> </w:t>
      </w:r>
      <w:r>
        <w:rPr>
          <w:rFonts w:ascii="Arial" w:cs="Arial" w:eastAsia="Arial" w:hAnsi="Arial"/>
          <w:sz w:val="19"/>
          <w:szCs w:val="19"/>
          <w:i w:val="1"/>
          <w:iCs w:val="1"/>
          <w:color w:val="1F1F1F"/>
        </w:rPr>
        <w:t xml:space="preserve">contendere </w:t>
      </w:r>
      <w:r>
        <w:rPr>
          <w:rFonts w:ascii="Arial" w:cs="Arial" w:eastAsia="Arial" w:hAnsi="Arial"/>
          <w:sz w:val="19"/>
          <w:szCs w:val="19"/>
          <w:color w:val="1F1F1F"/>
        </w:rPr>
        <w:t>for fraud misappropriation or embezzlement or any felony or crime of moral turpitude; (e) Executive's</w:t>
      </w:r>
      <w:r>
        <w:rPr>
          <w:rFonts w:ascii="Arial" w:cs="Arial" w:eastAsia="Arial" w:hAnsi="Arial"/>
          <w:sz w:val="19"/>
          <w:szCs w:val="19"/>
          <w:i w:val="1"/>
          <w:iCs w:val="1"/>
          <w:color w:val="1F1F1F"/>
        </w:rPr>
        <w:t xml:space="preserve"> </w:t>
      </w:r>
      <w:r>
        <w:rPr>
          <w:rFonts w:ascii="Arial" w:cs="Arial" w:eastAsia="Arial" w:hAnsi="Arial"/>
          <w:sz w:val="19"/>
          <w:szCs w:val="19"/>
          <w:color w:val="1F1F1F"/>
        </w:rPr>
        <w:t>inability to perform the essential functions of Executive’s position with or without reasonable accommodation due to a mental or physical disability; (f) Executive’s willful neglect of duties as determined in the sole and exclusive discretion of GCE, provided that Executive has received written notice of the action or omission giving rise to such determination and has failed to remedy such situation to the satisfaction of GCE within thirty (30) days following receipt of such written notice, unless Executive’s action or omission is not subject to cure, in which case no such notice shall be required; or (g) Executive's death. In the event Executive's employment is terminated in accordance with this Section 7 1, Executive shall be entitled to receive only Executive's Base Salary then in effect, prorated to the date of Executive s termination of employment with Orbis (the “</w:t>
      </w:r>
      <w:r>
        <w:rPr>
          <w:rFonts w:ascii="Arial" w:cs="Arial" w:eastAsia="Arial" w:hAnsi="Arial"/>
          <w:sz w:val="19"/>
          <w:szCs w:val="19"/>
          <w:u w:val="single" w:color="auto"/>
          <w:color w:val="1F1F1F"/>
        </w:rPr>
        <w:t>Termination Date</w:t>
      </w:r>
      <w:r>
        <w:rPr>
          <w:rFonts w:ascii="Arial" w:cs="Arial" w:eastAsia="Arial" w:hAnsi="Arial"/>
          <w:sz w:val="19"/>
          <w:szCs w:val="19"/>
          <w:color w:val="1F1F1F"/>
        </w:rPr>
        <w:t>”), and all amounts and benefits earned or incurred pursuant to Sections 5 and 6 through the Termination Date. All other Orbis obligations to Executive pursuant to this Agreement will be automatically terminated and completely extinguished as of the Termination Date, but will be subject to the surviving provisions of this Agreement set forth in Section 13.8. Executive will not be entitled to receive the Severance Package described in Section 7.2.</w:t>
      </w:r>
    </w:p>
    <w:p>
      <w:pPr>
        <w:spacing w:after="0" w:line="20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1F1F1F"/>
        </w:rPr>
        <w:t xml:space="preserve">7.2 </w:t>
      </w:r>
      <w:r>
        <w:rPr>
          <w:rFonts w:ascii="Arial" w:cs="Arial" w:eastAsia="Arial" w:hAnsi="Arial"/>
          <w:sz w:val="20"/>
          <w:szCs w:val="20"/>
          <w:u w:val="single" w:color="auto"/>
          <w:color w:val="1F1F1F"/>
        </w:rPr>
        <w:t>Termination Without Cause by Orbis.</w:t>
      </w:r>
      <w:r>
        <w:rPr>
          <w:rFonts w:ascii="Arial" w:cs="Arial" w:eastAsia="Arial" w:hAnsi="Arial"/>
          <w:sz w:val="20"/>
          <w:szCs w:val="20"/>
          <w:color w:val="1F1F1F"/>
        </w:rPr>
        <w:t xml:space="preserve"> Orbis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20"/>
          <w:szCs w:val="20"/>
          <w:u w:val="single" w:color="auto"/>
          <w:color w:val="1F1F1F"/>
        </w:rPr>
        <w:t>Severance Package”</w:t>
      </w:r>
      <w:r>
        <w:rPr>
          <w:rFonts w:ascii="Arial" w:cs="Arial" w:eastAsia="Arial" w:hAnsi="Arial"/>
          <w:sz w:val="20"/>
          <w:szCs w:val="20"/>
          <w:color w:val="1F1F1F"/>
        </w:rPr>
        <w:t xml:space="preserve"> that shall consist of:</w:t>
      </w:r>
    </w:p>
    <w:p>
      <w:pPr>
        <w:spacing w:after="0" w:line="199" w:lineRule="exact"/>
        <w:rPr>
          <w:sz w:val="20"/>
          <w:szCs w:val="20"/>
          <w:color w:val="auto"/>
        </w:rPr>
      </w:pPr>
    </w:p>
    <w:p>
      <w:pPr>
        <w:jc w:val="both"/>
        <w:ind w:firstLine="1952"/>
        <w:spacing w:after="0" w:line="229" w:lineRule="auto"/>
        <w:tabs>
          <w:tab w:leader="none" w:pos="2699"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 Orbis’s regular payroll cycle, commencing with the first payroll date occurring on or after the 60th day following the Termination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43" w:name="page44"/>
    <w:bookmarkEnd w:id="43"/>
    <w:p>
      <w:pPr>
        <w:jc w:val="both"/>
        <w:ind w:firstLine="1952"/>
        <w:spacing w:after="0" w:line="229" w:lineRule="auto"/>
        <w:tabs>
          <w:tab w:leader="none" w:pos="2728" w:val="left"/>
        </w:tabs>
        <w:numPr>
          <w:ilvl w:val="0"/>
          <w:numId w:val="22"/>
        </w:numPr>
        <w:rPr>
          <w:rFonts w:ascii="Arial" w:cs="Arial" w:eastAsia="Arial" w:hAnsi="Arial"/>
          <w:sz w:val="20"/>
          <w:szCs w:val="20"/>
          <w:color w:val="auto"/>
        </w:rPr>
      </w:pPr>
      <w:r>
        <w:rPr>
          <w:rFonts w:ascii="Arial" w:cs="Arial" w:eastAsia="Arial" w:hAnsi="Arial"/>
          <w:sz w:val="20"/>
          <w:szCs w:val="20"/>
          <w:color w:val="auto"/>
        </w:rPr>
        <w:t>payment by Orbis of the premiums required to continue Executive’s group health care coverage under the applicable provisions of the Consolidated Omnibus Budget Reconciliation Act of 1985 (“</w:t>
      </w:r>
      <w:r>
        <w:rPr>
          <w:rFonts w:ascii="Arial" w:cs="Arial" w:eastAsia="Arial" w:hAnsi="Arial"/>
          <w:sz w:val="20"/>
          <w:szCs w:val="20"/>
          <w:u w:val="single" w:color="auto"/>
          <w:color w:val="auto"/>
        </w:rPr>
        <w:t>COBRA</w:t>
      </w:r>
      <w:r>
        <w:rPr>
          <w:rFonts w:ascii="Arial" w:cs="Arial" w:eastAsia="Arial" w:hAnsi="Arial"/>
          <w:sz w:val="20"/>
          <w:szCs w:val="20"/>
          <w:color w:val="auto"/>
        </w:rPr>
        <w:t>”) for a period (the “</w:t>
      </w:r>
      <w:r>
        <w:rPr>
          <w:rFonts w:ascii="Arial" w:cs="Arial" w:eastAsia="Arial" w:hAnsi="Arial"/>
          <w:sz w:val="20"/>
          <w:szCs w:val="20"/>
          <w:u w:val="single" w:color="auto"/>
          <w:color w:val="auto"/>
        </w:rPr>
        <w:t>COBRA Payment Period</w:t>
      </w:r>
      <w:r>
        <w:rPr>
          <w:rFonts w:ascii="Arial" w:cs="Arial" w:eastAsia="Arial" w:hAnsi="Arial"/>
          <w:sz w:val="20"/>
          <w:szCs w:val="20"/>
          <w:color w:val="auto"/>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95" w:lineRule="exact"/>
        <w:rPr>
          <w:rFonts w:ascii="Arial" w:cs="Arial" w:eastAsia="Arial" w:hAnsi="Arial"/>
          <w:sz w:val="20"/>
          <w:szCs w:val="20"/>
          <w:color w:val="auto"/>
        </w:rPr>
      </w:pPr>
    </w:p>
    <w:p>
      <w:pPr>
        <w:jc w:val="both"/>
        <w:ind w:firstLine="1952"/>
        <w:spacing w:after="0" w:line="232" w:lineRule="auto"/>
        <w:tabs>
          <w:tab w:leader="none" w:pos="2791" w:val="left"/>
        </w:tabs>
        <w:numPr>
          <w:ilvl w:val="0"/>
          <w:numId w:val="22"/>
        </w:numPr>
        <w:rPr>
          <w:rFonts w:ascii="Arial" w:cs="Arial" w:eastAsia="Arial" w:hAnsi="Arial"/>
          <w:sz w:val="20"/>
          <w:szCs w:val="20"/>
          <w:color w:val="auto"/>
        </w:rPr>
      </w:pPr>
      <w:r>
        <w:rPr>
          <w:rFonts w:ascii="Arial" w:cs="Arial" w:eastAsia="Arial" w:hAnsi="Arial"/>
          <w:sz w:val="20"/>
          <w:szCs w:val="20"/>
          <w:color w:val="auto"/>
        </w:rPr>
        <w:t>acceleration of the vesting of any outstanding time-based Equity Awards to the extent that such Equity Awards would have vested in accordance with their terms had Executive’s employment with Orbis continued uninterrupted until the first anniversary of the Termination Date.</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Notwithstanding Section 7.2(b), if Orbis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or any statute or regulation of similar effect (including but not limited to the 2010 Patient Protection and Affordable Care Act, as amended by the 2010 Health Care and Education Reconciliation Act), then in lieu of providing the COBRA premiums, Orbis,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9"/>
          <w:szCs w:val="19"/>
          <w:u w:val="single" w:color="auto"/>
          <w:color w:val="auto"/>
        </w:rPr>
        <w:t>Special Severance Payment</w:t>
      </w:r>
      <w:r>
        <w:rPr>
          <w:rFonts w:ascii="Arial" w:cs="Arial" w:eastAsia="Arial" w:hAnsi="Arial"/>
          <w:sz w:val="19"/>
          <w:szCs w:val="19"/>
          <w:color w:val="auto"/>
        </w:rPr>
        <w:t>,” which shall be treated as part of the Severance Package), for the remainder of the COBRA Payment Period. Executive may, but is not obligated to, use such Special Severance Payment toward the cost of COBRA premiums. All other Orbis obligations to Executive will be automatically terminated and completely extinguished, but will be subject to the surviving provisions of this Agreement set forth in Section 14.8.</w:t>
      </w:r>
    </w:p>
    <w:p>
      <w:pPr>
        <w:spacing w:after="0" w:line="19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19"/>
          <w:szCs w:val="19"/>
          <w:color w:val="1F1F1F"/>
        </w:rPr>
        <w:t xml:space="preserve">7.3 </w:t>
      </w:r>
      <w:r>
        <w:rPr>
          <w:rFonts w:ascii="Arial" w:cs="Arial" w:eastAsia="Arial" w:hAnsi="Arial"/>
          <w:sz w:val="19"/>
          <w:szCs w:val="19"/>
          <w:u w:val="single" w:color="auto"/>
          <w:color w:val="1F1F1F"/>
        </w:rPr>
        <w:t>Voluntary Resignation by Executive for Good Reason</w:t>
      </w:r>
      <w:r>
        <w:rPr>
          <w:rFonts w:ascii="Arial" w:cs="Arial" w:eastAsia="Arial" w:hAnsi="Arial"/>
          <w:sz w:val="19"/>
          <w:szCs w:val="19"/>
          <w:color w:val="1F1F1F"/>
        </w:rPr>
        <w:t>. Executive may voluntarily resign Executive's position with Orbis for Good Reason at any time on thirty (30) days' advance written notice to Orbis.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Orbis obligations to Executive pursuant to this Agreement will be automatically terminated and completely extinguished, but will be subject to the surviving provisions of this Agreement set forth in Section 13.8. Executive will be deemed to have resigned for Good Reason if Executive voluntarily terminates Executive's employment with Orbis within ninety (90) days following the first occurrence of a condition constituting Good Reason. “</w:t>
      </w:r>
      <w:r>
        <w:rPr>
          <w:rFonts w:ascii="Arial" w:cs="Arial" w:eastAsia="Arial" w:hAnsi="Arial"/>
          <w:sz w:val="19"/>
          <w:szCs w:val="19"/>
          <w:u w:val="single" w:color="auto"/>
          <w:color w:val="1F1F1F"/>
        </w:rPr>
        <w:t>Good Reason</w:t>
      </w:r>
      <w:r>
        <w:rPr>
          <w:rFonts w:ascii="Arial" w:cs="Arial" w:eastAsia="Arial" w:hAnsi="Arial"/>
          <w:sz w:val="19"/>
          <w:szCs w:val="19"/>
          <w:color w:val="1F1F1F"/>
        </w:rPr>
        <w:t>” means the occurrence of any of the following conditions without Executive's written consent, which condition(s) remain(s) in effect thirty</w:t>
      </w:r>
    </w:p>
    <w:p>
      <w:pPr>
        <w:spacing w:after="0" w:line="3" w:lineRule="exact"/>
        <w:rPr>
          <w:sz w:val="20"/>
          <w:szCs w:val="20"/>
          <w:color w:val="auto"/>
        </w:rPr>
      </w:pPr>
    </w:p>
    <w:p>
      <w:pPr>
        <w:jc w:val="both"/>
        <w:ind w:firstLine="8"/>
        <w:spacing w:after="0" w:line="228" w:lineRule="auto"/>
        <w:tabs>
          <w:tab w:leader="none" w:pos="463" w:val="left"/>
        </w:tabs>
        <w:numPr>
          <w:ilvl w:val="0"/>
          <w:numId w:val="23"/>
        </w:numPr>
        <w:rPr>
          <w:rFonts w:ascii="Arial" w:cs="Arial" w:eastAsia="Arial" w:hAnsi="Arial"/>
          <w:sz w:val="20"/>
          <w:szCs w:val="20"/>
          <w:color w:val="1F1F1F"/>
        </w:rPr>
      </w:pPr>
      <w:r>
        <w:rPr>
          <w:rFonts w:ascii="Arial" w:cs="Arial" w:eastAsia="Arial" w:hAnsi="Arial"/>
          <w:sz w:val="20"/>
          <w:szCs w:val="20"/>
          <w:color w:val="1F1F1F"/>
        </w:rPr>
        <w:t>days after Executive provides written notice to Orbis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Orbis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Orbis of Executive's intent to exercise Executive's rights pursuant to this Section within thirty (30) days following the first occurrence of such condition(s).</w:t>
      </w:r>
    </w:p>
    <w:p>
      <w:pPr>
        <w:spacing w:after="0" w:line="19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1F1F1F"/>
        </w:rPr>
        <w:t xml:space="preserve">7.4 </w:t>
      </w:r>
      <w:r>
        <w:rPr>
          <w:rFonts w:ascii="Arial" w:cs="Arial" w:eastAsia="Arial" w:hAnsi="Arial"/>
          <w:sz w:val="20"/>
          <w:szCs w:val="20"/>
          <w:u w:val="single" w:color="auto"/>
          <w:color w:val="1F1F1F"/>
        </w:rPr>
        <w:t>Voluntary Resignation by Executive Without Good Reason</w:t>
      </w:r>
      <w:r>
        <w:rPr>
          <w:rFonts w:ascii="Arial" w:cs="Arial" w:eastAsia="Arial" w:hAnsi="Arial"/>
          <w:sz w:val="20"/>
          <w:szCs w:val="20"/>
          <w:color w:val="1F1F1F"/>
        </w:rPr>
        <w:t>. Executive may voluntarily resign Executive's position with Orbis without Good Reason at any time on thirty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44" w:name="page45"/>
    <w:bookmarkEnd w:id="44"/>
    <w:p>
      <w:pPr>
        <w:jc w:val="both"/>
        <w:ind w:firstLine="8"/>
        <w:spacing w:after="0" w:line="229" w:lineRule="auto"/>
        <w:tabs>
          <w:tab w:leader="none" w:pos="462" w:val="left"/>
        </w:tabs>
        <w:numPr>
          <w:ilvl w:val="0"/>
          <w:numId w:val="24"/>
        </w:numPr>
        <w:rPr>
          <w:rFonts w:ascii="Arial" w:cs="Arial" w:eastAsia="Arial" w:hAnsi="Arial"/>
          <w:sz w:val="20"/>
          <w:szCs w:val="20"/>
          <w:color w:val="1F1F1F"/>
        </w:rPr>
      </w:pPr>
      <w:r>
        <w:rPr>
          <w:rFonts w:ascii="Arial" w:cs="Arial" w:eastAsia="Arial" w:hAnsi="Arial"/>
          <w:sz w:val="20"/>
          <w:szCs w:val="20"/>
          <w:color w:val="1F1F1F"/>
        </w:rPr>
        <w:t>days' advance written notice to Orbis.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Orbis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13.8.</w:t>
      </w:r>
    </w:p>
    <w:p>
      <w:pPr>
        <w:spacing w:after="0" w:line="19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0"/>
          <w:szCs w:val="20"/>
          <w:color w:val="1F1F1F"/>
        </w:rPr>
        <w:t>7.5</w:t>
      </w:r>
      <w:r>
        <w:rPr>
          <w:sz w:val="20"/>
          <w:szCs w:val="20"/>
          <w:color w:val="auto"/>
        </w:rPr>
        <w:tab/>
      </w:r>
      <w:r>
        <w:rPr>
          <w:rFonts w:ascii="Arial" w:cs="Arial" w:eastAsia="Arial" w:hAnsi="Arial"/>
          <w:sz w:val="19"/>
          <w:szCs w:val="19"/>
          <w:u w:val="single" w:color="auto"/>
          <w:color w:val="1F1F1F"/>
        </w:rPr>
        <w:t>Termination After a Change in Control</w:t>
      </w:r>
      <w:r>
        <w:rPr>
          <w:rFonts w:ascii="Arial" w:cs="Arial" w:eastAsia="Arial" w:hAnsi="Arial"/>
          <w:sz w:val="19"/>
          <w:szCs w:val="19"/>
          <w:color w:val="1F1F1F"/>
        </w:rPr>
        <w:t>.</w:t>
      </w:r>
    </w:p>
    <w:p>
      <w:pPr>
        <w:spacing w:after="0" w:line="202" w:lineRule="exact"/>
        <w:rPr>
          <w:sz w:val="20"/>
          <w:szCs w:val="20"/>
          <w:color w:val="auto"/>
        </w:rPr>
      </w:pPr>
    </w:p>
    <w:p>
      <w:pPr>
        <w:jc w:val="both"/>
        <w:ind w:firstLine="1952"/>
        <w:spacing w:after="0" w:line="227" w:lineRule="auto"/>
        <w:tabs>
          <w:tab w:leader="none" w:pos="2842" w:val="left"/>
        </w:tabs>
        <w:numPr>
          <w:ilvl w:val="0"/>
          <w:numId w:val="25"/>
        </w:numPr>
        <w:rPr>
          <w:rFonts w:ascii="Arial" w:cs="Arial" w:eastAsia="Arial" w:hAnsi="Arial"/>
          <w:sz w:val="20"/>
          <w:szCs w:val="20"/>
          <w:color w:val="1F1F1F"/>
        </w:rPr>
      </w:pPr>
      <w:r>
        <w:rPr>
          <w:rFonts w:ascii="Arial" w:cs="Arial" w:eastAsia="Arial" w:hAnsi="Arial"/>
          <w:sz w:val="20"/>
          <w:szCs w:val="20"/>
          <w:u w:val="single" w:color="auto"/>
          <w:color w:val="1F1F1F"/>
        </w:rPr>
        <w:t>Severance Payment; Equity Award Acceleration.</w:t>
      </w:r>
      <w:r>
        <w:rPr>
          <w:rFonts w:ascii="Arial" w:cs="Arial" w:eastAsia="Arial" w:hAnsi="Arial"/>
          <w:sz w:val="20"/>
          <w:szCs w:val="20"/>
          <w:color w:val="1F1F1F"/>
        </w:rPr>
        <w:t xml:space="preserve"> If, upon or within twelve (12) months after a Change in Control (as that term is defined below), Executive’s employment is terminated by Orbis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GCE shall vest in full as of the Termination Date. All other GCE or Orbis obligations to Executive pursuant to this Agreement will be automatically terminated and completely extinguished as of the Termination Date, but will be subject to the surviving provisions of this Agreement set forth in Section 13.8.</w:t>
      </w:r>
    </w:p>
    <w:p>
      <w:pPr>
        <w:spacing w:after="0" w:line="199" w:lineRule="exact"/>
        <w:rPr>
          <w:rFonts w:ascii="Arial" w:cs="Arial" w:eastAsia="Arial" w:hAnsi="Arial"/>
          <w:sz w:val="20"/>
          <w:szCs w:val="20"/>
          <w:color w:val="1F1F1F"/>
        </w:rPr>
      </w:pPr>
    </w:p>
    <w:p>
      <w:pPr>
        <w:ind w:left="2640" w:hanging="688"/>
        <w:spacing w:after="0"/>
        <w:tabs>
          <w:tab w:leader="none" w:pos="2640" w:val="left"/>
        </w:tabs>
        <w:numPr>
          <w:ilvl w:val="0"/>
          <w:numId w:val="25"/>
        </w:numPr>
        <w:rPr>
          <w:rFonts w:ascii="Arial" w:cs="Arial" w:eastAsia="Arial" w:hAnsi="Arial"/>
          <w:sz w:val="20"/>
          <w:szCs w:val="20"/>
          <w:color w:val="1F1F1F"/>
        </w:rPr>
      </w:pPr>
      <w:r>
        <w:rPr>
          <w:rFonts w:ascii="Arial" w:cs="Arial" w:eastAsia="Arial" w:hAnsi="Arial"/>
          <w:sz w:val="20"/>
          <w:szCs w:val="20"/>
          <w:u w:val="single" w:color="auto"/>
          <w:color w:val="1F1F1F"/>
        </w:rPr>
        <w:t>Parachute Payments</w:t>
      </w:r>
      <w:r>
        <w:rPr>
          <w:rFonts w:ascii="Arial" w:cs="Arial" w:eastAsia="Arial" w:hAnsi="Arial"/>
          <w:sz w:val="20"/>
          <w:szCs w:val="20"/>
          <w:color w:val="1F1F1F"/>
        </w:rPr>
        <w:t>.</w:t>
      </w:r>
    </w:p>
    <w:p>
      <w:pPr>
        <w:spacing w:after="0" w:line="215" w:lineRule="exact"/>
        <w:rPr>
          <w:rFonts w:ascii="Arial" w:cs="Arial" w:eastAsia="Arial" w:hAnsi="Arial"/>
          <w:sz w:val="20"/>
          <w:szCs w:val="20"/>
          <w:color w:val="1F1F1F"/>
        </w:rPr>
      </w:pPr>
    </w:p>
    <w:p>
      <w:pPr>
        <w:jc w:val="both"/>
        <w:ind w:firstLine="2600"/>
        <w:spacing w:after="0" w:line="238" w:lineRule="auto"/>
        <w:tabs>
          <w:tab w:leader="none" w:pos="3479" w:val="left"/>
        </w:tabs>
        <w:numPr>
          <w:ilvl w:val="1"/>
          <w:numId w:val="25"/>
        </w:numPr>
        <w:rPr>
          <w:rFonts w:ascii="Arial" w:cs="Arial" w:eastAsia="Arial" w:hAnsi="Arial"/>
          <w:sz w:val="20"/>
          <w:szCs w:val="20"/>
          <w:color w:val="1F1F1F"/>
        </w:rPr>
      </w:pPr>
      <w:r>
        <w:rPr>
          <w:rFonts w:ascii="Arial" w:cs="Arial" w:eastAsia="Arial" w:hAnsi="Arial"/>
          <w:sz w:val="19"/>
          <w:szCs w:val="19"/>
          <w:color w:val="1F1F1F"/>
        </w:rPr>
        <w:t>Notwithstanding any provision of this Agreement to the contrary, if any payment or benefit Executive would receive pursuant to this Agreement or otherwise (collectively, the “</w:t>
      </w:r>
      <w:r>
        <w:rPr>
          <w:rFonts w:ascii="Arial" w:cs="Arial" w:eastAsia="Arial" w:hAnsi="Arial"/>
          <w:sz w:val="19"/>
          <w:szCs w:val="19"/>
          <w:u w:val="single" w:color="auto"/>
          <w:color w:val="1F1F1F"/>
        </w:rPr>
        <w:t>Payments”</w:t>
      </w:r>
      <w:r>
        <w:rPr>
          <w:rFonts w:ascii="Arial" w:cs="Arial" w:eastAsia="Arial" w:hAnsi="Arial"/>
          <w:sz w:val="19"/>
          <w:szCs w:val="19"/>
          <w:color w:val="1F1F1F"/>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9"/>
          <w:szCs w:val="19"/>
          <w:u w:val="single" w:color="auto"/>
          <w:color w:val="1F1F1F"/>
        </w:rPr>
        <w:t>Excise Tax</w:t>
      </w:r>
      <w:r>
        <w:rPr>
          <w:rFonts w:ascii="Arial" w:cs="Arial" w:eastAsia="Arial" w:hAnsi="Arial"/>
          <w:sz w:val="19"/>
          <w:szCs w:val="19"/>
          <w:color w:val="1F1F1F"/>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spacing w:after="0" w:line="220" w:lineRule="exact"/>
        <w:rPr>
          <w:rFonts w:ascii="Arial" w:cs="Arial" w:eastAsia="Arial" w:hAnsi="Arial"/>
          <w:sz w:val="20"/>
          <w:szCs w:val="20"/>
          <w:color w:val="1F1F1F"/>
        </w:rPr>
      </w:pPr>
    </w:p>
    <w:p>
      <w:pPr>
        <w:jc w:val="both"/>
        <w:ind w:firstLine="2600"/>
        <w:spacing w:after="0" w:line="230" w:lineRule="auto"/>
        <w:tabs>
          <w:tab w:leader="none" w:pos="3363" w:val="left"/>
        </w:tabs>
        <w:numPr>
          <w:ilvl w:val="1"/>
          <w:numId w:val="25"/>
        </w:numPr>
        <w:rPr>
          <w:rFonts w:ascii="Arial" w:cs="Arial" w:eastAsia="Arial" w:hAnsi="Arial"/>
          <w:sz w:val="21"/>
          <w:szCs w:val="21"/>
          <w:color w:val="1F1F1F"/>
        </w:rPr>
      </w:pPr>
      <w:r>
        <w:rPr>
          <w:rFonts w:ascii="Arial" w:cs="Arial" w:eastAsia="Arial" w:hAnsi="Arial"/>
          <w:sz w:val="20"/>
          <w:szCs w:val="20"/>
          <w:color w:val="1F1F1F"/>
        </w:rPr>
        <w:t>The professional firm engaged by GCE for general tax purposes as of the day prior to the date of the event that might reasonably be anticipated to result in Payments that would otherwise be subject to the Excise Tax will perform the foregoing calculations. If the tax firm so engaged by GCE is serving as accountant or auditor for the acquiring company, GCE will appoint a nationally recognized tax firm to make the determinations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45" w:name="page46"/>
    <w:bookmarkEnd w:id="45"/>
    <w:p>
      <w:pPr>
        <w:jc w:val="both"/>
        <w:spacing w:after="0" w:line="229" w:lineRule="auto"/>
        <w:rPr>
          <w:sz w:val="20"/>
          <w:szCs w:val="20"/>
          <w:color w:val="auto"/>
        </w:rPr>
      </w:pPr>
      <w:r>
        <w:rPr>
          <w:rFonts w:ascii="Arial" w:cs="Arial" w:eastAsia="Arial" w:hAnsi="Arial"/>
          <w:sz w:val="20"/>
          <w:szCs w:val="20"/>
          <w:color w:val="1F1F1F"/>
        </w:rPr>
        <w:t>required by this Section. GCE will bear all expenses with respect to the determinations by the tax firm required to be made by this Section. GCE and Executive shall furnish the tax firm such information and documents as the tax firm may reasonably request in order to make its required determination. The tax firm will provide its calculations, together with detailed supporting documentation, to GCE and Executive as soon as practicable following its engagement. Any good faith determinations of the tax firm made hereunder will be final, binding and conclusive upon GCE, Orbis and Executive.</w:t>
      </w:r>
    </w:p>
    <w:p>
      <w:pPr>
        <w:spacing w:after="0" w:line="182" w:lineRule="exact"/>
        <w:rPr>
          <w:sz w:val="20"/>
          <w:szCs w:val="20"/>
          <w:color w:val="auto"/>
        </w:rPr>
      </w:pPr>
    </w:p>
    <w:p>
      <w:pPr>
        <w:ind w:left="2800" w:hanging="848"/>
        <w:spacing w:after="0"/>
        <w:tabs>
          <w:tab w:leader="none" w:pos="2800" w:val="left"/>
        </w:tabs>
        <w:numPr>
          <w:ilvl w:val="0"/>
          <w:numId w:val="26"/>
        </w:numPr>
        <w:rPr>
          <w:rFonts w:ascii="Arial" w:cs="Arial" w:eastAsia="Arial" w:hAnsi="Arial"/>
          <w:sz w:val="20"/>
          <w:szCs w:val="20"/>
          <w:color w:val="1F1F1F"/>
        </w:rPr>
      </w:pPr>
      <w:r>
        <w:rPr>
          <w:rFonts w:ascii="Arial" w:cs="Arial" w:eastAsia="Arial" w:hAnsi="Arial"/>
          <w:sz w:val="20"/>
          <w:szCs w:val="20"/>
          <w:u w:val="single" w:color="auto"/>
          <w:color w:val="1F1F1F"/>
        </w:rPr>
        <w:t>Change in Control</w:t>
      </w:r>
      <w:r>
        <w:rPr>
          <w:rFonts w:ascii="Arial" w:cs="Arial" w:eastAsia="Arial" w:hAnsi="Arial"/>
          <w:sz w:val="20"/>
          <w:szCs w:val="20"/>
          <w:color w:val="1F1F1F"/>
        </w:rPr>
        <w:t>. A Change in Control is defined as any one of the following</w:t>
      </w:r>
    </w:p>
    <w:p>
      <w:pPr>
        <w:spacing w:after="0"/>
        <w:rPr>
          <w:sz w:val="20"/>
          <w:szCs w:val="20"/>
          <w:color w:val="auto"/>
        </w:rPr>
      </w:pPr>
      <w:r>
        <w:rPr>
          <w:rFonts w:ascii="Arial" w:cs="Arial" w:eastAsia="Arial" w:hAnsi="Arial"/>
          <w:sz w:val="20"/>
          <w:szCs w:val="20"/>
          <w:color w:val="1F1F1F"/>
        </w:rPr>
        <w:t>occurrences:</w:t>
      </w:r>
    </w:p>
    <w:p>
      <w:pPr>
        <w:spacing w:after="0" w:line="216" w:lineRule="exact"/>
        <w:rPr>
          <w:sz w:val="20"/>
          <w:szCs w:val="20"/>
          <w:color w:val="auto"/>
        </w:rPr>
      </w:pPr>
    </w:p>
    <w:p>
      <w:pPr>
        <w:jc w:val="both"/>
        <w:ind w:firstLine="2600"/>
        <w:spacing w:after="0" w:line="227" w:lineRule="auto"/>
        <w:tabs>
          <w:tab w:leader="none" w:pos="3465" w:val="left"/>
        </w:tabs>
        <w:numPr>
          <w:ilvl w:val="0"/>
          <w:numId w:val="27"/>
        </w:numPr>
        <w:rPr>
          <w:rFonts w:ascii="Arial" w:cs="Arial" w:eastAsia="Arial" w:hAnsi="Arial"/>
          <w:sz w:val="21"/>
          <w:szCs w:val="21"/>
          <w:color w:val="1F1F1F"/>
        </w:rPr>
      </w:pPr>
      <w:r>
        <w:rPr>
          <w:rFonts w:ascii="Arial" w:cs="Arial" w:eastAsia="Arial" w:hAnsi="Arial"/>
          <w:sz w:val="20"/>
          <w:szCs w:val="20"/>
          <w:color w:val="1F1F1F"/>
        </w:rPr>
        <w:t>Any “person” (as such term is used in Sections 13(d) and 14(d) of the Securities Exchange Act of 1934 (the “</w:t>
      </w:r>
      <w:r>
        <w:rPr>
          <w:rFonts w:ascii="Arial" w:cs="Arial" w:eastAsia="Arial" w:hAnsi="Arial"/>
          <w:sz w:val="20"/>
          <w:szCs w:val="20"/>
          <w:u w:val="single" w:color="auto"/>
          <w:color w:val="1F1F1F"/>
        </w:rPr>
        <w:t>Exchange Act</w:t>
      </w:r>
      <w:r>
        <w:rPr>
          <w:rFonts w:ascii="Arial" w:cs="Arial" w:eastAsia="Arial" w:hAnsi="Arial"/>
          <w:sz w:val="20"/>
          <w:szCs w:val="20"/>
          <w:color w:val="1F1F1F"/>
        </w:rPr>
        <w:t>”)), becomes the “beneficial owner” (as such term is defined in Rule 13d-3 promulgated under the Exchange Act), directly or indirectly, of securities of GCE representing more than fifty percent (50%) of the total fair market value or total combined voting power of GCE’s then 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GCE, including, without limitation, pursuant to or in connection with a public offering of securities, (C) any acquisition of securities by GCE, (D) any acquisition of securities by a trustee or other fiduciary under an employee benefit plan of GCE, or (E) any acquisition of securities by an entity owned directly or indirectly by the stockholders of GCE in substantially the same proportions as their ownership of the voting securities of GCE; or</w:t>
      </w:r>
    </w:p>
    <w:p>
      <w:pPr>
        <w:spacing w:after="0" w:line="200" w:lineRule="exact"/>
        <w:rPr>
          <w:rFonts w:ascii="Arial" w:cs="Arial" w:eastAsia="Arial" w:hAnsi="Arial"/>
          <w:sz w:val="21"/>
          <w:szCs w:val="21"/>
          <w:color w:val="1F1F1F"/>
        </w:rPr>
      </w:pPr>
    </w:p>
    <w:p>
      <w:pPr>
        <w:jc w:val="both"/>
        <w:ind w:right="20" w:firstLine="2600"/>
        <w:spacing w:after="0" w:line="233" w:lineRule="auto"/>
        <w:tabs>
          <w:tab w:leader="none" w:pos="3366" w:val="left"/>
        </w:tabs>
        <w:numPr>
          <w:ilvl w:val="0"/>
          <w:numId w:val="27"/>
        </w:numPr>
        <w:rPr>
          <w:rFonts w:ascii="Arial" w:cs="Arial" w:eastAsia="Arial" w:hAnsi="Arial"/>
          <w:sz w:val="21"/>
          <w:szCs w:val="21"/>
          <w:color w:val="1F1F1F"/>
        </w:rPr>
      </w:pPr>
      <w:r>
        <w:rPr>
          <w:rFonts w:ascii="Arial" w:cs="Arial" w:eastAsia="Arial" w:hAnsi="Arial"/>
          <w:sz w:val="20"/>
          <w:szCs w:val="20"/>
          <w:color w:val="1F1F1F"/>
        </w:rPr>
        <w:t>the sale or disposition of all or substantially all of GCE's assets (other than a sale or disposition to one or more subsidiaries of Orbis), or any transaction having similar effect is consummated; or</w:t>
      </w:r>
    </w:p>
    <w:p>
      <w:pPr>
        <w:spacing w:after="0" w:line="196" w:lineRule="exact"/>
        <w:rPr>
          <w:rFonts w:ascii="Arial" w:cs="Arial" w:eastAsia="Arial" w:hAnsi="Arial"/>
          <w:sz w:val="21"/>
          <w:szCs w:val="21"/>
          <w:color w:val="1F1F1F"/>
        </w:rPr>
      </w:pPr>
    </w:p>
    <w:p>
      <w:pPr>
        <w:jc w:val="both"/>
        <w:ind w:firstLine="2600"/>
        <w:spacing w:after="0" w:line="230" w:lineRule="auto"/>
        <w:tabs>
          <w:tab w:leader="none" w:pos="3446" w:val="left"/>
        </w:tabs>
        <w:numPr>
          <w:ilvl w:val="0"/>
          <w:numId w:val="27"/>
        </w:numPr>
        <w:rPr>
          <w:rFonts w:ascii="Arial" w:cs="Arial" w:eastAsia="Arial" w:hAnsi="Arial"/>
          <w:sz w:val="21"/>
          <w:szCs w:val="21"/>
          <w:color w:val="1F1F1F"/>
        </w:rPr>
      </w:pPr>
      <w:r>
        <w:rPr>
          <w:rFonts w:ascii="Arial" w:cs="Arial" w:eastAsia="Arial" w:hAnsi="Arial"/>
          <w:sz w:val="20"/>
          <w:szCs w:val="20"/>
          <w:color w:val="1F1F1F"/>
        </w:rPr>
        <w:t>GCE is party to a merger or consolidation that results in the holders of voting securities of GCE outstanding immediately prior thereto failing to continue to represent (either by remaining outstanding or by being converted into voting securities of the surviving entity) more than 50% of the combined voting power of the voting securities of GCE or such surviving entity outstanding immediately after such merger or consolidation; or</w:t>
      </w:r>
    </w:p>
    <w:p>
      <w:pPr>
        <w:spacing w:after="0" w:line="192" w:lineRule="exact"/>
        <w:rPr>
          <w:rFonts w:ascii="Arial" w:cs="Arial" w:eastAsia="Arial" w:hAnsi="Arial"/>
          <w:sz w:val="21"/>
          <w:szCs w:val="21"/>
          <w:color w:val="1F1F1F"/>
        </w:rPr>
      </w:pPr>
    </w:p>
    <w:p>
      <w:pPr>
        <w:ind w:left="3280" w:hanging="680"/>
        <w:spacing w:after="0"/>
        <w:tabs>
          <w:tab w:leader="none" w:pos="3280" w:val="left"/>
        </w:tabs>
        <w:numPr>
          <w:ilvl w:val="0"/>
          <w:numId w:val="27"/>
        </w:numPr>
        <w:rPr>
          <w:rFonts w:ascii="Arial" w:cs="Arial" w:eastAsia="Arial" w:hAnsi="Arial"/>
          <w:sz w:val="21"/>
          <w:szCs w:val="21"/>
          <w:color w:val="1F1F1F"/>
        </w:rPr>
      </w:pPr>
      <w:r>
        <w:rPr>
          <w:rFonts w:ascii="Arial" w:cs="Arial" w:eastAsia="Arial" w:hAnsi="Arial"/>
          <w:sz w:val="20"/>
          <w:szCs w:val="20"/>
          <w:color w:val="1F1F1F"/>
        </w:rPr>
        <w:t>the dissolution or liquidation of GCE.</w:t>
      </w:r>
    </w:p>
    <w:p>
      <w:pPr>
        <w:spacing w:after="0" w:line="195"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1F1F1F"/>
        </w:rPr>
        <w:t xml:space="preserve">7.6 </w:t>
      </w:r>
      <w:r>
        <w:rPr>
          <w:rFonts w:ascii="Arial" w:cs="Arial" w:eastAsia="Arial" w:hAnsi="Arial"/>
          <w:sz w:val="20"/>
          <w:szCs w:val="20"/>
          <w:u w:val="single" w:color="auto"/>
          <w:color w:val="1F1F1F"/>
        </w:rPr>
        <w:t>Termination of Employment Upon Nonrenewal.</w:t>
      </w:r>
      <w:r>
        <w:rPr>
          <w:rFonts w:ascii="Arial" w:cs="Arial" w:eastAsia="Arial" w:hAnsi="Arial"/>
          <w:sz w:val="20"/>
          <w:szCs w:val="20"/>
          <w:color w:val="1F1F1F"/>
        </w:rPr>
        <w:t xml:space="preserve"> In the event either party decides not to renew this Agreement for a subsequent term in accordance with Section 3.2, this Agreement will expire automatically upon completion of the then effective Term, and Executive’s employment with Orbis will thereupon terminate. Executive will be entitled to receive only Executive's Base Salary then in effect, prorated to the Termination Date, and all amounts and benefits earned or incurred pursuant to Sections 5 and 6 through the Termination Date. All other Orbis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13.8.</w:t>
      </w:r>
    </w:p>
    <w:p>
      <w:pPr>
        <w:spacing w:after="0" w:line="30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1F1F1F"/>
        </w:rPr>
        <w:t xml:space="preserve">7.7 </w:t>
      </w:r>
      <w:r>
        <w:rPr>
          <w:rFonts w:ascii="Arial" w:cs="Arial" w:eastAsia="Arial" w:hAnsi="Arial"/>
          <w:sz w:val="20"/>
          <w:szCs w:val="20"/>
          <w:u w:val="single" w:color="auto"/>
          <w:color w:val="1F1F1F"/>
        </w:rPr>
        <w:t>Conditions to Severance Package</w:t>
      </w:r>
      <w:r>
        <w:rPr>
          <w:rFonts w:ascii="Arial" w:cs="Arial" w:eastAsia="Arial" w:hAnsi="Arial"/>
          <w:sz w:val="20"/>
          <w:szCs w:val="20"/>
          <w:color w:val="1F1F1F"/>
        </w:rPr>
        <w:t>. Executive will only be entitled to receive the Severance Package if, on or before the 60th day following the Termination Date, Executive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46" w:name="page47"/>
    <w:bookmarkEnd w:id="46"/>
    <w:p>
      <w:pPr>
        <w:jc w:val="both"/>
        <w:spacing w:after="0" w:line="228" w:lineRule="auto"/>
        <w:rPr>
          <w:sz w:val="20"/>
          <w:szCs w:val="20"/>
          <w:color w:val="auto"/>
        </w:rPr>
      </w:pPr>
      <w:r>
        <w:rPr>
          <w:rFonts w:ascii="Arial" w:cs="Arial" w:eastAsia="Arial" w:hAnsi="Arial"/>
          <w:sz w:val="20"/>
          <w:szCs w:val="20"/>
          <w:color w:val="1F1F1F"/>
        </w:rPr>
        <w:t>executes a full general release, releasing all claims, known or unknown, that Executive may have against Orbis and its officers, directors, employees and affiliated companies arising out of or any way related to Executive's employment or termination of employment with Orbis,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Orbis Employees”), Orbis shall have the right to (a) terminate further provision of any portion of the Severance Package not yet paid or provided, and (b) seek reimbursement from Executive for any and all portions of the Severance Package previously paid or provided to Executive.</w:t>
      </w:r>
    </w:p>
    <w:p>
      <w:pPr>
        <w:spacing w:after="0" w:line="183"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1F1F1F"/>
        </w:rPr>
        <w:t xml:space="preserve">7.8 </w:t>
      </w:r>
      <w:r>
        <w:rPr>
          <w:rFonts w:ascii="Arial" w:cs="Arial" w:eastAsia="Arial" w:hAnsi="Arial"/>
          <w:sz w:val="20"/>
          <w:szCs w:val="20"/>
          <w:u w:val="single" w:color="auto"/>
          <w:color w:val="1F1F1F"/>
        </w:rPr>
        <w:t>Resignation of Board or Other Positions</w:t>
      </w:r>
      <w:r>
        <w:rPr>
          <w:rFonts w:ascii="Arial" w:cs="Arial" w:eastAsia="Arial" w:hAnsi="Arial"/>
          <w:sz w:val="20"/>
          <w:szCs w:val="20"/>
          <w:color w:val="1F1F1F"/>
        </w:rPr>
        <w:t>. Executive agrees that should Executive's employment terminate for any reason, Executive will immediately resign all other positions (including board membership) Executive may hold on behalf of GCE or Orbis.</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1F1F1F"/>
        </w:rPr>
        <w:t>7.9</w:t>
      </w:r>
      <w:r>
        <w:rPr>
          <w:sz w:val="20"/>
          <w:szCs w:val="20"/>
          <w:color w:val="auto"/>
        </w:rPr>
        <w:tab/>
      </w:r>
      <w:r>
        <w:rPr>
          <w:rFonts w:ascii="Arial" w:cs="Arial" w:eastAsia="Arial" w:hAnsi="Arial"/>
          <w:sz w:val="19"/>
          <w:szCs w:val="19"/>
          <w:u w:val="single" w:color="auto"/>
          <w:color w:val="1F1F1F"/>
        </w:rPr>
        <w:t>Application of Section 409A</w:t>
      </w:r>
      <w:r>
        <w:rPr>
          <w:rFonts w:ascii="Arial" w:cs="Arial" w:eastAsia="Arial" w:hAnsi="Arial"/>
          <w:sz w:val="19"/>
          <w:szCs w:val="19"/>
          <w:color w:val="1F1F1F"/>
        </w:rPr>
        <w:t>.</w:t>
      </w:r>
    </w:p>
    <w:p>
      <w:pPr>
        <w:spacing w:after="0" w:line="189" w:lineRule="exact"/>
        <w:rPr>
          <w:sz w:val="20"/>
          <w:szCs w:val="20"/>
          <w:color w:val="auto"/>
        </w:rPr>
      </w:pPr>
    </w:p>
    <w:p>
      <w:pPr>
        <w:jc w:val="both"/>
        <w:ind w:firstLine="1952"/>
        <w:spacing w:after="0" w:line="227" w:lineRule="auto"/>
        <w:tabs>
          <w:tab w:leader="none" w:pos="2814" w:val="left"/>
        </w:tabs>
        <w:numPr>
          <w:ilvl w:val="1"/>
          <w:numId w:val="28"/>
        </w:numPr>
        <w:rPr>
          <w:rFonts w:ascii="Arial" w:cs="Arial" w:eastAsia="Arial" w:hAnsi="Arial"/>
          <w:sz w:val="20"/>
          <w:szCs w:val="20"/>
          <w:color w:val="1F1F1F"/>
        </w:rPr>
      </w:pPr>
      <w:r>
        <w:rPr>
          <w:rFonts w:ascii="Arial" w:cs="Arial" w:eastAsia="Arial" w:hAnsi="Arial"/>
          <w:sz w:val="20"/>
          <w:szCs w:val="20"/>
          <w:color w:val="1F1F1F"/>
        </w:rPr>
        <w:t>Notwithstanding anything set forth in this Agreement to the contrary, no amount payable pursuant to this Agreement on account of Executive's termination of employment with Orbis which constitutes a “deferral of compensation” within the meaning of the Treasury Regulations issued pursuant to Section 409A of the Code (the “</w:t>
      </w:r>
      <w:r>
        <w:rPr>
          <w:rFonts w:ascii="Arial" w:cs="Arial" w:eastAsia="Arial" w:hAnsi="Arial"/>
          <w:sz w:val="20"/>
          <w:szCs w:val="20"/>
          <w:u w:val="single" w:color="auto"/>
          <w:color w:val="1F1F1F"/>
        </w:rPr>
        <w:t>Section 409A Regulations”</w:t>
      </w:r>
      <w:r>
        <w:rPr>
          <w:rFonts w:ascii="Arial" w:cs="Arial" w:eastAsia="Arial" w:hAnsi="Arial"/>
          <w:sz w:val="20"/>
          <w:szCs w:val="20"/>
          <w:color w:val="1F1F1F"/>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20"/>
          <w:szCs w:val="20"/>
          <w:u w:val="single" w:color="auto"/>
          <w:color w:val="1F1F1F"/>
        </w:rPr>
        <w:t>Delayed Payment Date</w:t>
      </w:r>
      <w:r>
        <w:rPr>
          <w:rFonts w:ascii="Arial" w:cs="Arial" w:eastAsia="Arial" w:hAnsi="Arial"/>
          <w:sz w:val="20"/>
          <w:szCs w:val="20"/>
          <w:color w:val="1F1F1F"/>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97" w:lineRule="exact"/>
        <w:rPr>
          <w:rFonts w:ascii="Arial" w:cs="Arial" w:eastAsia="Arial" w:hAnsi="Arial"/>
          <w:sz w:val="20"/>
          <w:szCs w:val="20"/>
          <w:color w:val="1F1F1F"/>
        </w:rPr>
      </w:pPr>
    </w:p>
    <w:p>
      <w:pPr>
        <w:ind w:right="380" w:firstLine="1952"/>
        <w:spacing w:after="0" w:line="232" w:lineRule="auto"/>
        <w:tabs>
          <w:tab w:leader="none" w:pos="2626" w:val="left"/>
        </w:tabs>
        <w:numPr>
          <w:ilvl w:val="1"/>
          <w:numId w:val="28"/>
        </w:numPr>
        <w:rPr>
          <w:rFonts w:ascii="Arial" w:cs="Arial" w:eastAsia="Arial" w:hAnsi="Arial"/>
          <w:sz w:val="20"/>
          <w:szCs w:val="20"/>
          <w:color w:val="1F1F1F"/>
        </w:rPr>
      </w:pPr>
      <w:r>
        <w:rPr>
          <w:rFonts w:ascii="Arial" w:cs="Arial" w:eastAsia="Arial" w:hAnsi="Arial"/>
          <w:sz w:val="20"/>
          <w:szCs w:val="20"/>
          <w:color w:val="auto"/>
        </w:rPr>
        <w:t>It is the intent of Orbis and Executive that any right of Executive to receive installment payments hereunder shall, for all purposes of Section 409A of the Code, be treated as a right to a series of separate payments.</w:t>
      </w:r>
    </w:p>
    <w:p>
      <w:pPr>
        <w:spacing w:after="0" w:line="183" w:lineRule="exact"/>
        <w:rPr>
          <w:rFonts w:ascii="Arial" w:cs="Arial" w:eastAsia="Arial" w:hAnsi="Arial"/>
          <w:sz w:val="20"/>
          <w:szCs w:val="20"/>
          <w:color w:val="1F1F1F"/>
        </w:rPr>
      </w:pPr>
    </w:p>
    <w:p>
      <w:pPr>
        <w:jc w:val="both"/>
        <w:ind w:firstLine="1952"/>
        <w:spacing w:after="0"/>
        <w:tabs>
          <w:tab w:leader="none" w:pos="2614" w:val="left"/>
        </w:tabs>
        <w:numPr>
          <w:ilvl w:val="1"/>
          <w:numId w:val="28"/>
        </w:numPr>
        <w:rPr>
          <w:rFonts w:ascii="Arial" w:cs="Arial" w:eastAsia="Arial" w:hAnsi="Arial"/>
          <w:sz w:val="19"/>
          <w:szCs w:val="19"/>
          <w:color w:val="1F1F1F"/>
        </w:rPr>
      </w:pPr>
      <w:r>
        <w:rPr>
          <w:rFonts w:ascii="Arial" w:cs="Arial" w:eastAsia="Arial" w:hAnsi="Arial"/>
          <w:sz w:val="19"/>
          <w:szCs w:val="19"/>
          <w:color w:val="auto"/>
        </w:rPr>
        <w:t xml:space="preserve">Orbis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9"/>
          <w:szCs w:val="19"/>
          <w:b w:val="1"/>
          <w:bCs w:val="1"/>
          <w:color w:val="auto"/>
        </w:rPr>
        <w:t>However, Orbis does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not guarantee any particular tax effect for income provided to Executive pursuant to this Agreement.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any event, except for Orbis's responsibility to withhold applicable income and employment taxes from compensation paid or provided to Executive, Orbis shall not be responsible for the payment of any applicable taxes incurred by Executive on compensation paid or provided to Executive pursuant to this Agreement.</w:t>
      </w:r>
    </w:p>
    <w:p>
      <w:pPr>
        <w:spacing w:after="0" w:line="185" w:lineRule="exact"/>
        <w:rPr>
          <w:rFonts w:ascii="Arial" w:cs="Arial" w:eastAsia="Arial" w:hAnsi="Arial"/>
          <w:sz w:val="19"/>
          <w:szCs w:val="19"/>
          <w:color w:val="1F1F1F"/>
        </w:rPr>
      </w:pPr>
    </w:p>
    <w:p>
      <w:pPr>
        <w:jc w:val="both"/>
        <w:ind w:firstLine="656"/>
        <w:spacing w:after="0" w:line="228" w:lineRule="auto"/>
        <w:tabs>
          <w:tab w:leader="none" w:pos="1348" w:val="left"/>
        </w:tabs>
        <w:numPr>
          <w:ilvl w:val="0"/>
          <w:numId w:val="29"/>
        </w:numPr>
        <w:rPr>
          <w:rFonts w:ascii="Arial" w:cs="Arial" w:eastAsia="Arial" w:hAnsi="Arial"/>
          <w:sz w:val="20"/>
          <w:szCs w:val="20"/>
          <w:color w:val="1F1F1F"/>
        </w:rPr>
      </w:pPr>
      <w:r>
        <w:rPr>
          <w:rFonts w:ascii="Arial" w:cs="Arial" w:eastAsia="Arial" w:hAnsi="Arial"/>
          <w:sz w:val="20"/>
          <w:szCs w:val="20"/>
          <w:u w:val="single" w:color="auto"/>
          <w:color w:val="auto"/>
        </w:rPr>
        <w:t>No Violation of Rights of Third Parties.</w:t>
      </w:r>
      <w:r>
        <w:rPr>
          <w:rFonts w:ascii="Arial" w:cs="Arial" w:eastAsia="Arial" w:hAnsi="Arial"/>
          <w:sz w:val="20"/>
          <w:szCs w:val="20"/>
          <w:color w:val="auto"/>
        </w:rPr>
        <w:t xml:space="preserve"> Executive represents and warrants to Orbis that Executive is not currently a party, and will not become a party, to any other agreement that is in conflict with, or will prevent Executive from complying with, this Agreement. Executive further represents and warrants to Orbis that Executive's performance of all of the terms of this Agreement as an employee of Orbis does not and will not breach any agreement to keep in confidence any proprietary information, knowledge, or data acquired by Executive in confidence or trust prior to Executive’s employment with Orbis. Executive acknowledges and agrees that the representations and warranties in this Section 8 are a material part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47" w:name="page48"/>
    <w:bookmarkEnd w:id="47"/>
    <w:p>
      <w:pPr>
        <w:ind w:right="20" w:firstLine="656"/>
        <w:spacing w:after="0" w:line="236" w:lineRule="auto"/>
        <w:tabs>
          <w:tab w:leader="none" w:pos="1524" w:val="left"/>
        </w:tabs>
        <w:numPr>
          <w:ilvl w:val="0"/>
          <w:numId w:val="30"/>
        </w:numPr>
        <w:rPr>
          <w:rFonts w:ascii="Arial" w:cs="Arial" w:eastAsia="Arial" w:hAnsi="Arial"/>
          <w:sz w:val="20"/>
          <w:szCs w:val="20"/>
          <w:color w:val="1F1F1F"/>
        </w:rPr>
      </w:pPr>
      <w:r>
        <w:rPr>
          <w:rFonts w:ascii="Arial" w:cs="Arial" w:eastAsia="Arial" w:hAnsi="Arial"/>
          <w:sz w:val="20"/>
          <w:szCs w:val="20"/>
          <w:u w:val="single" w:color="auto"/>
          <w:color w:val="auto"/>
        </w:rPr>
        <w:t>Other Covenants.</w:t>
      </w:r>
      <w:r>
        <w:rPr>
          <w:rFonts w:ascii="Arial" w:cs="Arial" w:eastAsia="Arial" w:hAnsi="Arial"/>
          <w:sz w:val="20"/>
          <w:szCs w:val="20"/>
          <w:color w:val="auto"/>
        </w:rPr>
        <w:t xml:space="preserve"> Executive hereby makes the following covenants, each of which Executive acknowledges and agrees are a material part of this Agreement:</w:t>
      </w:r>
    </w:p>
    <w:p>
      <w:pPr>
        <w:spacing w:after="0" w:line="18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1F1F1F"/>
        </w:rPr>
        <w:t xml:space="preserve">9.1 </w:t>
      </w:r>
      <w:r>
        <w:rPr>
          <w:rFonts w:ascii="Arial" w:cs="Arial" w:eastAsia="Arial" w:hAnsi="Arial"/>
          <w:sz w:val="20"/>
          <w:szCs w:val="20"/>
          <w:color w:val="000000"/>
        </w:rPr>
        <w:t>During the Term, Executive will not (a) breach any agreement to keep in confidence any</w:t>
      </w:r>
      <w:r>
        <w:rPr>
          <w:rFonts w:ascii="Arial" w:cs="Arial" w:eastAsia="Arial" w:hAnsi="Arial"/>
          <w:sz w:val="20"/>
          <w:szCs w:val="20"/>
          <w:color w:val="1F1F1F"/>
        </w:rPr>
        <w:t xml:space="preserve"> </w:t>
      </w:r>
      <w:r>
        <w:rPr>
          <w:rFonts w:ascii="Arial" w:cs="Arial" w:eastAsia="Arial" w:hAnsi="Arial"/>
          <w:sz w:val="20"/>
          <w:szCs w:val="20"/>
          <w:color w:val="000000"/>
        </w:rPr>
        <w:t>confidential or proprietary information, knowledge or data acquired by Executive prior to Executive’s employment with Orbis, or (b) disclose to GCE or Orbis, or use or induce GCE or Orbis to use, any confidential or proprietary information or material belonging to any previous employer or any other third party. Executive acknowledges that Orbis has specifically instructed Executive not to breach any such agreement or make any such disclosure to GCE or Orbis.</w:t>
      </w:r>
    </w:p>
    <w:p>
      <w:pPr>
        <w:spacing w:after="0" w:line="182"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20"/>
          <w:szCs w:val="20"/>
          <w:color w:val="1F1F1F"/>
        </w:rPr>
        <w:t xml:space="preserve">9.2 </w:t>
      </w:r>
      <w:r>
        <w:rPr>
          <w:rFonts w:ascii="Arial" w:cs="Arial" w:eastAsia="Arial" w:hAnsi="Arial"/>
          <w:sz w:val="20"/>
          <w:szCs w:val="20"/>
          <w:color w:val="000000"/>
        </w:rPr>
        <w:t>During the Term, Executive will not engage in any work or activity, paid or unpaid, that</w:t>
      </w:r>
      <w:r>
        <w:rPr>
          <w:rFonts w:ascii="Arial" w:cs="Arial" w:eastAsia="Arial" w:hAnsi="Arial"/>
          <w:sz w:val="20"/>
          <w:szCs w:val="20"/>
          <w:color w:val="1F1F1F"/>
        </w:rPr>
        <w:t xml:space="preserve"> </w:t>
      </w:r>
      <w:r>
        <w:rPr>
          <w:rFonts w:ascii="Arial" w:cs="Arial" w:eastAsia="Arial" w:hAnsi="Arial"/>
          <w:sz w:val="20"/>
          <w:szCs w:val="20"/>
          <w:color w:val="000000"/>
        </w:rPr>
        <w:t>creates an actual conflict of interest with GCE or Orbis. Such work shall include, but is not limited to, directly or indirectly competing with GCE or Orbis in any way, or acting as an officer, director, employee, consultant, stockholder, volunteer, lender, or agent of any business enterprise of the same nature as, or which is in direct competition with, the business in which GCE or Orbis is now engaged or in which GCE or Orbis becomes engaged during the Term, as may be determined by GCE and Orbis in their sole discretion. If Orbis believes such a conflict exists during the Term, Orbis may ask Executive to choose to discontinue the other work or activity or resign employment with Orbis.</w:t>
      </w:r>
    </w:p>
    <w:p>
      <w:pPr>
        <w:spacing w:after="0" w:line="18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1F1F1F"/>
        </w:rPr>
        <w:t xml:space="preserve">9.3 </w:t>
      </w:r>
      <w:r>
        <w:rPr>
          <w:rFonts w:ascii="Arial" w:cs="Arial" w:eastAsia="Arial" w:hAnsi="Arial"/>
          <w:sz w:val="20"/>
          <w:szCs w:val="20"/>
          <w:color w:val="000000"/>
        </w:rPr>
        <w:t>During the Term and after the termination thereof, neither Executive nor Orbis will</w:t>
      </w:r>
      <w:r>
        <w:rPr>
          <w:rFonts w:ascii="Arial" w:cs="Arial" w:eastAsia="Arial" w:hAnsi="Arial"/>
          <w:sz w:val="20"/>
          <w:szCs w:val="20"/>
          <w:color w:val="1F1F1F"/>
        </w:rPr>
        <w:t xml:space="preserve"> </w:t>
      </w:r>
      <w:r>
        <w:rPr>
          <w:rFonts w:ascii="Arial" w:cs="Arial" w:eastAsia="Arial" w:hAnsi="Arial"/>
          <w:sz w:val="20"/>
          <w:szCs w:val="20"/>
          <w:color w:val="000000"/>
        </w:rPr>
        <w:t>disparage each other, or Orbis's products, services, agents or employees.</w:t>
      </w:r>
    </w:p>
    <w:p>
      <w:pPr>
        <w:spacing w:after="0" w:line="18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1F1F1F"/>
        </w:rPr>
        <w:t xml:space="preserve">9.4 </w:t>
      </w:r>
      <w:r>
        <w:rPr>
          <w:rFonts w:ascii="Arial" w:cs="Arial" w:eastAsia="Arial" w:hAnsi="Arial"/>
          <w:sz w:val="20"/>
          <w:szCs w:val="20"/>
          <w:color w:val="000000"/>
        </w:rPr>
        <w:t>During the Term and after the termination thereof, at Orbis's expense and upon its</w:t>
      </w:r>
      <w:r>
        <w:rPr>
          <w:rFonts w:ascii="Arial" w:cs="Arial" w:eastAsia="Arial" w:hAnsi="Arial"/>
          <w:sz w:val="20"/>
          <w:szCs w:val="20"/>
          <w:color w:val="1F1F1F"/>
        </w:rPr>
        <w:t xml:space="preserve"> </w:t>
      </w:r>
      <w:r>
        <w:rPr>
          <w:rFonts w:ascii="Arial" w:cs="Arial" w:eastAsia="Arial" w:hAnsi="Arial"/>
          <w:sz w:val="20"/>
          <w:szCs w:val="20"/>
          <w:color w:val="000000"/>
        </w:rPr>
        <w:t>reasonable request, Executive will cooperate and assist Orbis in its defense or prosecution of any disputes, differences, grievances, claims, charges, or complaints between Orbis and any third party, which assistance will include testifying on Orbis's behalf in connection with any such matter or performing any other task reasonably requested by Orbis in connection therewith.</w:t>
      </w:r>
    </w:p>
    <w:p>
      <w:pPr>
        <w:spacing w:after="0" w:line="185" w:lineRule="exact"/>
        <w:rPr>
          <w:sz w:val="20"/>
          <w:szCs w:val="20"/>
          <w:color w:val="auto"/>
        </w:rPr>
      </w:pPr>
    </w:p>
    <w:p>
      <w:pPr>
        <w:ind w:firstLine="656"/>
        <w:spacing w:after="0" w:line="236" w:lineRule="auto"/>
        <w:tabs>
          <w:tab w:leader="none" w:pos="1726" w:val="left"/>
        </w:tabs>
        <w:numPr>
          <w:ilvl w:val="0"/>
          <w:numId w:val="31"/>
        </w:numPr>
        <w:rPr>
          <w:rFonts w:ascii="Arial" w:cs="Arial" w:eastAsia="Arial" w:hAnsi="Arial"/>
          <w:sz w:val="20"/>
          <w:szCs w:val="20"/>
          <w:color w:val="1F1F1F"/>
        </w:rPr>
      </w:pPr>
      <w:r>
        <w:rPr>
          <w:rFonts w:ascii="Arial" w:cs="Arial" w:eastAsia="Arial" w:hAnsi="Arial"/>
          <w:sz w:val="20"/>
          <w:szCs w:val="20"/>
          <w:u w:val="single" w:color="auto"/>
          <w:color w:val="auto"/>
        </w:rPr>
        <w:t>Confidentiality and Proprietary Rights</w:t>
      </w:r>
      <w:r>
        <w:rPr>
          <w:rFonts w:ascii="Arial" w:cs="Arial" w:eastAsia="Arial" w:hAnsi="Arial"/>
          <w:sz w:val="20"/>
          <w:szCs w:val="20"/>
          <w:color w:val="auto"/>
        </w:rPr>
        <w:t>. Executive agrees to abide by the Nondisclosure Agreement, which is incorporated herein by reference.</w:t>
      </w:r>
    </w:p>
    <w:p>
      <w:pPr>
        <w:spacing w:after="0" w:line="182" w:lineRule="exact"/>
        <w:rPr>
          <w:rFonts w:ascii="Arial" w:cs="Arial" w:eastAsia="Arial" w:hAnsi="Arial"/>
          <w:sz w:val="20"/>
          <w:szCs w:val="20"/>
          <w:color w:val="1F1F1F"/>
        </w:rPr>
      </w:pPr>
    </w:p>
    <w:p>
      <w:pPr>
        <w:jc w:val="both"/>
        <w:ind w:firstLine="656"/>
        <w:spacing w:after="0" w:line="226" w:lineRule="auto"/>
        <w:tabs>
          <w:tab w:leader="none" w:pos="1321" w:val="left"/>
        </w:tabs>
        <w:numPr>
          <w:ilvl w:val="0"/>
          <w:numId w:val="31"/>
        </w:numPr>
        <w:rPr>
          <w:rFonts w:ascii="Arial" w:cs="Arial" w:eastAsia="Arial" w:hAnsi="Arial"/>
          <w:sz w:val="20"/>
          <w:szCs w:val="20"/>
          <w:color w:val="1F1F1F"/>
        </w:rPr>
      </w:pPr>
      <w:r>
        <w:rPr>
          <w:rFonts w:ascii="Arial" w:cs="Arial" w:eastAsia="Arial" w:hAnsi="Arial"/>
          <w:sz w:val="20"/>
          <w:szCs w:val="20"/>
          <w:u w:val="single" w:color="auto"/>
          <w:color w:val="auto"/>
        </w:rPr>
        <w:t>Non-Competition; Nonsolicitation of Orbis' Employees.</w:t>
      </w:r>
      <w:r>
        <w:rPr>
          <w:rFonts w:ascii="Arial" w:cs="Arial" w:eastAsia="Arial" w:hAnsi="Arial"/>
          <w:sz w:val="20"/>
          <w:szCs w:val="20"/>
          <w:color w:val="auto"/>
        </w:rPr>
        <w:t xml:space="preserve"> Executive acknowledges that in the course of his employment with Orbis he will serve as a member of Orbis’s senior management and will become familiar with GCE and Orbis's trade secrets and with other confidential and proprietary information and that his services will be of special, unique and extraordinary value to GCE and Orbis. Executive further acknowledges that the business of GCE and Orbis is national in scope and that GCE and Orbis, in the course of such business compete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any business that develops or administers educational services to degree-granting institutions of higher education, or (ii) any other business of GCE or Orbis in which Executive had significant involvement prior to Executive's separation; (b) induce or attempt to induce any employee of GCE or Orbis to leave the employ of Orbis, or in any way interfere with the relationship between GCE or Orbis and any employee thereof, or (c) induce or attempt to induce any customer, supplier, licensee or other business relation of GCE or Orbis to cease doing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9"/>
          <w:szCs w:val="19"/>
          <w:color w:val="auto"/>
        </w:rPr>
        <w:t>business with, or modify its business relationship with, GCE or Orbis, or in any way interfere with or hinder the relationship between any such customer, supplier, licensee or business relation and GCE or Orbis, as applicable.</w:t>
      </w:r>
    </w:p>
    <w:p>
      <w:pPr>
        <w:spacing w:after="0" w:line="167" w:lineRule="exact"/>
        <w:rPr>
          <w:sz w:val="20"/>
          <w:szCs w:val="20"/>
          <w:color w:val="auto"/>
        </w:rPr>
      </w:pPr>
    </w:p>
    <w:p>
      <w:pPr>
        <w:jc w:val="both"/>
        <w:ind w:firstLine="656"/>
        <w:spacing w:after="0" w:line="229" w:lineRule="auto"/>
        <w:tabs>
          <w:tab w:leader="none" w:pos="1375" w:val="left"/>
        </w:tabs>
        <w:numPr>
          <w:ilvl w:val="0"/>
          <w:numId w:val="32"/>
        </w:numPr>
        <w:rPr>
          <w:rFonts w:ascii="Arial" w:cs="Arial" w:eastAsia="Arial" w:hAnsi="Arial"/>
          <w:sz w:val="20"/>
          <w:szCs w:val="20"/>
          <w:color w:val="1F1F1F"/>
        </w:rPr>
      </w:pPr>
      <w:r>
        <w:rPr>
          <w:rFonts w:ascii="Arial" w:cs="Arial" w:eastAsia="Arial" w:hAnsi="Arial"/>
          <w:sz w:val="20"/>
          <w:szCs w:val="20"/>
          <w:u w:val="single" w:color="auto"/>
          <w:color w:val="auto"/>
        </w:rPr>
        <w:t>Injunctive Relief</w:t>
      </w:r>
      <w:r>
        <w:rPr>
          <w:rFonts w:ascii="Arial" w:cs="Arial" w:eastAsia="Arial" w:hAnsi="Arial"/>
          <w:sz w:val="20"/>
          <w:szCs w:val="20"/>
          <w:color w:val="auto"/>
        </w:rPr>
        <w:t>. Executive acknowledges that Executive's breach of the covenants contained in Sections 9, 10 and 11 hereof (collectively “</w:t>
      </w:r>
      <w:r>
        <w:rPr>
          <w:rFonts w:ascii="Arial" w:cs="Arial" w:eastAsia="Arial" w:hAnsi="Arial"/>
          <w:sz w:val="20"/>
          <w:szCs w:val="20"/>
          <w:u w:val="single" w:color="auto"/>
          <w:color w:val="auto"/>
        </w:rPr>
        <w:t>Covenants”</w:t>
      </w:r>
      <w:r>
        <w:rPr>
          <w:rFonts w:ascii="Arial" w:cs="Arial" w:eastAsia="Arial" w:hAnsi="Arial"/>
          <w:sz w:val="20"/>
          <w:szCs w:val="20"/>
          <w:color w:val="auto"/>
        </w:rPr>
        <w:t>) would cause irreparable injury to GCE and Orbis and agrees that in the event of any such breach, GCE and Orbis shall be entitled to seek temporary, preliminary and permanent injunctive relief without the necessity of proving actual damages or posting any bond or other security in addition to any other relief to which GCE or Orbis may be entitled and other remedies Orbis may exercise under this Agreement or otherwise.</w:t>
      </w:r>
    </w:p>
    <w:p>
      <w:pPr>
        <w:spacing w:after="0" w:line="181" w:lineRule="exact"/>
        <w:rPr>
          <w:rFonts w:ascii="Arial" w:cs="Arial" w:eastAsia="Arial" w:hAnsi="Arial"/>
          <w:sz w:val="20"/>
          <w:szCs w:val="20"/>
          <w:color w:val="1F1F1F"/>
        </w:rPr>
      </w:pPr>
    </w:p>
    <w:p>
      <w:pPr>
        <w:ind w:left="1320" w:hanging="664"/>
        <w:spacing w:after="0"/>
        <w:tabs>
          <w:tab w:leader="none" w:pos="1320" w:val="left"/>
        </w:tabs>
        <w:numPr>
          <w:ilvl w:val="0"/>
          <w:numId w:val="32"/>
        </w:numPr>
        <w:rPr>
          <w:rFonts w:ascii="Arial" w:cs="Arial" w:eastAsia="Arial" w:hAnsi="Arial"/>
          <w:sz w:val="20"/>
          <w:szCs w:val="20"/>
          <w:color w:val="1F1F1F"/>
        </w:rPr>
      </w:pPr>
      <w:r>
        <w:rPr>
          <w:rFonts w:ascii="Arial" w:cs="Arial" w:eastAsia="Arial" w:hAnsi="Arial"/>
          <w:sz w:val="20"/>
          <w:szCs w:val="20"/>
          <w:u w:val="single" w:color="auto"/>
          <w:color w:val="auto"/>
        </w:rPr>
        <w:t>General Provisions.</w:t>
      </w:r>
    </w:p>
    <w:p>
      <w:pPr>
        <w:spacing w:after="0" w:line="18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1F1F1F"/>
        </w:rPr>
        <w:t xml:space="preserve">13.1 </w:t>
      </w:r>
      <w:r>
        <w:rPr>
          <w:rFonts w:ascii="Arial" w:cs="Arial" w:eastAsia="Arial" w:hAnsi="Arial"/>
          <w:sz w:val="20"/>
          <w:szCs w:val="20"/>
          <w:u w:val="single" w:color="auto"/>
          <w:color w:val="000000"/>
        </w:rPr>
        <w:t>Successors and Assigns</w:t>
      </w:r>
      <w:r>
        <w:rPr>
          <w:rFonts w:ascii="Arial" w:cs="Arial" w:eastAsia="Arial" w:hAnsi="Arial"/>
          <w:sz w:val="20"/>
          <w:szCs w:val="20"/>
          <w:color w:val="000000"/>
        </w:rPr>
        <w:t>. The rights and obligations of Orbis under this Agreement shall</w:t>
      </w:r>
      <w:r>
        <w:rPr>
          <w:rFonts w:ascii="Arial" w:cs="Arial" w:eastAsia="Arial" w:hAnsi="Arial"/>
          <w:sz w:val="20"/>
          <w:szCs w:val="20"/>
          <w:color w:val="1F1F1F"/>
        </w:rPr>
        <w:t xml:space="preserve"> </w:t>
      </w:r>
      <w:r>
        <w:rPr>
          <w:rFonts w:ascii="Arial" w:cs="Arial" w:eastAsia="Arial" w:hAnsi="Arial"/>
          <w:sz w:val="20"/>
          <w:szCs w:val="20"/>
          <w:color w:val="000000"/>
        </w:rPr>
        <w:t>inure to the benefit of and shall be binding upon the successors and assigns of Orbis. Executive shall not be entitled to assign any of Executive's rights or obligations under this Agreement.</w:t>
      </w:r>
    </w:p>
    <w:p>
      <w:pPr>
        <w:spacing w:after="0" w:line="18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1F1F1F"/>
        </w:rPr>
        <w:t xml:space="preserve">13.2 </w:t>
      </w:r>
      <w:r>
        <w:rPr>
          <w:rFonts w:ascii="Arial" w:cs="Arial" w:eastAsia="Arial" w:hAnsi="Arial"/>
          <w:sz w:val="20"/>
          <w:szCs w:val="20"/>
          <w:u w:val="single" w:color="auto"/>
          <w:color w:val="000000"/>
        </w:rPr>
        <w:t>Waiver</w:t>
      </w:r>
      <w:r>
        <w:rPr>
          <w:rFonts w:ascii="Arial" w:cs="Arial" w:eastAsia="Arial" w:hAnsi="Arial"/>
          <w:sz w:val="20"/>
          <w:szCs w:val="20"/>
          <w:color w:val="000000"/>
        </w:rPr>
        <w:t>. Either party's failure to enforce any provision of this Agreement shall not in any</w:t>
      </w:r>
      <w:r>
        <w:rPr>
          <w:rFonts w:ascii="Arial" w:cs="Arial" w:eastAsia="Arial" w:hAnsi="Arial"/>
          <w:sz w:val="20"/>
          <w:szCs w:val="20"/>
          <w:color w:val="1F1F1F"/>
        </w:rPr>
        <w:t xml:space="preserve"> </w:t>
      </w:r>
      <w:r>
        <w:rPr>
          <w:rFonts w:ascii="Arial" w:cs="Arial" w:eastAsia="Arial" w:hAnsi="Arial"/>
          <w:sz w:val="20"/>
          <w:szCs w:val="20"/>
          <w:color w:val="000000"/>
        </w:rPr>
        <w:t>way be construed as a waiver of any such provision, or prevent that party thereafter from enforcing each and every other provision of this Agreement.</w:t>
      </w:r>
    </w:p>
    <w:p>
      <w:pPr>
        <w:spacing w:after="0" w:line="184"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0"/>
          <w:szCs w:val="20"/>
          <w:color w:val="1F1F1F"/>
        </w:rPr>
        <w:t xml:space="preserve">13.3 </w:t>
      </w:r>
      <w:r>
        <w:rPr>
          <w:rFonts w:ascii="Arial" w:cs="Arial" w:eastAsia="Arial" w:hAnsi="Arial"/>
          <w:sz w:val="20"/>
          <w:szCs w:val="20"/>
          <w:u w:val="single" w:color="auto"/>
          <w:color w:val="000000"/>
        </w:rPr>
        <w:t>Attorneys’ Fees</w:t>
      </w:r>
      <w:r>
        <w:rPr>
          <w:rFonts w:ascii="Arial" w:cs="Arial" w:eastAsia="Arial" w:hAnsi="Arial"/>
          <w:sz w:val="20"/>
          <w:szCs w:val="20"/>
          <w:color w:val="000000"/>
        </w:rPr>
        <w:t>. In the event of a dispute involving the interpretation or enforcement of this</w:t>
      </w:r>
      <w:r>
        <w:rPr>
          <w:rFonts w:ascii="Arial" w:cs="Arial" w:eastAsia="Arial" w:hAnsi="Arial"/>
          <w:sz w:val="20"/>
          <w:szCs w:val="20"/>
          <w:color w:val="1F1F1F"/>
        </w:rPr>
        <w:t xml:space="preserve"> </w:t>
      </w:r>
      <w:r>
        <w:rPr>
          <w:rFonts w:ascii="Arial" w:cs="Arial" w:eastAsia="Arial" w:hAnsi="Arial"/>
          <w:sz w:val="20"/>
          <w:szCs w:val="20"/>
          <w:color w:val="000000"/>
        </w:rPr>
        <w:t>Agreement, a court shall award attorneys' fees and costs to the prevailing party.</w:t>
      </w:r>
    </w:p>
    <w:p>
      <w:pPr>
        <w:spacing w:after="0" w:line="18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1F1F1F"/>
        </w:rPr>
        <w:t xml:space="preserve">13.4 </w:t>
      </w:r>
      <w:r>
        <w:rPr>
          <w:rFonts w:ascii="Arial" w:cs="Arial" w:eastAsia="Arial" w:hAnsi="Arial"/>
          <w:sz w:val="20"/>
          <w:szCs w:val="20"/>
          <w:u w:val="single" w:color="auto"/>
          <w:color w:val="000000"/>
        </w:rPr>
        <w:t>Severability</w:t>
      </w:r>
      <w:r>
        <w:rPr>
          <w:rFonts w:ascii="Arial" w:cs="Arial" w:eastAsia="Arial" w:hAnsi="Arial"/>
          <w:sz w:val="20"/>
          <w:szCs w:val="20"/>
          <w:color w:val="000000"/>
        </w:rPr>
        <w:t>. In the event any provision of this Agreement is found to be unenforceable by</w:t>
      </w:r>
      <w:r>
        <w:rPr>
          <w:rFonts w:ascii="Arial" w:cs="Arial" w:eastAsia="Arial" w:hAnsi="Arial"/>
          <w:sz w:val="20"/>
          <w:szCs w:val="20"/>
          <w:color w:val="1F1F1F"/>
        </w:rPr>
        <w:t xml:space="preserve"> </w:t>
      </w:r>
      <w:r>
        <w:rPr>
          <w:rFonts w:ascii="Arial" w:cs="Arial" w:eastAsia="Arial" w:hAnsi="Arial"/>
          <w:sz w:val="20"/>
          <w:szCs w:val="20"/>
          <w:color w:val="000000"/>
        </w:rPr>
        <w:t>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8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1F1F1F"/>
        </w:rPr>
        <w:t xml:space="preserve">13.5 </w:t>
      </w:r>
      <w:r>
        <w:rPr>
          <w:rFonts w:ascii="Arial" w:cs="Arial" w:eastAsia="Arial" w:hAnsi="Arial"/>
          <w:sz w:val="20"/>
          <w:szCs w:val="20"/>
          <w:u w:val="single" w:color="auto"/>
          <w:color w:val="000000"/>
        </w:rPr>
        <w:t>Interpretation; Construction.</w:t>
      </w:r>
      <w:r>
        <w:rPr>
          <w:rFonts w:ascii="Arial" w:cs="Arial" w:eastAsia="Arial" w:hAnsi="Arial"/>
          <w:sz w:val="20"/>
          <w:szCs w:val="20"/>
          <w:color w:val="1F1F1F"/>
        </w:rPr>
        <w:t xml:space="preserve"> </w:t>
      </w:r>
      <w:r>
        <w:rPr>
          <w:rFonts w:ascii="Arial" w:cs="Arial" w:eastAsia="Arial" w:hAnsi="Arial"/>
          <w:sz w:val="20"/>
          <w:szCs w:val="20"/>
          <w:color w:val="000000"/>
        </w:rPr>
        <w:t>The headings set forth in this Agreement are for convenience</w:t>
      </w:r>
      <w:r>
        <w:rPr>
          <w:rFonts w:ascii="Arial" w:cs="Arial" w:eastAsia="Arial" w:hAnsi="Arial"/>
          <w:sz w:val="20"/>
          <w:szCs w:val="20"/>
          <w:color w:val="1F1F1F"/>
        </w:rPr>
        <w:t xml:space="preserve"> </w:t>
      </w:r>
      <w:r>
        <w:rPr>
          <w:rFonts w:ascii="Arial" w:cs="Arial" w:eastAsia="Arial" w:hAnsi="Arial"/>
          <w:sz w:val="20"/>
          <w:szCs w:val="20"/>
          <w:color w:val="000000"/>
        </w:rPr>
        <w:t>only and shall not be used in interpreting this Agreement. This Agreement has been drafted by legal counsel representing Orbis,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8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1F1F1F"/>
        </w:rPr>
        <w:t xml:space="preserve">13.6 </w:t>
      </w:r>
      <w:r>
        <w:rPr>
          <w:rFonts w:ascii="Arial" w:cs="Arial" w:eastAsia="Arial" w:hAnsi="Arial"/>
          <w:sz w:val="20"/>
          <w:szCs w:val="20"/>
          <w:u w:val="single" w:color="auto"/>
          <w:color w:val="000000"/>
        </w:rPr>
        <w:t>Governing Law; Forum</w:t>
      </w:r>
      <w:r>
        <w:rPr>
          <w:rFonts w:ascii="Arial" w:cs="Arial" w:eastAsia="Arial" w:hAnsi="Arial"/>
          <w:sz w:val="20"/>
          <w:szCs w:val="20"/>
          <w:color w:val="000000"/>
        </w:rPr>
        <w:t>. This Agreement will be governed by and construed in accordance</w:t>
      </w:r>
      <w:r>
        <w:rPr>
          <w:rFonts w:ascii="Arial" w:cs="Arial" w:eastAsia="Arial" w:hAnsi="Arial"/>
          <w:sz w:val="20"/>
          <w:szCs w:val="20"/>
          <w:color w:val="1F1F1F"/>
        </w:rPr>
        <w:t xml:space="preserve"> </w:t>
      </w:r>
      <w:r>
        <w:rPr>
          <w:rFonts w:ascii="Arial" w:cs="Arial" w:eastAsia="Arial" w:hAnsi="Arial"/>
          <w:sz w:val="20"/>
          <w:szCs w:val="20"/>
          <w:color w:val="000000"/>
        </w:rPr>
        <w:t>with the laws of the United States and the State of Indiana. Each party consents to the jurisdiction and venue of the state courts in Marion County, Indiana or the federal courts in the Southern District of Indiana, if applicable, in any action, suit, or proceeding arising out of or relating to this Agreement, and agrees that the state courts in Marion County, Indiana or the federal courts in the Southern District of Indiana shall have exclusive jurisdiction over any dispute arising between the parties related to this Agreement or Executive’s employment with Orbis.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49" w:name="page50"/>
    <w:bookmarkEnd w:id="49"/>
    <w:p>
      <w:pPr>
        <w:jc w:val="both"/>
        <w:ind w:firstLine="1296"/>
        <w:spacing w:after="0" w:line="225" w:lineRule="auto"/>
        <w:rPr>
          <w:sz w:val="20"/>
          <w:szCs w:val="20"/>
          <w:color w:val="auto"/>
        </w:rPr>
      </w:pPr>
      <w:r>
        <w:rPr>
          <w:rFonts w:ascii="Arial" w:cs="Arial" w:eastAsia="Arial" w:hAnsi="Arial"/>
          <w:sz w:val="20"/>
          <w:szCs w:val="20"/>
          <w:color w:val="1F1F1F"/>
        </w:rPr>
        <w:t xml:space="preserve">13.7 </w:t>
      </w:r>
      <w:r>
        <w:rPr>
          <w:rFonts w:ascii="Arial" w:cs="Arial" w:eastAsia="Arial" w:hAnsi="Arial"/>
          <w:sz w:val="20"/>
          <w:szCs w:val="20"/>
          <w:u w:val="single" w:color="auto"/>
          <w:color w:val="000000"/>
        </w:rPr>
        <w:t>Notices</w:t>
      </w:r>
      <w:r>
        <w:rPr>
          <w:rFonts w:ascii="Arial" w:cs="Arial" w:eastAsia="Arial" w:hAnsi="Arial"/>
          <w:sz w:val="20"/>
          <w:szCs w:val="20"/>
          <w:color w:val="000000"/>
        </w:rPr>
        <w:t>. Any notice required or permitted by this Agreement shall be in writing and shall be</w:t>
      </w:r>
      <w:r>
        <w:rPr>
          <w:rFonts w:ascii="Arial" w:cs="Arial" w:eastAsia="Arial" w:hAnsi="Arial"/>
          <w:sz w:val="20"/>
          <w:szCs w:val="20"/>
          <w:color w:val="1F1F1F"/>
        </w:rPr>
        <w:t xml:space="preserve"> </w:t>
      </w:r>
      <w:r>
        <w:rPr>
          <w:rFonts w:ascii="Arial" w:cs="Arial" w:eastAsia="Arial" w:hAnsi="Arial"/>
          <w:sz w:val="20"/>
          <w:szCs w:val="20"/>
          <w:color w:val="000000"/>
        </w:rPr>
        <w:t>delivered as follows with notice deemed given as indicated: (a) by personal delivery when delivered personally;</w:t>
      </w:r>
    </w:p>
    <w:p>
      <w:pPr>
        <w:spacing w:after="0" w:line="1" w:lineRule="exact"/>
        <w:rPr>
          <w:sz w:val="20"/>
          <w:szCs w:val="20"/>
          <w:color w:val="auto"/>
        </w:rPr>
      </w:pPr>
    </w:p>
    <w:p>
      <w:pPr>
        <w:jc w:val="both"/>
        <w:ind w:firstLine="8"/>
        <w:spacing w:after="0" w:line="230" w:lineRule="auto"/>
        <w:tabs>
          <w:tab w:leader="none" w:pos="347" w:val="left"/>
        </w:tabs>
        <w:numPr>
          <w:ilvl w:val="0"/>
          <w:numId w:val="33"/>
        </w:numPr>
        <w:rPr>
          <w:rFonts w:ascii="Arial" w:cs="Arial" w:eastAsia="Arial" w:hAnsi="Arial"/>
          <w:sz w:val="20"/>
          <w:szCs w:val="20"/>
          <w:color w:val="auto"/>
        </w:rPr>
      </w:pPr>
      <w:r>
        <w:rPr>
          <w:rFonts w:ascii="Arial" w:cs="Arial" w:eastAsia="Arial" w:hAnsi="Arial"/>
          <w:sz w:val="20"/>
          <w:szCs w:val="20"/>
          <w:color w:val="auto"/>
        </w:rPr>
        <w:t>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18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1F1F1F"/>
        </w:rPr>
        <w:t xml:space="preserve">13.8 </w:t>
      </w:r>
      <w:r>
        <w:rPr>
          <w:rFonts w:ascii="Arial" w:cs="Arial" w:eastAsia="Arial" w:hAnsi="Arial"/>
          <w:sz w:val="20"/>
          <w:szCs w:val="20"/>
          <w:u w:val="single" w:color="auto"/>
          <w:color w:val="000000"/>
        </w:rPr>
        <w:t>Survival</w:t>
      </w:r>
      <w:r>
        <w:rPr>
          <w:rFonts w:ascii="Arial" w:cs="Arial" w:eastAsia="Arial" w:hAnsi="Arial"/>
          <w:sz w:val="20"/>
          <w:szCs w:val="20"/>
          <w:color w:val="000000"/>
        </w:rPr>
        <w:t>. Sections 9 (“Other Covenants”), 10 ("Confidentiality and Proprietary Rights”), 11</w:t>
      </w:r>
      <w:r>
        <w:rPr>
          <w:rFonts w:ascii="Arial" w:cs="Arial" w:eastAsia="Arial" w:hAnsi="Arial"/>
          <w:sz w:val="20"/>
          <w:szCs w:val="20"/>
          <w:color w:val="1F1F1F"/>
        </w:rPr>
        <w:t xml:space="preserve"> </w:t>
      </w:r>
      <w:r>
        <w:rPr>
          <w:rFonts w:ascii="Arial" w:cs="Arial" w:eastAsia="Arial" w:hAnsi="Arial"/>
          <w:sz w:val="20"/>
          <w:szCs w:val="20"/>
          <w:color w:val="000000"/>
        </w:rPr>
        <w:t>(“Non-Competition; Nonsolicitation of Orbis’ Employees”), 12 (“Injunctive Relief”), 13 (“General Provisions”) and 15 (“Entire Agreement”) of this Agreement shall survive termination of Executive’s employment with Orbis.</w:t>
      </w:r>
    </w:p>
    <w:p>
      <w:pPr>
        <w:spacing w:after="0" w:line="184" w:lineRule="exact"/>
        <w:rPr>
          <w:sz w:val="20"/>
          <w:szCs w:val="20"/>
          <w:color w:val="auto"/>
        </w:rPr>
      </w:pPr>
    </w:p>
    <w:p>
      <w:pPr>
        <w:jc w:val="both"/>
        <w:ind w:firstLine="656"/>
        <w:spacing w:after="0" w:line="229" w:lineRule="auto"/>
        <w:tabs>
          <w:tab w:leader="none" w:pos="1402" w:val="left"/>
        </w:tabs>
        <w:numPr>
          <w:ilvl w:val="0"/>
          <w:numId w:val="34"/>
        </w:numPr>
        <w:rPr>
          <w:rFonts w:ascii="Arial" w:cs="Arial" w:eastAsia="Arial" w:hAnsi="Arial"/>
          <w:sz w:val="20"/>
          <w:szCs w:val="20"/>
          <w:color w:val="1F1F1F"/>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Orbis. No oral waiver, amendment or modification will be effective under any circumstances whatsoever.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50" w:name="page51"/>
    <w:bookmarkEnd w:id="50"/>
    <w:p>
      <w:pPr>
        <w:jc w:val="both"/>
        <w:spacing w:after="0" w:line="232" w:lineRule="auto"/>
        <w:rPr>
          <w:sz w:val="20"/>
          <w:szCs w:val="20"/>
          <w:color w:val="auto"/>
        </w:rPr>
      </w:pPr>
      <w:r>
        <w:rPr>
          <w:rFonts w:ascii="Arial" w:cs="Arial" w:eastAsia="Arial" w:hAnsi="Arial"/>
          <w:sz w:val="20"/>
          <w:szCs w:val="20"/>
          <w:color w:val="auto"/>
        </w:rPr>
        <w:t>THE PARTIES TO THIS AGREEMENT HAVE READ THE FOREGOING AGREEMENT AND FULLY UNDERSTAND EACH AND EVERY PROVISION CONTAINED HEREIN. WHEREFORE, THE PARTIES HAVE EXECUTED THIS AGREEMENT ON THE DATES SHOWN BELOW.</w:t>
      </w:r>
    </w:p>
    <w:p>
      <w:pPr>
        <w:spacing w:after="0" w:line="173"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gridSpan w:val="2"/>
          </w:tcPr>
          <w:p>
            <w:pPr>
              <w:spacing w:after="0"/>
              <w:rPr>
                <w:sz w:val="20"/>
                <w:szCs w:val="20"/>
                <w:color w:val="auto"/>
              </w:rPr>
            </w:pPr>
            <w:r>
              <w:rPr>
                <w:rFonts w:ascii="Arial" w:cs="Arial" w:eastAsia="Arial" w:hAnsi="Arial"/>
                <w:sz w:val="20"/>
                <w:szCs w:val="20"/>
                <w:color w:val="auto"/>
              </w:rPr>
              <w:t>Dated: May 1, 2020</w:t>
            </w:r>
          </w:p>
        </w:tc>
        <w:tc>
          <w:tcPr>
            <w:tcW w:w="19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gridSpan w:val="2"/>
          </w:tcPr>
          <w:p>
            <w:pPr>
              <w:spacing w:after="0"/>
              <w:rPr>
                <w:sz w:val="20"/>
                <w:szCs w:val="20"/>
                <w:color w:val="auto"/>
              </w:rPr>
            </w:pPr>
            <w:r>
              <w:rPr>
                <w:rFonts w:ascii="Arial" w:cs="Arial" w:eastAsia="Arial" w:hAnsi="Arial"/>
                <w:sz w:val="20"/>
                <w:szCs w:val="20"/>
                <w:color w:val="auto"/>
              </w:rPr>
              <w:t>/s/ Daniel J. Briggs</w:t>
            </w:r>
          </w:p>
        </w:tc>
      </w:tr>
      <w:tr>
        <w:trPr>
          <w:trHeight w:val="206"/>
        </w:trPr>
        <w:tc>
          <w:tcPr>
            <w:tcW w:w="66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line="206" w:lineRule="exact"/>
              <w:rPr>
                <w:sz w:val="20"/>
                <w:szCs w:val="20"/>
                <w:color w:val="auto"/>
              </w:rPr>
            </w:pPr>
            <w:r>
              <w:rPr>
                <w:rFonts w:ascii="Arial" w:cs="Arial" w:eastAsia="Arial" w:hAnsi="Arial"/>
                <w:sz w:val="20"/>
                <w:szCs w:val="20"/>
                <w:color w:val="auto"/>
              </w:rPr>
              <w:t>Name:</w:t>
            </w:r>
          </w:p>
        </w:tc>
        <w:tc>
          <w:tcPr>
            <w:tcW w:w="4500" w:type="dxa"/>
            <w:vAlign w:val="bottom"/>
            <w:tcBorders>
              <w:top w:val="single" w:sz="8" w:color="auto"/>
            </w:tcBorders>
            <w:gridSpan w:val="2"/>
          </w:tcPr>
          <w:p>
            <w:pPr>
              <w:spacing w:after="0" w:line="206" w:lineRule="exact"/>
              <w:rPr>
                <w:sz w:val="20"/>
                <w:szCs w:val="20"/>
                <w:color w:val="auto"/>
              </w:rPr>
            </w:pPr>
            <w:r>
              <w:rPr>
                <w:rFonts w:ascii="Arial" w:cs="Arial" w:eastAsia="Arial" w:hAnsi="Arial"/>
                <w:sz w:val="20"/>
                <w:szCs w:val="20"/>
                <w:color w:val="auto"/>
              </w:rPr>
              <w:t>Daniel J. Briggs</w:t>
            </w:r>
          </w:p>
        </w:tc>
      </w:tr>
      <w:tr>
        <w:trPr>
          <w:trHeight w:val="216"/>
        </w:trPr>
        <w:tc>
          <w:tcPr>
            <w:tcW w:w="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line="216" w:lineRule="exact"/>
              <w:rPr>
                <w:sz w:val="20"/>
                <w:szCs w:val="20"/>
                <w:color w:val="auto"/>
              </w:rPr>
            </w:pPr>
            <w:r>
              <w:rPr>
                <w:rFonts w:ascii="Arial" w:cs="Arial" w:eastAsia="Arial" w:hAnsi="Arial"/>
                <w:sz w:val="20"/>
                <w:szCs w:val="20"/>
                <w:color w:val="auto"/>
              </w:rPr>
              <w:t>Address:</w:t>
            </w:r>
          </w:p>
        </w:tc>
        <w:tc>
          <w:tcPr>
            <w:tcW w:w="4500" w:type="dxa"/>
            <w:vAlign w:val="bottom"/>
            <w:gridSpan w:val="2"/>
          </w:tcPr>
          <w:p>
            <w:pPr>
              <w:spacing w:after="0" w:line="216" w:lineRule="exact"/>
              <w:rPr>
                <w:sz w:val="20"/>
                <w:szCs w:val="20"/>
                <w:color w:val="auto"/>
              </w:rPr>
            </w:pPr>
            <w:r>
              <w:rPr>
                <w:rFonts w:ascii="Arial" w:cs="Arial" w:eastAsia="Arial" w:hAnsi="Arial"/>
                <w:sz w:val="20"/>
                <w:szCs w:val="20"/>
                <w:color w:val="auto"/>
              </w:rPr>
              <w:t>301 Pennsylvania Pkwy</w:t>
            </w:r>
          </w:p>
        </w:tc>
      </w:tr>
      <w:tr>
        <w:trPr>
          <w:trHeight w:val="216"/>
        </w:trPr>
        <w:tc>
          <w:tcPr>
            <w:tcW w:w="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2"/>
          </w:tcPr>
          <w:p>
            <w:pPr>
              <w:spacing w:after="0" w:line="216" w:lineRule="exact"/>
              <w:rPr>
                <w:sz w:val="20"/>
                <w:szCs w:val="20"/>
                <w:color w:val="auto"/>
              </w:rPr>
            </w:pPr>
            <w:r>
              <w:rPr>
                <w:rFonts w:ascii="Arial" w:cs="Arial" w:eastAsia="Arial" w:hAnsi="Arial"/>
                <w:sz w:val="20"/>
                <w:szCs w:val="20"/>
                <w:color w:val="auto"/>
              </w:rPr>
              <w:t>Suite 400</w:t>
            </w:r>
          </w:p>
        </w:tc>
      </w:tr>
      <w:tr>
        <w:trPr>
          <w:trHeight w:val="237"/>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Indianapolis, IN 46280</w:t>
            </w:r>
          </w:p>
        </w:tc>
      </w:tr>
      <w:tr>
        <w:trPr>
          <w:trHeight w:val="621"/>
        </w:trPr>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20"/>
                <w:szCs w:val="20"/>
                <w:b w:val="1"/>
                <w:bCs w:val="1"/>
                <w:color w:val="auto"/>
              </w:rPr>
              <w:t>ORBIS EDUCATION SERVICES, LLC</w:t>
            </w:r>
          </w:p>
        </w:tc>
      </w:tr>
      <w:tr>
        <w:trPr>
          <w:trHeight w:val="414"/>
        </w:trPr>
        <w:tc>
          <w:tcPr>
            <w:tcW w:w="2580" w:type="dxa"/>
            <w:vAlign w:val="bottom"/>
            <w:gridSpan w:val="2"/>
          </w:tcPr>
          <w:p>
            <w:pPr>
              <w:spacing w:after="0"/>
              <w:rPr>
                <w:sz w:val="20"/>
                <w:szCs w:val="20"/>
                <w:color w:val="auto"/>
              </w:rPr>
            </w:pPr>
            <w:r>
              <w:rPr>
                <w:rFonts w:ascii="Arial" w:cs="Arial" w:eastAsia="Arial" w:hAnsi="Arial"/>
                <w:sz w:val="20"/>
                <w:szCs w:val="20"/>
                <w:color w:val="auto"/>
              </w:rPr>
              <w:t>Dated: May 10, 2020</w:t>
            </w:r>
          </w:p>
        </w:tc>
        <w:tc>
          <w:tcPr>
            <w:tcW w:w="19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gridSpan w:val="2"/>
          </w:tcPr>
          <w:p>
            <w:pPr>
              <w:spacing w:after="0"/>
              <w:rPr>
                <w:sz w:val="20"/>
                <w:szCs w:val="20"/>
                <w:color w:val="auto"/>
              </w:rPr>
            </w:pPr>
            <w:r>
              <w:rPr>
                <w:rFonts w:ascii="Arial" w:cs="Arial" w:eastAsia="Arial" w:hAnsi="Arial"/>
                <w:sz w:val="20"/>
                <w:szCs w:val="20"/>
                <w:color w:val="auto"/>
              </w:rPr>
              <w:t>/s/ Daniel E. Bachus</w:t>
            </w:r>
          </w:p>
        </w:tc>
      </w:tr>
      <w:tr>
        <w:trPr>
          <w:trHeight w:val="206"/>
        </w:trPr>
        <w:tc>
          <w:tcPr>
            <w:tcW w:w="66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line="206" w:lineRule="exact"/>
              <w:rPr>
                <w:sz w:val="20"/>
                <w:szCs w:val="20"/>
                <w:color w:val="auto"/>
              </w:rPr>
            </w:pPr>
            <w:r>
              <w:rPr>
                <w:rFonts w:ascii="Arial" w:cs="Arial" w:eastAsia="Arial" w:hAnsi="Arial"/>
                <w:sz w:val="20"/>
                <w:szCs w:val="20"/>
                <w:color w:val="auto"/>
              </w:rPr>
              <w:t>Name:</w:t>
            </w:r>
          </w:p>
        </w:tc>
        <w:tc>
          <w:tcPr>
            <w:tcW w:w="4500" w:type="dxa"/>
            <w:vAlign w:val="bottom"/>
            <w:tcBorders>
              <w:top w:val="single" w:sz="8" w:color="auto"/>
            </w:tcBorders>
            <w:gridSpan w:val="2"/>
          </w:tcPr>
          <w:p>
            <w:pPr>
              <w:spacing w:after="0" w:line="206" w:lineRule="exact"/>
              <w:rPr>
                <w:sz w:val="20"/>
                <w:szCs w:val="20"/>
                <w:color w:val="auto"/>
              </w:rPr>
            </w:pPr>
            <w:r>
              <w:rPr>
                <w:rFonts w:ascii="Arial" w:cs="Arial" w:eastAsia="Arial" w:hAnsi="Arial"/>
                <w:sz w:val="20"/>
                <w:szCs w:val="20"/>
                <w:color w:val="auto"/>
              </w:rPr>
              <w:t>Daniel E. Bachus</w:t>
            </w:r>
          </w:p>
        </w:tc>
      </w:tr>
      <w:tr>
        <w:trPr>
          <w:trHeight w:val="237"/>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500" w:type="dxa"/>
            <w:vAlign w:val="bottom"/>
            <w:gridSpan w:val="2"/>
          </w:tcPr>
          <w:p>
            <w:pPr>
              <w:spacing w:after="0"/>
              <w:rPr>
                <w:sz w:val="20"/>
                <w:szCs w:val="20"/>
                <w:color w:val="auto"/>
              </w:rPr>
            </w:pPr>
            <w:r>
              <w:rPr>
                <w:rFonts w:ascii="Arial" w:cs="Arial" w:eastAsia="Arial" w:hAnsi="Arial"/>
                <w:sz w:val="20"/>
                <w:szCs w:val="20"/>
                <w:color w:val="auto"/>
              </w:rPr>
              <w:t>Treasurer and Secretary</w:t>
            </w:r>
          </w:p>
        </w:tc>
      </w:tr>
      <w:tr>
        <w:trPr>
          <w:trHeight w:val="397"/>
        </w:trPr>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0"/>
                <w:szCs w:val="20"/>
                <w:color w:val="auto"/>
              </w:rPr>
              <w:t>Address:</w:t>
            </w:r>
          </w:p>
        </w:tc>
        <w:tc>
          <w:tcPr>
            <w:tcW w:w="4500" w:type="dxa"/>
            <w:vAlign w:val="bottom"/>
            <w:gridSpan w:val="2"/>
          </w:tcPr>
          <w:p>
            <w:pPr>
              <w:spacing w:after="0"/>
              <w:rPr>
                <w:sz w:val="20"/>
                <w:szCs w:val="20"/>
                <w:color w:val="auto"/>
              </w:rPr>
            </w:pPr>
            <w:r>
              <w:rPr>
                <w:rFonts w:ascii="Arial" w:cs="Arial" w:eastAsia="Arial" w:hAnsi="Arial"/>
                <w:sz w:val="20"/>
                <w:szCs w:val="20"/>
                <w:color w:val="auto"/>
              </w:rPr>
              <w:t>2600 East Camelback Road</w:t>
            </w:r>
          </w:p>
        </w:tc>
      </w:tr>
      <w:tr>
        <w:trPr>
          <w:trHeight w:val="237"/>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Phoenix, Arizona 85017</w:t>
            </w:r>
          </w:p>
        </w:tc>
      </w:tr>
      <w:tr>
        <w:trPr>
          <w:trHeight w:val="576"/>
        </w:trPr>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20"/>
                <w:szCs w:val="20"/>
                <w:b w:val="1"/>
                <w:bCs w:val="1"/>
                <w:color w:val="auto"/>
              </w:rPr>
              <w:t>ACKNOWLEDGED AND AGREED:</w:t>
            </w:r>
          </w:p>
        </w:tc>
      </w:tr>
      <w:tr>
        <w:trPr>
          <w:trHeight w:val="20"/>
        </w:trPr>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2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57"/>
        </w:trPr>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20"/>
                <w:szCs w:val="20"/>
                <w:b w:val="1"/>
                <w:bCs w:val="1"/>
                <w:color w:val="auto"/>
              </w:rPr>
              <w:t>GRAND CANYON EDUCATION, INC.</w:t>
            </w:r>
          </w:p>
        </w:tc>
      </w:tr>
      <w:tr>
        <w:trPr>
          <w:trHeight w:val="630"/>
        </w:trPr>
        <w:tc>
          <w:tcPr>
            <w:tcW w:w="2580" w:type="dxa"/>
            <w:vAlign w:val="bottom"/>
            <w:gridSpan w:val="2"/>
          </w:tcPr>
          <w:p>
            <w:pPr>
              <w:spacing w:after="0"/>
              <w:rPr>
                <w:sz w:val="20"/>
                <w:szCs w:val="20"/>
                <w:color w:val="auto"/>
              </w:rPr>
            </w:pPr>
            <w:r>
              <w:rPr>
                <w:rFonts w:ascii="Arial" w:cs="Arial" w:eastAsia="Arial" w:hAnsi="Arial"/>
                <w:sz w:val="20"/>
                <w:szCs w:val="20"/>
                <w:color w:val="auto"/>
              </w:rPr>
              <w:t>Dated: May 10, 2020</w:t>
            </w:r>
          </w:p>
        </w:tc>
        <w:tc>
          <w:tcPr>
            <w:tcW w:w="19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gridSpan w:val="2"/>
          </w:tcPr>
          <w:p>
            <w:pPr>
              <w:spacing w:after="0"/>
              <w:rPr>
                <w:sz w:val="20"/>
                <w:szCs w:val="20"/>
                <w:color w:val="auto"/>
              </w:rPr>
            </w:pPr>
            <w:r>
              <w:rPr>
                <w:rFonts w:ascii="Arial" w:cs="Arial" w:eastAsia="Arial" w:hAnsi="Arial"/>
                <w:sz w:val="20"/>
                <w:szCs w:val="20"/>
                <w:color w:val="auto"/>
              </w:rPr>
              <w:t>/s/ Daniel E. Bachus</w:t>
            </w:r>
          </w:p>
        </w:tc>
      </w:tr>
      <w:tr>
        <w:trPr>
          <w:trHeight w:val="206"/>
        </w:trPr>
        <w:tc>
          <w:tcPr>
            <w:tcW w:w="66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line="206" w:lineRule="exact"/>
              <w:rPr>
                <w:sz w:val="20"/>
                <w:szCs w:val="20"/>
                <w:color w:val="auto"/>
              </w:rPr>
            </w:pPr>
            <w:r>
              <w:rPr>
                <w:rFonts w:ascii="Arial" w:cs="Arial" w:eastAsia="Arial" w:hAnsi="Arial"/>
                <w:sz w:val="20"/>
                <w:szCs w:val="20"/>
                <w:color w:val="auto"/>
              </w:rPr>
              <w:t>Name:</w:t>
            </w:r>
          </w:p>
        </w:tc>
        <w:tc>
          <w:tcPr>
            <w:tcW w:w="4500" w:type="dxa"/>
            <w:vAlign w:val="bottom"/>
            <w:tcBorders>
              <w:top w:val="single" w:sz="8" w:color="auto"/>
            </w:tcBorders>
            <w:gridSpan w:val="2"/>
          </w:tcPr>
          <w:p>
            <w:pPr>
              <w:spacing w:after="0" w:line="206" w:lineRule="exact"/>
              <w:rPr>
                <w:sz w:val="20"/>
                <w:szCs w:val="20"/>
                <w:color w:val="auto"/>
              </w:rPr>
            </w:pPr>
            <w:r>
              <w:rPr>
                <w:rFonts w:ascii="Arial" w:cs="Arial" w:eastAsia="Arial" w:hAnsi="Arial"/>
                <w:sz w:val="20"/>
                <w:szCs w:val="20"/>
                <w:color w:val="auto"/>
              </w:rPr>
              <w:t>Daniel E. Bachus</w:t>
            </w:r>
          </w:p>
        </w:tc>
      </w:tr>
      <w:tr>
        <w:trPr>
          <w:trHeight w:val="237"/>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500" w:type="dxa"/>
            <w:vAlign w:val="bottom"/>
            <w:gridSpan w:val="2"/>
          </w:tcPr>
          <w:p>
            <w:pPr>
              <w:spacing w:after="0"/>
              <w:rPr>
                <w:sz w:val="20"/>
                <w:szCs w:val="20"/>
                <w:color w:val="auto"/>
              </w:rPr>
            </w:pPr>
            <w:r>
              <w:rPr>
                <w:rFonts w:ascii="Arial" w:cs="Arial" w:eastAsia="Arial" w:hAnsi="Arial"/>
                <w:sz w:val="20"/>
                <w:szCs w:val="20"/>
                <w:color w:val="auto"/>
              </w:rPr>
              <w:t>Chief Financial Officer</w:t>
            </w:r>
          </w:p>
        </w:tc>
      </w:tr>
      <w:tr>
        <w:trPr>
          <w:trHeight w:val="397"/>
        </w:trPr>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0"/>
                <w:szCs w:val="20"/>
                <w:color w:val="auto"/>
              </w:rPr>
              <w:t>Address:</w:t>
            </w:r>
          </w:p>
        </w:tc>
        <w:tc>
          <w:tcPr>
            <w:tcW w:w="4500" w:type="dxa"/>
            <w:vAlign w:val="bottom"/>
            <w:gridSpan w:val="2"/>
          </w:tcPr>
          <w:p>
            <w:pPr>
              <w:spacing w:after="0"/>
              <w:rPr>
                <w:sz w:val="20"/>
                <w:szCs w:val="20"/>
                <w:color w:val="auto"/>
              </w:rPr>
            </w:pPr>
            <w:r>
              <w:rPr>
                <w:rFonts w:ascii="Arial" w:cs="Arial" w:eastAsia="Arial" w:hAnsi="Arial"/>
                <w:sz w:val="20"/>
                <w:szCs w:val="20"/>
                <w:color w:val="auto"/>
              </w:rPr>
              <w:t>2600 East Camelback Road</w:t>
            </w:r>
          </w:p>
        </w:tc>
      </w:tr>
      <w:tr>
        <w:trPr>
          <w:trHeight w:val="237"/>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20"/>
                <w:szCs w:val="20"/>
                <w:color w:val="auto"/>
              </w:rPr>
              <w:t>Phoenix, Arizona 85017</w:t>
            </w:r>
          </w:p>
        </w:tc>
      </w:tr>
      <w:tr>
        <w:trPr>
          <w:trHeight w:val="401"/>
        </w:trPr>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40" w:type="dxa"/>
            <w:vAlign w:val="bottom"/>
            <w:gridSpan w:val="2"/>
          </w:tcPr>
          <w:p>
            <w:pPr>
              <w:jc w:val="right"/>
              <w:ind w:right="261"/>
              <w:spacing w:after="0"/>
              <w:rPr>
                <w:sz w:val="20"/>
                <w:szCs w:val="20"/>
                <w:color w:val="auto"/>
              </w:rPr>
            </w:pPr>
            <w:r>
              <w:rPr>
                <w:rFonts w:ascii="Arial" w:cs="Arial" w:eastAsia="Arial" w:hAnsi="Arial"/>
                <w:sz w:val="18"/>
                <w:szCs w:val="18"/>
                <w:color w:val="auto"/>
              </w:rPr>
              <w:t>11</w:t>
            </w:r>
          </w:p>
        </w:tc>
        <w:tc>
          <w:tcPr>
            <w:tcW w:w="2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547"/>
        </w:trPr>
        <w:tc>
          <w:tcPr>
            <w:tcW w:w="6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52" w:right="999" w:bottom="1440" w:gutter="0" w:footer="0" w:header="0"/>
        </w:sectPr>
      </w:pPr>
    </w:p>
    <w:bookmarkStart w:id="51" w:name="page52"/>
    <w:bookmarkEnd w:id="51"/>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8"/>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2020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August 4,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2" w:name="page53"/>
    <w:bookmarkEnd w:id="52"/>
    <w:p>
      <w:pPr>
        <w:ind w:left="9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8"/>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2020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August 4,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2020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2020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lvl w:ilvl="1">
      <w:lvlJc w:val="left"/>
      <w:lvlText w:val="(%2)"/>
      <w:numFmt w:val="decimal"/>
      <w:start w:val="1"/>
    </w:lvl>
  </w:abstractNum>
  <w:abstractNum w:abstractNumId="3">
    <w:nsid w:val="628C895D"/>
    <w:multiLevelType w:val="hybridMultilevel"/>
    <w:lvl w:ilvl="0">
      <w:lvlJc w:val="left"/>
      <w:lvlText w:val="%1."/>
      <w:numFmt w:val="decimal"/>
      <w:start w:val="7"/>
    </w:lvl>
    <w:lvl w:ilvl="1">
      <w:lvlJc w:val="left"/>
      <w:lvlText w:val="%2"/>
      <w:numFmt w:val="decimal"/>
      <w:start w:val="1"/>
    </w:lvl>
  </w:abstractNum>
  <w:abstractNum w:abstractNumId="4">
    <w:nsid w:val="333AB105"/>
    <w:multiLevelType w:val="hybridMultilevel"/>
    <w:lvl w:ilvl="0">
      <w:lvlJc w:val="left"/>
      <w:lvlText w:val="%1."/>
      <w:numFmt w:val="decimal"/>
      <w:start w:val="12"/>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0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3"/>
    </w:lvl>
  </w:abstractNum>
  <w:abstractNum w:abstractNumId="16">
    <w:nsid w:val="71F32454"/>
    <w:multiLevelType w:val="hybridMultilevel"/>
    <w:lvl w:ilvl="0">
      <w:lvlJc w:val="left"/>
      <w:lvlText w:val="%1."/>
      <w:numFmt w:val="decimal"/>
      <w:start w:val="4"/>
    </w:lvl>
  </w:abstractNum>
  <w:abstractNum w:abstractNumId="17">
    <w:nsid w:val="2CA88611"/>
    <w:multiLevelType w:val="hybridMultilevel"/>
    <w:lvl w:ilvl="0">
      <w:lvlJc w:val="left"/>
      <w:lvlText w:val="%1."/>
      <w:numFmt w:val="decimal"/>
      <w:start w:val="5"/>
    </w:lvl>
  </w:abstractNum>
  <w:abstractNum w:abstractNumId="18">
    <w:nsid w:val="836C40E"/>
    <w:multiLevelType w:val="hybridMultilevel"/>
    <w:lvl w:ilvl="0">
      <w:lvlJc w:val="left"/>
      <w:lvlText w:val="%1"/>
      <w:numFmt w:val="lowerLetter"/>
      <w:start w:val="1"/>
    </w:lvl>
    <w:lvl w:ilvl="1">
      <w:lvlJc w:val="left"/>
      <w:lvlText w:val="%2."/>
      <w:numFmt w:val="decimal"/>
      <w:start w:val="6"/>
    </w:lvl>
  </w:abstractNum>
  <w:abstractNum w:abstractNumId="19">
    <w:nsid w:val="2901D82"/>
    <w:multiLevelType w:val="hybridMultilevel"/>
    <w:lvl w:ilvl="0">
      <w:lvlJc w:val="left"/>
      <w:lvlText w:val="(%1)"/>
      <w:numFmt w:val="lowerLetter"/>
      <w:start w:val="3"/>
    </w:lvl>
    <w:lvl w:ilvl="1">
      <w:lvlJc w:val="left"/>
      <w:lvlText w:val="%2."/>
      <w:numFmt w:val="decimal"/>
      <w:start w:val="7"/>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2"/>
    </w:lvl>
  </w:abstractNum>
  <w:abstractNum w:abstractNumId="22">
    <w:nsid w:val="1E7FF521"/>
    <w:multiLevelType w:val="hybridMultilevel"/>
    <w:lvl w:ilvl="0">
      <w:lvlJc w:val="left"/>
      <w:lvlText w:val="(%1)"/>
      <w:numFmt w:val="decimal"/>
      <w:start w:val="30"/>
    </w:lvl>
  </w:abstractNum>
  <w:abstractNum w:abstractNumId="23">
    <w:nsid w:val="7C3DBD3D"/>
    <w:multiLevelType w:val="hybridMultilevel"/>
    <w:lvl w:ilvl="0">
      <w:lvlJc w:val="left"/>
      <w:lvlText w:val="(%1)"/>
      <w:numFmt w:val="decimal"/>
      <w:start w:val="30"/>
    </w:lvl>
  </w:abstractNum>
  <w:abstractNum w:abstractNumId="24">
    <w:nsid w:val="737B8DDC"/>
    <w:multiLevelType w:val="hybridMultilevel"/>
    <w:lvl w:ilvl="0">
      <w:lvlJc w:val="left"/>
      <w:lvlText w:val="(%1)"/>
      <w:numFmt w:val="lowerLetter"/>
      <w:start w:val="1"/>
    </w:lvl>
    <w:lvl w:ilvl="1">
      <w:lvlJc w:val="left"/>
      <w:lvlText w:val="(%2)"/>
      <w:numFmt w:val="lowerRoman"/>
      <w:start w:val="1"/>
    </w:lvl>
  </w:abstractNum>
  <w:abstractNum w:abstractNumId="25">
    <w:nsid w:val="6CEAF087"/>
    <w:multiLevelType w:val="hybridMultilevel"/>
    <w:lvl w:ilvl="0">
      <w:lvlJc w:val="left"/>
      <w:lvlText w:val="(%1)"/>
      <w:numFmt w:val="lowerLetter"/>
      <w:start w:val="3"/>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1"/>
      <w:numFmt w:val="decimal"/>
      <w:start w:val="1"/>
    </w:lvl>
    <w:lvl w:ilvl="1">
      <w:lvlJc w:val="left"/>
      <w:lvlText w:val="(%2)"/>
      <w:numFmt w:val="lowerLetter"/>
      <w:start w:val="1"/>
    </w:lvl>
  </w:abstractNum>
  <w:abstractNum w:abstractNumId="28">
    <w:nsid w:val="3006C83E"/>
    <w:multiLevelType w:val="hybridMultilevel"/>
    <w:lvl w:ilvl="0">
      <w:lvlJc w:val="left"/>
      <w:lvlText w:val="%1."/>
      <w:numFmt w:val="decimal"/>
      <w:start w:val="8"/>
    </w:lvl>
    <w:lvl w:ilvl="1">
      <w:lvlJc w:val="left"/>
      <w:lvlText w:val="%2"/>
      <w:numFmt w:val="lowerLetter"/>
      <w:start w:val="1"/>
    </w:lvl>
  </w:abstractNum>
  <w:abstractNum w:abstractNumId="29">
    <w:nsid w:val="614FD4A1"/>
    <w:multiLevelType w:val="hybridMultilevel"/>
    <w:lvl w:ilvl="0">
      <w:lvlJc w:val="left"/>
      <w:lvlText w:val="%1."/>
      <w:numFmt w:val="decimal"/>
      <w:start w:val="9"/>
    </w:lvl>
  </w:abstractNum>
  <w:abstractNum w:abstractNumId="30">
    <w:nsid w:val="419AC241"/>
    <w:multiLevelType w:val="hybridMultilevel"/>
    <w:lvl w:ilvl="0">
      <w:lvlJc w:val="left"/>
      <w:lvlText w:val="%1."/>
      <w:numFmt w:val="decimal"/>
      <w:start w:val="10"/>
    </w:lvl>
  </w:abstractNum>
  <w:abstractNum w:abstractNumId="31">
    <w:nsid w:val="5577F8E1"/>
    <w:multiLevelType w:val="hybridMultilevel"/>
    <w:lvl w:ilvl="0">
      <w:lvlJc w:val="left"/>
      <w:lvlText w:val="%1."/>
      <w:numFmt w:val="decimal"/>
      <w:start w:val="12"/>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1."/>
      <w:numFmt w:val="decimal"/>
      <w:start w:val="1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56" Type="http://schemas.openxmlformats.org/officeDocument/2006/relationships/hyperlink" Target="http://www.sec.gov/Archives/edgar/data/1434588/000155837019000782/lope-20181231ex31395dfc9.htm" TargetMode="External"/><Relationship Id="rId57" Type="http://schemas.openxmlformats.org/officeDocument/2006/relationships/hyperlink" Target="http://www.sec.gov/Archives/edgar/data/1434588/000119312514387149/d812440dex31.htm" TargetMode="External"/><Relationship Id="rId58"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2020-08-04T16:17:19Z</dcterms:created>
  <dcterms:modified xsi:type="dcterms:W3CDTF">2020-08-04T16:17:19Z</dcterms:modified>
</cp:coreProperties>
</file>