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594995</wp:posOffset>
            </wp:positionV>
            <wp:extent cx="56762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7626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Proxy Statement Pursuant to Section 14(a) of the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0" w:lineRule="exact"/>
        <w:rPr>
          <w:sz w:val="24"/>
          <w:szCs w:val="24"/>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5"/>
          <w:szCs w:val="15"/>
          <w:b w:val="1"/>
          <w:bCs w:val="1"/>
          <w:color w:val="auto"/>
        </w:rPr>
        <w:t>(Amendment No.</w:t>
      </w:r>
      <w:r>
        <w:rPr>
          <w:sz w:val="20"/>
          <w:szCs w:val="20"/>
          <w:color w:val="auto"/>
        </w:rPr>
        <w:tab/>
      </w:r>
      <w:r>
        <w:rPr>
          <w:rFonts w:ascii="Times New Roman" w:cs="Times New Roman" w:eastAsia="Times New Roman" w:hAnsi="Times New Roman"/>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121920</wp:posOffset>
            </wp:positionV>
            <wp:extent cx="56762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6265" cy="6985"/>
                    </a:xfrm>
                    <a:prstGeom prst="rect">
                      <a:avLst/>
                    </a:prstGeom>
                    <a:noFill/>
                  </pic:spPr>
                </pic:pic>
              </a:graphicData>
            </a:graphic>
          </wp:anchor>
        </w:drawing>
      </w:r>
    </w:p>
    <w:p>
      <w:pPr>
        <w:spacing w:after="0" w:line="348" w:lineRule="exact"/>
        <w:rPr>
          <w:sz w:val="24"/>
          <w:szCs w:val="24"/>
          <w:color w:val="auto"/>
        </w:rPr>
      </w:pPr>
    </w:p>
    <w:p>
      <w:pPr>
        <w:ind w:left="40"/>
        <w:spacing w:after="0" w:line="201"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Arial Unicode MS" w:cs="Arial Unicode MS" w:eastAsia="Arial Unicode MS" w:hAnsi="Arial Unicode MS"/>
          <w:sz w:val="15"/>
          <w:szCs w:val="15"/>
          <w:color w:val="auto"/>
        </w:rPr>
        <w:t>⌧</w:t>
      </w:r>
    </w:p>
    <w:p>
      <w:pPr>
        <w:spacing w:after="0" w:line="84" w:lineRule="exact"/>
        <w:rPr>
          <w:sz w:val="24"/>
          <w:szCs w:val="24"/>
          <w:color w:val="auto"/>
        </w:rPr>
      </w:pPr>
    </w:p>
    <w:p>
      <w:pPr>
        <w:ind w:left="40"/>
        <w:spacing w:after="0" w:line="201"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Arial Unicode MS" w:cs="Arial Unicode MS" w:eastAsia="Arial Unicode MS" w:hAnsi="Arial Unicode MS"/>
          <w:sz w:val="15"/>
          <w:szCs w:val="15"/>
          <w:color w:val="auto"/>
        </w:rPr>
        <w:t>☐</w:t>
      </w:r>
    </w:p>
    <w:p>
      <w:pPr>
        <w:spacing w:after="0" w:line="11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18" w:lineRule="exact"/>
        <w:rPr>
          <w:sz w:val="24"/>
          <w:szCs w:val="24"/>
          <w:color w:val="auto"/>
        </w:rPr>
      </w:pPr>
    </w:p>
    <w:p>
      <w:pPr>
        <w:ind w:left="480" w:hanging="443"/>
        <w:spacing w:after="0"/>
        <w:tabs>
          <w:tab w:leader="none" w:pos="480" w:val="left"/>
        </w:tabs>
        <w:numPr>
          <w:ilvl w:val="0"/>
          <w:numId w:val="1"/>
        </w:numPr>
        <w:rPr>
          <w:rFonts w:ascii="Arial" w:cs="Arial" w:eastAsia="Arial" w:hAnsi="Arial"/>
          <w:sz w:val="15"/>
          <w:szCs w:val="15"/>
          <w:color w:val="auto"/>
        </w:rPr>
      </w:pPr>
      <w:r>
        <w:rPr>
          <w:rFonts w:ascii="Times New Roman" w:cs="Times New Roman" w:eastAsia="Times New Roman" w:hAnsi="Times New Roman"/>
          <w:sz w:val="15"/>
          <w:szCs w:val="15"/>
          <w:color w:val="auto"/>
        </w:rPr>
        <w:t>Preliminary Proxy Statement</w:t>
      </w:r>
    </w:p>
    <w:p>
      <w:pPr>
        <w:spacing w:after="0" w:line="12" w:lineRule="exact"/>
        <w:rPr>
          <w:rFonts w:ascii="Arial" w:cs="Arial" w:eastAsia="Arial" w:hAnsi="Arial"/>
          <w:sz w:val="15"/>
          <w:szCs w:val="15"/>
          <w:color w:val="auto"/>
        </w:rPr>
      </w:pPr>
    </w:p>
    <w:p>
      <w:pPr>
        <w:ind w:left="480" w:hanging="443"/>
        <w:spacing w:after="0" w:line="216" w:lineRule="auto"/>
        <w:tabs>
          <w:tab w:leader="none" w:pos="480" w:val="left"/>
        </w:tabs>
        <w:numPr>
          <w:ilvl w:val="0"/>
          <w:numId w:val="1"/>
        </w:numPr>
        <w:rPr>
          <w:rFonts w:ascii="Arial" w:cs="Arial" w:eastAsia="Arial" w:hAnsi="Arial"/>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12" w:lineRule="exact"/>
        <w:rPr>
          <w:rFonts w:ascii="Arial" w:cs="Arial" w:eastAsia="Arial" w:hAnsi="Arial"/>
          <w:sz w:val="15"/>
          <w:szCs w:val="15"/>
          <w:color w:val="auto"/>
        </w:rPr>
      </w:pPr>
    </w:p>
    <w:p>
      <w:pPr>
        <w:ind w:left="40"/>
        <w:spacing w:after="0" w:line="194" w:lineRule="exact"/>
        <w:rPr>
          <w:rFonts w:ascii="Arial" w:cs="Arial" w:eastAsia="Arial" w:hAnsi="Arial"/>
          <w:sz w:val="15"/>
          <w:szCs w:val="15"/>
          <w:color w:val="auto"/>
        </w:rPr>
      </w:pP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Definitive Proxy Statement</w:t>
      </w:r>
    </w:p>
    <w:p>
      <w:pPr>
        <w:ind w:left="480" w:hanging="443"/>
        <w:spacing w:after="0" w:line="216" w:lineRule="auto"/>
        <w:tabs>
          <w:tab w:leader="none" w:pos="480" w:val="left"/>
        </w:tabs>
        <w:numPr>
          <w:ilvl w:val="0"/>
          <w:numId w:val="1"/>
        </w:numPr>
        <w:rPr>
          <w:rFonts w:ascii="Arial" w:cs="Arial" w:eastAsia="Arial" w:hAnsi="Arial"/>
          <w:sz w:val="15"/>
          <w:szCs w:val="15"/>
          <w:color w:val="auto"/>
        </w:rPr>
      </w:pPr>
      <w:r>
        <w:rPr>
          <w:rFonts w:ascii="Times New Roman" w:cs="Times New Roman" w:eastAsia="Times New Roman" w:hAnsi="Times New Roman"/>
          <w:sz w:val="15"/>
          <w:szCs w:val="15"/>
          <w:color w:val="auto"/>
        </w:rPr>
        <w:t>Definitive Additional Materials</w:t>
      </w:r>
    </w:p>
    <w:p>
      <w:pPr>
        <w:spacing w:after="0" w:line="12" w:lineRule="exact"/>
        <w:rPr>
          <w:rFonts w:ascii="Arial" w:cs="Arial" w:eastAsia="Arial" w:hAnsi="Arial"/>
          <w:sz w:val="15"/>
          <w:szCs w:val="15"/>
          <w:color w:val="auto"/>
        </w:rPr>
      </w:pPr>
    </w:p>
    <w:p>
      <w:pPr>
        <w:ind w:left="480" w:hanging="443"/>
        <w:spacing w:after="0" w:line="216" w:lineRule="auto"/>
        <w:tabs>
          <w:tab w:leader="none" w:pos="480" w:val="left"/>
        </w:tabs>
        <w:numPr>
          <w:ilvl w:val="0"/>
          <w:numId w:val="1"/>
        </w:numPr>
        <w:rPr>
          <w:rFonts w:ascii="Arial" w:cs="Arial" w:eastAsia="Arial" w:hAnsi="Arial"/>
          <w:sz w:val="15"/>
          <w:szCs w:val="15"/>
          <w:color w:val="auto"/>
        </w:rPr>
      </w:pPr>
      <w:r>
        <w:rPr>
          <w:rFonts w:ascii="Times New Roman" w:cs="Times New Roman" w:eastAsia="Times New Roman" w:hAnsi="Times New Roman"/>
          <w:sz w:val="15"/>
          <w:szCs w:val="15"/>
          <w:color w:val="auto"/>
        </w:rPr>
        <w:t>Soliciting Material Pursuant to §240.14a-12</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18415</wp:posOffset>
            </wp:positionV>
            <wp:extent cx="56692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23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5"/>
          <w:szCs w:val="15"/>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-104140</wp:posOffset>
            </wp:positionV>
            <wp:extent cx="56692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Payment of Filing Fee (Check the appropriate box):</w:t>
      </w:r>
    </w:p>
    <w:p>
      <w:pPr>
        <w:spacing w:after="0" w:line="6" w:lineRule="exact"/>
        <w:rPr>
          <w:sz w:val="24"/>
          <w:szCs w:val="24"/>
          <w:color w:val="auto"/>
        </w:rPr>
      </w:pPr>
    </w:p>
    <w:p>
      <w:pPr>
        <w:ind w:left="480" w:hanging="443"/>
        <w:spacing w:after="0"/>
        <w:tabs>
          <w:tab w:leader="none" w:pos="480" w:val="left"/>
        </w:tabs>
        <w:numPr>
          <w:ilvl w:val="0"/>
          <w:numId w:val="2"/>
        </w:numPr>
        <w:rPr>
          <w:rFonts w:ascii="Arial" w:cs="Arial" w:eastAsia="Arial" w:hAnsi="Arial"/>
          <w:sz w:val="15"/>
          <w:szCs w:val="15"/>
          <w:color w:val="auto"/>
        </w:rPr>
      </w:pPr>
      <w:r>
        <w:rPr>
          <w:rFonts w:ascii="Times New Roman" w:cs="Times New Roman" w:eastAsia="Times New Roman" w:hAnsi="Times New Roman"/>
          <w:sz w:val="15"/>
          <w:szCs w:val="15"/>
          <w:color w:val="auto"/>
        </w:rPr>
        <w:t>No fee required.</w:t>
      </w:r>
    </w:p>
    <w:p>
      <w:pPr>
        <w:spacing w:after="0" w:line="210" w:lineRule="exact"/>
        <w:rPr>
          <w:sz w:val="24"/>
          <w:szCs w:val="24"/>
          <w:color w:val="auto"/>
        </w:rPr>
      </w:pPr>
    </w:p>
    <w:p>
      <w:pPr>
        <w:ind w:left="480" w:hanging="443"/>
        <w:spacing w:after="0"/>
        <w:tabs>
          <w:tab w:leader="none" w:pos="480" w:val="left"/>
        </w:tabs>
        <w:numPr>
          <w:ilvl w:val="0"/>
          <w:numId w:val="3"/>
        </w:numPr>
        <w:rPr>
          <w:rFonts w:ascii="Arial" w:cs="Arial" w:eastAsia="Arial" w:hAnsi="Arial"/>
          <w:sz w:val="15"/>
          <w:szCs w:val="15"/>
          <w:color w:val="auto"/>
        </w:rPr>
      </w:pPr>
      <w:r>
        <w:rPr>
          <w:rFonts w:ascii="Times New Roman" w:cs="Times New Roman" w:eastAsia="Times New Roman" w:hAnsi="Times New Roman"/>
          <w:sz w:val="15"/>
          <w:szCs w:val="15"/>
          <w:color w:val="auto"/>
        </w:rPr>
        <w:t>Fee paid previously with preliminary material.</w:t>
      </w:r>
    </w:p>
    <w:p>
      <w:pPr>
        <w:spacing w:after="0" w:line="95" w:lineRule="exact"/>
        <w:rPr>
          <w:rFonts w:ascii="Arial" w:cs="Arial" w:eastAsia="Arial" w:hAnsi="Arial"/>
          <w:sz w:val="15"/>
          <w:szCs w:val="15"/>
          <w:color w:val="auto"/>
        </w:rPr>
      </w:pPr>
    </w:p>
    <w:p>
      <w:pPr>
        <w:ind w:left="480" w:hanging="443"/>
        <w:spacing w:after="0"/>
        <w:tabs>
          <w:tab w:leader="none" w:pos="480" w:val="left"/>
        </w:tabs>
        <w:numPr>
          <w:ilvl w:val="0"/>
          <w:numId w:val="3"/>
        </w:numPr>
        <w:rPr>
          <w:rFonts w:ascii="Arial" w:cs="Arial" w:eastAsia="Arial" w:hAnsi="Arial"/>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521335</wp:posOffset>
            </wp:positionV>
            <wp:extent cx="567626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6265" cy="1460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202565</wp:posOffset>
            </wp:positionV>
            <wp:extent cx="56762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6265" cy="6985"/>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587375</wp:posOffset>
            </wp:positionV>
            <wp:extent cx="4684395" cy="709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84395" cy="70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2600 W. Camelback Road</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Phoenix, Arizona 85017</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(602) 247-4400</w:t>
      </w:r>
    </w:p>
    <w:p>
      <w:pPr>
        <w:spacing w:after="0" w:line="86"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5"/>
          <w:szCs w:val="15"/>
          <w:color w:val="auto"/>
        </w:rPr>
        <w:t>April 22, 2022</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Dear Stockholder:</w:t>
      </w:r>
    </w:p>
    <w:p>
      <w:pPr>
        <w:spacing w:after="0" w:line="192" w:lineRule="exact"/>
        <w:rPr>
          <w:sz w:val="20"/>
          <w:szCs w:val="20"/>
          <w:color w:val="auto"/>
        </w:rPr>
      </w:pPr>
    </w:p>
    <w:p>
      <w:pPr>
        <w:ind w:left="40" w:right="219" w:firstLine="547"/>
        <w:spacing w:after="0" w:line="271" w:lineRule="auto"/>
        <w:rPr>
          <w:sz w:val="20"/>
          <w:szCs w:val="20"/>
          <w:color w:val="auto"/>
        </w:rPr>
      </w:pPr>
      <w:r>
        <w:rPr>
          <w:rFonts w:ascii="Times New Roman" w:cs="Times New Roman" w:eastAsia="Times New Roman" w:hAnsi="Times New Roman"/>
          <w:sz w:val="15"/>
          <w:szCs w:val="15"/>
          <w:color w:val="auto"/>
        </w:rPr>
        <w:t>You are cordially invited to attend the 2022 Annual Meeting of Stockholders (the “Annual Meeting”) of Grand Canyon Education, Inc. (the “Company” or “GCE”) to be held at the offices of GCE located at 2600 W. Camelback Road, Phoenix, Arizona 85017, commencing at 10:30 a.m., Arizona time, on Thursday, June 9, 2022.</w:t>
      </w:r>
    </w:p>
    <w:p>
      <w:pPr>
        <w:spacing w:after="0" w:line="54" w:lineRule="exact"/>
        <w:rPr>
          <w:sz w:val="20"/>
          <w:szCs w:val="20"/>
          <w:color w:val="auto"/>
        </w:rPr>
      </w:pPr>
    </w:p>
    <w:p>
      <w:pPr>
        <w:ind w:left="40" w:right="59" w:firstLine="547"/>
        <w:spacing w:after="0" w:line="265" w:lineRule="auto"/>
        <w:rPr>
          <w:sz w:val="20"/>
          <w:szCs w:val="20"/>
          <w:color w:val="auto"/>
        </w:rPr>
      </w:pPr>
      <w:r>
        <w:rPr>
          <w:rFonts w:ascii="Times New Roman" w:cs="Times New Roman" w:eastAsia="Times New Roman" w:hAnsi="Times New Roman"/>
          <w:sz w:val="15"/>
          <w:szCs w:val="15"/>
          <w:color w:val="auto"/>
        </w:rPr>
        <w:t>The notice of annual meeting and the proxy statement that follow describe the matters to come before the Annual Meeting. Each holder of record of shares of the Company’s common stock (Nasdaq GM: LOPE) at the close of business on April 14, 2022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50" w:lineRule="exact"/>
        <w:rPr>
          <w:sz w:val="20"/>
          <w:szCs w:val="20"/>
          <w:color w:val="auto"/>
        </w:rPr>
      </w:pPr>
    </w:p>
    <w:p>
      <w:pPr>
        <w:ind w:left="40" w:right="79" w:firstLine="547"/>
        <w:spacing w:after="0" w:line="262" w:lineRule="auto"/>
        <w:rPr>
          <w:sz w:val="20"/>
          <w:szCs w:val="20"/>
          <w:color w:val="auto"/>
        </w:rPr>
      </w:pPr>
      <w:r>
        <w:rPr>
          <w:rFonts w:ascii="Times New Roman" w:cs="Times New Roman" w:eastAsia="Times New Roman" w:hAnsi="Times New Roman"/>
          <w:sz w:val="15"/>
          <w:szCs w:val="15"/>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Arizona time, prior to the meeting.</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We hope that you will be able to attend the Annual Meeting in person and we look forward to seeing you.</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Sincerely,</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Brian E. Mueller</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Chief Executive Officer and Chairman</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This proxy statement is dated April 22, 2022 and is first being sent or made available to stockholders on or about April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423545</wp:posOffset>
            </wp:positionV>
            <wp:extent cx="567626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6265"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Notice of Annual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to be held on June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64135</wp:posOffset>
            </wp:positionV>
            <wp:extent cx="283845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8450" cy="14605"/>
                    </a:xfrm>
                    <a:prstGeom prst="rect">
                      <a:avLst/>
                    </a:prstGeom>
                    <a:noFill/>
                  </pic:spPr>
                </pic:pic>
              </a:graphicData>
            </a:graphic>
          </wp:anchor>
        </w:drawing>
      </w:r>
    </w:p>
    <w:p>
      <w:pPr>
        <w:spacing w:after="0" w:line="336" w:lineRule="exact"/>
        <w:rPr>
          <w:sz w:val="20"/>
          <w:szCs w:val="20"/>
          <w:color w:val="auto"/>
        </w:rPr>
      </w:pPr>
    </w:p>
    <w:p>
      <w:pPr>
        <w:ind w:left="40"/>
        <w:spacing w:after="0"/>
        <w:tabs>
          <w:tab w:leader="none" w:pos="1700" w:val="left"/>
        </w:tabs>
        <w:rPr>
          <w:sz w:val="20"/>
          <w:szCs w:val="20"/>
          <w:color w:val="auto"/>
        </w:rPr>
      </w:pPr>
      <w:r>
        <w:rPr>
          <w:rFonts w:ascii="Times New Roman" w:cs="Times New Roman" w:eastAsia="Times New Roman" w:hAnsi="Times New Roman"/>
          <w:sz w:val="15"/>
          <w:szCs w:val="15"/>
          <w:b w:val="1"/>
          <w:bCs w:val="1"/>
          <w:color w:val="auto"/>
        </w:rPr>
        <w:t>Date and Time:</w:t>
      </w:r>
      <w:r>
        <w:rPr>
          <w:sz w:val="20"/>
          <w:szCs w:val="20"/>
          <w:color w:val="auto"/>
        </w:rPr>
        <w:tab/>
      </w:r>
      <w:r>
        <w:rPr>
          <w:rFonts w:ascii="Times New Roman" w:cs="Times New Roman" w:eastAsia="Times New Roman" w:hAnsi="Times New Roman"/>
          <w:sz w:val="15"/>
          <w:szCs w:val="15"/>
          <w:color w:val="auto"/>
        </w:rPr>
        <w:t>Thursday, June 9, 2022, at 10:30 a.m., Arizona time</w:t>
      </w:r>
    </w:p>
    <w:p>
      <w:pPr>
        <w:spacing w:after="0" w:line="192" w:lineRule="exact"/>
        <w:rPr>
          <w:sz w:val="20"/>
          <w:szCs w:val="20"/>
          <w:color w:val="auto"/>
        </w:rPr>
      </w:pPr>
    </w:p>
    <w:p>
      <w:pPr>
        <w:ind w:left="40"/>
        <w:spacing w:after="0"/>
        <w:tabs>
          <w:tab w:leader="none" w:pos="1700" w:val="left"/>
        </w:tabs>
        <w:rPr>
          <w:sz w:val="20"/>
          <w:szCs w:val="20"/>
          <w:color w:val="auto"/>
        </w:rPr>
      </w:pPr>
      <w:r>
        <w:rPr>
          <w:rFonts w:ascii="Times New Roman" w:cs="Times New Roman" w:eastAsia="Times New Roman" w:hAnsi="Times New Roman"/>
          <w:sz w:val="15"/>
          <w:szCs w:val="15"/>
          <w:b w:val="1"/>
          <w:bCs w:val="1"/>
          <w:color w:val="auto"/>
        </w:rPr>
        <w:t>Place:</w:t>
      </w:r>
      <w:r>
        <w:rPr>
          <w:sz w:val="20"/>
          <w:szCs w:val="20"/>
          <w:color w:val="auto"/>
        </w:rPr>
        <w:tab/>
      </w:r>
      <w:r>
        <w:rPr>
          <w:rFonts w:ascii="Times New Roman" w:cs="Times New Roman" w:eastAsia="Times New Roman" w:hAnsi="Times New Roman"/>
          <w:sz w:val="15"/>
          <w:szCs w:val="15"/>
          <w:color w:val="auto"/>
        </w:rPr>
        <w:t>Grand Canyon Education, Inc. at 2600 W. Camelback Road, Phoenix, Arizona 85017.</w:t>
      </w:r>
    </w:p>
    <w:p>
      <w:pPr>
        <w:spacing w:after="0" w:line="192" w:lineRule="exact"/>
        <w:rPr>
          <w:sz w:val="20"/>
          <w:szCs w:val="20"/>
          <w:color w:val="auto"/>
        </w:rPr>
      </w:pPr>
    </w:p>
    <w:p>
      <w:pPr>
        <w:ind w:left="1720" w:right="79" w:hanging="1687"/>
        <w:spacing w:after="0" w:line="288" w:lineRule="auto"/>
        <w:tabs>
          <w:tab w:leader="none" w:pos="1700" w:val="left"/>
        </w:tabs>
        <w:rPr>
          <w:sz w:val="20"/>
          <w:szCs w:val="20"/>
          <w:color w:val="auto"/>
        </w:rPr>
      </w:pPr>
      <w:r>
        <w:rPr>
          <w:rFonts w:ascii="Times New Roman" w:cs="Times New Roman" w:eastAsia="Times New Roman" w:hAnsi="Times New Roman"/>
          <w:sz w:val="15"/>
          <w:szCs w:val="15"/>
          <w:b w:val="1"/>
          <w:bCs w:val="1"/>
          <w:color w:val="auto"/>
        </w:rPr>
        <w:t>Items of Business:</w:t>
      </w:r>
      <w:r>
        <w:rPr>
          <w:sz w:val="20"/>
          <w:szCs w:val="20"/>
          <w:color w:val="auto"/>
        </w:rPr>
        <w:tab/>
      </w:r>
      <w:r>
        <w:rPr>
          <w:rFonts w:ascii="Times New Roman" w:cs="Times New Roman" w:eastAsia="Times New Roman" w:hAnsi="Times New Roman"/>
          <w:sz w:val="15"/>
          <w:szCs w:val="15"/>
          <w:color w:val="auto"/>
        </w:rPr>
        <w:t>At the Annual Meeting, holders of our common stock will be asked to consider and vote upon the following proposals, all of which are discussed in greater detail in the accompanying proxy statement:</w:t>
      </w:r>
    </w:p>
    <w:p>
      <w:pPr>
        <w:spacing w:after="0" w:line="137" w:lineRule="exact"/>
        <w:rPr>
          <w:sz w:val="20"/>
          <w:szCs w:val="20"/>
          <w:color w:val="auto"/>
        </w:rPr>
      </w:pPr>
    </w:p>
    <w:p>
      <w:pPr>
        <w:ind w:left="2160" w:right="199" w:hanging="269"/>
        <w:spacing w:after="0" w:line="264" w:lineRule="auto"/>
        <w:tabs>
          <w:tab w:leader="none" w:pos="215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elect a Board of Directors of six directors, each to serve until the 2023 annual meeting of stockholders or until his or her successor has been duly elected and qualified or until his or her earlier resignation or removal;</w:t>
      </w:r>
    </w:p>
    <w:p>
      <w:pPr>
        <w:ind w:left="2160" w:right="599" w:hanging="269"/>
        <w:spacing w:after="0" w:line="253" w:lineRule="auto"/>
        <w:tabs>
          <w:tab w:leader="none" w:pos="215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on an advisory basis, the compensation of our named executive officers as disclosed in the enclosed Proxy Statement;</w:t>
      </w:r>
    </w:p>
    <w:p>
      <w:pPr>
        <w:spacing w:after="0" w:line="1" w:lineRule="exact"/>
        <w:rPr>
          <w:rFonts w:ascii="Times New Roman" w:cs="Times New Roman" w:eastAsia="Times New Roman" w:hAnsi="Times New Roman"/>
          <w:sz w:val="15"/>
          <w:szCs w:val="15"/>
          <w:color w:val="auto"/>
        </w:rPr>
      </w:pPr>
    </w:p>
    <w:p>
      <w:pPr>
        <w:ind w:left="2160" w:right="319" w:hanging="269"/>
        <w:spacing w:after="0" w:line="253" w:lineRule="auto"/>
        <w:tabs>
          <w:tab w:leader="none" w:pos="215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ratify the appointment of KPMG LLP as our independent registered public accounting firm for the fiscal year ending December 31, 2022; and</w:t>
      </w:r>
    </w:p>
    <w:p>
      <w:pPr>
        <w:spacing w:after="0" w:line="1" w:lineRule="exact"/>
        <w:rPr>
          <w:rFonts w:ascii="Times New Roman" w:cs="Times New Roman" w:eastAsia="Times New Roman" w:hAnsi="Times New Roman"/>
          <w:sz w:val="15"/>
          <w:szCs w:val="15"/>
          <w:color w:val="auto"/>
        </w:rPr>
      </w:pPr>
    </w:p>
    <w:p>
      <w:pPr>
        <w:ind w:left="2160" w:right="639" w:hanging="269"/>
        <w:spacing w:after="0" w:line="267" w:lineRule="auto"/>
        <w:tabs>
          <w:tab w:leader="none" w:pos="215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transact such other business as may properly be brought before the meeting or any adjournments or postponements thereof.</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Only stockholders of record at the close of business on April 14, 2022, the record date for the Annual Meeting, will be</w:t>
            </w:r>
          </w:p>
        </w:tc>
      </w:tr>
      <w:tr>
        <w:trPr>
          <w:trHeight w:val="197"/>
        </w:trPr>
        <w:tc>
          <w:tcPr>
            <w:tcW w:w="1500" w:type="dxa"/>
            <w:vAlign w:val="bottom"/>
          </w:tcPr>
          <w:p>
            <w:pPr>
              <w:spacing w:after="0"/>
              <w:rPr>
                <w:sz w:val="17"/>
                <w:szCs w:val="17"/>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entitled to notice of and to vote at the Annual Meeting and any adjournments or postponements thereof.</w:t>
            </w:r>
          </w:p>
        </w:tc>
      </w:tr>
      <w:tr>
        <w:trPr>
          <w:trHeight w:val="346"/>
        </w:trPr>
        <w:tc>
          <w:tcPr>
            <w:tcW w:w="1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Delivery of Proxy</w:t>
            </w: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Beginning on April 27, 2022, we began mailing a Notice of Internet Availability of Proxy Materials to our</w:t>
            </w:r>
          </w:p>
        </w:tc>
      </w:tr>
      <w:tr>
        <w:trPr>
          <w:trHeight w:val="186"/>
        </w:trPr>
        <w:tc>
          <w:tcPr>
            <w:tcW w:w="1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Materials:</w:t>
            </w: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stockholders rather than a full paper set of the proxy materials. The Notice of Internet Availability of Proxy Materials</w:t>
            </w:r>
          </w:p>
        </w:tc>
      </w:tr>
      <w:tr>
        <w:trPr>
          <w:trHeight w:val="182"/>
        </w:trPr>
        <w:tc>
          <w:tcPr>
            <w:tcW w:w="1500" w:type="dxa"/>
            <w:vAlign w:val="bottom"/>
          </w:tcPr>
          <w:p>
            <w:pPr>
              <w:spacing w:after="0"/>
              <w:rPr>
                <w:sz w:val="15"/>
                <w:szCs w:val="15"/>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contains instructions on how to access our proxy materials over the Internet, as well as instructions on how</w:t>
            </w:r>
          </w:p>
        </w:tc>
      </w:tr>
      <w:tr>
        <w:trPr>
          <w:trHeight w:val="197"/>
        </w:trPr>
        <w:tc>
          <w:tcPr>
            <w:tcW w:w="1500" w:type="dxa"/>
            <w:vAlign w:val="bottom"/>
          </w:tcPr>
          <w:p>
            <w:pPr>
              <w:spacing w:after="0"/>
              <w:rPr>
                <w:sz w:val="17"/>
                <w:szCs w:val="17"/>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stockholders may obtain a paper copy of our proxy materials.</w:t>
            </w:r>
          </w:p>
        </w:tc>
      </w:tr>
      <w:tr>
        <w:trPr>
          <w:trHeight w:val="346"/>
        </w:trPr>
        <w:tc>
          <w:tcPr>
            <w:tcW w:w="1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Internet Availability</w:t>
            </w: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Important Notice Regarding the Availability of Proxy Materials for the Annual Meeting of Stockholders to be</w:t>
            </w:r>
          </w:p>
        </w:tc>
      </w:tr>
      <w:tr>
        <w:trPr>
          <w:trHeight w:val="186"/>
        </w:trPr>
        <w:tc>
          <w:tcPr>
            <w:tcW w:w="1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of Proxy Materials:</w:t>
            </w: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Held on June 9, 2022</w:t>
            </w:r>
            <w:r>
              <w:rPr>
                <w:rFonts w:ascii="Times New Roman" w:cs="Times New Roman" w:eastAsia="Times New Roman" w:hAnsi="Times New Roman"/>
                <w:sz w:val="15"/>
                <w:szCs w:val="15"/>
                <w:color w:val="auto"/>
              </w:rPr>
              <w:t>. Our Proxy Statement is attached. Financial and other information concerning Grand Canyon</w:t>
            </w:r>
          </w:p>
        </w:tc>
      </w:tr>
      <w:tr>
        <w:trPr>
          <w:trHeight w:val="182"/>
        </w:trPr>
        <w:tc>
          <w:tcPr>
            <w:tcW w:w="1500" w:type="dxa"/>
            <w:vAlign w:val="bottom"/>
          </w:tcPr>
          <w:p>
            <w:pPr>
              <w:spacing w:after="0"/>
              <w:rPr>
                <w:sz w:val="15"/>
                <w:szCs w:val="15"/>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Education, Inc. is contained in our Annual Report to Stockholders for the fiscal year ended December 31, 2021. A</w:t>
            </w:r>
          </w:p>
        </w:tc>
      </w:tr>
      <w:tr>
        <w:trPr>
          <w:trHeight w:val="182"/>
        </w:trPr>
        <w:tc>
          <w:tcPr>
            <w:tcW w:w="1500" w:type="dxa"/>
            <w:vAlign w:val="bottom"/>
          </w:tcPr>
          <w:p>
            <w:pPr>
              <w:spacing w:after="0"/>
              <w:rPr>
                <w:sz w:val="15"/>
                <w:szCs w:val="15"/>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complete set of proxy materials relating to our Annual Meeting is available on the Internet. These materials, consisting</w:t>
            </w:r>
          </w:p>
        </w:tc>
      </w:tr>
      <w:tr>
        <w:trPr>
          <w:trHeight w:val="178"/>
        </w:trPr>
        <w:tc>
          <w:tcPr>
            <w:tcW w:w="1500" w:type="dxa"/>
            <w:vAlign w:val="bottom"/>
          </w:tcPr>
          <w:p>
            <w:pPr>
              <w:spacing w:after="0"/>
              <w:rPr>
                <w:sz w:val="15"/>
                <w:szCs w:val="15"/>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of the Notice of Annual Meeting, Proxy Statement, Proxy Card and Annual Report to Stockholders, are available and</w:t>
            </w:r>
          </w:p>
        </w:tc>
      </w:tr>
      <w:tr>
        <w:trPr>
          <w:trHeight w:val="201"/>
        </w:trPr>
        <w:tc>
          <w:tcPr>
            <w:tcW w:w="1500" w:type="dxa"/>
            <w:vAlign w:val="bottom"/>
          </w:tcPr>
          <w:p>
            <w:pPr>
              <w:spacing w:after="0"/>
              <w:rPr>
                <w:sz w:val="17"/>
                <w:szCs w:val="17"/>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 xml:space="preserve">may be viewed at </w:t>
            </w:r>
            <w:r>
              <w:rPr>
                <w:rFonts w:ascii="Times New Roman" w:cs="Times New Roman" w:eastAsia="Times New Roman" w:hAnsi="Times New Roman"/>
                <w:sz w:val="15"/>
                <w:szCs w:val="15"/>
                <w:i w:val="1"/>
                <w:iCs w:val="1"/>
                <w:color w:val="auto"/>
              </w:rPr>
              <w:t>www.edocumentview.com/LOPE</w:t>
            </w:r>
            <w:r>
              <w:rPr>
                <w:rFonts w:ascii="Times New Roman" w:cs="Times New Roman" w:eastAsia="Times New Roman" w:hAnsi="Times New Roman"/>
                <w:sz w:val="15"/>
                <w:szCs w:val="15"/>
                <w:color w:val="auto"/>
              </w:rPr>
              <w:t>.</w:t>
            </w:r>
          </w:p>
        </w:tc>
      </w:tr>
      <w:tr>
        <w:trPr>
          <w:trHeight w:val="350"/>
        </w:trPr>
        <w:tc>
          <w:tcPr>
            <w:tcW w:w="1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Voting:</w:t>
            </w: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To make it easier for you to vote, Internet and telephone voting are available. The instructions on the Notice of Internet</w:t>
            </w:r>
          </w:p>
        </w:tc>
      </w:tr>
      <w:tr>
        <w:trPr>
          <w:trHeight w:val="182"/>
        </w:trPr>
        <w:tc>
          <w:tcPr>
            <w:tcW w:w="1500" w:type="dxa"/>
            <w:vAlign w:val="bottom"/>
          </w:tcPr>
          <w:p>
            <w:pPr>
              <w:spacing w:after="0"/>
              <w:rPr>
                <w:sz w:val="15"/>
                <w:szCs w:val="15"/>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Availability of Proxy Materials or, if you received a paper copy of the proxy materials, the proxy card describe how to</w:t>
            </w:r>
          </w:p>
        </w:tc>
      </w:tr>
      <w:tr>
        <w:trPr>
          <w:trHeight w:val="197"/>
        </w:trPr>
        <w:tc>
          <w:tcPr>
            <w:tcW w:w="1500" w:type="dxa"/>
            <w:vAlign w:val="bottom"/>
          </w:tcPr>
          <w:p>
            <w:pPr>
              <w:spacing w:after="0"/>
              <w:rPr>
                <w:sz w:val="17"/>
                <w:szCs w:val="17"/>
                <w:color w:val="auto"/>
              </w:rPr>
            </w:pPr>
          </w:p>
        </w:tc>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use these convenient services.</w:t>
            </w:r>
          </w:p>
        </w:tc>
      </w:tr>
      <w:tr>
        <w:trPr>
          <w:trHeight w:val="365"/>
        </w:trPr>
        <w:tc>
          <w:tcPr>
            <w:tcW w:w="1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BY ORDER OF THE BOARD OF DIRECTORS</w:t>
            </w:r>
          </w:p>
        </w:tc>
      </w:tr>
      <w:tr>
        <w:trPr>
          <w:trHeight w:val="37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auto"/>
              </w:rPr>
              <w:t>Phoenix, Arizona</w:t>
            </w:r>
          </w:p>
        </w:tc>
        <w:tc>
          <w:tcPr>
            <w:tcW w:w="29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BRIAN E. MUELLER</w:t>
            </w:r>
          </w:p>
        </w:tc>
      </w:tr>
      <w:tr>
        <w:trPr>
          <w:trHeight w:val="155"/>
        </w:trPr>
        <w:tc>
          <w:tcPr>
            <w:tcW w:w="1500" w:type="dxa"/>
            <w:vAlign w:val="bottom"/>
          </w:tcPr>
          <w:p>
            <w:pPr>
              <w:ind w:left="160"/>
              <w:spacing w:after="0" w:line="156" w:lineRule="exact"/>
              <w:rPr>
                <w:sz w:val="20"/>
                <w:szCs w:val="20"/>
                <w:color w:val="auto"/>
              </w:rPr>
            </w:pPr>
            <w:r>
              <w:rPr>
                <w:rFonts w:ascii="Times New Roman" w:cs="Times New Roman" w:eastAsia="Times New Roman" w:hAnsi="Times New Roman"/>
                <w:sz w:val="15"/>
                <w:szCs w:val="15"/>
                <w:color w:val="auto"/>
              </w:rPr>
              <w:t>April 22, 2022</w:t>
            </w:r>
          </w:p>
        </w:tc>
        <w:tc>
          <w:tcPr>
            <w:tcW w:w="2960" w:type="dxa"/>
            <w:vAlign w:val="bottom"/>
          </w:tcPr>
          <w:p>
            <w:pPr>
              <w:spacing w:after="0"/>
              <w:rPr>
                <w:sz w:val="13"/>
                <w:szCs w:val="13"/>
                <w:color w:val="auto"/>
              </w:rPr>
            </w:pPr>
          </w:p>
        </w:tc>
        <w:tc>
          <w:tcPr>
            <w:tcW w:w="44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Brian E. Mueller</w:t>
            </w:r>
          </w:p>
        </w:tc>
      </w:tr>
      <w:tr>
        <w:trPr>
          <w:trHeight w:val="201"/>
        </w:trPr>
        <w:tc>
          <w:tcPr>
            <w:tcW w:w="15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Chief Executive Officer and Chairman</w:t>
            </w:r>
          </w:p>
        </w:tc>
      </w:tr>
      <w:tr>
        <w:trPr>
          <w:trHeight w:val="846"/>
        </w:trPr>
        <w:tc>
          <w:tcPr>
            <w:tcW w:w="1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6"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18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5"/>
                <w:szCs w:val="15"/>
                <w:color w:val="0000EE"/>
                <w:w w:val="99"/>
              </w:rPr>
              <w:t>GENERAL INFORMATION</w:t>
            </w:r>
          </w:p>
        </w:tc>
        <w:tc>
          <w:tcPr>
            <w:tcW w:w="5980" w:type="dxa"/>
            <w:vAlign w:val="bottom"/>
            <w:gridSpan w:val="35"/>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333"/>
        </w:trPr>
        <w:tc>
          <w:tcPr>
            <w:tcW w:w="440" w:type="dxa"/>
            <w:vAlign w:val="bottom"/>
          </w:tcPr>
          <w:p>
            <w:pPr>
              <w:spacing w:after="0"/>
              <w:rPr>
                <w:sz w:val="24"/>
                <w:szCs w:val="24"/>
                <w:color w:val="auto"/>
              </w:rPr>
            </w:pPr>
          </w:p>
        </w:tc>
        <w:tc>
          <w:tcPr>
            <w:tcW w:w="18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5"/>
                <w:szCs w:val="15"/>
                <w:color w:val="0000EE"/>
                <w:w w:val="99"/>
              </w:rPr>
              <w:t>Notice of Internet Availability</w:t>
            </w:r>
          </w:p>
        </w:tc>
        <w:tc>
          <w:tcPr>
            <w:tcW w:w="5500" w:type="dxa"/>
            <w:vAlign w:val="bottom"/>
            <w:gridSpan w:val="25"/>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Record Date and Quorum</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13</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2140" w:type="dxa"/>
            <w:vAlign w:val="bottom"/>
            <w:tcBorders>
              <w:bottom w:val="single" w:sz="8" w:color="0000EE"/>
            </w:tcBorders>
            <w:gridSpan w:val="23"/>
          </w:tcPr>
          <w:p>
            <w:pPr>
              <w:spacing w:after="0" w:line="163" w:lineRule="exact"/>
              <w:rPr>
                <w:sz w:val="20"/>
                <w:szCs w:val="20"/>
                <w:color w:val="auto"/>
              </w:rPr>
            </w:pPr>
            <w:r>
              <w:rPr>
                <w:rFonts w:ascii="Times New Roman" w:cs="Times New Roman" w:eastAsia="Times New Roman" w:hAnsi="Times New Roman"/>
                <w:sz w:val="15"/>
                <w:szCs w:val="15"/>
                <w:color w:val="0000EE"/>
              </w:rPr>
              <w:t>Submission of Proxies; Revocation</w:t>
            </w:r>
          </w:p>
        </w:tc>
        <w:tc>
          <w:tcPr>
            <w:tcW w:w="5200" w:type="dxa"/>
            <w:vAlign w:val="bottom"/>
            <w:gridSpan w:val="20"/>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13</w:t>
            </w: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Deadlines for Stockholder Proposals</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14</w:t>
            </w:r>
          </w:p>
        </w:tc>
      </w:tr>
      <w:tr>
        <w:trPr>
          <w:trHeight w:val="162"/>
        </w:trPr>
        <w:tc>
          <w:tcPr>
            <w:tcW w:w="440" w:type="dxa"/>
            <w:vAlign w:val="bottom"/>
          </w:tcPr>
          <w:p>
            <w:pPr>
              <w:spacing w:after="0"/>
              <w:rPr>
                <w:sz w:val="14"/>
                <w:szCs w:val="14"/>
                <w:color w:val="auto"/>
              </w:rPr>
            </w:pPr>
          </w:p>
        </w:tc>
        <w:tc>
          <w:tcPr>
            <w:tcW w:w="2220" w:type="dxa"/>
            <w:vAlign w:val="bottom"/>
            <w:tcBorders>
              <w:top w:val="single" w:sz="8" w:color="0000EE"/>
            </w:tcBorders>
            <w:gridSpan w:val="25"/>
          </w:tcPr>
          <w:p>
            <w:pPr>
              <w:spacing w:after="0" w:line="163" w:lineRule="exact"/>
              <w:rPr>
                <w:sz w:val="20"/>
                <w:szCs w:val="20"/>
                <w:color w:val="auto"/>
              </w:rPr>
            </w:pPr>
            <w:r>
              <w:rPr>
                <w:rFonts w:ascii="Times New Roman" w:cs="Times New Roman" w:eastAsia="Times New Roman" w:hAnsi="Times New Roman"/>
                <w:sz w:val="15"/>
                <w:szCs w:val="15"/>
                <w:color w:val="0000EE"/>
              </w:rPr>
              <w:t>Quorum</w:t>
            </w:r>
          </w:p>
        </w:tc>
        <w:tc>
          <w:tcPr>
            <w:tcW w:w="5120" w:type="dxa"/>
            <w:vAlign w:val="bottom"/>
            <w:gridSpan w:val="18"/>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15</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Vote Required</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15</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Adjournment or Postponement of Meeting</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16</w:t>
            </w:r>
          </w:p>
        </w:tc>
      </w:tr>
      <w:tr>
        <w:trPr>
          <w:trHeight w:val="162"/>
        </w:trPr>
        <w:tc>
          <w:tcPr>
            <w:tcW w:w="440" w:type="dxa"/>
            <w:vAlign w:val="bottom"/>
          </w:tcPr>
          <w:p>
            <w:pPr>
              <w:spacing w:after="0"/>
              <w:rPr>
                <w:sz w:val="14"/>
                <w:szCs w:val="14"/>
                <w:color w:val="auto"/>
              </w:rPr>
            </w:pPr>
          </w:p>
        </w:tc>
        <w:tc>
          <w:tcPr>
            <w:tcW w:w="1860" w:type="dxa"/>
            <w:vAlign w:val="bottom"/>
            <w:tcBorders>
              <w:top w:val="single" w:sz="8" w:color="0000EE"/>
              <w:bottom w:val="single" w:sz="8" w:color="0000EE"/>
            </w:tcBorders>
            <w:gridSpan w:val="19"/>
          </w:tcPr>
          <w:p>
            <w:pPr>
              <w:spacing w:after="0" w:line="163" w:lineRule="exact"/>
              <w:rPr>
                <w:sz w:val="20"/>
                <w:szCs w:val="20"/>
                <w:color w:val="auto"/>
              </w:rPr>
            </w:pPr>
            <w:r>
              <w:rPr>
                <w:rFonts w:ascii="Times New Roman" w:cs="Times New Roman" w:eastAsia="Times New Roman" w:hAnsi="Times New Roman"/>
                <w:sz w:val="15"/>
                <w:szCs w:val="15"/>
                <w:color w:val="0000EE"/>
              </w:rPr>
              <w:t>Expenses of Soliciting Proxies</w:t>
            </w:r>
          </w:p>
        </w:tc>
        <w:tc>
          <w:tcPr>
            <w:tcW w:w="720" w:type="dxa"/>
            <w:vAlign w:val="bottom"/>
            <w:tcBorders>
              <w:top w:val="single" w:sz="8" w:color="0000EE"/>
            </w:tcBorders>
            <w:gridSpan w:val="11"/>
          </w:tcPr>
          <w:p>
            <w:pPr>
              <w:spacing w:after="0"/>
              <w:rPr>
                <w:sz w:val="14"/>
                <w:szCs w:val="14"/>
                <w:color w:val="auto"/>
              </w:rPr>
            </w:pPr>
          </w:p>
        </w:tc>
        <w:tc>
          <w:tcPr>
            <w:tcW w:w="4760" w:type="dxa"/>
            <w:vAlign w:val="bottom"/>
            <w:gridSpan w:val="13"/>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16</w:t>
            </w:r>
          </w:p>
        </w:tc>
      </w:tr>
      <w:tr>
        <w:trPr>
          <w:trHeight w:val="333"/>
        </w:trPr>
        <w:tc>
          <w:tcPr>
            <w:tcW w:w="364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5"/>
                <w:szCs w:val="15"/>
                <w:color w:val="0000EE"/>
                <w:w w:val="99"/>
              </w:rPr>
              <w:t>CORPORATE GOVERNANCE AND BOARD MATTERS</w:t>
            </w:r>
          </w:p>
        </w:tc>
        <w:tc>
          <w:tcPr>
            <w:tcW w:w="414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333"/>
        </w:trPr>
        <w:tc>
          <w:tcPr>
            <w:tcW w:w="440" w:type="dxa"/>
            <w:vAlign w:val="bottom"/>
          </w:tcPr>
          <w:p>
            <w:pPr>
              <w:spacing w:after="0"/>
              <w:rPr>
                <w:sz w:val="24"/>
                <w:szCs w:val="24"/>
                <w:color w:val="auto"/>
              </w:rPr>
            </w:pPr>
          </w:p>
        </w:tc>
        <w:tc>
          <w:tcPr>
            <w:tcW w:w="21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5"/>
                <w:szCs w:val="15"/>
                <w:color w:val="0000EE"/>
              </w:rPr>
              <w:t>Corporate Governance Philosophy</w:t>
            </w:r>
          </w:p>
        </w:tc>
        <w:tc>
          <w:tcPr>
            <w:tcW w:w="5240" w:type="dxa"/>
            <w:vAlign w:val="bottom"/>
            <w:gridSpan w:val="21"/>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Changes to the Board of Directors During 202</w:t>
            </w:r>
            <w:r>
              <w:rPr>
                <w:rFonts w:ascii="Times New Roman" w:cs="Times New Roman" w:eastAsia="Times New Roman" w:hAnsi="Times New Roman"/>
                <w:sz w:val="15"/>
                <w:szCs w:val="15"/>
                <w:color w:val="000000"/>
              </w:rPr>
              <w:t>1</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16</w:t>
            </w:r>
          </w:p>
        </w:tc>
      </w:tr>
      <w:tr>
        <w:trPr>
          <w:trHeight w:val="162"/>
        </w:trPr>
        <w:tc>
          <w:tcPr>
            <w:tcW w:w="440" w:type="dxa"/>
            <w:vAlign w:val="bottom"/>
          </w:tcPr>
          <w:p>
            <w:pPr>
              <w:spacing w:after="0"/>
              <w:rPr>
                <w:sz w:val="14"/>
                <w:szCs w:val="14"/>
                <w:color w:val="auto"/>
              </w:rPr>
            </w:pPr>
          </w:p>
        </w:tc>
        <w:tc>
          <w:tcPr>
            <w:tcW w:w="2820" w:type="dxa"/>
            <w:vAlign w:val="bottom"/>
            <w:tcBorders>
              <w:top w:val="single" w:sz="8" w:color="0000EE"/>
            </w:tcBorders>
            <w:gridSpan w:val="34"/>
          </w:tcPr>
          <w:p>
            <w:pPr>
              <w:spacing w:after="0" w:line="163" w:lineRule="exact"/>
              <w:rPr>
                <w:sz w:val="20"/>
                <w:szCs w:val="20"/>
                <w:color w:val="auto"/>
              </w:rPr>
            </w:pPr>
            <w:r>
              <w:rPr>
                <w:rFonts w:ascii="Times New Roman" w:cs="Times New Roman" w:eastAsia="Times New Roman" w:hAnsi="Times New Roman"/>
                <w:sz w:val="15"/>
                <w:szCs w:val="15"/>
                <w:color w:val="0000EE"/>
              </w:rPr>
              <w:t>Board of Directors Meetings and Attendance</w:t>
            </w:r>
          </w:p>
        </w:tc>
        <w:tc>
          <w:tcPr>
            <w:tcW w:w="4520" w:type="dxa"/>
            <w:vAlign w:val="bottom"/>
            <w:gridSpan w:val="9"/>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16</w:t>
            </w:r>
          </w:p>
        </w:tc>
      </w:tr>
      <w:tr>
        <w:trPr>
          <w:trHeight w:val="162"/>
        </w:trPr>
        <w:tc>
          <w:tcPr>
            <w:tcW w:w="440" w:type="dxa"/>
            <w:vAlign w:val="bottom"/>
          </w:tcPr>
          <w:p>
            <w:pPr>
              <w:spacing w:after="0"/>
              <w:rPr>
                <w:sz w:val="14"/>
                <w:szCs w:val="14"/>
                <w:color w:val="auto"/>
              </w:rPr>
            </w:pPr>
          </w:p>
        </w:tc>
        <w:tc>
          <w:tcPr>
            <w:tcW w:w="2720" w:type="dxa"/>
            <w:vAlign w:val="bottom"/>
            <w:tcBorders>
              <w:top w:val="single" w:sz="8" w:color="0000EE"/>
            </w:tcBorders>
            <w:gridSpan w:val="33"/>
          </w:tcPr>
          <w:p>
            <w:pPr>
              <w:spacing w:after="0" w:line="163" w:lineRule="exact"/>
              <w:rPr>
                <w:sz w:val="20"/>
                <w:szCs w:val="20"/>
                <w:color w:val="auto"/>
              </w:rPr>
            </w:pPr>
            <w:r>
              <w:rPr>
                <w:rFonts w:ascii="Times New Roman" w:cs="Times New Roman" w:eastAsia="Times New Roman" w:hAnsi="Times New Roman"/>
                <w:sz w:val="15"/>
                <w:szCs w:val="15"/>
                <w:color w:val="0000EE"/>
              </w:rPr>
              <w:t>Director Independence</w:t>
            </w:r>
          </w:p>
        </w:tc>
        <w:tc>
          <w:tcPr>
            <w:tcW w:w="4620" w:type="dxa"/>
            <w:vAlign w:val="bottom"/>
            <w:gridSpan w:val="10"/>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16</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1680" w:type="dxa"/>
            <w:vAlign w:val="bottom"/>
            <w:tcBorders>
              <w:bottom w:val="single" w:sz="8" w:color="0000EE"/>
            </w:tcBorders>
            <w:gridSpan w:val="14"/>
          </w:tcPr>
          <w:p>
            <w:pPr>
              <w:spacing w:after="0" w:line="163" w:lineRule="exact"/>
              <w:rPr>
                <w:sz w:val="20"/>
                <w:szCs w:val="20"/>
                <w:color w:val="auto"/>
              </w:rPr>
            </w:pPr>
            <w:r>
              <w:rPr>
                <w:rFonts w:ascii="Times New Roman" w:cs="Times New Roman" w:eastAsia="Times New Roman" w:hAnsi="Times New Roman"/>
                <w:sz w:val="15"/>
                <w:szCs w:val="15"/>
                <w:color w:val="0000EE"/>
              </w:rPr>
              <w:t>Board Leadership Structure</w:t>
            </w:r>
          </w:p>
        </w:tc>
        <w:tc>
          <w:tcPr>
            <w:tcW w:w="5660" w:type="dxa"/>
            <w:vAlign w:val="bottom"/>
            <w:gridSpan w:val="29"/>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17</w:t>
            </w: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Committees of Our Board of Directors During 202</w:t>
            </w:r>
            <w:r>
              <w:rPr>
                <w:rFonts w:ascii="Times New Roman" w:cs="Times New Roman" w:eastAsia="Times New Roman" w:hAnsi="Times New Roman"/>
                <w:sz w:val="15"/>
                <w:szCs w:val="15"/>
                <w:color w:val="000000"/>
              </w:rPr>
              <w:t>1</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18</w:t>
            </w:r>
          </w:p>
        </w:tc>
      </w:tr>
      <w:tr>
        <w:trPr>
          <w:trHeight w:val="162"/>
        </w:trPr>
        <w:tc>
          <w:tcPr>
            <w:tcW w:w="440" w:type="dxa"/>
            <w:vAlign w:val="bottom"/>
          </w:tcPr>
          <w:p>
            <w:pPr>
              <w:spacing w:after="0"/>
              <w:rPr>
                <w:sz w:val="14"/>
                <w:szCs w:val="14"/>
                <w:color w:val="auto"/>
              </w:rPr>
            </w:pPr>
          </w:p>
        </w:tc>
        <w:tc>
          <w:tcPr>
            <w:tcW w:w="3080" w:type="dxa"/>
            <w:vAlign w:val="bottom"/>
            <w:tcBorders>
              <w:top w:val="single" w:sz="8" w:color="0000EE"/>
            </w:tcBorders>
            <w:gridSpan w:val="35"/>
          </w:tcPr>
          <w:p>
            <w:pPr>
              <w:spacing w:after="0" w:line="163" w:lineRule="exact"/>
              <w:rPr>
                <w:sz w:val="20"/>
                <w:szCs w:val="20"/>
                <w:color w:val="auto"/>
              </w:rPr>
            </w:pPr>
            <w:r>
              <w:rPr>
                <w:rFonts w:ascii="Times New Roman" w:cs="Times New Roman" w:eastAsia="Times New Roman" w:hAnsi="Times New Roman"/>
                <w:sz w:val="15"/>
                <w:szCs w:val="15"/>
                <w:color w:val="0000EE"/>
              </w:rPr>
              <w:t>Information About the Board of Directors</w:t>
            </w:r>
          </w:p>
        </w:tc>
        <w:tc>
          <w:tcPr>
            <w:tcW w:w="4260" w:type="dxa"/>
            <w:vAlign w:val="bottom"/>
            <w:gridSpan w:val="8"/>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19</w:t>
            </w:r>
          </w:p>
        </w:tc>
      </w:tr>
      <w:tr>
        <w:trPr>
          <w:trHeight w:val="162"/>
        </w:trPr>
        <w:tc>
          <w:tcPr>
            <w:tcW w:w="440" w:type="dxa"/>
            <w:vAlign w:val="bottom"/>
          </w:tcPr>
          <w:p>
            <w:pPr>
              <w:spacing w:after="0"/>
              <w:rPr>
                <w:sz w:val="14"/>
                <w:szCs w:val="14"/>
                <w:color w:val="auto"/>
              </w:rPr>
            </w:pPr>
          </w:p>
        </w:tc>
        <w:tc>
          <w:tcPr>
            <w:tcW w:w="1060" w:type="dxa"/>
            <w:vAlign w:val="bottom"/>
            <w:tcBorders>
              <w:top w:val="single" w:sz="8" w:color="0000EE"/>
              <w:bottom w:val="single" w:sz="8" w:color="0000EE"/>
            </w:tcBorders>
            <w:gridSpan w:val="6"/>
          </w:tcPr>
          <w:p>
            <w:pPr>
              <w:spacing w:after="0" w:line="163" w:lineRule="exact"/>
              <w:rPr>
                <w:sz w:val="20"/>
                <w:szCs w:val="20"/>
                <w:color w:val="auto"/>
              </w:rPr>
            </w:pPr>
            <w:r>
              <w:rPr>
                <w:rFonts w:ascii="Times New Roman" w:cs="Times New Roman" w:eastAsia="Times New Roman" w:hAnsi="Times New Roman"/>
                <w:sz w:val="15"/>
                <w:szCs w:val="15"/>
                <w:color w:val="0000EE"/>
              </w:rPr>
              <w:t>Code of Conduct</w:t>
            </w:r>
          </w:p>
        </w:tc>
        <w:tc>
          <w:tcPr>
            <w:tcW w:w="1480" w:type="dxa"/>
            <w:vAlign w:val="bottom"/>
            <w:tcBorders>
              <w:top w:val="single" w:sz="8" w:color="0000EE"/>
            </w:tcBorders>
            <w:gridSpan w:val="23"/>
          </w:tcPr>
          <w:p>
            <w:pPr>
              <w:spacing w:after="0"/>
              <w:rPr>
                <w:sz w:val="14"/>
                <w:szCs w:val="14"/>
                <w:color w:val="auto"/>
              </w:rPr>
            </w:pPr>
          </w:p>
        </w:tc>
        <w:tc>
          <w:tcPr>
            <w:tcW w:w="4800" w:type="dxa"/>
            <w:vAlign w:val="bottom"/>
            <w:gridSpan w:val="14"/>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20</w:t>
            </w:r>
          </w:p>
        </w:tc>
      </w:tr>
      <w:tr>
        <w:trPr>
          <w:trHeight w:val="162"/>
        </w:trPr>
        <w:tc>
          <w:tcPr>
            <w:tcW w:w="440" w:type="dxa"/>
            <w:vAlign w:val="bottom"/>
          </w:tcPr>
          <w:p>
            <w:pPr>
              <w:spacing w:after="0"/>
              <w:rPr>
                <w:sz w:val="14"/>
                <w:szCs w:val="14"/>
                <w:color w:val="auto"/>
              </w:rPr>
            </w:pPr>
          </w:p>
        </w:tc>
        <w:tc>
          <w:tcPr>
            <w:tcW w:w="920" w:type="dxa"/>
            <w:vAlign w:val="bottom"/>
            <w:tcBorders>
              <w:bottom w:val="single" w:sz="8" w:color="0000EE"/>
            </w:tcBorders>
            <w:gridSpan w:val="4"/>
          </w:tcPr>
          <w:p>
            <w:pPr>
              <w:spacing w:after="0" w:line="163" w:lineRule="exact"/>
              <w:rPr>
                <w:sz w:val="20"/>
                <w:szCs w:val="20"/>
                <w:color w:val="auto"/>
              </w:rPr>
            </w:pPr>
            <w:r>
              <w:rPr>
                <w:rFonts w:ascii="Times New Roman" w:cs="Times New Roman" w:eastAsia="Times New Roman" w:hAnsi="Times New Roman"/>
                <w:sz w:val="15"/>
                <w:szCs w:val="15"/>
                <w:color w:val="0000EE"/>
                <w:w w:val="99"/>
              </w:rPr>
              <w:t>Risk Oversight</w:t>
            </w:r>
          </w:p>
        </w:tc>
        <w:tc>
          <w:tcPr>
            <w:tcW w:w="6420" w:type="dxa"/>
            <w:vAlign w:val="bottom"/>
            <w:gridSpan w:val="39"/>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20</w:t>
            </w:r>
          </w:p>
        </w:tc>
      </w:tr>
      <w:tr>
        <w:trPr>
          <w:trHeight w:val="162"/>
        </w:trPr>
        <w:tc>
          <w:tcPr>
            <w:tcW w:w="440" w:type="dxa"/>
            <w:vAlign w:val="bottom"/>
          </w:tcPr>
          <w:p>
            <w:pPr>
              <w:spacing w:after="0"/>
              <w:rPr>
                <w:sz w:val="14"/>
                <w:szCs w:val="14"/>
                <w:color w:val="auto"/>
              </w:rPr>
            </w:pPr>
          </w:p>
        </w:tc>
        <w:tc>
          <w:tcPr>
            <w:tcW w:w="1780" w:type="dxa"/>
            <w:vAlign w:val="bottom"/>
            <w:tcBorders>
              <w:bottom w:val="single" w:sz="8" w:color="0000EE"/>
            </w:tcBorders>
            <w:gridSpan w:val="16"/>
          </w:tcPr>
          <w:p>
            <w:pPr>
              <w:spacing w:after="0" w:line="163" w:lineRule="exact"/>
              <w:rPr>
                <w:sz w:val="20"/>
                <w:szCs w:val="20"/>
                <w:color w:val="auto"/>
              </w:rPr>
            </w:pPr>
            <w:r>
              <w:rPr>
                <w:rFonts w:ascii="Times New Roman" w:cs="Times New Roman" w:eastAsia="Times New Roman" w:hAnsi="Times New Roman"/>
                <w:sz w:val="15"/>
                <w:szCs w:val="15"/>
                <w:color w:val="0000EE"/>
              </w:rPr>
              <w:t>Director Nomination Process</w:t>
            </w:r>
          </w:p>
        </w:tc>
        <w:tc>
          <w:tcPr>
            <w:tcW w:w="5560" w:type="dxa"/>
            <w:vAlign w:val="bottom"/>
            <w:gridSpan w:val="27"/>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20</w:t>
            </w:r>
          </w:p>
        </w:tc>
      </w:tr>
      <w:tr>
        <w:trPr>
          <w:trHeight w:val="162"/>
        </w:trPr>
        <w:tc>
          <w:tcPr>
            <w:tcW w:w="440" w:type="dxa"/>
            <w:vAlign w:val="bottom"/>
          </w:tcPr>
          <w:p>
            <w:pPr>
              <w:spacing w:after="0"/>
              <w:rPr>
                <w:sz w:val="14"/>
                <w:szCs w:val="14"/>
                <w:color w:val="auto"/>
              </w:rPr>
            </w:pPr>
          </w:p>
        </w:tc>
        <w:tc>
          <w:tcPr>
            <w:tcW w:w="1820" w:type="dxa"/>
            <w:vAlign w:val="bottom"/>
            <w:tcBorders>
              <w:bottom w:val="single" w:sz="8" w:color="0000EE"/>
            </w:tcBorders>
            <w:gridSpan w:val="17"/>
          </w:tcPr>
          <w:p>
            <w:pPr>
              <w:spacing w:after="0" w:line="163" w:lineRule="exact"/>
              <w:rPr>
                <w:sz w:val="20"/>
                <w:szCs w:val="20"/>
                <w:color w:val="auto"/>
              </w:rPr>
            </w:pPr>
            <w:r>
              <w:rPr>
                <w:rFonts w:ascii="Times New Roman" w:cs="Times New Roman" w:eastAsia="Times New Roman" w:hAnsi="Times New Roman"/>
                <w:sz w:val="15"/>
                <w:szCs w:val="15"/>
                <w:color w:val="0000EE"/>
              </w:rPr>
              <w:t>Annual Elections of Directors</w:t>
            </w:r>
          </w:p>
        </w:tc>
        <w:tc>
          <w:tcPr>
            <w:tcW w:w="5520" w:type="dxa"/>
            <w:vAlign w:val="bottom"/>
            <w:gridSpan w:val="26"/>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22</w:t>
            </w: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Policy on Majority Voting</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22</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Compensation Committee Interlocks and Insider Participation</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23</w:t>
            </w:r>
          </w:p>
        </w:tc>
      </w:tr>
      <w:tr>
        <w:trPr>
          <w:trHeight w:val="162"/>
        </w:trPr>
        <w:tc>
          <w:tcPr>
            <w:tcW w:w="440" w:type="dxa"/>
            <w:vAlign w:val="bottom"/>
          </w:tcPr>
          <w:p>
            <w:pPr>
              <w:spacing w:after="0"/>
              <w:rPr>
                <w:sz w:val="14"/>
                <w:szCs w:val="14"/>
                <w:color w:val="auto"/>
              </w:rPr>
            </w:pPr>
          </w:p>
        </w:tc>
        <w:tc>
          <w:tcPr>
            <w:tcW w:w="3520" w:type="dxa"/>
            <w:vAlign w:val="bottom"/>
            <w:tcBorders>
              <w:top w:val="single" w:sz="8" w:color="0000EE"/>
              <w:bottom w:val="single" w:sz="8" w:color="0000EE"/>
            </w:tcBorders>
            <w:gridSpan w:val="37"/>
          </w:tcPr>
          <w:p>
            <w:pPr>
              <w:spacing w:after="0" w:line="163" w:lineRule="exact"/>
              <w:rPr>
                <w:sz w:val="20"/>
                <w:szCs w:val="20"/>
                <w:color w:val="auto"/>
              </w:rPr>
            </w:pPr>
            <w:r>
              <w:rPr>
                <w:rFonts w:ascii="Times New Roman" w:cs="Times New Roman" w:eastAsia="Times New Roman" w:hAnsi="Times New Roman"/>
                <w:sz w:val="15"/>
                <w:szCs w:val="15"/>
                <w:color w:val="0000EE"/>
              </w:rPr>
              <w:t>Stockholder Communications with the Board of Directors</w:t>
            </w:r>
          </w:p>
        </w:tc>
        <w:tc>
          <w:tcPr>
            <w:tcW w:w="240" w:type="dxa"/>
            <w:vAlign w:val="bottom"/>
            <w:tcBorders>
              <w:top w:val="single" w:sz="8" w:color="0000EE"/>
            </w:tcBorders>
            <w:gridSpan w:val="2"/>
          </w:tcPr>
          <w:p>
            <w:pPr>
              <w:spacing w:after="0"/>
              <w:rPr>
                <w:sz w:val="14"/>
                <w:szCs w:val="14"/>
                <w:color w:val="auto"/>
              </w:rPr>
            </w:pPr>
          </w:p>
        </w:tc>
        <w:tc>
          <w:tcPr>
            <w:tcW w:w="3580" w:type="dxa"/>
            <w:vAlign w:val="bottom"/>
            <w:gridSpan w:val="4"/>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23</w:t>
            </w:r>
          </w:p>
        </w:tc>
      </w:tr>
      <w:tr>
        <w:trPr>
          <w:trHeight w:val="162"/>
        </w:trPr>
        <w:tc>
          <w:tcPr>
            <w:tcW w:w="440" w:type="dxa"/>
            <w:vAlign w:val="bottom"/>
          </w:tcPr>
          <w:p>
            <w:pPr>
              <w:spacing w:after="0"/>
              <w:rPr>
                <w:sz w:val="14"/>
                <w:szCs w:val="14"/>
                <w:color w:val="auto"/>
              </w:rPr>
            </w:pPr>
          </w:p>
        </w:tc>
        <w:tc>
          <w:tcPr>
            <w:tcW w:w="1480" w:type="dxa"/>
            <w:vAlign w:val="bottom"/>
            <w:tcBorders>
              <w:bottom w:val="single" w:sz="8" w:color="0000EE"/>
            </w:tcBorders>
            <w:gridSpan w:val="10"/>
          </w:tcPr>
          <w:p>
            <w:pPr>
              <w:spacing w:after="0" w:line="163" w:lineRule="exact"/>
              <w:rPr>
                <w:sz w:val="20"/>
                <w:szCs w:val="20"/>
                <w:color w:val="auto"/>
              </w:rPr>
            </w:pPr>
            <w:r>
              <w:rPr>
                <w:rFonts w:ascii="Times New Roman" w:cs="Times New Roman" w:eastAsia="Times New Roman" w:hAnsi="Times New Roman"/>
                <w:sz w:val="15"/>
                <w:szCs w:val="15"/>
                <w:color w:val="0000EE"/>
              </w:rPr>
              <w:t>Stock Ownership Policy</w:t>
            </w:r>
          </w:p>
        </w:tc>
        <w:tc>
          <w:tcPr>
            <w:tcW w:w="5860" w:type="dxa"/>
            <w:vAlign w:val="bottom"/>
            <w:gridSpan w:val="33"/>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23</w:t>
            </w: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Anti-Hedging and Anti-Pledging Policy</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24</w:t>
            </w:r>
          </w:p>
        </w:tc>
      </w:tr>
      <w:tr>
        <w:trPr>
          <w:trHeight w:val="162"/>
        </w:trPr>
        <w:tc>
          <w:tcPr>
            <w:tcW w:w="440" w:type="dxa"/>
            <w:vAlign w:val="bottom"/>
          </w:tcPr>
          <w:p>
            <w:pPr>
              <w:spacing w:after="0"/>
              <w:rPr>
                <w:sz w:val="14"/>
                <w:szCs w:val="14"/>
                <w:color w:val="auto"/>
              </w:rPr>
            </w:pPr>
          </w:p>
        </w:tc>
        <w:tc>
          <w:tcPr>
            <w:tcW w:w="2420" w:type="dxa"/>
            <w:vAlign w:val="bottom"/>
            <w:tcBorders>
              <w:top w:val="single" w:sz="8" w:color="0000EE"/>
            </w:tcBorders>
            <w:gridSpan w:val="28"/>
          </w:tcPr>
          <w:p>
            <w:pPr>
              <w:spacing w:after="0" w:line="163" w:lineRule="exact"/>
              <w:rPr>
                <w:sz w:val="20"/>
                <w:szCs w:val="20"/>
                <w:color w:val="auto"/>
              </w:rPr>
            </w:pPr>
            <w:r>
              <w:rPr>
                <w:rFonts w:ascii="Times New Roman" w:cs="Times New Roman" w:eastAsia="Times New Roman" w:hAnsi="Times New Roman"/>
                <w:sz w:val="15"/>
                <w:szCs w:val="15"/>
                <w:color w:val="0000EE"/>
              </w:rPr>
              <w:t>Compensation of Directors</w:t>
            </w:r>
          </w:p>
        </w:tc>
        <w:tc>
          <w:tcPr>
            <w:tcW w:w="4920" w:type="dxa"/>
            <w:vAlign w:val="bottom"/>
            <w:gridSpan w:val="15"/>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24</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2021 Director Compensation</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25</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33"/>
        </w:trPr>
        <w:tc>
          <w:tcPr>
            <w:tcW w:w="308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5"/>
                <w:szCs w:val="15"/>
                <w:color w:val="0000EE"/>
              </w:rPr>
              <w:t>PROPOSAL NO. 1 ELECTION OF DIRECTORS</w:t>
            </w:r>
          </w:p>
        </w:tc>
        <w:tc>
          <w:tcPr>
            <w:tcW w:w="470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333"/>
        </w:trPr>
        <w:tc>
          <w:tcPr>
            <w:tcW w:w="440" w:type="dxa"/>
            <w:vAlign w:val="bottom"/>
          </w:tcPr>
          <w:p>
            <w:pPr>
              <w:spacing w:after="0"/>
              <w:rPr>
                <w:sz w:val="24"/>
                <w:szCs w:val="24"/>
                <w:color w:val="auto"/>
              </w:rPr>
            </w:pPr>
          </w:p>
        </w:tc>
        <w:tc>
          <w:tcPr>
            <w:tcW w:w="7340" w:type="dxa"/>
            <w:vAlign w:val="bottom"/>
            <w:gridSpan w:val="43"/>
          </w:tcPr>
          <w:p>
            <w:pPr>
              <w:spacing w:after="0"/>
              <w:rPr>
                <w:sz w:val="20"/>
                <w:szCs w:val="20"/>
                <w:color w:val="auto"/>
              </w:rPr>
            </w:pPr>
            <w:r>
              <w:rPr>
                <w:rFonts w:ascii="Times New Roman" w:cs="Times New Roman" w:eastAsia="Times New Roman" w:hAnsi="Times New Roman"/>
                <w:sz w:val="15"/>
                <w:szCs w:val="15"/>
                <w:color w:val="0000EE"/>
              </w:rPr>
              <w:t>Composition of our Board of Directors</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62"/>
        </w:trPr>
        <w:tc>
          <w:tcPr>
            <w:tcW w:w="440" w:type="dxa"/>
            <w:vAlign w:val="bottom"/>
          </w:tcPr>
          <w:p>
            <w:pPr>
              <w:spacing w:after="0"/>
              <w:rPr>
                <w:sz w:val="14"/>
                <w:szCs w:val="14"/>
                <w:color w:val="auto"/>
              </w:rPr>
            </w:pPr>
          </w:p>
        </w:tc>
        <w:tc>
          <w:tcPr>
            <w:tcW w:w="2020" w:type="dxa"/>
            <w:vAlign w:val="bottom"/>
            <w:tcBorders>
              <w:top w:val="single" w:sz="8" w:color="0000EE"/>
              <w:bottom w:val="single" w:sz="8" w:color="0000EE"/>
            </w:tcBorders>
            <w:gridSpan w:val="20"/>
          </w:tcPr>
          <w:p>
            <w:pPr>
              <w:spacing w:after="0" w:line="163" w:lineRule="exact"/>
              <w:rPr>
                <w:sz w:val="20"/>
                <w:szCs w:val="20"/>
                <w:color w:val="auto"/>
              </w:rPr>
            </w:pPr>
            <w:r>
              <w:rPr>
                <w:rFonts w:ascii="Times New Roman" w:cs="Times New Roman" w:eastAsia="Times New Roman" w:hAnsi="Times New Roman"/>
                <w:sz w:val="15"/>
                <w:szCs w:val="15"/>
                <w:color w:val="0000EE"/>
              </w:rPr>
              <w:t>Directors and Director Nominees</w:t>
            </w:r>
          </w:p>
        </w:tc>
        <w:tc>
          <w:tcPr>
            <w:tcW w:w="340" w:type="dxa"/>
            <w:vAlign w:val="bottom"/>
            <w:tcBorders>
              <w:top w:val="single" w:sz="8" w:color="0000EE"/>
            </w:tcBorders>
            <w:gridSpan w:val="6"/>
          </w:tcPr>
          <w:p>
            <w:pPr>
              <w:spacing w:after="0"/>
              <w:rPr>
                <w:sz w:val="14"/>
                <w:szCs w:val="14"/>
                <w:color w:val="auto"/>
              </w:rPr>
            </w:pPr>
          </w:p>
        </w:tc>
        <w:tc>
          <w:tcPr>
            <w:tcW w:w="4980" w:type="dxa"/>
            <w:vAlign w:val="bottom"/>
            <w:gridSpan w:val="17"/>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26</w:t>
            </w:r>
          </w:p>
        </w:tc>
      </w:tr>
      <w:tr>
        <w:trPr>
          <w:trHeight w:val="333"/>
        </w:trPr>
        <w:tc>
          <w:tcPr>
            <w:tcW w:w="6780" w:type="dxa"/>
            <w:vAlign w:val="bottom"/>
            <w:tcBorders>
              <w:bottom w:val="single" w:sz="8" w:color="0000EE"/>
            </w:tcBorders>
            <w:gridSpan w:val="43"/>
          </w:tcPr>
          <w:p>
            <w:pPr>
              <w:spacing w:after="0"/>
              <w:rPr>
                <w:sz w:val="20"/>
                <w:szCs w:val="20"/>
                <w:color w:val="auto"/>
              </w:rPr>
            </w:pPr>
            <w:r>
              <w:rPr>
                <w:rFonts w:ascii="Times New Roman" w:cs="Times New Roman" w:eastAsia="Times New Roman" w:hAnsi="Times New Roman"/>
                <w:sz w:val="15"/>
                <w:szCs w:val="15"/>
                <w:color w:val="0000EE"/>
              </w:rPr>
              <w:t>PROPOSAL NO. 2 ADVISORY VOTE TO APPROVE NAMED EXECUTIVE OFFICER COMPENSATION</w:t>
            </w:r>
          </w:p>
        </w:tc>
        <w:tc>
          <w:tcPr>
            <w:tcW w:w="10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333"/>
        </w:trPr>
        <w:tc>
          <w:tcPr>
            <w:tcW w:w="16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rPr>
              <w:t>EXECUTIVE OFFICERS</w:t>
            </w:r>
          </w:p>
        </w:tc>
        <w:tc>
          <w:tcPr>
            <w:tcW w:w="6180" w:type="dxa"/>
            <w:vAlign w:val="bottom"/>
            <w:gridSpan w:val="36"/>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333"/>
        </w:trPr>
        <w:tc>
          <w:tcPr>
            <w:tcW w:w="7780" w:type="dxa"/>
            <w:vAlign w:val="bottom"/>
            <w:gridSpan w:val="44"/>
          </w:tcPr>
          <w:p>
            <w:pPr>
              <w:spacing w:after="0"/>
              <w:rPr>
                <w:sz w:val="20"/>
                <w:szCs w:val="20"/>
                <w:color w:val="auto"/>
              </w:rPr>
            </w:pPr>
            <w:r>
              <w:rPr>
                <w:rFonts w:ascii="Times New Roman" w:cs="Times New Roman" w:eastAsia="Times New Roman" w:hAnsi="Times New Roman"/>
                <w:sz w:val="15"/>
                <w:szCs w:val="15"/>
                <w:color w:val="0000EE"/>
              </w:rPr>
              <w:t>EXECUTIVE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33"/>
        </w:trPr>
        <w:tc>
          <w:tcPr>
            <w:tcW w:w="440" w:type="dxa"/>
            <w:vAlign w:val="bottom"/>
          </w:tcPr>
          <w:p>
            <w:pPr>
              <w:spacing w:after="0"/>
              <w:rPr>
                <w:sz w:val="24"/>
                <w:szCs w:val="24"/>
                <w:color w:val="auto"/>
              </w:rPr>
            </w:pPr>
          </w:p>
        </w:tc>
        <w:tc>
          <w:tcPr>
            <w:tcW w:w="7340" w:type="dxa"/>
            <w:vAlign w:val="bottom"/>
            <w:gridSpan w:val="43"/>
          </w:tcPr>
          <w:p>
            <w:pPr>
              <w:spacing w:after="0"/>
              <w:rPr>
                <w:sz w:val="20"/>
                <w:szCs w:val="20"/>
                <w:color w:val="auto"/>
              </w:rPr>
            </w:pPr>
            <w:r>
              <w:rPr>
                <w:rFonts w:ascii="Times New Roman" w:cs="Times New Roman" w:eastAsia="Times New Roman" w:hAnsi="Times New Roman"/>
                <w:sz w:val="15"/>
                <w:szCs w:val="15"/>
                <w:color w:val="0000EE"/>
              </w:rPr>
              <w:t>Compensation Discussion and Analysis</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62"/>
        </w:trPr>
        <w:tc>
          <w:tcPr>
            <w:tcW w:w="440" w:type="dxa"/>
            <w:vAlign w:val="bottom"/>
          </w:tcPr>
          <w:p>
            <w:pPr>
              <w:spacing w:after="0"/>
              <w:rPr>
                <w:sz w:val="14"/>
                <w:szCs w:val="14"/>
                <w:color w:val="auto"/>
              </w:rPr>
            </w:pPr>
          </w:p>
        </w:tc>
        <w:tc>
          <w:tcPr>
            <w:tcW w:w="1040" w:type="dxa"/>
            <w:vAlign w:val="bottom"/>
            <w:tcBorders>
              <w:top w:val="single" w:sz="8" w:color="0000EE"/>
              <w:bottom w:val="single" w:sz="8" w:color="0000EE"/>
            </w:tcBorders>
            <w:gridSpan w:val="5"/>
          </w:tcPr>
          <w:p>
            <w:pPr>
              <w:spacing w:after="0" w:line="163" w:lineRule="exact"/>
              <w:rPr>
                <w:sz w:val="20"/>
                <w:szCs w:val="20"/>
                <w:color w:val="auto"/>
              </w:rPr>
            </w:pPr>
            <w:r>
              <w:rPr>
                <w:rFonts w:ascii="Times New Roman" w:cs="Times New Roman" w:eastAsia="Times New Roman" w:hAnsi="Times New Roman"/>
                <w:sz w:val="15"/>
                <w:szCs w:val="15"/>
                <w:color w:val="0000EE"/>
                <w:w w:val="99"/>
              </w:rPr>
              <w:t>Clawback Policy</w:t>
            </w:r>
          </w:p>
        </w:tc>
        <w:tc>
          <w:tcPr>
            <w:tcW w:w="1360" w:type="dxa"/>
            <w:vAlign w:val="bottom"/>
            <w:tcBorders>
              <w:top w:val="single" w:sz="8" w:color="0000EE"/>
            </w:tcBorders>
            <w:gridSpan w:val="22"/>
          </w:tcPr>
          <w:p>
            <w:pPr>
              <w:spacing w:after="0"/>
              <w:rPr>
                <w:sz w:val="14"/>
                <w:szCs w:val="14"/>
                <w:color w:val="auto"/>
              </w:rPr>
            </w:pPr>
          </w:p>
        </w:tc>
        <w:tc>
          <w:tcPr>
            <w:tcW w:w="4940" w:type="dxa"/>
            <w:vAlign w:val="bottom"/>
            <w:gridSpan w:val="16"/>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43</w:t>
            </w:r>
          </w:p>
        </w:tc>
      </w:tr>
      <w:tr>
        <w:trPr>
          <w:trHeight w:val="162"/>
        </w:trPr>
        <w:tc>
          <w:tcPr>
            <w:tcW w:w="440" w:type="dxa"/>
            <w:vAlign w:val="bottom"/>
          </w:tcPr>
          <w:p>
            <w:pPr>
              <w:spacing w:after="0"/>
              <w:rPr>
                <w:sz w:val="14"/>
                <w:szCs w:val="14"/>
                <w:color w:val="auto"/>
              </w:rPr>
            </w:pPr>
          </w:p>
        </w:tc>
        <w:tc>
          <w:tcPr>
            <w:tcW w:w="2700" w:type="dxa"/>
            <w:vAlign w:val="bottom"/>
            <w:tcBorders>
              <w:bottom w:val="single" w:sz="8" w:color="0000EE"/>
            </w:tcBorders>
            <w:gridSpan w:val="32"/>
          </w:tcPr>
          <w:p>
            <w:pPr>
              <w:spacing w:after="0" w:line="163" w:lineRule="exact"/>
              <w:rPr>
                <w:sz w:val="20"/>
                <w:szCs w:val="20"/>
                <w:color w:val="auto"/>
              </w:rPr>
            </w:pPr>
            <w:r>
              <w:rPr>
                <w:rFonts w:ascii="Times New Roman" w:cs="Times New Roman" w:eastAsia="Times New Roman" w:hAnsi="Times New Roman"/>
                <w:sz w:val="15"/>
                <w:szCs w:val="15"/>
                <w:color w:val="0000EE"/>
              </w:rPr>
              <w:t>Compensation of Named Executive Officers</w:t>
            </w:r>
          </w:p>
        </w:tc>
        <w:tc>
          <w:tcPr>
            <w:tcW w:w="4640" w:type="dxa"/>
            <w:vAlign w:val="bottom"/>
            <w:gridSpan w:val="11"/>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46</w:t>
            </w: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Executive Employment Agreements</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49</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60" w:type="dxa"/>
            <w:vAlign w:val="bottom"/>
            <w:gridSpan w:val="20"/>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20" w:type="dxa"/>
            <w:vAlign w:val="bottom"/>
            <w:gridSpan w:val="1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3620" w:type="dxa"/>
            <w:vAlign w:val="bottom"/>
            <w:tcBorders>
              <w:bottom w:val="single" w:sz="8" w:color="0000EE"/>
            </w:tcBorders>
            <w:gridSpan w:val="38"/>
          </w:tcPr>
          <w:p>
            <w:pPr>
              <w:spacing w:after="0" w:line="163" w:lineRule="exact"/>
              <w:rPr>
                <w:sz w:val="20"/>
                <w:szCs w:val="20"/>
                <w:color w:val="auto"/>
              </w:rPr>
            </w:pPr>
            <w:r>
              <w:rPr>
                <w:rFonts w:ascii="Times New Roman" w:cs="Times New Roman" w:eastAsia="Times New Roman" w:hAnsi="Times New Roman"/>
                <w:sz w:val="15"/>
                <w:szCs w:val="15"/>
                <w:color w:val="0000EE"/>
              </w:rPr>
              <w:t>Potential Payments upon Termination or Change in Control</w:t>
            </w:r>
          </w:p>
        </w:tc>
        <w:tc>
          <w:tcPr>
            <w:tcW w:w="3720" w:type="dxa"/>
            <w:vAlign w:val="bottom"/>
            <w:gridSpan w:val="5"/>
          </w:tcPr>
          <w:p>
            <w:pPr>
              <w:spacing w:after="0"/>
              <w:rPr>
                <w:sz w:val="14"/>
                <w:szCs w:val="14"/>
                <w:color w:val="auto"/>
              </w:rPr>
            </w:pP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52</w:t>
            </w: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Compensation Committee Report</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52</w:t>
            </w:r>
          </w:p>
        </w:tc>
      </w:tr>
      <w:tr>
        <w:trPr>
          <w:trHeight w:val="20"/>
        </w:trPr>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60" w:type="dxa"/>
            <w:vAlign w:val="bottom"/>
            <w:gridSpan w:val="20"/>
            <w:shd w:val="clear" w:color="auto" w:fill="0000EE"/>
          </w:tcPr>
          <w:p>
            <w:pPr>
              <w:spacing w:after="0" w:line="20" w:lineRule="exact"/>
              <w:rPr>
                <w:sz w:val="1"/>
                <w:szCs w:val="1"/>
                <w:color w:val="auto"/>
              </w:rPr>
            </w:pPr>
          </w:p>
        </w:tc>
        <w:tc>
          <w:tcPr>
            <w:tcW w:w="2800" w:type="dxa"/>
            <w:vAlign w:val="bottom"/>
            <w:gridSpan w:val="1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33"/>
        </w:trPr>
        <w:tc>
          <w:tcPr>
            <w:tcW w:w="6580" w:type="dxa"/>
            <w:vAlign w:val="bottom"/>
            <w:tcBorders>
              <w:bottom w:val="single" w:sz="8" w:color="0000EE"/>
            </w:tcBorders>
            <w:gridSpan w:val="42"/>
          </w:tcPr>
          <w:p>
            <w:pPr>
              <w:spacing w:after="0"/>
              <w:rPr>
                <w:sz w:val="20"/>
                <w:szCs w:val="20"/>
                <w:color w:val="auto"/>
              </w:rPr>
            </w:pPr>
            <w:r>
              <w:rPr>
                <w:rFonts w:ascii="Times New Roman" w:cs="Times New Roman" w:eastAsia="Times New Roman" w:hAnsi="Times New Roman"/>
                <w:sz w:val="15"/>
                <w:szCs w:val="15"/>
                <w:color w:val="0000EE"/>
              </w:rPr>
              <w:t>PROPOSAL NO. 3 RATIFICATION OF INDEPENDENT REGISTERED PUBLIC ACCOUNTING FIRM</w:t>
            </w:r>
          </w:p>
        </w:tc>
        <w:tc>
          <w:tcPr>
            <w:tcW w:w="120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333"/>
        </w:trPr>
        <w:tc>
          <w:tcPr>
            <w:tcW w:w="440" w:type="dxa"/>
            <w:vAlign w:val="bottom"/>
          </w:tcPr>
          <w:p>
            <w:pPr>
              <w:spacing w:after="0"/>
              <w:rPr>
                <w:sz w:val="24"/>
                <w:szCs w:val="24"/>
                <w:color w:val="auto"/>
              </w:rPr>
            </w:pPr>
          </w:p>
        </w:tc>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4"/>
              </w:rPr>
              <w:t>Fees</w:t>
            </w:r>
          </w:p>
        </w:tc>
        <w:tc>
          <w:tcPr>
            <w:tcW w:w="7060" w:type="dxa"/>
            <w:vAlign w:val="bottom"/>
            <w:gridSpan w:val="4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162"/>
        </w:trPr>
        <w:tc>
          <w:tcPr>
            <w:tcW w:w="440" w:type="dxa"/>
            <w:vAlign w:val="bottom"/>
          </w:tcPr>
          <w:p>
            <w:pPr>
              <w:spacing w:after="0"/>
              <w:rPr>
                <w:sz w:val="14"/>
                <w:szCs w:val="14"/>
                <w:color w:val="auto"/>
              </w:rPr>
            </w:pPr>
          </w:p>
        </w:tc>
        <w:tc>
          <w:tcPr>
            <w:tcW w:w="7340" w:type="dxa"/>
            <w:vAlign w:val="bottom"/>
            <w:gridSpan w:val="43"/>
          </w:tcPr>
          <w:p>
            <w:pPr>
              <w:spacing w:after="0" w:line="163" w:lineRule="exact"/>
              <w:rPr>
                <w:sz w:val="20"/>
                <w:szCs w:val="20"/>
                <w:color w:val="auto"/>
              </w:rPr>
            </w:pPr>
            <w:r>
              <w:rPr>
                <w:rFonts w:ascii="Times New Roman" w:cs="Times New Roman" w:eastAsia="Times New Roman" w:hAnsi="Times New Roman"/>
                <w:sz w:val="15"/>
                <w:szCs w:val="15"/>
                <w:color w:val="0000EE"/>
              </w:rPr>
              <w:t>Approval of Independent Registered Public Accounting Firm Services and Fees</w:t>
            </w:r>
          </w:p>
        </w:tc>
        <w:tc>
          <w:tcPr>
            <w:tcW w:w="116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54</w:t>
            </w:r>
          </w:p>
        </w:tc>
      </w:tr>
      <w:tr>
        <w:trPr>
          <w:trHeight w:val="678"/>
        </w:trPr>
        <w:tc>
          <w:tcPr>
            <w:tcW w:w="44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6"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7500" w:type="dxa"/>
            <w:vAlign w:val="bottom"/>
            <w:gridSpan w:val="11"/>
          </w:tcPr>
          <w:p>
            <w:pPr>
              <w:spacing w:after="0"/>
              <w:rPr>
                <w:sz w:val="20"/>
                <w:szCs w:val="20"/>
                <w:color w:val="auto"/>
              </w:rPr>
            </w:pPr>
            <w:r>
              <w:rPr>
                <w:rFonts w:ascii="Times New Roman" w:cs="Times New Roman" w:eastAsia="Times New Roman" w:hAnsi="Times New Roman"/>
                <w:sz w:val="15"/>
                <w:szCs w:val="15"/>
                <w:color w:val="0000EE"/>
              </w:rPr>
              <w:t>AUDIT COMMITTEE REPORT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20"/>
        </w:trPr>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7060" w:type="dxa"/>
            <w:vAlign w:val="bottom"/>
            <w:gridSpan w:val="10"/>
          </w:tcPr>
          <w:p>
            <w:pPr>
              <w:spacing w:after="0" w:line="163" w:lineRule="exact"/>
              <w:rPr>
                <w:sz w:val="20"/>
                <w:szCs w:val="20"/>
                <w:color w:val="auto"/>
              </w:rPr>
            </w:pPr>
            <w:r>
              <w:rPr>
                <w:rFonts w:ascii="Times New Roman" w:cs="Times New Roman" w:eastAsia="Times New Roman" w:hAnsi="Times New Roman"/>
                <w:sz w:val="15"/>
                <w:szCs w:val="15"/>
                <w:color w:val="0000EE"/>
              </w:rPr>
              <w:t>Primary Responsibilities of the Audit Committee and the Audit Committee’s Activities in 202</w:t>
            </w:r>
            <w:r>
              <w:rPr>
                <w:rFonts w:ascii="Times New Roman" w:cs="Times New Roman" w:eastAsia="Times New Roman" w:hAnsi="Times New Roman"/>
                <w:sz w:val="15"/>
                <w:szCs w:val="15"/>
                <w:color w:val="000000"/>
              </w:rPr>
              <w:t>1</w:t>
            </w:r>
          </w:p>
        </w:tc>
        <w:tc>
          <w:tcPr>
            <w:tcW w:w="14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54</w:t>
            </w:r>
          </w:p>
        </w:tc>
      </w:tr>
      <w:tr>
        <w:trPr>
          <w:trHeight w:val="162"/>
        </w:trPr>
        <w:tc>
          <w:tcPr>
            <w:tcW w:w="440" w:type="dxa"/>
            <w:vAlign w:val="bottom"/>
          </w:tcPr>
          <w:p>
            <w:pPr>
              <w:spacing w:after="0"/>
              <w:rPr>
                <w:sz w:val="14"/>
                <w:szCs w:val="14"/>
                <w:color w:val="auto"/>
              </w:rPr>
            </w:pPr>
          </w:p>
        </w:tc>
        <w:tc>
          <w:tcPr>
            <w:tcW w:w="2140" w:type="dxa"/>
            <w:vAlign w:val="bottom"/>
            <w:tcBorders>
              <w:top w:val="single" w:sz="8" w:color="0000EE"/>
              <w:bottom w:val="single" w:sz="8" w:color="0000EE"/>
            </w:tcBorders>
            <w:gridSpan w:val="4"/>
          </w:tcPr>
          <w:p>
            <w:pPr>
              <w:spacing w:after="0" w:line="163" w:lineRule="exact"/>
              <w:rPr>
                <w:sz w:val="20"/>
                <w:szCs w:val="20"/>
                <w:color w:val="auto"/>
              </w:rPr>
            </w:pPr>
            <w:r>
              <w:rPr>
                <w:rFonts w:ascii="Times New Roman" w:cs="Times New Roman" w:eastAsia="Times New Roman" w:hAnsi="Times New Roman"/>
                <w:sz w:val="15"/>
                <w:szCs w:val="15"/>
                <w:color w:val="0000EE"/>
              </w:rPr>
              <w:t>2021 Audited Financial Statements</w:t>
            </w:r>
          </w:p>
        </w:tc>
        <w:tc>
          <w:tcPr>
            <w:tcW w:w="3580" w:type="dxa"/>
            <w:vAlign w:val="bottom"/>
            <w:tcBorders>
              <w:top w:val="single" w:sz="8" w:color="0000EE"/>
            </w:tcBorders>
            <w:gridSpan w:val="5"/>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55</w:t>
            </w:r>
          </w:p>
        </w:tc>
      </w:tr>
      <w:tr>
        <w:trPr>
          <w:trHeight w:val="345"/>
        </w:trPr>
        <w:tc>
          <w:tcPr>
            <w:tcW w:w="33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5"/>
                <w:szCs w:val="15"/>
                <w:color w:val="0000EE"/>
              </w:rPr>
              <w:t>BENEFICIAL OWNERSHIP OF COMMON STOCK</w:t>
            </w:r>
          </w:p>
        </w:tc>
        <w:tc>
          <w:tcPr>
            <w:tcW w:w="4180" w:type="dxa"/>
            <w:vAlign w:val="bottom"/>
            <w:gridSpan w:val="4"/>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345"/>
        </w:trPr>
        <w:tc>
          <w:tcPr>
            <w:tcW w:w="7500" w:type="dxa"/>
            <w:vAlign w:val="bottom"/>
            <w:gridSpan w:val="11"/>
          </w:tcPr>
          <w:p>
            <w:pPr>
              <w:spacing w:after="0"/>
              <w:rPr>
                <w:sz w:val="20"/>
                <w:szCs w:val="20"/>
                <w:color w:val="auto"/>
              </w:rPr>
            </w:pPr>
            <w:r>
              <w:rPr>
                <w:rFonts w:ascii="Times New Roman" w:cs="Times New Roman" w:eastAsia="Times New Roman" w:hAnsi="Times New Roman"/>
                <w:sz w:val="15"/>
                <w:szCs w:val="15"/>
                <w:color w:val="0000EE"/>
              </w:rPr>
              <w:t>CERTAIN RELATIONSHIPS AND RELATED TRANSACTIONS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345"/>
        </w:trPr>
        <w:tc>
          <w:tcPr>
            <w:tcW w:w="440" w:type="dxa"/>
            <w:vAlign w:val="bottom"/>
            <w:tcBorders>
              <w:top w:val="single" w:sz="8" w:color="0000EE"/>
            </w:tcBorders>
          </w:tcPr>
          <w:p>
            <w:pPr>
              <w:spacing w:after="0"/>
              <w:rPr>
                <w:sz w:val="24"/>
                <w:szCs w:val="24"/>
                <w:color w:val="auto"/>
              </w:rPr>
            </w:pPr>
          </w:p>
        </w:tc>
        <w:tc>
          <w:tcPr>
            <w:tcW w:w="33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5"/>
                <w:szCs w:val="15"/>
                <w:color w:val="0000EE"/>
              </w:rPr>
              <w:t>Policies and Procedures for Related Party Transactions</w:t>
            </w:r>
          </w:p>
        </w:tc>
        <w:tc>
          <w:tcPr>
            <w:tcW w:w="320" w:type="dxa"/>
            <w:vAlign w:val="bottom"/>
            <w:tcBorders>
              <w:top w:val="single" w:sz="8" w:color="0000EE"/>
            </w:tcBorders>
          </w:tcPr>
          <w:p>
            <w:pPr>
              <w:spacing w:after="0"/>
              <w:rPr>
                <w:sz w:val="24"/>
                <w:szCs w:val="24"/>
                <w:color w:val="auto"/>
              </w:rPr>
            </w:pPr>
          </w:p>
        </w:tc>
        <w:tc>
          <w:tcPr>
            <w:tcW w:w="3400" w:type="dxa"/>
            <w:vAlign w:val="bottom"/>
            <w:gridSpan w:val="2"/>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62"/>
        </w:trPr>
        <w:tc>
          <w:tcPr>
            <w:tcW w:w="440" w:type="dxa"/>
            <w:vAlign w:val="bottom"/>
          </w:tcPr>
          <w:p>
            <w:pPr>
              <w:spacing w:after="0"/>
              <w:rPr>
                <w:sz w:val="14"/>
                <w:szCs w:val="14"/>
                <w:color w:val="auto"/>
              </w:rPr>
            </w:pPr>
          </w:p>
        </w:tc>
        <w:tc>
          <w:tcPr>
            <w:tcW w:w="1260" w:type="dxa"/>
            <w:vAlign w:val="bottom"/>
            <w:tcBorders>
              <w:bottom w:val="single" w:sz="8" w:color="0000EE"/>
            </w:tcBorders>
          </w:tcPr>
          <w:p>
            <w:pPr>
              <w:spacing w:after="0" w:line="163" w:lineRule="exact"/>
              <w:rPr>
                <w:sz w:val="20"/>
                <w:szCs w:val="20"/>
                <w:color w:val="auto"/>
              </w:rPr>
            </w:pPr>
            <w:r>
              <w:rPr>
                <w:rFonts w:ascii="Times New Roman" w:cs="Times New Roman" w:eastAsia="Times New Roman" w:hAnsi="Times New Roman"/>
                <w:sz w:val="15"/>
                <w:szCs w:val="15"/>
                <w:color w:val="0000EE"/>
                <w:w w:val="99"/>
              </w:rPr>
              <w:t>Certain Transactions</w:t>
            </w:r>
          </w:p>
        </w:tc>
        <w:tc>
          <w:tcPr>
            <w:tcW w:w="5800" w:type="dxa"/>
            <w:vAlign w:val="bottom"/>
            <w:gridSpan w:val="9"/>
          </w:tcPr>
          <w:p>
            <w:pPr>
              <w:spacing w:after="0"/>
              <w:rPr>
                <w:sz w:val="14"/>
                <w:szCs w:val="14"/>
                <w:color w:val="auto"/>
              </w:rPr>
            </w:pPr>
          </w:p>
        </w:tc>
        <w:tc>
          <w:tcPr>
            <w:tcW w:w="14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59</w:t>
            </w:r>
          </w:p>
        </w:tc>
      </w:tr>
      <w:tr>
        <w:trPr>
          <w:trHeight w:val="345"/>
        </w:trPr>
        <w:tc>
          <w:tcPr>
            <w:tcW w:w="28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5"/>
                <w:szCs w:val="15"/>
                <w:color w:val="0000EE"/>
              </w:rPr>
              <w:t>HOUSEHOLDING OF PROXY MATERIALS</w:t>
            </w:r>
          </w:p>
        </w:tc>
        <w:tc>
          <w:tcPr>
            <w:tcW w:w="4620" w:type="dxa"/>
            <w:vAlign w:val="bottom"/>
            <w:gridSpan w:val="5"/>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345"/>
        </w:trPr>
        <w:tc>
          <w:tcPr>
            <w:tcW w:w="7500" w:type="dxa"/>
            <w:vAlign w:val="bottom"/>
            <w:gridSpan w:val="11"/>
          </w:tcPr>
          <w:p>
            <w:pPr>
              <w:spacing w:after="0"/>
              <w:rPr>
                <w:sz w:val="20"/>
                <w:szCs w:val="20"/>
                <w:color w:val="auto"/>
              </w:rPr>
            </w:pPr>
            <w:r>
              <w:rPr>
                <w:rFonts w:ascii="Times New Roman" w:cs="Times New Roman" w:eastAsia="Times New Roman" w:hAnsi="Times New Roman"/>
                <w:sz w:val="15"/>
                <w:szCs w:val="15"/>
                <w:color w:val="0000EE"/>
              </w:rPr>
              <w:t>ADDITIONAL 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678"/>
        </w:trPr>
        <w:tc>
          <w:tcPr>
            <w:tcW w:w="44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6"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1412875</wp:posOffset>
            </wp:positionV>
            <wp:extent cx="56692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9280" cy="6985"/>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587375</wp:posOffset>
            </wp:positionV>
            <wp:extent cx="4692015" cy="709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92015" cy="70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112395</wp:posOffset>
            </wp:positionV>
            <wp:extent cx="566928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332" w:lineRule="exact"/>
        <w:rPr>
          <w:sz w:val="20"/>
          <w:szCs w:val="20"/>
          <w:color w:val="auto"/>
        </w:rPr>
      </w:pPr>
    </w:p>
    <w:p>
      <w:pPr>
        <w:jc w:val="both"/>
        <w:ind w:left="40" w:right="139" w:firstLine="547"/>
        <w:spacing w:after="0" w:line="273" w:lineRule="auto"/>
        <w:rPr>
          <w:sz w:val="20"/>
          <w:szCs w:val="20"/>
          <w:color w:val="auto"/>
        </w:rPr>
      </w:pPr>
      <w:r>
        <w:rPr>
          <w:rFonts w:ascii="Times New Roman" w:cs="Times New Roman" w:eastAsia="Times New Roman" w:hAnsi="Times New Roman"/>
          <w:sz w:val="15"/>
          <w:szCs w:val="15"/>
          <w:i w:val="1"/>
          <w:iCs w:val="1"/>
          <w:color w:val="auto"/>
        </w:rPr>
        <w:t>This summary highlights information contained elsewhere in the Proxy Statement. This summary does not contain all of the information that you should consider, and you should read the entire Proxy Statement before voting. For more complete information regarding the Company’s 2021 performance, please review the Company’s Annual Report on Form 10-K for the year ended December 31, 2021.</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-104140</wp:posOffset>
            </wp:positionV>
            <wp:extent cx="566928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INFORMATION</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Date and Time:</w:t>
            </w:r>
          </w:p>
        </w:tc>
        <w:tc>
          <w:tcPr>
            <w:tcW w:w="76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5"/>
                <w:szCs w:val="15"/>
                <w:color w:val="auto"/>
              </w:rPr>
              <w:t>Thursday, June 9, 2022 10:30 a.m., Arizona time</w:t>
            </w:r>
          </w:p>
        </w:tc>
      </w:tr>
      <w:tr>
        <w:trPr>
          <w:trHeight w:val="346"/>
        </w:trPr>
        <w:tc>
          <w:tcPr>
            <w:tcW w:w="1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7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April 14, 2022</w:t>
            </w: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Place:</w:t>
            </w:r>
          </w:p>
        </w:tc>
        <w:tc>
          <w:tcPr>
            <w:tcW w:w="7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Grand Canyon Education, Inc.</w:t>
            </w:r>
          </w:p>
        </w:tc>
      </w:tr>
      <w:tr>
        <w:trPr>
          <w:trHeight w:val="182"/>
        </w:trPr>
        <w:tc>
          <w:tcPr>
            <w:tcW w:w="1280" w:type="dxa"/>
            <w:vAlign w:val="bottom"/>
          </w:tcPr>
          <w:p>
            <w:pPr>
              <w:spacing w:after="0"/>
              <w:rPr>
                <w:sz w:val="15"/>
                <w:szCs w:val="15"/>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2600 W. Camelback Road</w:t>
            </w:r>
          </w:p>
        </w:tc>
      </w:tr>
      <w:tr>
        <w:trPr>
          <w:trHeight w:val="197"/>
        </w:trPr>
        <w:tc>
          <w:tcPr>
            <w:tcW w:w="1280" w:type="dxa"/>
            <w:vAlign w:val="bottom"/>
          </w:tcPr>
          <w:p>
            <w:pPr>
              <w:spacing w:after="0"/>
              <w:rPr>
                <w:sz w:val="17"/>
                <w:szCs w:val="17"/>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Phoenix, Arizona 85017</w:t>
            </w: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Voting:</w:t>
            </w:r>
          </w:p>
        </w:tc>
        <w:tc>
          <w:tcPr>
            <w:tcW w:w="7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The accompanying proxy statement describes important issues affecting Grand Canyon Education, Inc. If you are a</w:t>
            </w:r>
          </w:p>
        </w:tc>
      </w:tr>
      <w:tr>
        <w:trPr>
          <w:trHeight w:val="182"/>
        </w:trPr>
        <w:tc>
          <w:tcPr>
            <w:tcW w:w="1280" w:type="dxa"/>
            <w:vAlign w:val="bottom"/>
          </w:tcPr>
          <w:p>
            <w:pPr>
              <w:spacing w:after="0"/>
              <w:rPr>
                <w:sz w:val="15"/>
                <w:szCs w:val="15"/>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stockholder of record as of the record date, you have the right to submit your proxy through the Internet, by telephone or</w:t>
            </w:r>
          </w:p>
        </w:tc>
      </w:tr>
      <w:tr>
        <w:trPr>
          <w:trHeight w:val="182"/>
        </w:trPr>
        <w:tc>
          <w:tcPr>
            <w:tcW w:w="1280" w:type="dxa"/>
            <w:vAlign w:val="bottom"/>
          </w:tcPr>
          <w:p>
            <w:pPr>
              <w:spacing w:after="0"/>
              <w:rPr>
                <w:sz w:val="15"/>
                <w:szCs w:val="15"/>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by mail. Please help us save time and administrative costs by submitting your proxy through the Internet or by</w:t>
            </w:r>
          </w:p>
        </w:tc>
      </w:tr>
      <w:tr>
        <w:trPr>
          <w:trHeight w:val="182"/>
        </w:trPr>
        <w:tc>
          <w:tcPr>
            <w:tcW w:w="1280" w:type="dxa"/>
            <w:vAlign w:val="bottom"/>
          </w:tcPr>
          <w:p>
            <w:pPr>
              <w:spacing w:after="0"/>
              <w:rPr>
                <w:sz w:val="15"/>
                <w:szCs w:val="15"/>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telephone. Each method is generally available 24 hours a day and will ensure that your voting instructions are confirmed</w:t>
            </w:r>
          </w:p>
        </w:tc>
      </w:tr>
      <w:tr>
        <w:trPr>
          <w:trHeight w:val="197"/>
        </w:trPr>
        <w:tc>
          <w:tcPr>
            <w:tcW w:w="1280" w:type="dxa"/>
            <w:vAlign w:val="bottom"/>
          </w:tcPr>
          <w:p>
            <w:pPr>
              <w:spacing w:after="0"/>
              <w:rPr>
                <w:sz w:val="17"/>
                <w:szCs w:val="17"/>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and posted immediately. Stockholders of record as of April 14, 2022 may cast their votes in any of the following ways: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281940</wp:posOffset>
            </wp:positionV>
            <wp:extent cx="246380" cy="441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380" cy="44196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253365</wp:posOffset>
            </wp:positionV>
            <wp:extent cx="499745" cy="470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745" cy="47053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304165</wp:posOffset>
            </wp:positionV>
            <wp:extent cx="369570" cy="419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9570" cy="419735"/>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122555</wp:posOffset>
            </wp:positionV>
            <wp:extent cx="455930" cy="600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5930" cy="60071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3"/>
          <w:szCs w:val="13"/>
          <w:b w:val="1"/>
          <w:bCs w:val="1"/>
          <w:color w:val="3C5F52"/>
        </w:rPr>
        <w:t>Internet</w:t>
      </w:r>
    </w:p>
    <w:p>
      <w:pPr>
        <w:spacing w:after="0" w:line="3" w:lineRule="exact"/>
        <w:rPr>
          <w:sz w:val="20"/>
          <w:szCs w:val="20"/>
          <w:color w:val="auto"/>
        </w:rPr>
      </w:pPr>
    </w:p>
    <w:p>
      <w:pPr>
        <w:jc w:val="both"/>
        <w:ind w:left="40"/>
        <w:spacing w:after="0" w:line="224" w:lineRule="auto"/>
        <w:rPr>
          <w:sz w:val="20"/>
          <w:szCs w:val="20"/>
          <w:color w:val="auto"/>
        </w:rPr>
      </w:pPr>
      <w:r>
        <w:rPr>
          <w:rFonts w:ascii="Times New Roman" w:cs="Times New Roman" w:eastAsia="Times New Roman" w:hAnsi="Times New Roman"/>
          <w:sz w:val="13"/>
          <w:szCs w:val="13"/>
          <w:color w:val="auto"/>
        </w:rPr>
        <w:t xml:space="preserve">Visit </w:t>
      </w:r>
      <w:r>
        <w:rPr>
          <w:rFonts w:ascii="Times New Roman" w:cs="Times New Roman" w:eastAsia="Times New Roman" w:hAnsi="Times New Roman"/>
          <w:sz w:val="13"/>
          <w:szCs w:val="13"/>
          <w:i w:val="1"/>
          <w:iCs w:val="1"/>
          <w:color w:val="auto"/>
        </w:rPr>
        <w:t>www.investorvote.com/LOPE</w:t>
      </w:r>
      <w:r>
        <w:rPr>
          <w:rFonts w:ascii="Times New Roman" w:cs="Times New Roman" w:eastAsia="Times New Roman" w:hAnsi="Times New Roman"/>
          <w:sz w:val="13"/>
          <w:szCs w:val="13"/>
          <w:color w:val="auto"/>
        </w:rPr>
        <w:t>, 24 hours a day, seven days a week, through 11:00 p.m. (PT) on June 8, 2022. Please have available your notice card. Follow the simple instructions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3C5F52"/>
        </w:rPr>
        <w:t>Phone</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Call 1-800-652-VOTE (8683), 24 hours a day, seven days a week, through 11:00 p.m. (PT) on June 8, 2022. Please have available your notice card. Follow the simple instructions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3C5F52"/>
        </w:rPr>
        <w:t>Mail</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3"/>
          <w:szCs w:val="13"/>
          <w:color w:val="auto"/>
        </w:rPr>
        <w:t>Mark, sign and date your proxy card. Return it in the enclosed postage-paid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3C5F52"/>
        </w:rPr>
        <w:t>In Person</w:t>
      </w:r>
    </w:p>
    <w:p>
      <w:pPr>
        <w:spacing w:after="0" w:line="3" w:lineRule="exact"/>
        <w:rPr>
          <w:sz w:val="20"/>
          <w:szCs w:val="20"/>
          <w:color w:val="auto"/>
        </w:rPr>
      </w:pPr>
    </w:p>
    <w:p>
      <w:pPr>
        <w:jc w:val="both"/>
        <w:ind w:right="59"/>
        <w:spacing w:after="0" w:line="224" w:lineRule="auto"/>
        <w:rPr>
          <w:sz w:val="20"/>
          <w:szCs w:val="20"/>
          <w:color w:val="auto"/>
        </w:rPr>
      </w:pPr>
      <w:r>
        <w:rPr>
          <w:rFonts w:ascii="Times New Roman" w:cs="Times New Roman" w:eastAsia="Times New Roman" w:hAnsi="Times New Roman"/>
          <w:sz w:val="13"/>
          <w:szCs w:val="13"/>
          <w:color w:val="auto"/>
        </w:rPr>
        <w:t>If you plan to attend the meeting in person, you will need to bring a picture ID and proof of ownership of Grand Canyon Education, Inc. common stock as of the record date.</w:t>
      </w:r>
    </w:p>
    <w:p>
      <w:pPr>
        <w:spacing w:after="0" w:line="203" w:lineRule="exact"/>
        <w:rPr>
          <w:sz w:val="20"/>
          <w:szCs w:val="20"/>
          <w:color w:val="auto"/>
        </w:rPr>
      </w:pPr>
    </w:p>
    <w:p>
      <w:pPr>
        <w:sectPr>
          <w:pgSz w:w="11900" w:h="16838" w:orient="portrait"/>
          <w:cols w:equalWidth="0" w:num="4">
            <w:col w:w="2140" w:space="180"/>
            <w:col w:w="2080" w:space="180"/>
            <w:col w:w="2100" w:space="200"/>
            <w:col w:w="2139"/>
          </w:cols>
          <w:pgMar w:left="1440" w:top="456"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587375</wp:posOffset>
            </wp:positionV>
            <wp:extent cx="567626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62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right="2999"/>
        <w:spacing w:after="0" w:line="436" w:lineRule="auto"/>
        <w:rPr>
          <w:sz w:val="20"/>
          <w:szCs w:val="20"/>
          <w:color w:val="auto"/>
        </w:rPr>
      </w:pPr>
      <w:r>
        <w:rPr>
          <w:rFonts w:ascii="Times New Roman" w:cs="Times New Roman" w:eastAsia="Times New Roman" w:hAnsi="Times New Roman"/>
          <w:sz w:val="15"/>
          <w:szCs w:val="15"/>
          <w:b w:val="1"/>
          <w:bCs w:val="1"/>
          <w:color w:val="auto"/>
        </w:rPr>
        <w:t xml:space="preserve">SUMMARY OF MATTERS TO BE VOTED UPON AND BOARD RECOMMENDATIONS </w:t>
      </w:r>
      <w:r>
        <w:rPr>
          <w:rFonts w:ascii="Times New Roman" w:cs="Times New Roman" w:eastAsia="Times New Roman" w:hAnsi="Times New Roman"/>
          <w:sz w:val="15"/>
          <w:szCs w:val="15"/>
          <w:i w:val="1"/>
          <w:iCs w:val="1"/>
          <w:color w:val="auto"/>
        </w:rPr>
        <w:t>Stockholders are being asked to vote on the following matters at the Annual Meeting:</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19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Proposal</w:t>
            </w:r>
          </w:p>
        </w:tc>
        <w:tc>
          <w:tcPr>
            <w:tcW w:w="39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Description</w:t>
            </w:r>
          </w:p>
        </w:tc>
        <w:tc>
          <w:tcPr>
            <w:tcW w:w="1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Board</w:t>
            </w:r>
          </w:p>
        </w:tc>
        <w:tc>
          <w:tcPr>
            <w:tcW w:w="1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Page Reference for</w:t>
            </w:r>
          </w:p>
        </w:tc>
      </w:tr>
      <w:tr>
        <w:trPr>
          <w:trHeight w:val="183"/>
        </w:trPr>
        <w:tc>
          <w:tcPr>
            <w:tcW w:w="19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Recommendation</w:t>
            </w:r>
          </w:p>
        </w:tc>
        <w:tc>
          <w:tcPr>
            <w:tcW w:w="1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Further Information:</w:t>
            </w:r>
          </w:p>
        </w:tc>
      </w:tr>
      <w:tr>
        <w:trPr>
          <w:trHeight w:val="151"/>
        </w:trPr>
        <w:tc>
          <w:tcPr>
            <w:tcW w:w="1920" w:type="dxa"/>
            <w:vAlign w:val="bottom"/>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 xml:space="preserve">1  </w:t>
            </w:r>
            <w:r>
              <w:rPr>
                <w:rFonts w:ascii="Times New Roman" w:cs="Times New Roman" w:eastAsia="Times New Roman" w:hAnsi="Times New Roman"/>
                <w:sz w:val="14"/>
                <w:szCs w:val="14"/>
                <w:i w:val="1"/>
                <w:iCs w:val="1"/>
                <w:color w:val="auto"/>
              </w:rPr>
              <w:t>To elect six directors to our</w:t>
            </w:r>
          </w:p>
        </w:tc>
        <w:tc>
          <w:tcPr>
            <w:tcW w:w="3920" w:type="dxa"/>
            <w:vAlign w:val="bottom"/>
          </w:tcPr>
          <w:p>
            <w:pPr>
              <w:ind w:left="160"/>
              <w:spacing w:after="0" w:line="151" w:lineRule="exact"/>
              <w:rPr>
                <w:sz w:val="20"/>
                <w:szCs w:val="20"/>
                <w:color w:val="auto"/>
              </w:rPr>
            </w:pPr>
            <w:r>
              <w:rPr>
                <w:rFonts w:ascii="Times New Roman" w:cs="Times New Roman" w:eastAsia="Times New Roman" w:hAnsi="Times New Roman"/>
                <w:sz w:val="14"/>
                <w:szCs w:val="14"/>
                <w:color w:val="auto"/>
              </w:rPr>
              <w:t>The Board and the Nominating and Corporate Governance</w:t>
            </w:r>
          </w:p>
        </w:tc>
        <w:tc>
          <w:tcPr>
            <w:tcW w:w="140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each director</w:t>
            </w:r>
          </w:p>
        </w:tc>
        <w:tc>
          <w:tcPr>
            <w:tcW w:w="1700" w:type="dxa"/>
            <w:vAlign w:val="bottom"/>
          </w:tcPr>
          <w:p>
            <w:pPr>
              <w:jc w:val="right"/>
              <w:ind w:right="1232"/>
              <w:spacing w:after="0" w:line="151" w:lineRule="exact"/>
              <w:rPr>
                <w:sz w:val="20"/>
                <w:szCs w:val="20"/>
                <w:color w:val="auto"/>
              </w:rPr>
            </w:pPr>
            <w:r>
              <w:rPr>
                <w:rFonts w:ascii="Times New Roman" w:cs="Times New Roman" w:eastAsia="Times New Roman" w:hAnsi="Times New Roman"/>
                <w:sz w:val="14"/>
                <w:szCs w:val="14"/>
                <w:color w:val="auto"/>
              </w:rPr>
              <w:t>27</w:t>
            </w:r>
          </w:p>
        </w:tc>
      </w:tr>
      <w:tr>
        <w:trPr>
          <w:trHeight w:val="175"/>
        </w:trPr>
        <w:tc>
          <w:tcPr>
            <w:tcW w:w="192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w:t>
            </w:r>
          </w:p>
        </w:tc>
        <w:tc>
          <w:tcPr>
            <w:tcW w:w="3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Committee believe that the six director nominees possess the</w:t>
            </w:r>
          </w:p>
        </w:tc>
        <w:tc>
          <w:tcPr>
            <w:tcW w:w="1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nominee</w:t>
            </w:r>
          </w:p>
        </w:tc>
        <w:tc>
          <w:tcPr>
            <w:tcW w:w="1700" w:type="dxa"/>
            <w:vAlign w:val="bottom"/>
          </w:tcPr>
          <w:p>
            <w:pPr>
              <w:spacing w:after="0"/>
              <w:rPr>
                <w:sz w:val="15"/>
                <w:szCs w:val="15"/>
                <w:color w:val="auto"/>
              </w:rPr>
            </w:pPr>
          </w:p>
        </w:tc>
      </w:tr>
      <w:tr>
        <w:trPr>
          <w:trHeight w:val="171"/>
        </w:trPr>
        <w:tc>
          <w:tcPr>
            <w:tcW w:w="1920" w:type="dxa"/>
            <w:vAlign w:val="bottom"/>
          </w:tcPr>
          <w:p>
            <w:pPr>
              <w:spacing w:after="0"/>
              <w:rPr>
                <w:sz w:val="14"/>
                <w:szCs w:val="14"/>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necessary qualifications, attributes, skills and experiences to</w:t>
            </w: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provide quality advice and counsel to the Company’s management</w:t>
            </w: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effectively oversee the business and long-term interests of our</w:t>
            </w:r>
          </w:p>
        </w:tc>
        <w:tc>
          <w:tcPr>
            <w:tcW w:w="14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6"/>
        </w:trPr>
        <w:tc>
          <w:tcPr>
            <w:tcW w:w="1920" w:type="dxa"/>
            <w:vAlign w:val="bottom"/>
          </w:tcPr>
          <w:p>
            <w:pPr>
              <w:spacing w:after="0"/>
              <w:rPr>
                <w:sz w:val="15"/>
                <w:szCs w:val="15"/>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stockholders.</w:t>
            </w:r>
          </w:p>
        </w:tc>
        <w:tc>
          <w:tcPr>
            <w:tcW w:w="140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162" w:lineRule="exact"/>
        <w:rPr>
          <w:sz w:val="20"/>
          <w:szCs w:val="20"/>
          <w:color w:val="auto"/>
        </w:rPr>
      </w:pPr>
    </w:p>
    <w:p>
      <w:pPr>
        <w:sectPr>
          <w:pgSz w:w="11900" w:h="16838" w:orient="portrait"/>
          <w:cols w:equalWidth="0" w:num="1">
            <w:col w:w="9019"/>
          </w:cols>
          <w:pgMar w:left="1440" w:top="456" w:right="1440" w:bottom="1440" w:gutter="0" w:footer="0" w:header="0"/>
        </w:sectPr>
      </w:pPr>
    </w:p>
    <w:p>
      <w:pPr>
        <w:ind w:left="320" w:right="20" w:hanging="171"/>
        <w:spacing w:after="0" w:line="299" w:lineRule="auto"/>
        <w:tabs>
          <w:tab w:leader="none" w:pos="327"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To approve, on an advisory basis, the compensation of our named executive officers.</w:t>
      </w:r>
    </w:p>
    <w:p>
      <w:pPr>
        <w:spacing w:after="0" w:line="296" w:lineRule="exact"/>
        <w:rPr>
          <w:sz w:val="20"/>
          <w:szCs w:val="20"/>
          <w:color w:val="auto"/>
        </w:rPr>
      </w:pPr>
    </w:p>
    <w:p>
      <w:pPr>
        <w:ind w:left="320" w:hanging="171"/>
        <w:spacing w:after="0" w:line="264" w:lineRule="auto"/>
        <w:tabs>
          <w:tab w:leader="none" w:pos="327"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To ratify the appointment of KPMG LLP as our independent registered public accounting firm.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The Company seeks the approval, on an advisory, basis, of the</w:t>
            </w: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7"/>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of its named executive officers as described in the</w:t>
            </w: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xml:space="preserve">Compensation Discussion and Analysis </w:t>
            </w:r>
            <w:r>
              <w:rPr>
                <w:rFonts w:ascii="Times New Roman" w:cs="Times New Roman" w:eastAsia="Times New Roman" w:hAnsi="Times New Roman"/>
                <w:sz w:val="14"/>
                <w:szCs w:val="14"/>
                <w:color w:val="auto"/>
              </w:rPr>
              <w:t>section and the related</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tables.</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37"/>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The Audit Committee and the Board believe that the retention of</w:t>
            </w: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1"/>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KPMG LLP to serve as our independent registered public</w:t>
            </w: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accounting firm for the fiscal year ending December 31, 2022 is in</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jc w:val="both"/>
        <w:ind w:right="3319"/>
        <w:spacing w:after="0" w:line="262" w:lineRule="auto"/>
        <w:rPr>
          <w:sz w:val="20"/>
          <w:szCs w:val="20"/>
          <w:color w:val="auto"/>
        </w:rPr>
      </w:pPr>
      <w:r>
        <w:rPr>
          <w:rFonts w:ascii="Times New Roman" w:cs="Times New Roman" w:eastAsia="Times New Roman" w:hAnsi="Times New Roman"/>
          <w:sz w:val="14"/>
          <w:szCs w:val="14"/>
          <w:color w:val="auto"/>
        </w:rPr>
        <w:t>the best interests of the Company and its stockholders and we are asking our stockholders to ratify the Audit Committee’s selection of KPMG LLP to serve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110490</wp:posOffset>
            </wp:positionV>
            <wp:extent cx="567626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6265" cy="698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1940" w:space="180"/>
            <w:col w:w="6899"/>
          </w:cols>
          <w:pgMar w:left="1440" w:top="456" w:right="1440"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5"/>
          <w:szCs w:val="15"/>
          <w:b w:val="1"/>
          <w:bCs w:val="1"/>
          <w:color w:val="auto"/>
        </w:rPr>
        <w:t>DIRECTOR NOMINEES</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provides summary information regarding our director nominees: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Age</w:t>
            </w:r>
          </w:p>
        </w:tc>
        <w:tc>
          <w:tcPr>
            <w:tcW w:w="66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b w:val="1"/>
                <w:bCs w:val="1"/>
                <w:color w:val="auto"/>
              </w:rPr>
              <w:t>Director</w:t>
            </w:r>
          </w:p>
        </w:tc>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Primary Occupation</w:t>
            </w:r>
          </w:p>
        </w:tc>
        <w:tc>
          <w:tcPr>
            <w:tcW w:w="19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Committee Memberships</w:t>
            </w:r>
            <w:r>
              <w:rPr>
                <w:rFonts w:ascii="Times New Roman" w:cs="Times New Roman" w:eastAsia="Times New Roman" w:hAnsi="Times New Roman"/>
                <w:sz w:val="9"/>
                <w:szCs w:val="9"/>
                <w:b w:val="1"/>
                <w:bCs w:val="1"/>
                <w:color w:val="auto"/>
              </w:rPr>
              <w:t>(1)</w:t>
            </w: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Other Public</w:t>
            </w:r>
          </w:p>
        </w:tc>
        <w:tc>
          <w:tcPr>
            <w:tcW w:w="0" w:type="dxa"/>
            <w:vAlign w:val="bottom"/>
          </w:tcPr>
          <w:p>
            <w:pPr>
              <w:spacing w:after="0"/>
              <w:rPr>
                <w:sz w:val="1"/>
                <w:szCs w:val="1"/>
                <w:color w:val="auto"/>
              </w:rPr>
            </w:pPr>
          </w:p>
        </w:tc>
      </w:tr>
      <w:tr>
        <w:trPr>
          <w:trHeight w:val="147"/>
        </w:trPr>
        <w:tc>
          <w:tcPr>
            <w:tcW w:w="140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Since</w:t>
            </w:r>
          </w:p>
        </w:tc>
        <w:tc>
          <w:tcPr>
            <w:tcW w:w="3180" w:type="dxa"/>
            <w:vAlign w:val="bottom"/>
            <w:vMerge w:val="continue"/>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 Boards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i w:val="1"/>
                <w:iCs w:val="1"/>
                <w:color w:val="auto"/>
              </w:rPr>
              <w:t>A</w:t>
            </w:r>
          </w:p>
        </w:tc>
        <w:tc>
          <w:tcPr>
            <w:tcW w:w="6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i w:val="1"/>
                <w:iCs w:val="1"/>
                <w:color w:val="auto"/>
              </w:rPr>
              <w:t>C</w:t>
            </w:r>
          </w:p>
        </w:tc>
        <w:tc>
          <w:tcPr>
            <w:tcW w:w="6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NCG</w:t>
            </w: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0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8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Brian E. Mueller*</w:t>
            </w:r>
          </w:p>
        </w:tc>
        <w:tc>
          <w:tcPr>
            <w:tcW w:w="480" w:type="dxa"/>
            <w:vAlign w:val="bottom"/>
            <w:tcBorders>
              <w:top w:val="single" w:sz="8" w:color="auto"/>
            </w:tcBorders>
          </w:tcPr>
          <w:p>
            <w:pPr>
              <w:ind w:left="180"/>
              <w:spacing w:after="0" w:line="152" w:lineRule="exact"/>
              <w:rPr>
                <w:sz w:val="20"/>
                <w:szCs w:val="20"/>
                <w:color w:val="auto"/>
              </w:rPr>
            </w:pPr>
            <w:r>
              <w:rPr>
                <w:rFonts w:ascii="Times New Roman" w:cs="Times New Roman" w:eastAsia="Times New Roman" w:hAnsi="Times New Roman"/>
                <w:sz w:val="14"/>
                <w:szCs w:val="14"/>
                <w:color w:val="auto"/>
              </w:rPr>
              <w:t>68</w:t>
            </w:r>
          </w:p>
        </w:tc>
        <w:tc>
          <w:tcPr>
            <w:tcW w:w="660" w:type="dxa"/>
            <w:vAlign w:val="bottom"/>
            <w:tcBorders>
              <w:top w:val="single" w:sz="8" w:color="auto"/>
            </w:tcBorders>
          </w:tcPr>
          <w:p>
            <w:pPr>
              <w:ind w:left="100"/>
              <w:spacing w:after="0" w:line="152" w:lineRule="exact"/>
              <w:rPr>
                <w:sz w:val="20"/>
                <w:szCs w:val="20"/>
                <w:color w:val="auto"/>
              </w:rPr>
            </w:pPr>
            <w:r>
              <w:rPr>
                <w:rFonts w:ascii="Times New Roman" w:cs="Times New Roman" w:eastAsia="Times New Roman" w:hAnsi="Times New Roman"/>
                <w:sz w:val="14"/>
                <w:szCs w:val="14"/>
                <w:color w:val="auto"/>
              </w:rPr>
              <w:t>2009</w:t>
            </w:r>
          </w:p>
        </w:tc>
        <w:tc>
          <w:tcPr>
            <w:tcW w:w="3180" w:type="dxa"/>
            <w:vAlign w:val="bottom"/>
            <w:tcBorders>
              <w:top w:val="single" w:sz="8" w:color="auto"/>
            </w:tcBorders>
          </w:tcPr>
          <w:p>
            <w:pPr>
              <w:ind w:left="120"/>
              <w:spacing w:after="0" w:line="152" w:lineRule="exact"/>
              <w:rPr>
                <w:sz w:val="20"/>
                <w:szCs w:val="20"/>
                <w:color w:val="auto"/>
              </w:rPr>
            </w:pPr>
            <w:r>
              <w:rPr>
                <w:rFonts w:ascii="Times New Roman" w:cs="Times New Roman" w:eastAsia="Times New Roman" w:hAnsi="Times New Roman"/>
                <w:sz w:val="14"/>
                <w:szCs w:val="14"/>
                <w:color w:val="auto"/>
              </w:rPr>
              <w:t>Chairman of the Board of Directors and Chief</w:t>
            </w:r>
          </w:p>
        </w:tc>
        <w:tc>
          <w:tcPr>
            <w:tcW w:w="6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Executive Officer, Grand Canyon Education, Inc.</w:t>
            </w: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 R. Dial</w:t>
            </w:r>
            <w:r>
              <w:rPr>
                <w:rFonts w:ascii="Times New Roman" w:cs="Times New Roman" w:eastAsia="Times New Roman" w:hAnsi="Times New Roman"/>
                <w:sz w:val="20"/>
                <w:szCs w:val="20"/>
                <w:color w:val="auto"/>
                <w:vertAlign w:val="superscript"/>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58</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2013</w:t>
            </w: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President and Chief Executive Officer, Sara Dial &amp;</w:t>
            </w:r>
          </w:p>
        </w:tc>
        <w:tc>
          <w:tcPr>
            <w:tcW w:w="640" w:type="dxa"/>
            <w:vAlign w:val="bottom"/>
          </w:tcPr>
          <w:p>
            <w:pPr>
              <w:ind w:left="2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660" w:type="dxa"/>
            <w:vAlign w:val="bottom"/>
          </w:tcPr>
          <w:p>
            <w:pPr>
              <w:ind w:left="2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680" w:type="dxa"/>
            <w:vAlign w:val="bottom"/>
          </w:tcPr>
          <w:p>
            <w:pPr>
              <w:jc w:val="center"/>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Associates</w:t>
            </w: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 A. Henry</w:t>
            </w:r>
            <w:r>
              <w:rPr>
                <w:rFonts w:ascii="Times New Roman" w:cs="Times New Roman" w:eastAsia="Times New Roman" w:hAnsi="Times New Roman"/>
                <w:sz w:val="20"/>
                <w:szCs w:val="20"/>
                <w:color w:val="auto"/>
                <w:vertAlign w:val="superscript"/>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78</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2008</w:t>
            </w: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Managing Director, Sierra Blanca Ventures, LLC</w:t>
            </w:r>
          </w:p>
        </w:tc>
        <w:tc>
          <w:tcPr>
            <w:tcW w:w="640" w:type="dxa"/>
            <w:vAlign w:val="bottom"/>
          </w:tcPr>
          <w:p>
            <w:pPr>
              <w:ind w:left="20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p>
        </w:tc>
        <w:tc>
          <w:tcPr>
            <w:tcW w:w="660" w:type="dxa"/>
            <w:vAlign w:val="bottom"/>
          </w:tcPr>
          <w:p>
            <w:pPr>
              <w:ind w:left="2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680" w:type="dxa"/>
            <w:vAlign w:val="bottom"/>
          </w:tcPr>
          <w:p>
            <w:pPr>
              <w:ind w:left="2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296"/>
        </w:trPr>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Lisa Graham Keegan</w:t>
            </w:r>
            <w:r>
              <w:rPr>
                <w:rFonts w:ascii="Times New Roman" w:cs="Times New Roman" w:eastAsia="Times New Roman" w:hAnsi="Times New Roman"/>
                <w:sz w:val="20"/>
                <w:szCs w:val="20"/>
                <w:color w:val="auto"/>
                <w:vertAlign w:val="superscript"/>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62</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2019</w:t>
            </w: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Partner at The Keegan Company</w:t>
            </w:r>
          </w:p>
        </w:tc>
        <w:tc>
          <w:tcPr>
            <w:tcW w:w="640" w:type="dxa"/>
            <w:vAlign w:val="bottom"/>
          </w:tcPr>
          <w:p>
            <w:pPr>
              <w:ind w:left="2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660" w:type="dxa"/>
            <w:vAlign w:val="bottom"/>
          </w:tcPr>
          <w:p>
            <w:pPr>
              <w:ind w:left="2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680" w:type="dxa"/>
            <w:vAlign w:val="bottom"/>
          </w:tcPr>
          <w:p>
            <w:pPr>
              <w:jc w:val="center"/>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99"/>
        </w:trPr>
        <w:tc>
          <w:tcPr>
            <w:tcW w:w="1400" w:type="dxa"/>
            <w:vAlign w:val="bottom"/>
            <w:gridSpan w:val="2"/>
          </w:tcPr>
          <w:p>
            <w:pPr>
              <w:spacing w:after="0" w:line="199" w:lineRule="exact"/>
              <w:rPr>
                <w:sz w:val="20"/>
                <w:szCs w:val="20"/>
                <w:color w:val="auto"/>
              </w:rPr>
            </w:pPr>
            <w:r>
              <w:rPr>
                <w:rFonts w:ascii="Times New Roman" w:cs="Times New Roman" w:eastAsia="Times New Roman" w:hAnsi="Times New Roman"/>
                <w:sz w:val="14"/>
                <w:szCs w:val="14"/>
                <w:color w:val="auto"/>
              </w:rPr>
              <w:t>Chevy Humphrey</w:t>
            </w:r>
            <w:r>
              <w:rPr>
                <w:rFonts w:ascii="Times New Roman" w:cs="Times New Roman" w:eastAsia="Times New Roman" w:hAnsi="Times New Roman"/>
                <w:sz w:val="20"/>
                <w:szCs w:val="20"/>
                <w:color w:val="auto"/>
                <w:vertAlign w:val="superscript"/>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57</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2019</w:t>
            </w: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President and Chief Executive Officer, Museum of</w:t>
            </w:r>
          </w:p>
        </w:tc>
        <w:tc>
          <w:tcPr>
            <w:tcW w:w="640" w:type="dxa"/>
            <w:vAlign w:val="bottom"/>
          </w:tcPr>
          <w:p>
            <w:pPr>
              <w:ind w:left="2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660" w:type="dxa"/>
            <w:vAlign w:val="bottom"/>
          </w:tcPr>
          <w:p>
            <w:pPr>
              <w:ind w:left="20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w:t>
            </w:r>
          </w:p>
        </w:tc>
        <w:tc>
          <w:tcPr>
            <w:tcW w:w="680" w:type="dxa"/>
            <w:vAlign w:val="bottom"/>
          </w:tcPr>
          <w:p>
            <w:pPr>
              <w:jc w:val="center"/>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Science and Industry Chicago</w:t>
            </w: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M. Adame</w:t>
            </w:r>
            <w:r>
              <w:rPr>
                <w:rFonts w:ascii="Times New Roman" w:cs="Times New Roman" w:eastAsia="Times New Roman" w:hAnsi="Times New Roman"/>
                <w:sz w:val="20"/>
                <w:szCs w:val="20"/>
                <w:color w:val="auto"/>
                <w:vertAlign w:val="superscript"/>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59</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President and Chief Executive Officer, Chicanos Por</w:t>
            </w:r>
          </w:p>
        </w:tc>
        <w:tc>
          <w:tcPr>
            <w:tcW w:w="640" w:type="dxa"/>
            <w:vAlign w:val="bottom"/>
          </w:tcPr>
          <w:p>
            <w:pPr>
              <w:ind w:left="2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660" w:type="dxa"/>
            <w:vAlign w:val="bottom"/>
          </w:tcPr>
          <w:p>
            <w:pPr>
              <w:ind w:left="2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680" w:type="dxa"/>
            <w:vAlign w:val="bottom"/>
          </w:tcPr>
          <w:p>
            <w:pPr>
              <w:jc w:val="center"/>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 Causa</w:t>
            </w: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61595</wp:posOffset>
            </wp:positionV>
            <wp:extent cx="14192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9225" cy="6985"/>
                    </a:xfrm>
                    <a:prstGeom prst="rect">
                      <a:avLst/>
                    </a:prstGeom>
                    <a:noFill/>
                  </pic:spPr>
                </pic:pic>
              </a:graphicData>
            </a:graphic>
          </wp:anchor>
        </w:drawing>
      </w:r>
    </w:p>
    <w:p>
      <w:pPr>
        <w:spacing w:after="0" w:line="153" w:lineRule="exact"/>
        <w:rPr>
          <w:sz w:val="20"/>
          <w:szCs w:val="20"/>
          <w:color w:val="auto"/>
        </w:rPr>
      </w:pPr>
    </w:p>
    <w:p>
      <w:pPr>
        <w:ind w:left="320" w:hanging="283"/>
        <w:spacing w:after="0"/>
        <w:tabs>
          <w:tab w:leader="none" w:pos="3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Chair</w:t>
      </w:r>
    </w:p>
    <w:p>
      <w:pPr>
        <w:spacing w:after="0" w:line="25" w:lineRule="exact"/>
        <w:rPr>
          <w:sz w:val="20"/>
          <w:szCs w:val="20"/>
          <w:color w:val="auto"/>
        </w:rPr>
      </w:pPr>
    </w:p>
    <w:p>
      <w:pPr>
        <w:ind w:left="320" w:hanging="283"/>
        <w:spacing w:after="0"/>
        <w:tabs>
          <w:tab w:leader="none" w:pos="3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Independent director</w:t>
      </w:r>
    </w:p>
    <w:p>
      <w:pPr>
        <w:spacing w:after="0" w:line="10" w:lineRule="exact"/>
        <w:rPr>
          <w:sz w:val="20"/>
          <w:szCs w:val="20"/>
          <w:color w:val="auto"/>
        </w:rPr>
      </w:pPr>
    </w:p>
    <w:p>
      <w:pPr>
        <w:ind w:left="320" w:hanging="283"/>
        <w:spacing w:after="0"/>
        <w:tabs>
          <w:tab w:leader="none" w:pos="3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Lead independent director</w:t>
      </w:r>
    </w:p>
    <w:p>
      <w:pPr>
        <w:spacing w:after="0" w:line="82" w:lineRule="exact"/>
        <w:rPr>
          <w:sz w:val="20"/>
          <w:szCs w:val="20"/>
          <w:color w:val="auto"/>
        </w:rPr>
      </w:pPr>
    </w:p>
    <w:p>
      <w:pPr>
        <w:ind w:left="4460" w:right="1679" w:hanging="4423"/>
        <w:spacing w:after="0" w:line="881" w:lineRule="auto"/>
        <w:tabs>
          <w:tab w:leader="none" w:pos="30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5"/>
          <w:szCs w:val="15"/>
          <w:color w:val="auto"/>
        </w:rPr>
        <w:t>= Audit Committee;</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5"/>
          <w:szCs w:val="15"/>
          <w:color w:val="auto"/>
        </w:rPr>
        <w:t>Compensation Committee; and</w:t>
      </w:r>
      <w:r>
        <w:rPr>
          <w:rFonts w:ascii="Times New Roman" w:cs="Times New Roman" w:eastAsia="Times New Roman" w:hAnsi="Times New Roman"/>
          <w:sz w:val="15"/>
          <w:szCs w:val="15"/>
          <w:b w:val="1"/>
          <w:bCs w:val="1"/>
          <w:color w:val="auto"/>
        </w:rPr>
        <w:t xml:space="preserve"> NCG</w:t>
      </w:r>
      <w:r>
        <w:rPr>
          <w:rFonts w:ascii="Times New Roman" w:cs="Times New Roman" w:eastAsia="Times New Roman" w:hAnsi="Times New Roman"/>
          <w:sz w:val="15"/>
          <w:szCs w:val="15"/>
          <w:color w:val="auto"/>
        </w:rPr>
        <w:t>=Nominating and Corporate Governance Committee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-2540</wp:posOffset>
            </wp:positionV>
            <wp:extent cx="567626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587375</wp:posOffset>
            </wp:positionV>
            <wp:extent cx="567626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62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OUR CORPORATE GOVERNANCE HIGHLIGHTS</w:t>
      </w:r>
    </w:p>
    <w:p>
      <w:pPr>
        <w:spacing w:after="0" w:line="158" w:lineRule="exact"/>
        <w:rPr>
          <w:sz w:val="20"/>
          <w:szCs w:val="20"/>
          <w:color w:val="auto"/>
        </w:rPr>
      </w:pPr>
    </w:p>
    <w:p>
      <w:pPr>
        <w:ind w:left="40" w:right="399" w:firstLine="547"/>
        <w:spacing w:after="0" w:line="288" w:lineRule="auto"/>
        <w:rPr>
          <w:sz w:val="20"/>
          <w:szCs w:val="20"/>
          <w:color w:val="auto"/>
        </w:rPr>
      </w:pPr>
      <w:r>
        <w:rPr>
          <w:rFonts w:ascii="Times New Roman" w:cs="Times New Roman" w:eastAsia="Times New Roman" w:hAnsi="Times New Roman"/>
          <w:sz w:val="15"/>
          <w:szCs w:val="15"/>
          <w:color w:val="auto"/>
        </w:rPr>
        <w:t>We believe that effective corporate governance is critical to our ability to create long term value for our stockholders. The following highlights certain key aspects of our corporate governance framework:</w:t>
      </w:r>
    </w:p>
    <w:p>
      <w:pPr>
        <w:sectPr>
          <w:pgSz w:w="11900" w:h="16838" w:orient="portrait"/>
          <w:cols w:equalWidth="0" w:num="1">
            <w:col w:w="9019"/>
          </w:cols>
          <w:pgMar w:left="1440" w:top="456" w:right="1440" w:bottom="1440" w:gutter="0" w:footer="0" w:header="0"/>
        </w:sectPr>
      </w:pPr>
    </w:p>
    <w:p>
      <w:pPr>
        <w:spacing w:after="0" w:line="111" w:lineRule="exact"/>
        <w:rPr>
          <w:sz w:val="20"/>
          <w:szCs w:val="20"/>
          <w:color w:val="auto"/>
        </w:rPr>
      </w:pPr>
    </w:p>
    <w:p>
      <w:pPr>
        <w:ind w:left="520" w:hanging="218"/>
        <w:spacing w:after="0" w:line="299" w:lineRule="auto"/>
        <w:tabs>
          <w:tab w:leader="none" w:pos="520" w:val="left"/>
        </w:tabs>
        <w:numPr>
          <w:ilvl w:val="0"/>
          <w:numId w:val="1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i w:val="1"/>
          <w:iCs w:val="1"/>
          <w:color w:val="auto"/>
        </w:rPr>
        <w:t>We Have An Independent and Diverse Board</w:t>
      </w:r>
      <w:r>
        <w:rPr>
          <w:rFonts w:ascii="Times New Roman" w:cs="Times New Roman" w:eastAsia="Times New Roman" w:hAnsi="Times New Roman"/>
          <w:sz w:val="13"/>
          <w:szCs w:val="13"/>
          <w:color w:val="auto"/>
        </w:rPr>
        <w:t>. Five of our six directors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are independent. Three of our six directors are women and two of our directors identify with an underrepresented diverse ethnicity.</w:t>
      </w:r>
    </w:p>
    <w:p>
      <w:pPr>
        <w:spacing w:after="0" w:line="125" w:lineRule="exact"/>
        <w:rPr>
          <w:rFonts w:ascii="MS PGothic" w:cs="MS PGothic" w:eastAsia="MS PGothic" w:hAnsi="MS PGothic"/>
          <w:sz w:val="13"/>
          <w:szCs w:val="13"/>
          <w:color w:val="auto"/>
        </w:rPr>
      </w:pPr>
    </w:p>
    <w:p>
      <w:pPr>
        <w:ind w:left="520" w:right="40" w:hanging="218"/>
        <w:spacing w:after="0" w:line="269" w:lineRule="auto"/>
        <w:tabs>
          <w:tab w:leader="none" w:pos="520" w:val="left"/>
        </w:tabs>
        <w:numPr>
          <w:ilvl w:val="0"/>
          <w:numId w:val="1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We Have Majority Voting for Directors</w:t>
      </w:r>
      <w:r>
        <w:rPr>
          <w:rFonts w:ascii="Times New Roman" w:cs="Times New Roman" w:eastAsia="Times New Roman" w:hAnsi="Times New Roman"/>
          <w:sz w:val="14"/>
          <w:szCs w:val="14"/>
          <w:color w:val="auto"/>
        </w:rPr>
        <w:t>. We have adopted majority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voting for directors pursuant to which nominees who fail to achieve an affirmative majority of votes cast must submit their resignation.</w:t>
      </w:r>
    </w:p>
    <w:p>
      <w:pPr>
        <w:spacing w:after="0" w:line="142" w:lineRule="exact"/>
        <w:rPr>
          <w:rFonts w:ascii="MS PGothic" w:cs="MS PGothic" w:eastAsia="MS PGothic" w:hAnsi="MS PGothic"/>
          <w:sz w:val="14"/>
          <w:szCs w:val="14"/>
          <w:color w:val="auto"/>
        </w:rPr>
      </w:pPr>
    </w:p>
    <w:p>
      <w:pPr>
        <w:ind w:left="520" w:right="80" w:hanging="218"/>
        <w:spacing w:after="0" w:line="283" w:lineRule="auto"/>
        <w:tabs>
          <w:tab w:leader="none" w:pos="520" w:val="left"/>
        </w:tabs>
        <w:numPr>
          <w:ilvl w:val="0"/>
          <w:numId w:val="1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 xml:space="preserve">We Hold Annual Elections for Directors. </w:t>
      </w:r>
      <w:r>
        <w:rPr>
          <w:rFonts w:ascii="Times New Roman" w:cs="Times New Roman" w:eastAsia="Times New Roman" w:hAnsi="Times New Roman"/>
          <w:sz w:val="14"/>
          <w:szCs w:val="14"/>
          <w:color w:val="auto"/>
        </w:rPr>
        <w:t>We do not have a staggered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board.</w:t>
      </w:r>
    </w:p>
    <w:p>
      <w:pPr>
        <w:spacing w:after="0" w:line="304" w:lineRule="exact"/>
        <w:rPr>
          <w:rFonts w:ascii="MS PGothic" w:cs="MS PGothic" w:eastAsia="MS PGothic" w:hAnsi="MS PGothic"/>
          <w:sz w:val="14"/>
          <w:szCs w:val="14"/>
          <w:color w:val="auto"/>
        </w:rPr>
      </w:pPr>
    </w:p>
    <w:p>
      <w:pPr>
        <w:ind w:left="520" w:right="20" w:hanging="218"/>
        <w:spacing w:after="0" w:line="283" w:lineRule="auto"/>
        <w:tabs>
          <w:tab w:leader="none" w:pos="520" w:val="left"/>
        </w:tabs>
        <w:numPr>
          <w:ilvl w:val="0"/>
          <w:numId w:val="1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We Assess Board Performance</w:t>
      </w:r>
      <w:r>
        <w:rPr>
          <w:rFonts w:ascii="Times New Roman" w:cs="Times New Roman" w:eastAsia="Times New Roman" w:hAnsi="Times New Roman"/>
          <w:sz w:val="14"/>
          <w:szCs w:val="14"/>
          <w:color w:val="auto"/>
        </w:rPr>
        <w:t>. We conduct regular evaluations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Board and Committees.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219" w:right="379" w:hanging="219"/>
        <w:spacing w:after="0" w:line="269" w:lineRule="auto"/>
        <w:tabs>
          <w:tab w:leader="none" w:pos="219" w:val="left"/>
        </w:tabs>
        <w:numPr>
          <w:ilvl w:val="0"/>
          <w:numId w:val="1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Our Independent Directors Meet Without Management</w:t>
      </w:r>
      <w:r>
        <w:rPr>
          <w:rFonts w:ascii="Times New Roman" w:cs="Times New Roman" w:eastAsia="Times New Roman" w:hAnsi="Times New Roman"/>
          <w:sz w:val="14"/>
          <w:szCs w:val="14"/>
          <w:color w:val="auto"/>
        </w:rPr>
        <w:t>.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independent directors meet regularly in executive sessions without management present.</w:t>
      </w:r>
    </w:p>
    <w:p>
      <w:pPr>
        <w:spacing w:after="0" w:line="142" w:lineRule="exact"/>
        <w:rPr>
          <w:rFonts w:ascii="MS PGothic" w:cs="MS PGothic" w:eastAsia="MS PGothic" w:hAnsi="MS PGothic"/>
          <w:sz w:val="14"/>
          <w:szCs w:val="14"/>
          <w:color w:val="auto"/>
        </w:rPr>
      </w:pPr>
    </w:p>
    <w:p>
      <w:pPr>
        <w:ind w:left="219" w:right="79" w:hanging="219"/>
        <w:spacing w:after="0" w:line="269" w:lineRule="auto"/>
        <w:tabs>
          <w:tab w:leader="none" w:pos="219" w:val="left"/>
        </w:tabs>
        <w:numPr>
          <w:ilvl w:val="0"/>
          <w:numId w:val="1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We Have a Stock Ownership Policy</w:t>
      </w:r>
      <w:r>
        <w:rPr>
          <w:rFonts w:ascii="Times New Roman" w:cs="Times New Roman" w:eastAsia="Times New Roman" w:hAnsi="Times New Roman"/>
          <w:sz w:val="14"/>
          <w:szCs w:val="14"/>
          <w:color w:val="auto"/>
        </w:rPr>
        <w:t>. We require both our named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executive officers and our directors to maintain a meaningful ownership stake at levels specified in our stock ownership policy.</w:t>
      </w:r>
    </w:p>
    <w:p>
      <w:pPr>
        <w:spacing w:after="0" w:line="142" w:lineRule="exact"/>
        <w:rPr>
          <w:rFonts w:ascii="MS PGothic" w:cs="MS PGothic" w:eastAsia="MS PGothic" w:hAnsi="MS PGothic"/>
          <w:sz w:val="14"/>
          <w:szCs w:val="14"/>
          <w:color w:val="auto"/>
        </w:rPr>
      </w:pPr>
    </w:p>
    <w:p>
      <w:pPr>
        <w:ind w:left="219" w:right="359" w:hanging="219"/>
        <w:spacing w:after="0" w:line="269" w:lineRule="auto"/>
        <w:tabs>
          <w:tab w:leader="none" w:pos="219" w:val="left"/>
        </w:tabs>
        <w:numPr>
          <w:ilvl w:val="0"/>
          <w:numId w:val="1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Our Key Committees are Independent</w:t>
      </w:r>
      <w:r>
        <w:rPr>
          <w:rFonts w:ascii="Times New Roman" w:cs="Times New Roman" w:eastAsia="Times New Roman" w:hAnsi="Times New Roman"/>
          <w:sz w:val="14"/>
          <w:szCs w:val="14"/>
          <w:color w:val="auto"/>
        </w:rPr>
        <w:t>. We have fully independent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Audit, Compensation and Nominating and Corporate Governance Committees.</w:t>
      </w:r>
    </w:p>
    <w:p>
      <w:pPr>
        <w:spacing w:after="0" w:line="142" w:lineRule="exact"/>
        <w:rPr>
          <w:rFonts w:ascii="MS PGothic" w:cs="MS PGothic" w:eastAsia="MS PGothic" w:hAnsi="MS PGothic"/>
          <w:sz w:val="14"/>
          <w:szCs w:val="14"/>
          <w:color w:val="auto"/>
        </w:rPr>
      </w:pPr>
    </w:p>
    <w:p>
      <w:pPr>
        <w:ind w:left="219" w:right="279" w:hanging="219"/>
        <w:spacing w:after="0" w:line="283" w:lineRule="auto"/>
        <w:tabs>
          <w:tab w:leader="none" w:pos="219" w:val="left"/>
        </w:tabs>
        <w:numPr>
          <w:ilvl w:val="0"/>
          <w:numId w:val="1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 xml:space="preserve">We Do Not Have a “Poison Pill.” </w:t>
      </w:r>
      <w:r>
        <w:rPr>
          <w:rFonts w:ascii="Times New Roman" w:cs="Times New Roman" w:eastAsia="Times New Roman" w:hAnsi="Times New Roman"/>
          <w:sz w:val="14"/>
          <w:szCs w:val="14"/>
          <w:color w:val="auto"/>
        </w:rPr>
        <w:t>We do not maintain a stockholder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93980</wp:posOffset>
            </wp:positionV>
            <wp:extent cx="553148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31485" cy="698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-1541780</wp:posOffset>
            </wp:positionV>
            <wp:extent cx="553148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3148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321"/>
            <w:col w:w="4259"/>
          </w:cols>
          <w:pgMar w:left="1440" w:top="45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SOCIAL RESPONSIBILITY AND HUMAN CAPITAL DEVELOPMENT</w:t>
      </w:r>
    </w:p>
    <w:p>
      <w:pPr>
        <w:spacing w:after="0" w:line="196" w:lineRule="exact"/>
        <w:rPr>
          <w:sz w:val="20"/>
          <w:szCs w:val="20"/>
          <w:color w:val="auto"/>
        </w:rPr>
      </w:pPr>
    </w:p>
    <w:p>
      <w:pPr>
        <w:ind w:left="40" w:right="159" w:firstLine="547"/>
        <w:spacing w:after="0" w:line="259" w:lineRule="auto"/>
        <w:rPr>
          <w:sz w:val="20"/>
          <w:szCs w:val="20"/>
          <w:color w:val="auto"/>
        </w:rPr>
      </w:pPr>
      <w:r>
        <w:rPr>
          <w:rFonts w:ascii="Times New Roman" w:cs="Times New Roman" w:eastAsia="Times New Roman" w:hAnsi="Times New Roman"/>
          <w:sz w:val="15"/>
          <w:szCs w:val="15"/>
          <w:color w:val="auto"/>
        </w:rPr>
        <w:t>The Company seeks to meet the needs of the local community in which we operate as well as those outside our community, particularly the education challenges that our country faces, and then works to find solutions to these challenges. We believe these challenges include: university education is too expensive; students are taking on too much debt to pay for their education; bachelor degrees are taking too long to complete; programs are not targeted enough toward careers; as tuition increases, diversity decreases; universities have inadequate counseling and support services, especially for distanced learners; most university professors have no formal training in teaching, learning or course design; and universities are under significant financial pressures. These challenges were made more difficult during 2020 and 2021 due to the COVID-19 pandemic and a declining number of high school graduates attending college.</w:t>
      </w:r>
    </w:p>
    <w:p>
      <w:pPr>
        <w:spacing w:after="0" w:line="99" w:lineRule="exact"/>
        <w:rPr>
          <w:sz w:val="20"/>
          <w:szCs w:val="20"/>
          <w:color w:val="auto"/>
        </w:rPr>
      </w:pPr>
    </w:p>
    <w:p>
      <w:pPr>
        <w:ind w:left="40" w:right="59" w:firstLine="547"/>
        <w:spacing w:after="0" w:line="257" w:lineRule="auto"/>
        <w:rPr>
          <w:sz w:val="20"/>
          <w:szCs w:val="20"/>
          <w:color w:val="auto"/>
        </w:rPr>
      </w:pPr>
      <w:r>
        <w:rPr>
          <w:rFonts w:ascii="Times New Roman" w:cs="Times New Roman" w:eastAsia="Times New Roman" w:hAnsi="Times New Roman"/>
          <w:sz w:val="15"/>
          <w:szCs w:val="15"/>
          <w:color w:val="auto"/>
        </w:rPr>
        <w:t>We believe we provide the capital, technology and expertise to our university partners to alleviate the challenges in each of the areas listed above (refer to our Annual Report on Form 10-K for the year ended December 31, 2021, Item 1. Business – Suite of Services.) We work with these university partners to develop hybrid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 cost and debt levels. We focus with our university partners and their local communities to develop programs where there are skills shortages such as health care, teacher education, science, technology, engineering and math. GCE provides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And our business model has helped our university partners as changes in the educational landscape and the pandemic has put pressure on their financial condition.</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We also participate with our employees in a number of activities to benefit our communities including:</w:t>
      </w:r>
    </w:p>
    <w:p>
      <w:pPr>
        <w:sectPr>
          <w:pgSz w:w="11900" w:h="16838" w:orient="portrait"/>
          <w:cols w:equalWidth="0" w:num="1">
            <w:col w:w="9019"/>
          </w:cols>
          <w:pgMar w:left="1440" w:top="456" w:right="1440" w:bottom="1440" w:gutter="0" w:footer="0" w:header="0"/>
        </w:sectPr>
      </w:pPr>
    </w:p>
    <w:p>
      <w:pPr>
        <w:spacing w:after="0" w:line="86" w:lineRule="exact"/>
        <w:rPr>
          <w:sz w:val="20"/>
          <w:szCs w:val="20"/>
          <w:color w:val="auto"/>
        </w:rPr>
      </w:pPr>
    </w:p>
    <w:p>
      <w:pPr>
        <w:ind w:left="1120" w:right="164" w:hanging="283"/>
        <w:spacing w:after="0" w:line="257" w:lineRule="auto"/>
        <w:tabs>
          <w:tab w:leader="none" w:pos="11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Improving Our Neighborhood and Increased Home Values</w:t>
      </w:r>
      <w:r>
        <w:rPr>
          <w:rFonts w:ascii="Times New Roman" w:cs="Times New Roman" w:eastAsia="Times New Roman" w:hAnsi="Times New Roman"/>
          <w:sz w:val="15"/>
          <w:szCs w:val="15"/>
          <w:color w:val="auto"/>
        </w:rPr>
        <w:t>. Together with Habitat for Humanity and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concert with our largest university partner, we are participating in the largest home renovation project in the country in the West Phoenix area surrounding our most significant university partner’s campus. As of December 31, 2021, 392 homes have been completed in which 27,900 hours have been logged by volunteers. These efforts, combined with GCE and GCU’s expanded presence in the community, have contributed to a significant increase in home values in the 85017 zip code.</w:t>
      </w:r>
    </w:p>
    <w:p>
      <w:pPr>
        <w:spacing w:after="0" w:line="200" w:lineRule="exact"/>
        <w:rPr>
          <w:rFonts w:ascii="Times New Roman" w:cs="Times New Roman" w:eastAsia="Times New Roman" w:hAnsi="Times New Roman"/>
          <w:sz w:val="15"/>
          <w:szCs w:val="15"/>
          <w:color w:val="auto"/>
        </w:rPr>
      </w:pPr>
    </w:p>
    <w:p>
      <w:pPr>
        <w:spacing w:after="0" w:line="320" w:lineRule="exact"/>
        <w:rPr>
          <w:rFonts w:ascii="Times New Roman" w:cs="Times New Roman" w:eastAsia="Times New Roman" w:hAnsi="Times New Roman"/>
          <w:sz w:val="15"/>
          <w:szCs w:val="15"/>
          <w:color w:val="auto"/>
        </w:rPr>
      </w:pPr>
    </w:p>
    <w:p>
      <w:pPr>
        <w:ind w:left="1120" w:right="184" w:hanging="283"/>
        <w:spacing w:after="0" w:line="260" w:lineRule="auto"/>
        <w:tabs>
          <w:tab w:leader="none" w:pos="11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Furthering Job Creation</w:t>
      </w:r>
      <w:r>
        <w:rPr>
          <w:rFonts w:ascii="Times New Roman" w:cs="Times New Roman" w:eastAsia="Times New Roman" w:hAnsi="Times New Roman"/>
          <w:sz w:val="15"/>
          <w:szCs w:val="15"/>
          <w:color w:val="auto"/>
        </w:rPr>
        <w:t>. We, along with Grand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Canyon University (“GCU”) have launched a number of new business enterprises that have reduced costs, provided management opportunities for recent graduates and employment opportunities for students and neighborhood residents, while spurring economic growth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-2562860</wp:posOffset>
            </wp:positionV>
            <wp:extent cx="566229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22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76" w:right="159" w:hanging="276"/>
        <w:spacing w:after="0" w:line="257" w:lineRule="auto"/>
        <w:tabs>
          <w:tab w:leader="none" w:pos="276"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Continuing Community Involvement</w:t>
      </w:r>
      <w:r>
        <w:rPr>
          <w:rFonts w:ascii="Times New Roman" w:cs="Times New Roman" w:eastAsia="Times New Roman" w:hAnsi="Times New Roman"/>
          <w:sz w:val="15"/>
          <w:szCs w:val="15"/>
          <w:color w:val="auto"/>
        </w:rPr>
        <w:t>. GCE and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employees partner in countless community events and projects throughout the year. The Company offers its full-time employees a maximum of 16 hours of PTO annually for community service. This time is used to volunteer at more than 40 approved charitable organizations.</w:t>
      </w:r>
    </w:p>
    <w:p>
      <w:pPr>
        <w:spacing w:after="0" w:line="3" w:lineRule="exact"/>
        <w:rPr>
          <w:rFonts w:ascii="Times New Roman" w:cs="Times New Roman" w:eastAsia="Times New Roman" w:hAnsi="Times New Roman"/>
          <w:sz w:val="15"/>
          <w:szCs w:val="15"/>
          <w:color w:val="auto"/>
        </w:rPr>
      </w:pPr>
    </w:p>
    <w:p>
      <w:pPr>
        <w:ind w:left="276" w:right="919" w:hanging="276"/>
        <w:spacing w:after="0" w:line="253" w:lineRule="auto"/>
        <w:tabs>
          <w:tab w:leader="none" w:pos="276"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Special Olympics and Youth Opportunity Foundation.</w:t>
      </w:r>
    </w:p>
    <w:p>
      <w:pPr>
        <w:spacing w:after="0" w:line="1" w:lineRule="exact"/>
        <w:rPr>
          <w:rFonts w:ascii="Times New Roman" w:cs="Times New Roman" w:eastAsia="Times New Roman" w:hAnsi="Times New Roman"/>
          <w:sz w:val="15"/>
          <w:szCs w:val="15"/>
          <w:color w:val="auto"/>
        </w:rPr>
      </w:pPr>
    </w:p>
    <w:p>
      <w:pPr>
        <w:ind w:left="276" w:right="179"/>
        <w:spacing w:after="0" w:line="25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participate in the annual Plane Pull Challenge, which benefits Special Olympics Indiana athletes. We donate time and funds to the Youth Opportunity Foundation which provides advocacy, clinical treatment, education and workforce development for at-risk young people in underprivileged areas.</w:t>
      </w:r>
    </w:p>
    <w:p>
      <w:pPr>
        <w:spacing w:after="0" w:line="3" w:lineRule="exact"/>
        <w:rPr>
          <w:rFonts w:ascii="Times New Roman" w:cs="Times New Roman" w:eastAsia="Times New Roman" w:hAnsi="Times New Roman"/>
          <w:sz w:val="15"/>
          <w:szCs w:val="15"/>
          <w:color w:val="auto"/>
        </w:rPr>
      </w:pPr>
    </w:p>
    <w:p>
      <w:pPr>
        <w:ind w:left="276" w:right="159" w:hanging="276"/>
        <w:spacing w:after="0" w:line="256" w:lineRule="auto"/>
        <w:tabs>
          <w:tab w:leader="none" w:pos="276"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Encouraging Employee Giving</w:t>
      </w:r>
      <w:r>
        <w:rPr>
          <w:rFonts w:ascii="Times New Roman" w:cs="Times New Roman" w:eastAsia="Times New Roman" w:hAnsi="Times New Roman"/>
          <w:sz w:val="15"/>
          <w:szCs w:val="15"/>
          <w:color w:val="auto"/>
        </w:rPr>
        <w:t>. We participate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Donate to Elevate, a program that encourages employees to contribute money in lieu of state income tax payments to benefit private schools in Arizona and the partnership with Habitat for Humanity, as well as local public schools and public charter schools.</w:t>
      </w:r>
    </w:p>
    <w:p>
      <w:pPr>
        <w:spacing w:after="0" w:line="385" w:lineRule="exact"/>
        <w:rPr>
          <w:sz w:val="20"/>
          <w:szCs w:val="20"/>
          <w:color w:val="auto"/>
        </w:rPr>
      </w:pPr>
    </w:p>
    <w:p>
      <w:pPr>
        <w:sectPr>
          <w:pgSz w:w="11900" w:h="16838" w:orient="portrait"/>
          <w:cols w:equalWidth="0" w:num="2">
            <w:col w:w="4564" w:space="720"/>
            <w:col w:w="3735"/>
          </w:cols>
          <w:pgMar w:left="1440" w:top="456" w:right="1440" w:bottom="1440" w:gutter="0" w:footer="0" w:header="0"/>
          <w:type w:val="continuous"/>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6265"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ectPr>
          <w:pgSz w:w="11900" w:h="16838" w:orient="portrait"/>
          <w:cols w:equalWidth="0" w:num="1">
            <w:col w:w="9019"/>
          </w:cols>
          <w:pgMar w:left="1440" w:top="4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20" w:right="184" w:hanging="283"/>
        <w:spacing w:after="0" w:line="257" w:lineRule="auto"/>
        <w:tabs>
          <w:tab w:leader="none" w:pos="11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COVID-19 Response. </w:t>
      </w:r>
      <w:r>
        <w:rPr>
          <w:rFonts w:ascii="Times New Roman" w:cs="Times New Roman" w:eastAsia="Times New Roman" w:hAnsi="Times New Roman"/>
          <w:sz w:val="15"/>
          <w:szCs w:val="15"/>
          <w:color w:val="auto"/>
        </w:rPr>
        <w:t>GCE employees and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students of our university partners volunteered at COVID Point of Distribution sites (“POD”), including the GCU POD, which was being jointly operated by GCU and GCE at no cost to the state of Arizona, and other PODs including those run by our hospital partners. During 2020 and 2021, GCE has taken numerous steps to protect our employees and mitigate the spread of the virus, including implementation of remote work arrangements, restrictions on employee travel, and guidance to those employees experiencing symptoms.</w:t>
      </w:r>
    </w:p>
    <w:p>
      <w:pPr>
        <w:spacing w:after="0" w:line="98" w:lineRule="exact"/>
        <w:rPr>
          <w:rFonts w:ascii="Times New Roman" w:cs="Times New Roman" w:eastAsia="Times New Roman" w:hAnsi="Times New Roman"/>
          <w:sz w:val="15"/>
          <w:szCs w:val="15"/>
          <w:color w:val="auto"/>
        </w:rPr>
      </w:pPr>
    </w:p>
    <w:p>
      <w:pPr>
        <w:ind w:left="1120" w:right="164" w:hanging="283"/>
        <w:spacing w:after="0" w:line="258" w:lineRule="auto"/>
        <w:tabs>
          <w:tab w:leader="none" w:pos="11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Sponsoring K-12 Educational Development. </w:t>
      </w:r>
      <w:r>
        <w:rPr>
          <w:rFonts w:ascii="Times New Roman" w:cs="Times New Roman" w:eastAsia="Times New Roman" w:hAnsi="Times New Roman"/>
          <w:sz w:val="15"/>
          <w:szCs w:val="15"/>
          <w:color w:val="auto"/>
        </w:rPr>
        <w:t>GCE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supports GCU’s K-12 Educational Development Department through sponsorship of GCU Canyon Professional Development and K-12 Targeted School Assistance programs. Canyon Professional Development offers professional development opportunities for educators and administrators, and their student/parent engagement programs aim to help students become college ready.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-4445</wp:posOffset>
            </wp:positionV>
            <wp:extent cx="566229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22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6" w:right="219" w:hanging="276"/>
        <w:spacing w:after="0" w:line="260" w:lineRule="auto"/>
        <w:tabs>
          <w:tab w:leader="none" w:pos="276"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Funding of Student Tuition Organizations</w:t>
      </w:r>
      <w:r>
        <w:rPr>
          <w:rFonts w:ascii="Times New Roman" w:cs="Times New Roman" w:eastAsia="Times New Roman" w:hAnsi="Times New Roman"/>
          <w:sz w:val="15"/>
          <w:szCs w:val="15"/>
          <w:color w:val="auto"/>
        </w:rPr>
        <w:t>.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Company contributes to private school tuition organizations and in 2021 its annual contribution was $5.0 million. Financial contributions are allocated toward tuition assistance and awarding low income Arizona students with scholarships to attend Arizona private schools.</w:t>
      </w:r>
    </w:p>
    <w:p>
      <w:pPr>
        <w:spacing w:after="0" w:line="94" w:lineRule="exact"/>
        <w:rPr>
          <w:rFonts w:ascii="Times New Roman" w:cs="Times New Roman" w:eastAsia="Times New Roman" w:hAnsi="Times New Roman"/>
          <w:sz w:val="15"/>
          <w:szCs w:val="15"/>
          <w:color w:val="auto"/>
        </w:rPr>
      </w:pPr>
    </w:p>
    <w:p>
      <w:pPr>
        <w:ind w:left="276" w:right="259" w:hanging="276"/>
        <w:spacing w:after="0" w:line="259" w:lineRule="auto"/>
        <w:tabs>
          <w:tab w:leader="none" w:pos="276"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Students Inspiring Students. </w:t>
      </w:r>
      <w:r>
        <w:rPr>
          <w:rFonts w:ascii="Times New Roman" w:cs="Times New Roman" w:eastAsia="Times New Roman" w:hAnsi="Times New Roman"/>
          <w:sz w:val="15"/>
          <w:szCs w:val="15"/>
          <w:color w:val="auto"/>
        </w:rPr>
        <w:t>GCE continues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support GCU’s free tutoring/mentoring program that serves Phoenix-area K-12 schools. Students who seek academic assistance in the GCU Learning Lounge may become eligible to receive the Students Inspiring Students full-tuition scholarship. To serve our clients and community, GCE seeks donations to fund this neighborhood scholarship program.</w:t>
      </w:r>
    </w:p>
    <w:p>
      <w:pPr>
        <w:spacing w:after="0" w:line="1258" w:lineRule="exact"/>
        <w:rPr>
          <w:sz w:val="20"/>
          <w:szCs w:val="20"/>
          <w:color w:val="auto"/>
        </w:rPr>
      </w:pPr>
    </w:p>
    <w:p>
      <w:pPr>
        <w:sectPr>
          <w:pgSz w:w="11900" w:h="16838" w:orient="portrait"/>
          <w:cols w:equalWidth="0" w:num="2">
            <w:col w:w="4564" w:space="720"/>
            <w:col w:w="3735"/>
          </w:cols>
          <w:pgMar w:left="1440" w:top="456"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Our Diverse Workforce</w:t>
      </w:r>
    </w:p>
    <w:p>
      <w:pPr>
        <w:spacing w:after="0" w:line="105" w:lineRule="exact"/>
        <w:rPr>
          <w:sz w:val="20"/>
          <w:szCs w:val="20"/>
          <w:color w:val="auto"/>
        </w:rPr>
      </w:pPr>
    </w:p>
    <w:p>
      <w:pPr>
        <w:ind w:left="40" w:right="139" w:firstLine="547"/>
        <w:spacing w:after="0" w:line="265" w:lineRule="auto"/>
        <w:rPr>
          <w:sz w:val="20"/>
          <w:szCs w:val="20"/>
          <w:color w:val="auto"/>
        </w:rPr>
      </w:pPr>
      <w:r>
        <w:rPr>
          <w:rFonts w:ascii="Times New Roman" w:cs="Times New Roman" w:eastAsia="Times New Roman" w:hAnsi="Times New Roman"/>
          <w:sz w:val="15"/>
          <w:szCs w:val="15"/>
          <w:color w:val="auto"/>
        </w:rPr>
        <w:t>The Company believes that it must have the best talent, including employees who possess a diverse range of experiences, backgrounds and skills, in order to anticipate and meet the needs of our business and those of our university partners. Over time, we have hired, developed and retained a diverse management and workforce that reflects our surrounding community and that is a key component in GCE’s success and an important part of the Company’s culture.</w:t>
      </w:r>
    </w:p>
    <w:p>
      <w:pPr>
        <w:spacing w:after="0" w:line="93" w:lineRule="exact"/>
        <w:rPr>
          <w:sz w:val="20"/>
          <w:szCs w:val="20"/>
          <w:color w:val="auto"/>
        </w:rPr>
      </w:pPr>
    </w:p>
    <w:p>
      <w:pPr>
        <w:ind w:left="40" w:right="139" w:firstLine="547"/>
        <w:spacing w:after="0" w:line="271" w:lineRule="auto"/>
        <w:rPr>
          <w:sz w:val="20"/>
          <w:szCs w:val="20"/>
          <w:color w:val="auto"/>
        </w:rPr>
      </w:pPr>
      <w:r>
        <w:rPr>
          <w:rFonts w:ascii="Times New Roman" w:cs="Times New Roman" w:eastAsia="Times New Roman" w:hAnsi="Times New Roman"/>
          <w:sz w:val="15"/>
          <w:szCs w:val="15"/>
          <w:color w:val="auto"/>
        </w:rPr>
        <w:t>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w:t>
      </w:r>
    </w:p>
    <w:p>
      <w:pPr>
        <w:spacing w:after="0" w:line="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 growing body of evidence suggests that diverse teams improve financial outcomes and support innovation, resiliency, and productivity.</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GCE’s commitment to fostering diversity among its workforce in its community is evident in the following:</w:t>
      </w:r>
    </w:p>
    <w:p>
      <w:pPr>
        <w:spacing w:after="0" w:line="98" w:lineRule="exact"/>
        <w:rPr>
          <w:sz w:val="20"/>
          <w:szCs w:val="20"/>
          <w:color w:val="auto"/>
        </w:rPr>
      </w:pPr>
    </w:p>
    <w:p>
      <w:pPr>
        <w:ind w:left="1140" w:right="179" w:hanging="282"/>
        <w:spacing w:after="0" w:line="265" w:lineRule="auto"/>
        <w:tabs>
          <w:tab w:leader="none" w:pos="11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develop and retain diverse talent is reflected at both the Board and management levels. Three of our six directors are women, and two of our directors identify with an underrepresented diverse ethnicity. In addition, as of December 31, 2021, 67.6% of the positions at the Company at the level of manager and above, totaling 556 persons, are held by women and other diverse persons, and 78.3% of our 4,955 total employees were women and other diverse persons.</w:t>
      </w:r>
    </w:p>
    <w:p>
      <w:pPr>
        <w:spacing w:after="0" w:line="70" w:lineRule="exact"/>
        <w:rPr>
          <w:rFonts w:ascii="Times New Roman" w:cs="Times New Roman" w:eastAsia="Times New Roman" w:hAnsi="Times New Roman"/>
          <w:sz w:val="15"/>
          <w:szCs w:val="15"/>
          <w:color w:val="auto"/>
        </w:rPr>
      </w:pPr>
    </w:p>
    <w:p>
      <w:pPr>
        <w:ind w:left="1140" w:right="99" w:hanging="282"/>
        <w:spacing w:after="0" w:line="265" w:lineRule="auto"/>
        <w:tabs>
          <w:tab w:leader="none" w:pos="11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GCE maintains hiring policies and practices that support diversity such as an Equal Employment Opportunity Policy, Nondiscrimination and Anti-Harassment Policy and Complaint Procedure, and a Disability Accommodation Policy. We post all open positions to a variety of diversity-related job boards to ensure we attract a wide pool of candidates. We also collect and analyze employee demographic data to identify current trends and areas of opportunity in regard to our diversity efforts.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right="239" w:hanging="282"/>
        <w:spacing w:after="0" w:line="271" w:lineRule="auto"/>
        <w:tabs>
          <w:tab w:leader="none" w:pos="1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GCE provides employees and management with regular diversity training. New hires all complete anti-discrimination and harassment training within three months of starting at GCE. Thereafter, all employees complete the training every other year, while management undertakes it annually. We have also provided Implicit Bias Training to all employees.</w:t>
      </w:r>
    </w:p>
    <w:p>
      <w:pPr>
        <w:spacing w:after="0" w:line="65" w:lineRule="exact"/>
        <w:rPr>
          <w:rFonts w:ascii="Times New Roman" w:cs="Times New Roman" w:eastAsia="Times New Roman" w:hAnsi="Times New Roman"/>
          <w:sz w:val="15"/>
          <w:szCs w:val="15"/>
          <w:color w:val="auto"/>
        </w:rPr>
      </w:pPr>
    </w:p>
    <w:p>
      <w:pPr>
        <w:ind w:left="1140" w:right="99" w:hanging="282"/>
        <w:spacing w:after="0" w:line="260" w:lineRule="auto"/>
        <w:tabs>
          <w:tab w:leader="none" w:pos="1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GCE provides learning and development support to our employees through numerous Employee Learning and Development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employees stay current with regulatory and other compliance requirements. These programs and curricula are offered virtually on both a synchronous and self-paced basis.</w:t>
      </w:r>
    </w:p>
    <w:p>
      <w:pPr>
        <w:spacing w:after="0" w:line="258" w:lineRule="exact"/>
        <w:rPr>
          <w:rFonts w:ascii="Times New Roman" w:cs="Times New Roman" w:eastAsia="Times New Roman" w:hAnsi="Times New Roman"/>
          <w:sz w:val="15"/>
          <w:szCs w:val="15"/>
          <w:color w:val="auto"/>
        </w:rPr>
      </w:pPr>
    </w:p>
    <w:p>
      <w:pPr>
        <w:ind w:left="1140" w:right="119" w:hanging="282"/>
        <w:spacing w:after="0" w:line="260" w:lineRule="auto"/>
        <w:tabs>
          <w:tab w:leader="none" w:pos="1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GCE promotes the concept of lifelong learning and supports this concept by offering its employees a generous Tuition Benefit program through its most significant university partner, GCU. After three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 admitted to GCU receives a 100% tuition reduction on undergraduate programs and a 50% tuition reduction on graduate programs.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ENVIRONMENTAL AWARENESS</w:t>
      </w:r>
    </w:p>
    <w:p>
      <w:pPr>
        <w:spacing w:after="0" w:line="196" w:lineRule="exact"/>
        <w:rPr>
          <w:sz w:val="20"/>
          <w:szCs w:val="20"/>
          <w:color w:val="auto"/>
        </w:rPr>
      </w:pPr>
    </w:p>
    <w:p>
      <w:pPr>
        <w:ind w:left="40" w:right="119" w:firstLine="547"/>
        <w:spacing w:after="0" w:line="262" w:lineRule="auto"/>
        <w:rPr>
          <w:sz w:val="20"/>
          <w:szCs w:val="20"/>
          <w:color w:val="auto"/>
        </w:rPr>
      </w:pPr>
      <w:r>
        <w:rPr>
          <w:rFonts w:ascii="Times New Roman" w:cs="Times New Roman" w:eastAsia="Times New Roman" w:hAnsi="Times New Roman"/>
          <w:sz w:val="15"/>
          <w:szCs w:val="15"/>
          <w:color w:val="auto"/>
        </w:rPr>
        <w:t>Online education is inherently more environmentally friendly than traditional campus education due to a reduction in greenhouse gas production caused by avoiding traveling to and from a brick-and-mortar campus. It also increases student capacity while eliminating the need for construction of a physical campus. A majority of our university partners’ students are enrolled in hybrid or online education models. In addition, a significant number of our university partners’ students utilize an ebook format versus paper textbooks which significantly decreases paper and other material costs.</w:t>
      </w:r>
    </w:p>
    <w:p>
      <w:pPr>
        <w:spacing w:after="0" w:line="153" w:lineRule="exact"/>
        <w:rPr>
          <w:sz w:val="20"/>
          <w:szCs w:val="20"/>
          <w:color w:val="auto"/>
        </w:rPr>
      </w:pPr>
    </w:p>
    <w:p>
      <w:pPr>
        <w:ind w:left="40" w:right="59" w:firstLine="547"/>
        <w:spacing w:after="0" w:line="265" w:lineRule="auto"/>
        <w:rPr>
          <w:sz w:val="20"/>
          <w:szCs w:val="20"/>
          <w:color w:val="auto"/>
        </w:rPr>
      </w:pPr>
      <w:r>
        <w:rPr>
          <w:rFonts w:ascii="Times New Roman" w:cs="Times New Roman" w:eastAsia="Times New Roman" w:hAnsi="Times New Roman"/>
          <w:sz w:val="15"/>
          <w:szCs w:val="15"/>
          <w:color w:val="auto"/>
        </w:rPr>
        <w:t>The Company owns, and operates its business from, a four-story 325,000 square foot administrative building, which includes office space for approximately 2,700 employees and a parking garage. We constructed these facilities in 2016 and, as with every one of our projects over the past ten years, we designed them to maximize energy efficiency and minimize electricity usage and environmental impact. Our headquarters building includes the following design features:</w:t>
      </w:r>
    </w:p>
    <w:p>
      <w:pPr>
        <w:sectPr>
          <w:pgSz w:w="11900" w:h="16838" w:orient="portrait"/>
          <w:cols w:equalWidth="0" w:num="1">
            <w:col w:w="9019"/>
          </w:cols>
          <w:pgMar w:left="1440" w:top="456" w:right="1440" w:bottom="1440" w:gutter="0" w:footer="0" w:header="0"/>
        </w:sectPr>
      </w:pPr>
    </w:p>
    <w:p>
      <w:pPr>
        <w:spacing w:after="0" w:line="44" w:lineRule="exact"/>
        <w:rPr>
          <w:sz w:val="20"/>
          <w:szCs w:val="20"/>
          <w:color w:val="auto"/>
        </w:rPr>
      </w:pPr>
    </w:p>
    <w:p>
      <w:pPr>
        <w:ind w:left="560" w:hanging="283"/>
        <w:spacing w:after="0" w:line="261" w:lineRule="auto"/>
        <w:tabs>
          <w:tab w:leader="none" w:pos="560" w:val="left"/>
        </w:tabs>
        <w:numPr>
          <w:ilvl w:val="0"/>
          <w:numId w:val="19"/>
        </w:numPr>
        <w:rPr>
          <w:rFonts w:ascii="MS PGothic" w:cs="MS PGothic" w:eastAsia="MS PGothic" w:hAnsi="MS PGothic"/>
          <w:sz w:val="14"/>
          <w:szCs w:val="14"/>
          <w:color w:val="auto"/>
        </w:rPr>
      </w:pPr>
      <w:r>
        <w:rPr>
          <w:rFonts w:ascii="Times New Roman" w:cs="Times New Roman" w:eastAsia="Times New Roman" w:hAnsi="Times New Roman"/>
          <w:sz w:val="15"/>
          <w:szCs w:val="15"/>
          <w:b w:val="1"/>
          <w:bCs w:val="1"/>
          <w:i w:val="1"/>
          <w:iCs w:val="1"/>
          <w:color w:val="auto"/>
        </w:rPr>
        <w:t>North/South Building Orientation</w:t>
      </w:r>
      <w:r>
        <w:rPr>
          <w:rFonts w:ascii="Times New Roman" w:cs="Times New Roman" w:eastAsia="Times New Roman" w:hAnsi="Times New Roman"/>
          <w:sz w:val="15"/>
          <w:szCs w:val="15"/>
          <w:color w:val="auto"/>
        </w:rPr>
        <w:t>. The Company’s office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building is orientated with north/south exposure in order to minimize direct sun and thereby reduce power usage. Exterior courtyards were arranged to ensure summer shade thus creating outdoor areas that can be used by our employees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-709295</wp:posOffset>
            </wp:positionV>
            <wp:extent cx="566928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9280" cy="698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165735</wp:posOffset>
            </wp:positionV>
            <wp:extent cx="566928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84" w:right="159" w:hanging="284"/>
        <w:spacing w:after="0" w:line="260" w:lineRule="auto"/>
        <w:tabs>
          <w:tab w:leader="none" w:pos="284" w:val="left"/>
        </w:tabs>
        <w:numPr>
          <w:ilvl w:val="0"/>
          <w:numId w:val="20"/>
        </w:numPr>
        <w:rPr>
          <w:rFonts w:ascii="MS PGothic" w:cs="MS PGothic" w:eastAsia="MS PGothic" w:hAnsi="MS PGothic"/>
          <w:sz w:val="14"/>
          <w:szCs w:val="14"/>
          <w:color w:val="auto"/>
        </w:rPr>
      </w:pPr>
      <w:r>
        <w:rPr>
          <w:rFonts w:ascii="Times New Roman" w:cs="Times New Roman" w:eastAsia="Times New Roman" w:hAnsi="Times New Roman"/>
          <w:sz w:val="15"/>
          <w:szCs w:val="15"/>
          <w:b w:val="1"/>
          <w:bCs w:val="1"/>
          <w:i w:val="1"/>
          <w:iCs w:val="1"/>
          <w:color w:val="auto"/>
        </w:rPr>
        <w:t>Reducing Water Consumption</w:t>
      </w:r>
      <w:r>
        <w:rPr>
          <w:rFonts w:ascii="Times New Roman" w:cs="Times New Roman" w:eastAsia="Times New Roman" w:hAnsi="Times New Roman"/>
          <w:sz w:val="15"/>
          <w:szCs w:val="15"/>
          <w:color w:val="auto"/>
        </w:rPr>
        <w:t>. Water usage is another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environmental factor for office space that is magnified by the Arizona sun. The Company’s office building utilizes numerous water conservation methods including push-tap faucets, waterless urinals, and a rooftop rain water collection system for irrigating the landscaping below, which significantly reduces our water consumption.</w:t>
      </w:r>
    </w:p>
    <w:p>
      <w:pPr>
        <w:spacing w:after="0" w:line="200" w:lineRule="exact"/>
        <w:rPr>
          <w:sz w:val="20"/>
          <w:szCs w:val="20"/>
          <w:color w:val="auto"/>
        </w:rPr>
      </w:pPr>
    </w:p>
    <w:p>
      <w:pPr>
        <w:sectPr>
          <w:pgSz w:w="11900" w:h="16838" w:orient="portrait"/>
          <w:cols w:equalWidth="0" w:num="2">
            <w:col w:w="4380" w:space="356"/>
            <w:col w:w="4284"/>
          </w:cols>
          <w:pgMar w:left="1440" w:top="456" w:right="1440" w:bottom="1440" w:gutter="0" w:footer="0" w:header="0"/>
          <w:type w:val="continuous"/>
        </w:sectPr>
      </w:pPr>
    </w:p>
    <w:p>
      <w:pPr>
        <w:spacing w:after="0" w:line="65" w:lineRule="exact"/>
        <w:rPr>
          <w:sz w:val="20"/>
          <w:szCs w:val="20"/>
          <w:color w:val="auto"/>
        </w:rPr>
      </w:pPr>
    </w:p>
    <w:p>
      <w:pPr>
        <w:ind w:left="560" w:hanging="283"/>
        <w:spacing w:after="0" w:line="261" w:lineRule="auto"/>
        <w:tabs>
          <w:tab w:leader="none" w:pos="560" w:val="left"/>
        </w:tabs>
        <w:numPr>
          <w:ilvl w:val="0"/>
          <w:numId w:val="21"/>
        </w:numPr>
        <w:rPr>
          <w:rFonts w:ascii="MS PGothic" w:cs="MS PGothic" w:eastAsia="MS PGothic" w:hAnsi="MS PGothic"/>
          <w:sz w:val="14"/>
          <w:szCs w:val="14"/>
          <w:color w:val="auto"/>
        </w:rPr>
      </w:pPr>
      <w:r>
        <w:rPr>
          <w:rFonts w:ascii="Times New Roman" w:cs="Times New Roman" w:eastAsia="Times New Roman" w:hAnsi="Times New Roman"/>
          <w:sz w:val="15"/>
          <w:szCs w:val="15"/>
          <w:b w:val="1"/>
          <w:bCs w:val="1"/>
          <w:i w:val="1"/>
          <w:iCs w:val="1"/>
          <w:color w:val="auto"/>
        </w:rPr>
        <w:t>Use of Window Glazing</w:t>
      </w:r>
      <w:r>
        <w:rPr>
          <w:rFonts w:ascii="Times New Roman" w:cs="Times New Roman" w:eastAsia="Times New Roman" w:hAnsi="Times New Roman"/>
          <w:sz w:val="15"/>
          <w:szCs w:val="15"/>
          <w:color w:val="auto"/>
        </w:rPr>
        <w:t>. Our building utilizes significant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window glazing to allow for daylighting thus reducing the need for supplemental electrical lighting. As a result, the building is designed to use just .41 watts per square foot of electrical energy for lighting, which is half of what a typical environmentally efficient building uses.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284" w:right="459" w:hanging="284"/>
        <w:spacing w:after="0" w:line="263" w:lineRule="auto"/>
        <w:tabs>
          <w:tab w:leader="none" w:pos="284" w:val="left"/>
        </w:tabs>
        <w:numPr>
          <w:ilvl w:val="0"/>
          <w:numId w:val="22"/>
        </w:numPr>
        <w:rPr>
          <w:rFonts w:ascii="MS PGothic" w:cs="MS PGothic" w:eastAsia="MS PGothic" w:hAnsi="MS PGothic"/>
          <w:sz w:val="14"/>
          <w:szCs w:val="14"/>
          <w:color w:val="auto"/>
        </w:rPr>
      </w:pPr>
      <w:r>
        <w:rPr>
          <w:rFonts w:ascii="Times New Roman" w:cs="Times New Roman" w:eastAsia="Times New Roman" w:hAnsi="Times New Roman"/>
          <w:sz w:val="15"/>
          <w:szCs w:val="15"/>
          <w:b w:val="1"/>
          <w:bCs w:val="1"/>
          <w:i w:val="1"/>
          <w:iCs w:val="1"/>
          <w:color w:val="auto"/>
        </w:rPr>
        <w:t>Other Design Features</w:t>
      </w:r>
      <w:r>
        <w:rPr>
          <w:rFonts w:ascii="Times New Roman" w:cs="Times New Roman" w:eastAsia="Times New Roman" w:hAnsi="Times New Roman"/>
          <w:sz w:val="15"/>
          <w:szCs w:val="15"/>
          <w:color w:val="auto"/>
        </w:rPr>
        <w:t>. Additional environment-friendly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design features include low VOC paints, use of recycled building materials, interior and exterior LED light bulbs, motion sensor lighting and implementation of an energy-efficient VRF mechanical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-594995</wp:posOffset>
            </wp:positionV>
            <wp:extent cx="566928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9280" cy="698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106680</wp:posOffset>
            </wp:positionV>
            <wp:extent cx="566928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380" w:lineRule="exact"/>
        <w:rPr>
          <w:sz w:val="20"/>
          <w:szCs w:val="20"/>
          <w:color w:val="auto"/>
        </w:rPr>
      </w:pPr>
    </w:p>
    <w:p>
      <w:pPr>
        <w:sectPr>
          <w:pgSz w:w="11900" w:h="16838" w:orient="portrait"/>
          <w:cols w:equalWidth="0" w:num="2">
            <w:col w:w="4220" w:space="516"/>
            <w:col w:w="4284"/>
          </w:cols>
          <w:pgMar w:left="1440" w:top="456" w:right="1440"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312420</wp:posOffset>
            </wp:positionV>
            <wp:extent cx="567626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6265"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In addition to its efficient facilities, the Company has undertaken other measures to minimize its environmental impact, including, among</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others:</w:t>
      </w:r>
    </w:p>
    <w:p>
      <w:pPr>
        <w:spacing w:after="0" w:line="120" w:lineRule="exact"/>
        <w:rPr>
          <w:sz w:val="20"/>
          <w:szCs w:val="20"/>
          <w:color w:val="auto"/>
        </w:rPr>
      </w:pPr>
    </w:p>
    <w:p>
      <w:pPr>
        <w:ind w:left="580" w:right="759" w:hanging="269"/>
        <w:spacing w:after="0" w:line="264" w:lineRule="auto"/>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implementing a Trip Reduction Program, which provides incentives to employees who participate in carpooling or take public transportation to work;</w:t>
      </w:r>
    </w:p>
    <w:p>
      <w:pPr>
        <w:ind w:left="580" w:hanging="269"/>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a telecommute option for a significant number of positions; and</w:t>
      </w:r>
    </w:p>
    <w:p>
      <w:pPr>
        <w:spacing w:after="0" w:line="9" w:lineRule="exact"/>
        <w:rPr>
          <w:rFonts w:ascii="Times New Roman" w:cs="Times New Roman" w:eastAsia="Times New Roman" w:hAnsi="Times New Roman"/>
          <w:sz w:val="15"/>
          <w:szCs w:val="15"/>
          <w:color w:val="auto"/>
        </w:rPr>
      </w:pPr>
    </w:p>
    <w:p>
      <w:pPr>
        <w:ind w:left="580" w:hanging="269"/>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participating in a recycling program aimed at minimizing the volume of waste products generated by the Company.</w:t>
      </w:r>
    </w:p>
    <w:p>
      <w:pPr>
        <w:spacing w:after="0" w:line="120" w:lineRule="exact"/>
        <w:rPr>
          <w:sz w:val="20"/>
          <w:szCs w:val="20"/>
          <w:color w:val="auto"/>
        </w:rPr>
      </w:pPr>
    </w:p>
    <w:p>
      <w:pPr>
        <w:ind w:left="40" w:right="119" w:firstLine="547"/>
        <w:spacing w:after="0" w:line="265" w:lineRule="auto"/>
        <w:rPr>
          <w:sz w:val="20"/>
          <w:szCs w:val="20"/>
          <w:color w:val="auto"/>
        </w:rPr>
      </w:pPr>
      <w:r>
        <w:rPr>
          <w:rFonts w:ascii="Times New Roman" w:cs="Times New Roman" w:eastAsia="Times New Roman" w:hAnsi="Times New Roman"/>
          <w:sz w:val="15"/>
          <w:szCs w:val="15"/>
          <w:color w:val="auto"/>
        </w:rPr>
        <w:t>Due to our significant investment in technology and infrastructure, since March 2020, when the World Health Organization declared COVID-19 a global pandemic, approximately 90% of our diverse workforce has continued to work remotely and is expected to continue doing so for the foreseeable future. This has not only allowed our employees to remain physically safe, but has also resulted in savings in the areas of waste, janitorial costs, and travel costed related to business travel and commuting.</w:t>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Climate Disclosures</w:t>
      </w:r>
    </w:p>
    <w:p>
      <w:pPr>
        <w:spacing w:after="0" w:line="139" w:lineRule="exact"/>
        <w:rPr>
          <w:sz w:val="20"/>
          <w:szCs w:val="20"/>
          <w:color w:val="auto"/>
        </w:rPr>
      </w:pPr>
    </w:p>
    <w:p>
      <w:pPr>
        <w:ind w:left="40" w:right="339" w:firstLine="547"/>
        <w:spacing w:after="0" w:line="271" w:lineRule="auto"/>
        <w:rPr>
          <w:sz w:val="20"/>
          <w:szCs w:val="20"/>
          <w:color w:val="auto"/>
        </w:rPr>
      </w:pPr>
      <w:r>
        <w:rPr>
          <w:rFonts w:ascii="Times New Roman" w:cs="Times New Roman" w:eastAsia="Times New Roman" w:hAnsi="Times New Roman"/>
          <w:sz w:val="15"/>
          <w:szCs w:val="15"/>
          <w:color w:val="auto"/>
        </w:rPr>
        <w:t>We do not operate in a high-risk industry for climate risks. We believe that we have low climate risk with respect to our physical environment (e.g. fires, drought, hailstorms, increasing weather pattern changes). Approximately 90% of our workforce is continuing to work remotely for the foreseeable future. We have insurance policies in place to cover any damage for our property, plant and equipment.</w:t>
      </w:r>
    </w:p>
    <w:p>
      <w:pPr>
        <w:spacing w:after="0" w:line="88" w:lineRule="exact"/>
        <w:rPr>
          <w:sz w:val="20"/>
          <w:szCs w:val="20"/>
          <w:color w:val="auto"/>
        </w:rPr>
      </w:pPr>
    </w:p>
    <w:p>
      <w:pPr>
        <w:ind w:left="40" w:right="259" w:firstLine="547"/>
        <w:spacing w:after="0" w:line="271" w:lineRule="auto"/>
        <w:rPr>
          <w:sz w:val="20"/>
          <w:szCs w:val="20"/>
          <w:color w:val="auto"/>
        </w:rPr>
      </w:pPr>
      <w:r>
        <w:rPr>
          <w:rFonts w:ascii="Times New Roman" w:cs="Times New Roman" w:eastAsia="Times New Roman" w:hAnsi="Times New Roman"/>
          <w:sz w:val="15"/>
          <w:szCs w:val="15"/>
          <w:color w:val="auto"/>
        </w:rPr>
        <w:t>We are evaluating emissions reduction requirements with key suppliers for costs such as information security systems, communication and marketing costs, travel costs, and continued expansion of our off-campus classroom and laboratory sites. We currently do not have any regulatory emissions reporting obligations.</w:t>
      </w:r>
    </w:p>
    <w:p>
      <w:pPr>
        <w:spacing w:after="0" w:line="88" w:lineRule="exact"/>
        <w:rPr>
          <w:sz w:val="20"/>
          <w:szCs w:val="20"/>
          <w:color w:val="auto"/>
        </w:rPr>
      </w:pPr>
    </w:p>
    <w:p>
      <w:pPr>
        <w:ind w:left="40" w:right="459" w:firstLine="547"/>
        <w:spacing w:after="0" w:line="288" w:lineRule="auto"/>
        <w:rPr>
          <w:sz w:val="20"/>
          <w:szCs w:val="20"/>
          <w:color w:val="auto"/>
        </w:rPr>
      </w:pPr>
      <w:r>
        <w:rPr>
          <w:rFonts w:ascii="Times New Roman" w:cs="Times New Roman" w:eastAsia="Times New Roman" w:hAnsi="Times New Roman"/>
          <w:sz w:val="15"/>
          <w:szCs w:val="15"/>
          <w:color w:val="auto"/>
        </w:rPr>
        <w:t>We do not have significant risk from a transition to a low-carbon economy, which could result in changing customer behavior. Our customers are university partners located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57785</wp:posOffset>
            </wp:positionV>
            <wp:extent cx="567626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6265" cy="6985"/>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Questions and Answers</w:t>
      </w:r>
    </w:p>
    <w:p>
      <w:pPr>
        <w:spacing w:after="0" w:line="192" w:lineRule="exact"/>
        <w:rPr>
          <w:sz w:val="20"/>
          <w:szCs w:val="20"/>
          <w:color w:val="auto"/>
        </w:rPr>
      </w:pPr>
    </w:p>
    <w:p>
      <w:pPr>
        <w:ind w:left="40" w:right="179" w:firstLine="547"/>
        <w:spacing w:after="0" w:line="267" w:lineRule="auto"/>
        <w:rPr>
          <w:sz w:val="20"/>
          <w:szCs w:val="20"/>
          <w:color w:val="auto"/>
        </w:rPr>
      </w:pPr>
      <w:r>
        <w:rPr>
          <w:rFonts w:ascii="Times New Roman" w:cs="Times New Roman" w:eastAsia="Times New Roman" w:hAnsi="Times New Roman"/>
          <w:sz w:val="15"/>
          <w:szCs w:val="15"/>
          <w:color w:val="auto"/>
        </w:rPr>
        <w:t xml:space="preserve">Please see the </w:t>
      </w:r>
      <w:r>
        <w:rPr>
          <w:rFonts w:ascii="Times New Roman" w:cs="Times New Roman" w:eastAsia="Times New Roman" w:hAnsi="Times New Roman"/>
          <w:sz w:val="15"/>
          <w:szCs w:val="15"/>
          <w:i w:val="1"/>
          <w:iCs w:val="1"/>
          <w:color w:val="auto"/>
        </w:rPr>
        <w:t>General Information</w:t>
      </w:r>
      <w:r>
        <w:rPr>
          <w:rFonts w:ascii="Times New Roman" w:cs="Times New Roman" w:eastAsia="Times New Roman" w:hAnsi="Times New Roman"/>
          <w:sz w:val="15"/>
          <w:szCs w:val="15"/>
          <w:color w:val="auto"/>
        </w:rPr>
        <w:t xml:space="preserve"> section for important information about the proxy materials, voting, the annual meeting, Company documents, communications and the deadlines to submit stockholder proposals and director nominees for the 2022 Annual Meeting of Stockholders. Additional questions may be directed to our General Counsel, Grand Canyon Education, Inc., 2600 W. Camelback Road, Phoenix, Arizona 85017.</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Learn More About Our Company</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 xml:space="preserve">You can learn more about the Company, view our governance materials and much more by visiting our website, </w:t>
      </w:r>
      <w:r>
        <w:rPr>
          <w:rFonts w:ascii="Times New Roman" w:cs="Times New Roman" w:eastAsia="Times New Roman" w:hAnsi="Times New Roman"/>
          <w:sz w:val="15"/>
          <w:szCs w:val="15"/>
          <w:i w:val="1"/>
          <w:iCs w:val="1"/>
          <w:color w:val="auto"/>
        </w:rPr>
        <w:t>www.gce.com</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6265"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Grand Canyon Education,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2600 West Camelback Road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121920</wp:posOffset>
            </wp:positionV>
            <wp:extent cx="141922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9225" cy="1460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133985</wp:posOffset>
            </wp:positionV>
            <wp:extent cx="141922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9225" cy="146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GENERAL INFORMATION</w:t>
      </w:r>
    </w:p>
    <w:p>
      <w:pPr>
        <w:spacing w:after="0" w:line="196" w:lineRule="exact"/>
        <w:rPr>
          <w:sz w:val="20"/>
          <w:szCs w:val="20"/>
          <w:color w:val="auto"/>
        </w:rPr>
      </w:pPr>
    </w:p>
    <w:p>
      <w:pPr>
        <w:ind w:left="40" w:right="219" w:firstLine="547"/>
        <w:spacing w:after="0" w:line="271" w:lineRule="auto"/>
        <w:rPr>
          <w:sz w:val="20"/>
          <w:szCs w:val="20"/>
          <w:color w:val="auto"/>
        </w:rPr>
      </w:pPr>
      <w:r>
        <w:rPr>
          <w:rFonts w:ascii="Times New Roman" w:cs="Times New Roman" w:eastAsia="Times New Roman" w:hAnsi="Times New Roman"/>
          <w:sz w:val="15"/>
          <w:szCs w:val="15"/>
          <w:color w:val="auto"/>
        </w:rPr>
        <w:t>The enclosed proxy is being solicited by our Board of Directors for use in connection with the Annual Meeting to be held on Thursday, June 9, 2022, at the offices of Grand Canyon Education, Inc. located at 2600 W. Camelback Road, Phoenix, Arizona 85017, commencing at 10:30 a.m., Arizona time, and at any adjournment or postponement thereof.</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Notice of Internet Availability</w:t>
      </w:r>
    </w:p>
    <w:p>
      <w:pPr>
        <w:spacing w:after="0" w:line="196" w:lineRule="exact"/>
        <w:rPr>
          <w:sz w:val="20"/>
          <w:szCs w:val="20"/>
          <w:color w:val="auto"/>
        </w:rPr>
      </w:pPr>
    </w:p>
    <w:p>
      <w:pPr>
        <w:ind w:left="40" w:right="79" w:firstLine="547"/>
        <w:spacing w:after="0" w:line="257" w:lineRule="auto"/>
        <w:rPr>
          <w:sz w:val="20"/>
          <w:szCs w:val="20"/>
          <w:color w:val="auto"/>
        </w:rPr>
      </w:pPr>
      <w:r>
        <w:rPr>
          <w:rFonts w:ascii="Times New Roman" w:cs="Times New Roman" w:eastAsia="Times New Roman" w:hAnsi="Times New Roman"/>
          <w:sz w:val="15"/>
          <w:szCs w:val="15"/>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first mailed to our stockholders on or about April 27, 2022,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Times New Roman" w:cs="Times New Roman" w:eastAsia="Times New Roman" w:hAnsi="Times New Roman"/>
          <w:sz w:val="15"/>
          <w:szCs w:val="15"/>
          <w:i w:val="1"/>
          <w:iCs w:val="1"/>
          <w:color w:val="auto"/>
        </w:rPr>
        <w:t>www.edocumentview.com/LOPE</w:t>
      </w:r>
      <w:r>
        <w:rPr>
          <w:rFonts w:ascii="Times New Roman" w:cs="Times New Roman" w:eastAsia="Times New Roman" w:hAnsi="Times New Roman"/>
          <w:sz w:val="15"/>
          <w:szCs w:val="15"/>
          <w:color w:val="auto"/>
        </w:rPr>
        <w:t xml:space="preserve"> or the Company’s Investor Relations website at </w:t>
      </w:r>
      <w:r>
        <w:rPr>
          <w:rFonts w:ascii="Times New Roman" w:cs="Times New Roman" w:eastAsia="Times New Roman" w:hAnsi="Times New Roman"/>
          <w:sz w:val="15"/>
          <w:szCs w:val="15"/>
          <w:i w:val="1"/>
          <w:iCs w:val="1"/>
          <w:color w:val="auto"/>
        </w:rPr>
        <w:t>www.gce.com</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Record Date and Quorum</w:t>
      </w:r>
    </w:p>
    <w:p>
      <w:pPr>
        <w:spacing w:after="0" w:line="196" w:lineRule="exact"/>
        <w:rPr>
          <w:sz w:val="20"/>
          <w:szCs w:val="20"/>
          <w:color w:val="auto"/>
        </w:rPr>
      </w:pPr>
    </w:p>
    <w:p>
      <w:pPr>
        <w:ind w:left="40" w:right="79" w:firstLine="547"/>
        <w:spacing w:after="0" w:line="262" w:lineRule="auto"/>
        <w:rPr>
          <w:sz w:val="20"/>
          <w:szCs w:val="20"/>
          <w:color w:val="auto"/>
        </w:rPr>
      </w:pPr>
      <w:r>
        <w:rPr>
          <w:rFonts w:ascii="Times New Roman" w:cs="Times New Roman" w:eastAsia="Times New Roman" w:hAnsi="Times New Roman"/>
          <w:sz w:val="15"/>
          <w:szCs w:val="15"/>
          <w:color w:val="auto"/>
        </w:rPr>
        <w:t>Only stockholders of record at the close of business on April 14, 2022, will be entitled to notice of and to vote at the Annual Meeting and any adjournment or postponement thereof. At the close of business on the record date, we had approximately 32,820,123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Submission of Proxies; Revocation</w:t>
      </w:r>
    </w:p>
    <w:p>
      <w:pPr>
        <w:spacing w:after="0" w:line="196" w:lineRule="exact"/>
        <w:rPr>
          <w:sz w:val="20"/>
          <w:szCs w:val="20"/>
          <w:color w:val="auto"/>
        </w:rPr>
      </w:pPr>
    </w:p>
    <w:p>
      <w:pPr>
        <w:ind w:left="40" w:right="59" w:firstLine="547"/>
        <w:spacing w:after="0" w:line="258" w:lineRule="auto"/>
        <w:rPr>
          <w:sz w:val="20"/>
          <w:szCs w:val="20"/>
          <w:color w:val="auto"/>
        </w:rPr>
      </w:pPr>
      <w:r>
        <w:rPr>
          <w:rFonts w:ascii="Times New Roman" w:cs="Times New Roman" w:eastAsia="Times New Roman" w:hAnsi="Times New Roman"/>
          <w:sz w:val="15"/>
          <w:szCs w:val="15"/>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Deadlines for Stockholder Proposals</w:t>
      </w:r>
    </w:p>
    <w:p>
      <w:pPr>
        <w:spacing w:after="0" w:line="196" w:lineRule="exact"/>
        <w:rPr>
          <w:sz w:val="20"/>
          <w:szCs w:val="20"/>
          <w:color w:val="auto"/>
        </w:rPr>
      </w:pPr>
    </w:p>
    <w:p>
      <w:pPr>
        <w:ind w:left="40" w:right="99" w:firstLine="547"/>
        <w:spacing w:after="0" w:line="228" w:lineRule="auto"/>
        <w:rPr>
          <w:sz w:val="20"/>
          <w:szCs w:val="20"/>
          <w:color w:val="auto"/>
        </w:rPr>
      </w:pPr>
      <w:r>
        <w:rPr>
          <w:rFonts w:ascii="Times New Roman" w:cs="Times New Roman" w:eastAsia="Times New Roman" w:hAnsi="Times New Roman"/>
          <w:sz w:val="15"/>
          <w:szCs w:val="15"/>
          <w:color w:val="auto"/>
        </w:rPr>
        <w:t>Stockholder proposals may be included in our proxy materials for an annual meeting so long as they are provided to us on a timely basis and satisfy certain other conditions established by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2023 Annual Meeting of Stockholders, the proposal must be received at our principal executive offices, addressed to our Secretary, not later than the close of business on December 28, 2022.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nor later than the close of business on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prior to the annual meeting or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following the date on which public announcement of the date of such meeting is first made. For our 2023 Annual Meeting of Stockholders, proper notice of business that is not intended for inclusion in our proxy statement must be received not earlier than the close of business on February 9, 2023, nor later than the close of business on March 11, 2023.</w:t>
      </w:r>
    </w:p>
    <w:p>
      <w:pPr>
        <w:spacing w:after="0" w:line="174" w:lineRule="exact"/>
        <w:rPr>
          <w:sz w:val="20"/>
          <w:szCs w:val="20"/>
          <w:color w:val="auto"/>
        </w:rPr>
      </w:pPr>
    </w:p>
    <w:p>
      <w:pPr>
        <w:ind w:left="40" w:right="59" w:firstLine="547"/>
        <w:spacing w:after="0" w:line="255" w:lineRule="auto"/>
        <w:rPr>
          <w:sz w:val="20"/>
          <w:szCs w:val="20"/>
          <w:color w:val="auto"/>
        </w:rPr>
      </w:pPr>
      <w:r>
        <w:rPr>
          <w:rFonts w:ascii="Times New Roman" w:cs="Times New Roman" w:eastAsia="Times New Roman" w:hAnsi="Times New Roman"/>
          <w:sz w:val="15"/>
          <w:szCs w:val="15"/>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Quorum</w:t>
      </w:r>
    </w:p>
    <w:p>
      <w:pPr>
        <w:spacing w:after="0" w:line="196" w:lineRule="exact"/>
        <w:rPr>
          <w:sz w:val="20"/>
          <w:szCs w:val="20"/>
          <w:color w:val="auto"/>
        </w:rPr>
      </w:pPr>
    </w:p>
    <w:p>
      <w:pPr>
        <w:ind w:left="40" w:right="59" w:firstLine="547"/>
        <w:spacing w:after="0" w:line="262" w:lineRule="auto"/>
        <w:rPr>
          <w:sz w:val="20"/>
          <w:szCs w:val="20"/>
          <w:color w:val="auto"/>
        </w:rPr>
      </w:pPr>
      <w:r>
        <w:rPr>
          <w:rFonts w:ascii="Times New Roman" w:cs="Times New Roman" w:eastAsia="Times New Roman" w:hAnsi="Times New Roman"/>
          <w:sz w:val="15"/>
          <w:szCs w:val="15"/>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Vote Required</w:t>
      </w:r>
    </w:p>
    <w:p>
      <w:pPr>
        <w:spacing w:after="0" w:line="196" w:lineRule="exact"/>
        <w:rPr>
          <w:sz w:val="20"/>
          <w:szCs w:val="20"/>
          <w:color w:val="auto"/>
        </w:rPr>
      </w:pPr>
    </w:p>
    <w:p>
      <w:pPr>
        <w:ind w:left="40" w:right="159" w:firstLine="547"/>
        <w:spacing w:after="0" w:line="257" w:lineRule="auto"/>
        <w:rPr>
          <w:sz w:val="20"/>
          <w:szCs w:val="20"/>
          <w:color w:val="auto"/>
        </w:rPr>
      </w:pPr>
      <w:r>
        <w:rPr>
          <w:rFonts w:ascii="Times New Roman" w:cs="Times New Roman" w:eastAsia="Times New Roman" w:hAnsi="Times New Roman"/>
          <w:sz w:val="15"/>
          <w:szCs w:val="15"/>
          <w:color w:val="auto"/>
        </w:rPr>
        <w:t xml:space="preserve">If you hold your shares in “street name,” and you do not give your bank, broker or other holder of record specific voting instructions for your shares, your record holder can vote your shares on routine matters, which include only the proposal to ratify the appointment of our independent registered public accounting firm (Proposal No. 3). However, your record holder cannot vote your shares without your specific instructions on the election of directors (Proposal No. 1), or on matters related to executive compensation, including the advisory vote described below on the compensation of our named executive officers (Proposal No. 2).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Times New Roman" w:cs="Times New Roman" w:eastAsia="Times New Roman" w:hAnsi="Times New Roman"/>
          <w:sz w:val="15"/>
          <w:szCs w:val="15"/>
          <w:b w:val="1"/>
          <w:bCs w:val="1"/>
          <w:color w:val="auto"/>
        </w:rPr>
        <w:t>We encourage you to provide instructions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 xml:space="preserve">your bank, broker or other holder of record regarding the voting of your shares. </w:t>
      </w:r>
      <w:r>
        <w:rPr>
          <w:rFonts w:ascii="Times New Roman" w:cs="Times New Roman" w:eastAsia="Times New Roman" w:hAnsi="Times New Roman"/>
          <w:sz w:val="15"/>
          <w:szCs w:val="15"/>
          <w:color w:val="auto"/>
        </w:rPr>
        <w:t>Our stockholders have no dissenter’s or appraisal rights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connection with any of the proposals described herein.</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vote required to approve each of the proposals presented in this Proxy Statement is set forth below:</w:t>
      </w:r>
    </w:p>
    <w:p>
      <w:pPr>
        <w:spacing w:after="0" w:line="188" w:lineRule="exact"/>
        <w:rPr>
          <w:sz w:val="20"/>
          <w:szCs w:val="20"/>
          <w:color w:val="auto"/>
        </w:rPr>
      </w:pPr>
    </w:p>
    <w:p>
      <w:pPr>
        <w:ind w:left="860" w:right="79" w:hanging="276"/>
        <w:spacing w:after="0" w:line="263" w:lineRule="auto"/>
        <w:tabs>
          <w:tab w:leader="none" w:pos="8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Election of Directors (Proposal No. 1)</w:t>
      </w:r>
      <w:r>
        <w:rPr>
          <w:rFonts w:ascii="Times New Roman" w:cs="Times New Roman" w:eastAsia="Times New Roman" w:hAnsi="Times New Roman"/>
          <w:sz w:val="15"/>
          <w:szCs w:val="15"/>
          <w:color w:val="auto"/>
        </w:rPr>
        <w:t>. The affirmative vote of a majority of the votes cast with respect to a nominee is required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election to the Board of Directors of each of the nominees for director. For this purpose, “a majority of the votes cast” means that the number of votes cast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p>
      <w:pPr>
        <w:spacing w:after="0" w:line="149" w:lineRule="exact"/>
        <w:rPr>
          <w:rFonts w:ascii="Times New Roman" w:cs="Times New Roman" w:eastAsia="Times New Roman" w:hAnsi="Times New Roman"/>
          <w:sz w:val="15"/>
          <w:szCs w:val="15"/>
          <w:color w:val="auto"/>
        </w:rPr>
      </w:pPr>
    </w:p>
    <w:p>
      <w:pPr>
        <w:ind w:left="860" w:right="59" w:hanging="276"/>
        <w:spacing w:after="0" w:line="261" w:lineRule="auto"/>
        <w:tabs>
          <w:tab w:leader="none" w:pos="8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Approval, on an advisory basis, of the compensation of our named executive officers (Proposal No. 2). </w:t>
      </w:r>
      <w:r>
        <w:rPr>
          <w:rFonts w:ascii="Times New Roman" w:cs="Times New Roman" w:eastAsia="Times New Roman" w:hAnsi="Times New Roman"/>
          <w:sz w:val="15"/>
          <w:szCs w:val="15"/>
          <w:color w:val="auto"/>
        </w:rPr>
        <w:t>Approval, on an advisory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basis, of 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or Compensation Committee, the Board of Directors and the Compensation Committee will consider the voting results, along with other relevant factors, in connection with their ongoing evaluation of our compensation program.</w:t>
      </w:r>
    </w:p>
    <w:p>
      <w:pPr>
        <w:spacing w:after="0" w:line="151" w:lineRule="exact"/>
        <w:rPr>
          <w:rFonts w:ascii="Times New Roman" w:cs="Times New Roman" w:eastAsia="Times New Roman" w:hAnsi="Times New Roman"/>
          <w:sz w:val="15"/>
          <w:szCs w:val="15"/>
          <w:color w:val="auto"/>
        </w:rPr>
      </w:pPr>
    </w:p>
    <w:p>
      <w:pPr>
        <w:ind w:left="860" w:right="99" w:hanging="276"/>
        <w:spacing w:after="0" w:line="263" w:lineRule="auto"/>
        <w:tabs>
          <w:tab w:leader="none" w:pos="8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Ratification of the appointment of the Independent Registered Public Accounting Firm (Proposal No. 3). </w:t>
      </w:r>
      <w:r>
        <w:rPr>
          <w:rFonts w:ascii="Times New Roman" w:cs="Times New Roman" w:eastAsia="Times New Roman" w:hAnsi="Times New Roman"/>
          <w:sz w:val="15"/>
          <w:szCs w:val="15"/>
          <w:color w:val="auto"/>
        </w:rPr>
        <w:t>Approval of the proposal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ratify the Audit Committee’s appointment of KPMG LLP as our independent registered public accounting firm for the fiscal year ending December 31, 2022 requires 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Adjournment or Postponement of Meeting</w:t>
      </w:r>
    </w:p>
    <w:p>
      <w:pPr>
        <w:spacing w:after="0" w:line="196" w:lineRule="exact"/>
        <w:rPr>
          <w:sz w:val="20"/>
          <w:szCs w:val="20"/>
          <w:color w:val="auto"/>
        </w:rPr>
      </w:pPr>
    </w:p>
    <w:p>
      <w:pPr>
        <w:ind w:left="40" w:right="59" w:firstLine="547"/>
        <w:spacing w:after="0" w:line="265" w:lineRule="auto"/>
        <w:rPr>
          <w:sz w:val="20"/>
          <w:szCs w:val="20"/>
          <w:color w:val="auto"/>
        </w:rPr>
      </w:pPr>
      <w:r>
        <w:rPr>
          <w:rFonts w:ascii="Times New Roman" w:cs="Times New Roman" w:eastAsia="Times New Roman" w:hAnsi="Times New Roman"/>
          <w:sz w:val="15"/>
          <w:szCs w:val="15"/>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Expenses of Soliciting Proxies</w:t>
      </w:r>
    </w:p>
    <w:p>
      <w:pPr>
        <w:spacing w:after="0" w:line="196" w:lineRule="exact"/>
        <w:rPr>
          <w:sz w:val="20"/>
          <w:szCs w:val="20"/>
          <w:color w:val="auto"/>
        </w:rPr>
      </w:pPr>
    </w:p>
    <w:p>
      <w:pPr>
        <w:ind w:left="40" w:right="79" w:firstLine="547"/>
        <w:spacing w:after="0" w:line="271" w:lineRule="auto"/>
        <w:rPr>
          <w:sz w:val="20"/>
          <w:szCs w:val="20"/>
          <w:color w:val="auto"/>
        </w:rPr>
      </w:pPr>
      <w:r>
        <w:rPr>
          <w:rFonts w:ascii="Times New Roman" w:cs="Times New Roman" w:eastAsia="Times New Roman" w:hAnsi="Times New Roman"/>
          <w:sz w:val="15"/>
          <w:szCs w:val="15"/>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CORPORATE GOVERNANCE AND BOARD MATTERS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Corporate Governance Philosophy</w:t>
      </w:r>
    </w:p>
    <w:p>
      <w:pPr>
        <w:spacing w:after="0" w:line="196" w:lineRule="exact"/>
        <w:rPr>
          <w:sz w:val="20"/>
          <w:szCs w:val="20"/>
          <w:color w:val="auto"/>
        </w:rPr>
      </w:pPr>
    </w:p>
    <w:p>
      <w:pPr>
        <w:ind w:left="40" w:right="99" w:firstLine="547"/>
        <w:spacing w:after="0" w:line="262" w:lineRule="auto"/>
        <w:rPr>
          <w:sz w:val="20"/>
          <w:szCs w:val="20"/>
          <w:color w:val="auto"/>
        </w:rPr>
      </w:pPr>
      <w:r>
        <w:rPr>
          <w:rFonts w:ascii="Times New Roman" w:cs="Times New Roman" w:eastAsia="Times New Roman" w:hAnsi="Times New Roman"/>
          <w:sz w:val="15"/>
          <w:szCs w:val="15"/>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Changes to the Board of Directors During 2021</w:t>
      </w:r>
    </w:p>
    <w:p>
      <w:pPr>
        <w:spacing w:after="0" w:line="196" w:lineRule="exact"/>
        <w:rPr>
          <w:sz w:val="20"/>
          <w:szCs w:val="20"/>
          <w:color w:val="auto"/>
        </w:rPr>
      </w:pPr>
    </w:p>
    <w:p>
      <w:pPr>
        <w:ind w:left="40" w:right="139" w:firstLine="547"/>
        <w:spacing w:after="0" w:line="288" w:lineRule="auto"/>
        <w:rPr>
          <w:sz w:val="20"/>
          <w:szCs w:val="20"/>
          <w:color w:val="auto"/>
        </w:rPr>
      </w:pPr>
      <w:r>
        <w:rPr>
          <w:rFonts w:ascii="Times New Roman" w:cs="Times New Roman" w:eastAsia="Times New Roman" w:hAnsi="Times New Roman"/>
          <w:sz w:val="15"/>
          <w:szCs w:val="15"/>
          <w:color w:val="auto"/>
        </w:rPr>
        <w:t>Effective June 22, 2021, Mr. David M. Adame was appointed to its Board of Directors for a term expiring at the 2022 annual meeting of stockholders and to the Audit, Compensation and Nominating and Corporate Governance Committees of the Board.</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Board of Directors Meetings and Attendance</w:t>
      </w:r>
    </w:p>
    <w:p>
      <w:pPr>
        <w:spacing w:after="0" w:line="196" w:lineRule="exact"/>
        <w:rPr>
          <w:sz w:val="20"/>
          <w:szCs w:val="20"/>
          <w:color w:val="auto"/>
        </w:rPr>
      </w:pPr>
    </w:p>
    <w:p>
      <w:pPr>
        <w:ind w:left="40" w:right="259" w:firstLine="547"/>
        <w:spacing w:after="0" w:line="265" w:lineRule="auto"/>
        <w:rPr>
          <w:sz w:val="20"/>
          <w:szCs w:val="20"/>
          <w:color w:val="auto"/>
        </w:rPr>
      </w:pPr>
      <w:r>
        <w:rPr>
          <w:rFonts w:ascii="Times New Roman" w:cs="Times New Roman" w:eastAsia="Times New Roman" w:hAnsi="Times New Roman"/>
          <w:sz w:val="15"/>
          <w:szCs w:val="15"/>
          <w:color w:val="auto"/>
        </w:rPr>
        <w:t>During our 2021 fiscal year, our Board of Directors held six meetings. All of our directors attended 100% of the meetings held during the time for which each such director served. We do not have a formal policy regarding attendance of our directors at annual meetings of our stockholders, but we do encourage each of our directors to attend. All of our current directors attended our 2021 annual meeting in person or telephonically.</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196" w:lineRule="exact"/>
        <w:rPr>
          <w:sz w:val="20"/>
          <w:szCs w:val="20"/>
          <w:color w:val="auto"/>
        </w:rPr>
      </w:pPr>
    </w:p>
    <w:p>
      <w:pPr>
        <w:ind w:left="40" w:right="139" w:firstLine="547"/>
        <w:spacing w:after="0" w:line="258" w:lineRule="auto"/>
        <w:rPr>
          <w:sz w:val="20"/>
          <w:szCs w:val="20"/>
          <w:color w:val="auto"/>
        </w:rPr>
      </w:pPr>
      <w:r>
        <w:rPr>
          <w:rFonts w:ascii="Times New Roman" w:cs="Times New Roman" w:eastAsia="Times New Roman" w:hAnsi="Times New Roman"/>
          <w:sz w:val="15"/>
          <w:szCs w:val="15"/>
          <w:color w:val="auto"/>
        </w:rPr>
        <w:t>Our Board of Directors periodically reviews the independence of each director.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Our Board of Directors has affirmatively determined that each director other than Brian E. Mueller, who serves as our Chief Executive Officer, is “independent,” as defined by the rules of the Nasdaq Stock Market. Under the Nasdaq Stock Market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Board Leadership Structure</w:t>
      </w:r>
    </w:p>
    <w:p>
      <w:pPr>
        <w:spacing w:after="0" w:line="196" w:lineRule="exact"/>
        <w:rPr>
          <w:sz w:val="20"/>
          <w:szCs w:val="20"/>
          <w:color w:val="auto"/>
        </w:rPr>
      </w:pPr>
    </w:p>
    <w:p>
      <w:pPr>
        <w:ind w:left="40" w:right="59" w:firstLine="547"/>
        <w:spacing w:after="0" w:line="260" w:lineRule="auto"/>
        <w:rPr>
          <w:sz w:val="20"/>
          <w:szCs w:val="20"/>
          <w:color w:val="auto"/>
        </w:rPr>
      </w:pPr>
      <w:r>
        <w:rPr>
          <w:rFonts w:ascii="Times New Roman" w:cs="Times New Roman" w:eastAsia="Times New Roman" w:hAnsi="Times New Roman"/>
          <w:sz w:val="15"/>
          <w:szCs w:val="15"/>
          <w:color w:val="auto"/>
        </w:rPr>
        <w:t>The Company’s governance framework provides the Board with flexibility to select the appropriate Board leadership structure for the Company. In making leadership structure determinations, the Board considers many factors, including the specific needs of the business and what is in the best interests of the Company’s stockholders. Having the flexibility to select the appropriate structure based on the specific needs of the business is critical, and it is part of the judgment the Board believes it should exercise. The Board understands that Board leadership structure is an important topic for many stockholders, and the Board takes stockholder feedback into account when making determinations around Board leadership structure.</w:t>
      </w:r>
    </w:p>
    <w:p>
      <w:pPr>
        <w:spacing w:after="0" w:line="156" w:lineRule="exact"/>
        <w:rPr>
          <w:sz w:val="20"/>
          <w:szCs w:val="20"/>
          <w:color w:val="auto"/>
        </w:rPr>
      </w:pPr>
    </w:p>
    <w:p>
      <w:pPr>
        <w:ind w:left="40" w:right="59" w:firstLine="547"/>
        <w:spacing w:after="0" w:line="257" w:lineRule="auto"/>
        <w:rPr>
          <w:sz w:val="20"/>
          <w:szCs w:val="20"/>
          <w:color w:val="auto"/>
        </w:rPr>
      </w:pPr>
      <w:r>
        <w:rPr>
          <w:rFonts w:ascii="Times New Roman" w:cs="Times New Roman" w:eastAsia="Times New Roman" w:hAnsi="Times New Roman"/>
          <w:sz w:val="15"/>
          <w:szCs w:val="15"/>
          <w:color w:val="auto"/>
        </w:rPr>
        <w:t>Our Board leadership structure comprises a “combined” Chairman of the Board and Chief Executive Officer, a lead independent director, Board committees led entirely by independent directors and active engagement by all directors. In selecting Mr. Mueller to serve as Chairman, the Board determined that having Mr. Mueller serve in the combined role provides certain synergies and efficiencies that can serve to enhance the functioning of the Board and serve the business and stockholders well over time. The Company operates in a complex business and regulatory environment, which requires a chief executive officer with deep knowledge of the business and the industry within which we operate. Because the Chief Executive Officer is the Board member closest to our complex business, he is best able to identify many of the business issues that need to be on the Board agenda, and, as Chairman of the Board, he can focus directors’ attention on the most critical business matters. Further, the Board believes that, at this time, a combined Chairman of the Board and Chief Executive Officer will facilitate timely and unfiltered communication with the Board on critical business and regulatory issues. The Board also believes that there are benefits in having the same person represent both the Company and the Board with regulators, stockholders and other stakeholders.</w:t>
      </w:r>
    </w:p>
    <w:p>
      <w:pPr>
        <w:spacing w:after="0" w:line="160" w:lineRule="exact"/>
        <w:rPr>
          <w:sz w:val="20"/>
          <w:szCs w:val="20"/>
          <w:color w:val="auto"/>
        </w:rPr>
      </w:pPr>
    </w:p>
    <w:p>
      <w:pPr>
        <w:ind w:left="40" w:right="459" w:firstLine="547"/>
        <w:spacing w:after="0" w:line="265" w:lineRule="auto"/>
        <w:rPr>
          <w:sz w:val="20"/>
          <w:szCs w:val="20"/>
          <w:color w:val="auto"/>
        </w:rPr>
      </w:pPr>
      <w:r>
        <w:rPr>
          <w:rFonts w:ascii="Times New Roman" w:cs="Times New Roman" w:eastAsia="Times New Roman" w:hAnsi="Times New Roman"/>
          <w:sz w:val="15"/>
          <w:szCs w:val="15"/>
          <w:color w:val="auto"/>
        </w:rPr>
        <w:t>In accordance with our Corporate Governance Principles and Practices, in the event the positions of Chairman and Chief Executive Officer are held by the same person, or if the position of Chairman is also held by a non-independent person, a lead independent director is appointed annually by the affirmative vote of a majority of those directors who have been determined to be “independent” under applicable Nasdaq guidelines. The lead independent director, a position currently held by Ms. Sara Dial, has the following duties:</w:t>
      </w:r>
    </w:p>
    <w:p>
      <w:pPr>
        <w:spacing w:after="0" w:line="150" w:lineRule="exact"/>
        <w:rPr>
          <w:sz w:val="20"/>
          <w:szCs w:val="20"/>
          <w:color w:val="auto"/>
        </w:rPr>
      </w:pPr>
    </w:p>
    <w:p>
      <w:pPr>
        <w:ind w:left="860" w:hanging="276"/>
        <w:spacing w:after="0"/>
        <w:tabs>
          <w:tab w:leader="none" w:pos="8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Setting the agenda and serving as chairman for the executive sessions of the independent directors.</w:t>
      </w:r>
    </w:p>
    <w:p>
      <w:pPr>
        <w:spacing w:after="0" w:line="192" w:lineRule="exact"/>
        <w:rPr>
          <w:rFonts w:ascii="Times New Roman" w:cs="Times New Roman" w:eastAsia="Times New Roman" w:hAnsi="Times New Roman"/>
          <w:sz w:val="15"/>
          <w:szCs w:val="15"/>
          <w:color w:val="auto"/>
        </w:rPr>
      </w:pPr>
    </w:p>
    <w:p>
      <w:pPr>
        <w:ind w:left="860" w:right="179" w:hanging="276"/>
        <w:spacing w:after="0" w:line="288" w:lineRule="auto"/>
        <w:tabs>
          <w:tab w:leader="none" w:pos="8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Serving as liaison between the Chairman and the independent directors, including, communicating to the Chairman, as appropriate, the results of executive sessions of the independent directors.</w:t>
      </w:r>
    </w:p>
    <w:p>
      <w:pPr>
        <w:spacing w:after="0" w:line="133" w:lineRule="exact"/>
        <w:rPr>
          <w:rFonts w:ascii="Times New Roman" w:cs="Times New Roman" w:eastAsia="Times New Roman" w:hAnsi="Times New Roman"/>
          <w:sz w:val="15"/>
          <w:szCs w:val="15"/>
          <w:color w:val="auto"/>
        </w:rPr>
      </w:pPr>
    </w:p>
    <w:p>
      <w:pPr>
        <w:ind w:left="860" w:right="319" w:hanging="276"/>
        <w:spacing w:after="0" w:line="288" w:lineRule="auto"/>
        <w:tabs>
          <w:tab w:leader="none" w:pos="8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Ensuring that independent directors have adequate opportunities to meet without management present, including authority to call meetings of the independent directors.</w:t>
      </w:r>
    </w:p>
    <w:p>
      <w:pPr>
        <w:spacing w:after="0" w:line="133" w:lineRule="exact"/>
        <w:rPr>
          <w:rFonts w:ascii="Times New Roman" w:cs="Times New Roman" w:eastAsia="Times New Roman" w:hAnsi="Times New Roman"/>
          <w:sz w:val="15"/>
          <w:szCs w:val="15"/>
          <w:color w:val="auto"/>
        </w:rPr>
      </w:pPr>
    </w:p>
    <w:p>
      <w:pPr>
        <w:ind w:left="860" w:right="199" w:hanging="276"/>
        <w:spacing w:after="0" w:line="271" w:lineRule="auto"/>
        <w:tabs>
          <w:tab w:leader="none" w:pos="8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Serving as designated contact for communication to independent directors as required by the Securities and Exchange Commission and the Nasdaq Stock Market’s listing standards, including being available for consultation and direct communication with major stockholders.</w:t>
      </w:r>
    </w:p>
    <w:p>
      <w:pPr>
        <w:spacing w:after="0" w:line="145" w:lineRule="exact"/>
        <w:rPr>
          <w:rFonts w:ascii="Times New Roman" w:cs="Times New Roman" w:eastAsia="Times New Roman" w:hAnsi="Times New Roman"/>
          <w:sz w:val="15"/>
          <w:szCs w:val="15"/>
          <w:color w:val="auto"/>
        </w:rPr>
      </w:pPr>
    </w:p>
    <w:p>
      <w:pPr>
        <w:ind w:left="860" w:right="59" w:hanging="276"/>
        <w:spacing w:after="0" w:line="288" w:lineRule="auto"/>
        <w:tabs>
          <w:tab w:leader="none" w:pos="8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the agenda and information sent in connection with Board meetings and ensuring that the other independent directors also have an opportunity to provide input on the agenda.</w:t>
      </w:r>
    </w:p>
    <w:p>
      <w:pPr>
        <w:spacing w:after="0" w:line="133"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meeting schedules to assure that there is sufficient time for discussion of all agenda items.</w:t>
      </w:r>
    </w:p>
    <w:p>
      <w:pPr>
        <w:spacing w:after="0" w:line="192"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Chairing Board meetings if the Chairman is unable to attend.</w:t>
      </w:r>
    </w:p>
    <w:p>
      <w:pPr>
        <w:spacing w:after="0" w:line="192" w:lineRule="exact"/>
        <w:rPr>
          <w:sz w:val="20"/>
          <w:szCs w:val="20"/>
          <w:color w:val="auto"/>
        </w:rPr>
      </w:pPr>
    </w:p>
    <w:p>
      <w:pPr>
        <w:ind w:left="40" w:right="79" w:firstLine="547"/>
        <w:spacing w:after="0" w:line="265" w:lineRule="auto"/>
        <w:rPr>
          <w:sz w:val="20"/>
          <w:szCs w:val="20"/>
          <w:color w:val="auto"/>
        </w:rPr>
      </w:pPr>
      <w:r>
        <w:rPr>
          <w:rFonts w:ascii="Times New Roman" w:cs="Times New Roman" w:eastAsia="Times New Roman" w:hAnsi="Times New Roman"/>
          <w:sz w:val="15"/>
          <w:szCs w:val="15"/>
          <w:color w:val="auto"/>
        </w:rPr>
        <w:t>Importantly, all of our directors play an active role in overseeing the Company’s business both at the Board and committee levels. As part of each regularly scheduled Board meeting, the independent directors meet in executive session without the Chief Executive Officer present. These sessions allow our independent directors to discuss issues of importance to the Company, including the business and affairs of the Company as well as matters concerning management, without any member of management present.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Committees of Our Board of Directors During 2021</w:t>
      </w:r>
    </w:p>
    <w:p>
      <w:pPr>
        <w:spacing w:after="0" w:line="196" w:lineRule="exact"/>
        <w:rPr>
          <w:sz w:val="20"/>
          <w:szCs w:val="20"/>
          <w:color w:val="auto"/>
        </w:rPr>
      </w:pPr>
    </w:p>
    <w:p>
      <w:pPr>
        <w:ind w:left="40" w:right="139" w:firstLine="547"/>
        <w:spacing w:after="0" w:line="258" w:lineRule="auto"/>
        <w:rPr>
          <w:sz w:val="20"/>
          <w:szCs w:val="20"/>
          <w:color w:val="auto"/>
        </w:rPr>
      </w:pPr>
      <w:r>
        <w:rPr>
          <w:rFonts w:ascii="Times New Roman" w:cs="Times New Roman" w:eastAsia="Times New Roman" w:hAnsi="Times New Roman"/>
          <w:sz w:val="15"/>
          <w:szCs w:val="15"/>
          <w:color w:val="auto"/>
        </w:rPr>
        <w:t xml:space="preserve">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During 2021, each director attended 100% of the meetings of the Board committees on which he or she served that were held during the time for which each such director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written charters for each of the standing committees, which are available in the Corporate Governance section of the Investor Relations page on our website at </w:t>
      </w:r>
      <w:r>
        <w:rPr>
          <w:rFonts w:ascii="Times New Roman" w:cs="Times New Roman" w:eastAsia="Times New Roman" w:hAnsi="Times New Roman"/>
          <w:sz w:val="15"/>
          <w:szCs w:val="15"/>
          <w:i w:val="1"/>
          <w:iCs w:val="1"/>
          <w:color w:val="auto"/>
        </w:rPr>
        <w:t>www.gce.com.</w:t>
      </w:r>
    </w:p>
    <w:p>
      <w:pPr>
        <w:spacing w:after="0" w:line="132" w:lineRule="exact"/>
        <w:rPr>
          <w:sz w:val="20"/>
          <w:szCs w:val="20"/>
          <w:color w:val="auto"/>
        </w:rPr>
      </w:pPr>
    </w:p>
    <w:p>
      <w:pPr>
        <w:ind w:left="40" w:right="39" w:firstLine="547"/>
        <w:spacing w:after="0" w:line="258" w:lineRule="auto"/>
        <w:rPr>
          <w:sz w:val="20"/>
          <w:szCs w:val="20"/>
          <w:color w:val="auto"/>
        </w:rPr>
      </w:pPr>
      <w:r>
        <w:rPr>
          <w:rFonts w:ascii="Times New Roman" w:cs="Times New Roman" w:eastAsia="Times New Roman" w:hAnsi="Times New Roman"/>
          <w:sz w:val="15"/>
          <w:szCs w:val="15"/>
          <w:i w:val="1"/>
          <w:iCs w:val="1"/>
          <w:color w:val="auto"/>
        </w:rPr>
        <w:t>Audit Committee (Number of meetings held during 2021: Six</w:t>
      </w:r>
      <w:r>
        <w:rPr>
          <w:rFonts w:ascii="Times New Roman" w:cs="Times New Roman" w:eastAsia="Times New Roman" w:hAnsi="Times New Roman"/>
          <w:sz w:val="15"/>
          <w:szCs w:val="15"/>
          <w:color w:val="auto"/>
        </w:rPr>
        <w:t>). During 2021, our Audit Committee consisted of Mr. Henry (chair), Mr.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Adame (since June 22, 2021), Ms. Dial, Ms. Keegan and Ms. Humphrey, each of whom our Board of Directors determined to be “independent,” as defined under and required by the rules of the Nasdaq Stock Market and the federal securities laws. In addition, our Board has determined that each of Mr. Henry, Mr. Adame and Ms. Humphrey qualify as an “audit committee financial expert,” as defined under applicable federal securities laws. Our Audit Committee is directly responsible for, among other things, the appointment, compensation and related audit fee negotiations, retention, and oversight, including selection of the lead engagement partner, and tenure of our independent registered public accounting firm. The oversight includes reviewing the plans and results of the audit engagement with the firm, approving and negotiating any additional professional services provided by the firm and reviewing the independence of the firm. In addition, the Audit Committee is responsible for discussing the effectiveness of the internal controls over financial reporting, review of significant accounting policies, and discussion of significant judgements or accounting estimates during the audit with the firm and relevant financial management.</w:t>
      </w:r>
    </w:p>
    <w:p>
      <w:pPr>
        <w:spacing w:after="0" w:line="122" w:lineRule="exact"/>
        <w:rPr>
          <w:sz w:val="20"/>
          <w:szCs w:val="20"/>
          <w:color w:val="auto"/>
        </w:rPr>
      </w:pPr>
    </w:p>
    <w:p>
      <w:pPr>
        <w:ind w:left="40" w:right="79" w:firstLine="547"/>
        <w:spacing w:after="0" w:line="258" w:lineRule="auto"/>
        <w:rPr>
          <w:sz w:val="20"/>
          <w:szCs w:val="20"/>
          <w:color w:val="auto"/>
        </w:rPr>
      </w:pPr>
      <w:r>
        <w:rPr>
          <w:rFonts w:ascii="Times New Roman" w:cs="Times New Roman" w:eastAsia="Times New Roman" w:hAnsi="Times New Roman"/>
          <w:sz w:val="15"/>
          <w:szCs w:val="15"/>
          <w:color w:val="auto"/>
        </w:rPr>
        <w:t>The Audit Committee is also tasked with oversight of the cybersecurity controls in place at the Company. The Company employs a dedicated Chief Information Security Officer, with an experienced and competent security team, and works closely with the Chief Risk Officer to provide risk reporting and ensure security and compliance. The Company regularly engages third party experts to perform cybersecurity assessments. These assessments are normally performed on an annual basis. Reports are sent to the Audit Committee monthly, and Security, Risk and Compliance updates are provided quarterly. The Company has implemented policies and procedures for all employees including; information security/cybersecurity policies, which are internally available for all employees; information security/cybersecurity awareness training; a clear escalation process which employees can follow in the event an employee notices something suspicious; and information security/cybersecurity is part of the employee performance evaluation and/or disciplinary actions. The Company maintains a cyber insurance policy. The Company has not had a security breach and has not incurred any expenses for a security breach in the past three years.</w:t>
      </w:r>
    </w:p>
    <w:p>
      <w:pPr>
        <w:spacing w:after="0" w:line="117" w:lineRule="exact"/>
        <w:rPr>
          <w:sz w:val="20"/>
          <w:szCs w:val="20"/>
          <w:color w:val="auto"/>
        </w:rPr>
      </w:pPr>
    </w:p>
    <w:p>
      <w:pPr>
        <w:ind w:left="40" w:right="179" w:firstLine="547"/>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Compensation Committee (Number of meetings held during 2021: Five). </w:t>
      </w:r>
      <w:r>
        <w:rPr>
          <w:rFonts w:ascii="Times New Roman" w:cs="Times New Roman" w:eastAsia="Times New Roman" w:hAnsi="Times New Roman"/>
          <w:sz w:val="15"/>
          <w:szCs w:val="15"/>
          <w:color w:val="auto"/>
        </w:rPr>
        <w:t>During 2021, our Compensation Committee consisted of Ms.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Humphrey (chair), Mr. Henry, Mr. Adame (since June 22, 2021), Ms. Dial, and Ms. Keegan, each of whom the Board of Directors determined to be “independent,” as defined under and required by the rules of the Nasdaq Stock Market. The Compensation Committee is responsible for, among other things, supervising and reviewing our affairs as they relate to the compensation and benefits of our executive officers and directors, as well as overseeing succession planning for executive officers. In carrying out these responsibilities, the Compensation Committee reviews all components of executive compensation for consistency with our compensation philosophy and with the interests of our stockholders</w:t>
      </w:r>
      <w:r>
        <w:rPr>
          <w:rFonts w:ascii="Times New Roman" w:cs="Times New Roman" w:eastAsia="Times New Roman" w:hAnsi="Times New Roman"/>
          <w:sz w:val="15"/>
          <w:szCs w:val="15"/>
          <w:i w:val="1"/>
          <w:iCs w:val="1"/>
          <w:color w:val="auto"/>
        </w:rPr>
        <w:t>.</w:t>
      </w:r>
    </w:p>
    <w:p>
      <w:pPr>
        <w:spacing w:after="0" w:line="133" w:lineRule="exact"/>
        <w:rPr>
          <w:sz w:val="20"/>
          <w:szCs w:val="20"/>
          <w:color w:val="auto"/>
        </w:rPr>
      </w:pPr>
    </w:p>
    <w:p>
      <w:pPr>
        <w:jc w:val="both"/>
        <w:ind w:left="40" w:right="119" w:firstLine="547"/>
        <w:spacing w:after="0" w:line="271" w:lineRule="auto"/>
        <w:rPr>
          <w:sz w:val="20"/>
          <w:szCs w:val="20"/>
          <w:color w:val="auto"/>
        </w:rPr>
      </w:pPr>
      <w:r>
        <w:rPr>
          <w:rFonts w:ascii="Times New Roman" w:cs="Times New Roman" w:eastAsia="Times New Roman" w:hAnsi="Times New Roman"/>
          <w:sz w:val="15"/>
          <w:szCs w:val="15"/>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The Compensation Committee periodically engages an independent compensation consultant and advisor to:</w:t>
      </w:r>
    </w:p>
    <w:p>
      <w:pPr>
        <w:spacing w:after="0" w:line="77" w:lineRule="exact"/>
        <w:rPr>
          <w:sz w:val="20"/>
          <w:szCs w:val="20"/>
          <w:color w:val="auto"/>
        </w:rPr>
      </w:pPr>
    </w:p>
    <w:p>
      <w:pPr>
        <w:ind w:left="860" w:right="99" w:hanging="276"/>
        <w:spacing w:after="0" w:line="288" w:lineRule="auto"/>
        <w:tabs>
          <w:tab w:leader="none" w:pos="8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recommendations regarding executive compensation consistent with the Company’s business needs, pay philosophy, market trends and latest legal and regulatory considerations;</w:t>
      </w:r>
    </w:p>
    <w:p>
      <w:pPr>
        <w:spacing w:after="0" w:line="110"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market data for base salary, short-term incentive and long-term incentive decisions;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6265"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hanging="276"/>
        <w:spacing w:after="0"/>
        <w:tabs>
          <w:tab w:leader="none" w:pos="8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Advise the Compensation Committee as to best practices.</w:t>
      </w:r>
    </w:p>
    <w:p>
      <w:pPr>
        <w:spacing w:after="0" w:line="166" w:lineRule="exact"/>
        <w:rPr>
          <w:sz w:val="20"/>
          <w:szCs w:val="20"/>
          <w:color w:val="auto"/>
        </w:rPr>
      </w:pPr>
    </w:p>
    <w:p>
      <w:pPr>
        <w:ind w:left="40" w:right="219" w:firstLine="547"/>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Nominating and Corporate Governance Committee (Number of meetings held during 2021: Five). </w:t>
      </w:r>
      <w:r>
        <w:rPr>
          <w:rFonts w:ascii="Times New Roman" w:cs="Times New Roman" w:eastAsia="Times New Roman" w:hAnsi="Times New Roman"/>
          <w:sz w:val="15"/>
          <w:szCs w:val="15"/>
          <w:color w:val="auto"/>
        </w:rPr>
        <w:t>During 2021, our Nominating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Corporate Governance Committee consisted of Ms. Keegan (chair), Ms. Dial, Ms. Humphrey, Mr. Henry, and Mr. Adame (since June 22, 2021), each of whom our Board of Directors determined to be “independent,” as defined under and required by the rules of the Nasdaq Stock Market.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annual evaluation of the Board of Directors and each committee, and the Company’s environmental and social sustainability initiatives.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Information About the Board of Directors</w:t>
      </w:r>
    </w:p>
    <w:p>
      <w:pPr>
        <w:spacing w:after="0" w:line="162" w:lineRule="exact"/>
        <w:rPr>
          <w:sz w:val="20"/>
          <w:szCs w:val="20"/>
          <w:color w:val="auto"/>
        </w:rPr>
      </w:pPr>
    </w:p>
    <w:p>
      <w:pPr>
        <w:ind w:left="40" w:right="199" w:firstLine="547"/>
        <w:spacing w:after="0" w:line="259" w:lineRule="auto"/>
        <w:rPr>
          <w:sz w:val="20"/>
          <w:szCs w:val="20"/>
          <w:color w:val="auto"/>
        </w:rPr>
      </w:pPr>
      <w:r>
        <w:rPr>
          <w:rFonts w:ascii="Times New Roman" w:cs="Times New Roman" w:eastAsia="Times New Roman" w:hAnsi="Times New Roman"/>
          <w:sz w:val="15"/>
          <w:szCs w:val="15"/>
          <w:color w:val="auto"/>
        </w:rPr>
        <w:t>The following matrix provides information regarding the members of our Board of Directors, including certain types of knowledge, skills, experiences and attributes possessed by one or more of our directors which our Board of Directors believes are relevant to our business or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of Directors.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Brian E.</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Sara R.</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Jack A.</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Lisa Graham</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Chevy</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David M.</w:t>
            </w:r>
          </w:p>
        </w:tc>
      </w:tr>
      <w:tr>
        <w:trPr>
          <w:trHeight w:val="180"/>
        </w:trPr>
        <w:tc>
          <w:tcPr>
            <w:tcW w:w="342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Mueller</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Dial</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Henry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Keegan</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Humphrey</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Adame</w:t>
            </w:r>
          </w:p>
        </w:tc>
      </w:tr>
      <w:tr>
        <w:trPr>
          <w:trHeight w:val="168"/>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Knowledge, Skills and Experience</w:t>
            </w: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Public Company Board Experience</w:t>
            </w:r>
          </w:p>
        </w:tc>
        <w:tc>
          <w:tcPr>
            <w:tcW w:w="98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90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w:t>
            </w:r>
          </w:p>
        </w:tc>
        <w:tc>
          <w:tcPr>
            <w:tcW w:w="980" w:type="dxa"/>
            <w:vAlign w:val="bottom"/>
            <w:gridSpan w:val="2"/>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Risk Management</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Corporate Governance/Ethics</w:t>
            </w:r>
          </w:p>
        </w:tc>
        <w:tc>
          <w:tcPr>
            <w:tcW w:w="98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90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Legal/Regulatory</w:t>
            </w:r>
          </w:p>
        </w:tc>
        <w:tc>
          <w:tcPr>
            <w:tcW w:w="980" w:type="dxa"/>
            <w:vAlign w:val="bottom"/>
            <w:gridSpan w:val="2"/>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HR/Compensation</w:t>
            </w:r>
          </w:p>
        </w:tc>
        <w:tc>
          <w:tcPr>
            <w:tcW w:w="98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100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Experience</w:t>
            </w:r>
          </w:p>
        </w:tc>
        <w:tc>
          <w:tcPr>
            <w:tcW w:w="980" w:type="dxa"/>
            <w:vAlign w:val="bottom"/>
            <w:gridSpan w:val="2"/>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Operations</w:t>
            </w:r>
          </w:p>
        </w:tc>
        <w:tc>
          <w:tcPr>
            <w:tcW w:w="98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100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Strategic Planning/Oversight</w:t>
            </w:r>
          </w:p>
        </w:tc>
        <w:tc>
          <w:tcPr>
            <w:tcW w:w="980" w:type="dxa"/>
            <w:vAlign w:val="bottom"/>
            <w:gridSpan w:val="2"/>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Technology</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Mergers and Acquisitions</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Cybersecurity</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Academia/Education</w:t>
            </w:r>
          </w:p>
        </w:tc>
        <w:tc>
          <w:tcPr>
            <w:tcW w:w="980" w:type="dxa"/>
            <w:vAlign w:val="bottom"/>
            <w:gridSpan w:val="2"/>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Demographics – Race/Ethnicity</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African American</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Asian/Pacific Islander</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White/Caucasian</w:t>
            </w:r>
          </w:p>
        </w:tc>
        <w:tc>
          <w:tcPr>
            <w:tcW w:w="980" w:type="dxa"/>
            <w:vAlign w:val="bottom"/>
            <w:gridSpan w:val="2"/>
            <w:shd w:val="clear" w:color="auto" w:fill="CCEEFF"/>
          </w:tcPr>
          <w:p>
            <w:pPr>
              <w:spacing w:after="0"/>
              <w:rPr>
                <w:sz w:val="14"/>
                <w:szCs w:val="14"/>
                <w:color w:val="auto"/>
              </w:rPr>
            </w:pPr>
          </w:p>
        </w:tc>
        <w:tc>
          <w:tcPr>
            <w:tcW w:w="820" w:type="dxa"/>
            <w:vAlign w:val="bottom"/>
            <w:gridSpan w:val="2"/>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Hispanic/Latino</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Native American</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Male</w:t>
            </w:r>
          </w:p>
        </w:tc>
        <w:tc>
          <w:tcPr>
            <w:tcW w:w="980" w:type="dxa"/>
            <w:vAlign w:val="bottom"/>
            <w:gridSpan w:val="2"/>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57"/>
        </w:trPr>
        <w:tc>
          <w:tcPr>
            <w:tcW w:w="34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Female</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00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r>
      <w:tr>
        <w:trPr>
          <w:trHeight w:val="180"/>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Board Tenure</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Code of Conduct</w:t>
      </w:r>
    </w:p>
    <w:p>
      <w:pPr>
        <w:spacing w:after="0" w:line="174" w:lineRule="exact"/>
        <w:rPr>
          <w:sz w:val="20"/>
          <w:szCs w:val="20"/>
          <w:color w:val="auto"/>
        </w:rPr>
      </w:pPr>
    </w:p>
    <w:p>
      <w:pPr>
        <w:ind w:left="40" w:right="59" w:firstLine="547"/>
        <w:spacing w:after="0" w:line="259" w:lineRule="auto"/>
        <w:rPr>
          <w:sz w:val="20"/>
          <w:szCs w:val="20"/>
          <w:color w:val="auto"/>
        </w:rPr>
      </w:pPr>
      <w:r>
        <w:rPr>
          <w:rFonts w:ascii="Times New Roman" w:cs="Times New Roman" w:eastAsia="Times New Roman" w:hAnsi="Times New Roman"/>
          <w:sz w:val="15"/>
          <w:szCs w:val="15"/>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other employees including our principal accounting officer, performing similar functions. A copy of our code of conduct is available on the Corporate Governance section of the Investor Relations page on our website at </w:t>
      </w:r>
      <w:r>
        <w:rPr>
          <w:rFonts w:ascii="Times New Roman" w:cs="Times New Roman" w:eastAsia="Times New Roman" w:hAnsi="Times New Roman"/>
          <w:sz w:val="15"/>
          <w:szCs w:val="15"/>
          <w:i w:val="1"/>
          <w:iCs w:val="1"/>
          <w:color w:val="auto"/>
        </w:rPr>
        <w:t>www.gce.com.</w:t>
      </w:r>
      <w:r>
        <w:rPr>
          <w:rFonts w:ascii="Times New Roman" w:cs="Times New Roman" w:eastAsia="Times New Roman" w:hAnsi="Times New Roman"/>
          <w:sz w:val="15"/>
          <w:szCs w:val="15"/>
          <w:color w:val="auto"/>
        </w:rPr>
        <w:t xml:space="preserve"> We intend to post on our website any amendment to, or waiver from, a provision of our code of conduct that applies to any director or officer, including our Chief Executive Officer, Chief Financial Officer, and other persons including our principal accounting officer performing similar functions, promptly following the date of such amendment or waiver.</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Risk Oversight</w:t>
      </w:r>
    </w:p>
    <w:p>
      <w:pPr>
        <w:spacing w:after="0" w:line="162" w:lineRule="exact"/>
        <w:rPr>
          <w:sz w:val="20"/>
          <w:szCs w:val="20"/>
          <w:color w:val="auto"/>
        </w:rPr>
      </w:pPr>
    </w:p>
    <w:p>
      <w:pPr>
        <w:ind w:left="40" w:right="99" w:firstLine="547"/>
        <w:spacing w:after="0" w:line="258" w:lineRule="auto"/>
        <w:rPr>
          <w:sz w:val="20"/>
          <w:szCs w:val="20"/>
          <w:color w:val="auto"/>
        </w:rPr>
      </w:pPr>
      <w:r>
        <w:rPr>
          <w:rFonts w:ascii="Times New Roman" w:cs="Times New Roman" w:eastAsia="Times New Roman" w:hAnsi="Times New Roman"/>
          <w:sz w:val="15"/>
          <w:szCs w:val="15"/>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cyber security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Director Nomination Process</w:t>
      </w:r>
    </w:p>
    <w:p>
      <w:pPr>
        <w:spacing w:after="0" w:line="162" w:lineRule="exact"/>
        <w:rPr>
          <w:sz w:val="20"/>
          <w:szCs w:val="20"/>
          <w:color w:val="auto"/>
        </w:rPr>
      </w:pPr>
    </w:p>
    <w:p>
      <w:pPr>
        <w:ind w:left="40" w:right="179" w:firstLine="547"/>
        <w:spacing w:after="0" w:line="288" w:lineRule="auto"/>
        <w:rPr>
          <w:sz w:val="20"/>
          <w:szCs w:val="20"/>
          <w:color w:val="auto"/>
        </w:rPr>
      </w:pPr>
      <w:r>
        <w:rPr>
          <w:rFonts w:ascii="Times New Roman" w:cs="Times New Roman" w:eastAsia="Times New Roman" w:hAnsi="Times New Roman"/>
          <w:sz w:val="15"/>
          <w:szCs w:val="15"/>
          <w:color w:val="auto"/>
        </w:rPr>
        <w:t>When selecting nominees for appointment or election to our Board of Directors, our Nominating and Corporate Governance Committee makes such selections pursuant to the following process:</w:t>
      </w:r>
    </w:p>
    <w:p>
      <w:pPr>
        <w:spacing w:after="0" w:line="42" w:lineRule="exact"/>
        <w:rPr>
          <w:sz w:val="20"/>
          <w:szCs w:val="20"/>
          <w:color w:val="auto"/>
        </w:rPr>
      </w:pPr>
    </w:p>
    <w:p>
      <w:pPr>
        <w:ind w:left="860" w:right="139" w:hanging="276"/>
        <w:spacing w:after="0" w:line="288" w:lineRule="auto"/>
        <w:tabs>
          <w:tab w:leader="none" w:pos="8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director candidates by our Nominating and Corporate Governance Committee based upon suggestions from current directors and senior management, recommendations by stockholders and/or use of a director search firm;</w:t>
      </w:r>
    </w:p>
    <w:p>
      <w:pPr>
        <w:spacing w:after="0" w:line="42" w:lineRule="exact"/>
        <w:rPr>
          <w:rFonts w:ascii="Times New Roman" w:cs="Times New Roman" w:eastAsia="Times New Roman" w:hAnsi="Times New Roman"/>
          <w:sz w:val="15"/>
          <w:szCs w:val="15"/>
          <w:color w:val="auto"/>
        </w:rPr>
      </w:pPr>
    </w:p>
    <w:p>
      <w:pPr>
        <w:ind w:left="860" w:right="239" w:hanging="276"/>
        <w:spacing w:after="0" w:line="288" w:lineRule="auto"/>
        <w:tabs>
          <w:tab w:leader="none" w:pos="8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 of the candidates’ qualifications by our Nominating and Corporate Governance Committee to determine which candidates best meet our Board of Directors’ required and desired criteria;</w:t>
      </w:r>
    </w:p>
    <w:p>
      <w:pPr>
        <w:spacing w:after="0" w:line="42" w:lineRule="exact"/>
        <w:rPr>
          <w:rFonts w:ascii="Times New Roman" w:cs="Times New Roman" w:eastAsia="Times New Roman" w:hAnsi="Times New Roman"/>
          <w:sz w:val="15"/>
          <w:szCs w:val="15"/>
          <w:color w:val="auto"/>
        </w:rPr>
      </w:pPr>
    </w:p>
    <w:p>
      <w:pPr>
        <w:ind w:left="860" w:right="739" w:hanging="276"/>
        <w:spacing w:after="0" w:line="288" w:lineRule="auto"/>
        <w:tabs>
          <w:tab w:leader="none" w:pos="8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Interviews of interested candidates who best meet these criteria by the chair of the Nominating and Corporate Governance Committee, the chair of our Board of Directors, and/or certain other directors and management;</w:t>
      </w:r>
    </w:p>
    <w:p>
      <w:pPr>
        <w:spacing w:after="0" w:line="42" w:lineRule="exact"/>
        <w:rPr>
          <w:rFonts w:ascii="Times New Roman" w:cs="Times New Roman" w:eastAsia="Times New Roman" w:hAnsi="Times New Roman"/>
          <w:sz w:val="15"/>
          <w:szCs w:val="15"/>
          <w:color w:val="auto"/>
        </w:rPr>
      </w:pPr>
    </w:p>
    <w:p>
      <w:pPr>
        <w:ind w:left="860" w:right="159" w:hanging="276"/>
        <w:spacing w:after="0" w:line="271" w:lineRule="auto"/>
        <w:tabs>
          <w:tab w:leader="none" w:pos="8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54"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Formal nomination by our Board of Directors.</w:t>
      </w:r>
    </w:p>
    <w:p>
      <w:pPr>
        <w:spacing w:after="0" w:line="101" w:lineRule="exact"/>
        <w:rPr>
          <w:sz w:val="20"/>
          <w:szCs w:val="20"/>
          <w:color w:val="auto"/>
        </w:rPr>
      </w:pPr>
    </w:p>
    <w:p>
      <w:pPr>
        <w:ind w:left="40" w:right="159" w:firstLine="547"/>
        <w:spacing w:after="0" w:line="262" w:lineRule="auto"/>
        <w:rPr>
          <w:sz w:val="20"/>
          <w:szCs w:val="20"/>
          <w:color w:val="auto"/>
        </w:rPr>
      </w:pPr>
      <w:r>
        <w:rPr>
          <w:rFonts w:ascii="Times New Roman" w:cs="Times New Roman" w:eastAsia="Times New Roman" w:hAnsi="Times New Roman"/>
          <w:sz w:val="15"/>
          <w:szCs w:val="15"/>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62" w:lineRule="exact"/>
        <w:rPr>
          <w:sz w:val="20"/>
          <w:szCs w:val="20"/>
          <w:color w:val="auto"/>
        </w:rPr>
      </w:pPr>
    </w:p>
    <w:p>
      <w:pPr>
        <w:ind w:left="860" w:hanging="276"/>
        <w:spacing w:after="0"/>
        <w:tabs>
          <w:tab w:leader="none" w:pos="8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of the director’s/proposed nominee’s educational, business, non-profit or professional acumen and experience;</w:t>
      </w:r>
    </w:p>
    <w:p>
      <w:pPr>
        <w:spacing w:after="0" w:line="374" w:lineRule="exact"/>
        <w:rPr>
          <w:rFonts w:ascii="Times New Roman" w:cs="Times New Roman" w:eastAsia="Times New Roman" w:hAnsi="Times New Roman"/>
          <w:sz w:val="15"/>
          <w:szCs w:val="15"/>
          <w:color w:val="auto"/>
        </w:rPr>
      </w:pPr>
    </w:p>
    <w:p>
      <w:pPr>
        <w:ind w:left="44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right="179" w:hanging="276"/>
        <w:spacing w:after="0" w:line="288" w:lineRule="auto"/>
        <w:tabs>
          <w:tab w:leader="none" w:pos="8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director/proposed nominee assists in achieving a mix of members on our Board of Directors that represents a diversity of background, perspective and experience;</w:t>
      </w:r>
    </w:p>
    <w:p>
      <w:pPr>
        <w:spacing w:after="0" w:line="42"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director/proposed nominee meets the independence requirements of the listing standards of the Nasdaq Stock Market;</w:t>
      </w:r>
    </w:p>
    <w:p>
      <w:pPr>
        <w:spacing w:after="0" w:line="101"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director/proposed nominee has the business experience relevant to an understanding of our business;</w:t>
      </w:r>
    </w:p>
    <w:p>
      <w:pPr>
        <w:spacing w:after="0" w:line="101" w:lineRule="exact"/>
        <w:rPr>
          <w:rFonts w:ascii="Times New Roman" w:cs="Times New Roman" w:eastAsia="Times New Roman" w:hAnsi="Times New Roman"/>
          <w:sz w:val="15"/>
          <w:szCs w:val="15"/>
          <w:color w:val="auto"/>
        </w:rPr>
      </w:pPr>
    </w:p>
    <w:p>
      <w:pPr>
        <w:ind w:left="860" w:right="299" w:hanging="276"/>
        <w:spacing w:after="0" w:line="288" w:lineRule="auto"/>
        <w:tabs>
          <w:tab w:leader="none" w:pos="8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director/proposed nominee would be considered a “financial expert” or “financially literate” as defined in applicable listing standards or applicable law;</w:t>
      </w:r>
    </w:p>
    <w:p>
      <w:pPr>
        <w:spacing w:after="0" w:line="42" w:lineRule="exact"/>
        <w:rPr>
          <w:rFonts w:ascii="Times New Roman" w:cs="Times New Roman" w:eastAsia="Times New Roman" w:hAnsi="Times New Roman"/>
          <w:sz w:val="15"/>
          <w:szCs w:val="15"/>
          <w:color w:val="auto"/>
        </w:rPr>
      </w:pPr>
    </w:p>
    <w:p>
      <w:pPr>
        <w:ind w:left="860" w:right="339" w:hanging="276"/>
        <w:spacing w:after="0" w:line="288" w:lineRule="auto"/>
        <w:tabs>
          <w:tab w:leader="none" w:pos="8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director/proposed nominee, by virtue of particular technical expertise, experience or specialized skill relevant to our current or future business, will add specific value as a Board member; and</w:t>
      </w:r>
    </w:p>
    <w:p>
      <w:pPr>
        <w:spacing w:after="0" w:line="42" w:lineRule="exact"/>
        <w:rPr>
          <w:rFonts w:ascii="Times New Roman" w:cs="Times New Roman" w:eastAsia="Times New Roman" w:hAnsi="Times New Roman"/>
          <w:sz w:val="15"/>
          <w:szCs w:val="15"/>
          <w:color w:val="auto"/>
        </w:rPr>
      </w:pPr>
    </w:p>
    <w:p>
      <w:pPr>
        <w:ind w:left="860" w:right="259" w:hanging="276"/>
        <w:spacing w:after="0" w:line="288" w:lineRule="auto"/>
        <w:tabs>
          <w:tab w:leader="none" w:pos="8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director/proposed nominee possesses a willingness to challenge and stimulate management and the ability to work as part of a team in an environment of trust.</w:t>
      </w:r>
    </w:p>
    <w:p>
      <w:pPr>
        <w:spacing w:after="0" w:line="133" w:lineRule="exact"/>
        <w:rPr>
          <w:sz w:val="20"/>
          <w:szCs w:val="20"/>
          <w:color w:val="auto"/>
        </w:rPr>
      </w:pPr>
    </w:p>
    <w:p>
      <w:pPr>
        <w:ind w:left="40" w:right="59" w:firstLine="547"/>
        <w:spacing w:after="0" w:line="262" w:lineRule="auto"/>
        <w:rPr>
          <w:sz w:val="20"/>
          <w:szCs w:val="20"/>
          <w:color w:val="auto"/>
        </w:rPr>
      </w:pPr>
      <w:r>
        <w:rPr>
          <w:rFonts w:ascii="Times New Roman" w:cs="Times New Roman" w:eastAsia="Times New Roman" w:hAnsi="Times New Roman"/>
          <w:sz w:val="15"/>
          <w:szCs w:val="15"/>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53" w:lineRule="exact"/>
        <w:rPr>
          <w:sz w:val="20"/>
          <w:szCs w:val="20"/>
          <w:color w:val="auto"/>
        </w:rPr>
      </w:pPr>
    </w:p>
    <w:p>
      <w:pPr>
        <w:ind w:left="40" w:right="79" w:firstLine="547"/>
        <w:spacing w:after="0" w:line="235" w:lineRule="auto"/>
        <w:rPr>
          <w:sz w:val="20"/>
          <w:szCs w:val="20"/>
          <w:color w:val="auto"/>
        </w:rPr>
      </w:pPr>
      <w:r>
        <w:rPr>
          <w:rFonts w:ascii="Times New Roman" w:cs="Times New Roman" w:eastAsia="Times New Roman" w:hAnsi="Times New Roman"/>
          <w:sz w:val="15"/>
          <w:szCs w:val="15"/>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2600 W. Camelback Road, Phoenix, Arizona 85017. Submissions must be received at the Company’s principal executive offices not earlier than the close of business on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nor later than the close of business on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at the Company’s principal executive offices not later than the close of business on the later of the 90th day prior to the annual meeting or the 10th day following the date on which public announcement of the date of such meeting is first made. For our 2023 Annual Meeting of Stockholders, stockholder nominations must be received not earlier than the close of business on February 9, 2023, and not later than the close of business on March 11, 2023.</w:t>
      </w:r>
    </w:p>
    <w:p>
      <w:pPr>
        <w:spacing w:after="0" w:line="174" w:lineRule="exact"/>
        <w:rPr>
          <w:sz w:val="20"/>
          <w:szCs w:val="20"/>
          <w:color w:val="auto"/>
        </w:rPr>
      </w:pPr>
    </w:p>
    <w:p>
      <w:pPr>
        <w:ind w:left="40" w:right="59" w:firstLine="547"/>
        <w:spacing w:after="0" w:line="256" w:lineRule="auto"/>
        <w:rPr>
          <w:sz w:val="20"/>
          <w:szCs w:val="20"/>
          <w:color w:val="auto"/>
        </w:rPr>
      </w:pPr>
      <w:r>
        <w:rPr>
          <w:rFonts w:ascii="Times New Roman" w:cs="Times New Roman" w:eastAsia="Times New Roman" w:hAnsi="Times New Roman"/>
          <w:sz w:val="15"/>
          <w:szCs w:val="15"/>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5"/>
          <w:szCs w:val="15"/>
          <w:color w:val="auto"/>
        </w:rPr>
        <w:t>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3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We did not receive any director nominations from stockholders for the Annual Meeting.</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Annual Elections of Directors</w:t>
      </w:r>
    </w:p>
    <w:p>
      <w:pPr>
        <w:spacing w:after="0" w:line="196" w:lineRule="exact"/>
        <w:rPr>
          <w:sz w:val="20"/>
          <w:szCs w:val="20"/>
          <w:color w:val="auto"/>
        </w:rPr>
      </w:pPr>
    </w:p>
    <w:p>
      <w:pPr>
        <w:ind w:left="40" w:right="119" w:firstLine="547"/>
        <w:spacing w:after="0" w:line="262" w:lineRule="auto"/>
        <w:rPr>
          <w:sz w:val="20"/>
          <w:szCs w:val="20"/>
          <w:color w:val="auto"/>
        </w:rPr>
      </w:pPr>
      <w:r>
        <w:rPr>
          <w:rFonts w:ascii="Times New Roman" w:cs="Times New Roman" w:eastAsia="Times New Roman" w:hAnsi="Times New Roman"/>
          <w:sz w:val="15"/>
          <w:szCs w:val="15"/>
          <w:color w:val="auto"/>
        </w:rPr>
        <w:t>Our directors are elected each year at the annual meeting of stockholders to hold office until the next annual meeting of stockholders and until their successors are duly elected and qualified. Because term limits may cause the loss of experience and expertise important to the optimal operation of the Board, we currently do not impose limits on the number of terms a director may serve. The Nominating and Corporate Governance Committee, however, does evaluate the qualifications and performance of each incumbent director before recommending the nomination of that director for an additional term.</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Policy on Majority Voting</w:t>
      </w:r>
    </w:p>
    <w:p>
      <w:pPr>
        <w:spacing w:after="0" w:line="196" w:lineRule="exact"/>
        <w:rPr>
          <w:sz w:val="20"/>
          <w:szCs w:val="20"/>
          <w:color w:val="auto"/>
        </w:rPr>
      </w:pPr>
    </w:p>
    <w:p>
      <w:pPr>
        <w:ind w:left="40" w:right="79" w:firstLine="547"/>
        <w:spacing w:after="0" w:line="256" w:lineRule="auto"/>
        <w:rPr>
          <w:sz w:val="20"/>
          <w:szCs w:val="20"/>
          <w:color w:val="auto"/>
        </w:rPr>
      </w:pPr>
      <w:r>
        <w:rPr>
          <w:rFonts w:ascii="Times New Roman" w:cs="Times New Roman" w:eastAsia="Times New Roman" w:hAnsi="Times New Roman"/>
          <w:sz w:val="15"/>
          <w:szCs w:val="15"/>
          <w:color w:val="auto"/>
        </w:rPr>
        <w:t>Pursuant to our bylaws, at any meeting of stockholders for the election of one or more directors at which a quorum is present, each director must be elected by the vote of a majority of the votes cast with respect to the director, provided that if the number of nominees exceeds the number of directors to be elected, the directors will be elected by the vote of a plurality of the votes cast by the stockholders entitled to vote at the election. For purposes of the foregoing, a majority of the votes cast means that the number of votes cast “for” a director exceeds the number of votes cast “against” that director. Under our Corporate Governance Principles and Practices, the Board may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w:t>
      </w:r>
    </w:p>
    <w:p>
      <w:pPr>
        <w:spacing w:after="0" w:line="4" w:lineRule="exact"/>
        <w:rPr>
          <w:sz w:val="20"/>
          <w:szCs w:val="20"/>
          <w:color w:val="auto"/>
        </w:rPr>
      </w:pPr>
    </w:p>
    <w:p>
      <w:pPr>
        <w:ind w:left="40" w:right="59" w:hanging="3"/>
        <w:spacing w:after="0" w:line="253" w:lineRule="auto"/>
        <w:tabs>
          <w:tab w:leader="none" w:pos="331"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following certification of the stockholder vote. If a director then serving on the Board of Directors does not receive the required majority vote, the director must tender his or her resignation to the Board. Within ninety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w:t>
      </w:r>
    </w:p>
    <w:p>
      <w:pPr>
        <w:spacing w:after="0" w:line="3" w:lineRule="exact"/>
        <w:rPr>
          <w:rFonts w:ascii="Times New Roman" w:cs="Times New Roman" w:eastAsia="Times New Roman" w:hAnsi="Times New Roman"/>
          <w:sz w:val="15"/>
          <w:szCs w:val="15"/>
          <w:color w:val="auto"/>
        </w:rPr>
      </w:pPr>
    </w:p>
    <w:p>
      <w:pPr>
        <w:ind w:left="320" w:hanging="283"/>
        <w:spacing w:after="0"/>
        <w:tabs>
          <w:tab w:leader="none" w:pos="3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 period, the Board will act on the committee’s recommendation and publicly disclose its decision and the rationale behind it.</w:t>
      </w:r>
    </w:p>
    <w:p>
      <w:pPr>
        <w:spacing w:after="0" w:line="177" w:lineRule="exact"/>
        <w:rPr>
          <w:sz w:val="20"/>
          <w:szCs w:val="20"/>
          <w:color w:val="auto"/>
        </w:rPr>
      </w:pPr>
    </w:p>
    <w:p>
      <w:pPr>
        <w:jc w:val="both"/>
        <w:ind w:left="40" w:right="39" w:firstLine="547"/>
        <w:spacing w:after="0" w:line="271" w:lineRule="auto"/>
        <w:rPr>
          <w:sz w:val="20"/>
          <w:szCs w:val="20"/>
          <w:color w:val="auto"/>
        </w:rPr>
      </w:pPr>
      <w:r>
        <w:rPr>
          <w:rFonts w:ascii="Times New Roman" w:cs="Times New Roman" w:eastAsia="Times New Roman" w:hAnsi="Times New Roman"/>
          <w:sz w:val="15"/>
          <w:szCs w:val="15"/>
          <w:color w:val="auto"/>
        </w:rPr>
        <w:t>In addition, pursuant to our Corporate Governance Principles and Practices, a Board member, including the Chief Executive Officer, who ceases to be actively employed in his or her principal business or profession, or experiences other changed circumstances that could pose a conflict of interest, diminish his or her effectiveness as a</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right="239"/>
        <w:spacing w:after="0" w:line="288" w:lineRule="auto"/>
        <w:rPr>
          <w:sz w:val="20"/>
          <w:szCs w:val="20"/>
          <w:color w:val="auto"/>
        </w:rPr>
      </w:pPr>
      <w:r>
        <w:rPr>
          <w:rFonts w:ascii="Times New Roman" w:cs="Times New Roman" w:eastAsia="Times New Roman" w:hAnsi="Times New Roman"/>
          <w:sz w:val="15"/>
          <w:szCs w:val="15"/>
          <w:color w:val="auto"/>
        </w:rPr>
        <w:t>Board member, or otherwise be detrimental to the Company, is expected to offer his or her resignation to the Board. The Board in its discretion will determine whether such member should continue to serve as a director for an unexpired term or any future terms.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196" w:lineRule="exact"/>
        <w:rPr>
          <w:sz w:val="20"/>
          <w:szCs w:val="20"/>
          <w:color w:val="auto"/>
        </w:rPr>
      </w:pPr>
    </w:p>
    <w:p>
      <w:pPr>
        <w:ind w:left="40" w:right="359" w:firstLine="547"/>
        <w:spacing w:after="0" w:line="271" w:lineRule="auto"/>
        <w:rPr>
          <w:sz w:val="20"/>
          <w:szCs w:val="20"/>
          <w:color w:val="auto"/>
        </w:rPr>
      </w:pPr>
      <w:r>
        <w:rPr>
          <w:rFonts w:ascii="Times New Roman" w:cs="Times New Roman" w:eastAsia="Times New Roman" w:hAnsi="Times New Roman"/>
          <w:sz w:val="15"/>
          <w:szCs w:val="15"/>
          <w:color w:val="auto"/>
        </w:rPr>
        <w:t>During 2021, Mr. Henry, Mr. Adame (since June 22, 2021), Ms. Dial, Ms. Keegan, and Ms. Humphrey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Stockholder Communications with the Board of Directors</w:t>
      </w:r>
    </w:p>
    <w:p>
      <w:pPr>
        <w:spacing w:after="0" w:line="196" w:lineRule="exact"/>
        <w:rPr>
          <w:sz w:val="20"/>
          <w:szCs w:val="20"/>
          <w:color w:val="auto"/>
        </w:rPr>
      </w:pPr>
    </w:p>
    <w:p>
      <w:pPr>
        <w:ind w:left="40" w:right="99" w:firstLine="547"/>
        <w:spacing w:after="0" w:line="260" w:lineRule="auto"/>
        <w:rPr>
          <w:sz w:val="20"/>
          <w:szCs w:val="20"/>
          <w:color w:val="auto"/>
        </w:rPr>
      </w:pPr>
      <w:r>
        <w:rPr>
          <w:rFonts w:ascii="Times New Roman" w:cs="Times New Roman" w:eastAsia="Times New Roman" w:hAnsi="Times New Roman"/>
          <w:sz w:val="15"/>
          <w:szCs w:val="15"/>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2600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Stock Ownership Policy</w:t>
      </w:r>
    </w:p>
    <w:p>
      <w:pPr>
        <w:spacing w:after="0" w:line="196" w:lineRule="exact"/>
        <w:rPr>
          <w:sz w:val="20"/>
          <w:szCs w:val="20"/>
          <w:color w:val="auto"/>
        </w:rPr>
      </w:pPr>
    </w:p>
    <w:p>
      <w:pPr>
        <w:ind w:left="40" w:right="199" w:firstLine="547"/>
        <w:spacing w:after="0" w:line="262" w:lineRule="auto"/>
        <w:rPr>
          <w:sz w:val="20"/>
          <w:szCs w:val="20"/>
          <w:color w:val="auto"/>
        </w:rPr>
      </w:pPr>
      <w:r>
        <w:rPr>
          <w:rFonts w:ascii="Times New Roman" w:cs="Times New Roman" w:eastAsia="Times New Roman" w:hAnsi="Times New Roman"/>
          <w:sz w:val="15"/>
          <w:szCs w:val="15"/>
          <w:color w:val="auto"/>
        </w:rPr>
        <w:t xml:space="preserve">The Board of Directors believes that each outside director and executive officer should develop a meaningful ownership position in the Company. Effective January 26, 2017, the Board of Directors adopted a stock ownership policy which included a stock ownership policy for our executive officers and an updated stock ownership policy for our outside directors. This policy, which is set forth in our Corporate Governance Principles and Practices and available on the Corporate Governance section of the Investor Relations page on our website at </w:t>
      </w:r>
      <w:r>
        <w:rPr>
          <w:rFonts w:ascii="Times New Roman" w:cs="Times New Roman" w:eastAsia="Times New Roman" w:hAnsi="Times New Roman"/>
          <w:sz w:val="15"/>
          <w:szCs w:val="15"/>
          <w:i w:val="1"/>
          <w:iCs w:val="1"/>
          <w:color w:val="auto"/>
        </w:rPr>
        <w:t>www.gce.com</w:t>
      </w:r>
      <w:r>
        <w:rPr>
          <w:rFonts w:ascii="Times New Roman" w:cs="Times New Roman" w:eastAsia="Times New Roman" w:hAnsi="Times New Roman"/>
          <w:sz w:val="15"/>
          <w:szCs w:val="15"/>
          <w:color w:val="auto"/>
        </w:rPr>
        <w:t>, establishes the following ownership levels for each category of person covered by the policy:</w:t>
      </w:r>
    </w:p>
    <w:p>
      <w:pPr>
        <w:spacing w:after="0" w:line="159" w:lineRule="exact"/>
        <w:rPr>
          <w:sz w:val="20"/>
          <w:szCs w:val="20"/>
          <w:color w:val="auto"/>
        </w:rPr>
      </w:pPr>
    </w:p>
    <w:tbl>
      <w:tblPr>
        <w:tblLayout w:type="fixed"/>
        <w:tblInd w:w="950" w:type="dxa"/>
        <w:tblCellMar>
          <w:top w:w="0" w:type="dxa"/>
          <w:left w:w="0" w:type="dxa"/>
          <w:bottom w:w="0" w:type="dxa"/>
          <w:right w:w="0" w:type="dxa"/>
        </w:tblCellMar>
      </w:tblPr>
      <w:tr>
        <w:trPr>
          <w:trHeight w:val="194"/>
        </w:trPr>
        <w:tc>
          <w:tcPr>
            <w:tcW w:w="320" w:type="dxa"/>
            <w:vAlign w:val="bottom"/>
            <w:tcBorders>
              <w:top w:val="single" w:sz="8" w:color="auto"/>
              <w:left w:val="single" w:sz="8" w:color="auto"/>
            </w:tcBorders>
          </w:tcPr>
          <w:p>
            <w:pPr>
              <w:spacing w:after="0"/>
              <w:rPr>
                <w:sz w:val="16"/>
                <w:szCs w:val="16"/>
                <w:color w:val="auto"/>
              </w:rPr>
            </w:pPr>
          </w:p>
        </w:tc>
        <w:tc>
          <w:tcPr>
            <w:tcW w:w="3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Covered Person</w:t>
            </w:r>
          </w:p>
        </w:tc>
        <w:tc>
          <w:tcPr>
            <w:tcW w:w="180" w:type="dxa"/>
            <w:vAlign w:val="bottom"/>
            <w:tcBorders>
              <w:top w:val="single" w:sz="8" w:color="auto"/>
            </w:tcBorders>
          </w:tcPr>
          <w:p>
            <w:pPr>
              <w:spacing w:after="0"/>
              <w:rPr>
                <w:sz w:val="16"/>
                <w:szCs w:val="16"/>
                <w:color w:val="auto"/>
              </w:rPr>
            </w:pPr>
          </w:p>
        </w:tc>
        <w:tc>
          <w:tcPr>
            <w:tcW w:w="3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Required Salary Multiple</w:t>
            </w:r>
          </w:p>
        </w:tc>
        <w:tc>
          <w:tcPr>
            <w:tcW w:w="200" w:type="dxa"/>
            <w:vAlign w:val="bottom"/>
            <w:tcBorders>
              <w:top w:val="single" w:sz="8" w:color="auto"/>
              <w:right w:val="single" w:sz="8" w:color="auto"/>
            </w:tcBorders>
          </w:tcPr>
          <w:p>
            <w:pPr>
              <w:spacing w:after="0"/>
              <w:rPr>
                <w:sz w:val="16"/>
                <w:szCs w:val="16"/>
                <w:color w:val="auto"/>
              </w:rPr>
            </w:pPr>
          </w:p>
        </w:tc>
      </w:tr>
      <w:tr>
        <w:trPr>
          <w:trHeight w:val="288"/>
        </w:trPr>
        <w:tc>
          <w:tcPr>
            <w:tcW w:w="320" w:type="dxa"/>
            <w:vAlign w:val="bottom"/>
            <w:tcBorders>
              <w:left w:val="single" w:sz="8" w:color="auto"/>
            </w:tcBorders>
          </w:tcPr>
          <w:p>
            <w:pPr>
              <w:spacing w:after="0"/>
              <w:rPr>
                <w:sz w:val="24"/>
                <w:szCs w:val="24"/>
                <w:color w:val="auto"/>
              </w:rPr>
            </w:pPr>
          </w:p>
        </w:tc>
        <w:tc>
          <w:tcPr>
            <w:tcW w:w="34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Chairman and Chief Executive Officer</w:t>
            </w:r>
          </w:p>
        </w:tc>
        <w:tc>
          <w:tcPr>
            <w:tcW w:w="34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5x base salary</w:t>
            </w:r>
          </w:p>
        </w:tc>
      </w:tr>
      <w:tr>
        <w:trPr>
          <w:trHeight w:val="296"/>
        </w:trPr>
        <w:tc>
          <w:tcPr>
            <w:tcW w:w="320" w:type="dxa"/>
            <w:vAlign w:val="bottom"/>
            <w:tcBorders>
              <w:left w:val="single" w:sz="8" w:color="auto"/>
            </w:tcBorders>
          </w:tcPr>
          <w:p>
            <w:pPr>
              <w:spacing w:after="0"/>
              <w:rPr>
                <w:sz w:val="24"/>
                <w:szCs w:val="24"/>
                <w:color w:val="auto"/>
              </w:rPr>
            </w:pPr>
          </w:p>
        </w:tc>
        <w:tc>
          <w:tcPr>
            <w:tcW w:w="34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All other Named Executive Officers</w:t>
            </w:r>
          </w:p>
        </w:tc>
        <w:tc>
          <w:tcPr>
            <w:tcW w:w="34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3x base salary</w:t>
            </w:r>
          </w:p>
        </w:tc>
      </w:tr>
      <w:tr>
        <w:trPr>
          <w:trHeight w:val="281"/>
        </w:trPr>
        <w:tc>
          <w:tcPr>
            <w:tcW w:w="320" w:type="dxa"/>
            <w:vAlign w:val="bottom"/>
            <w:tcBorders>
              <w:left w:val="single" w:sz="8" w:color="auto"/>
            </w:tcBorders>
          </w:tcPr>
          <w:p>
            <w:pPr>
              <w:spacing w:after="0"/>
              <w:rPr>
                <w:sz w:val="24"/>
                <w:szCs w:val="24"/>
                <w:color w:val="auto"/>
              </w:rPr>
            </w:pPr>
          </w:p>
        </w:tc>
        <w:tc>
          <w:tcPr>
            <w:tcW w:w="3400" w:type="dxa"/>
            <w:vAlign w:val="bottom"/>
            <w:gridSpan w:val="2"/>
          </w:tcPr>
          <w:p>
            <w:pPr>
              <w:ind w:left="1240"/>
              <w:spacing w:after="0"/>
              <w:rPr>
                <w:sz w:val="20"/>
                <w:szCs w:val="20"/>
                <w:color w:val="auto"/>
              </w:rPr>
            </w:pPr>
            <w:r>
              <w:rPr>
                <w:rFonts w:ascii="Times New Roman" w:cs="Times New Roman" w:eastAsia="Times New Roman" w:hAnsi="Times New Roman"/>
                <w:sz w:val="15"/>
                <w:szCs w:val="15"/>
                <w:color w:val="auto"/>
              </w:rPr>
              <w:t>Outside Directors</w:t>
            </w:r>
          </w:p>
        </w:tc>
        <w:tc>
          <w:tcPr>
            <w:tcW w:w="344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3x annual cash retainer (exclusive of any cash</w:t>
            </w:r>
          </w:p>
        </w:tc>
      </w:tr>
      <w:tr>
        <w:trPr>
          <w:trHeight w:val="182"/>
        </w:trPr>
        <w:tc>
          <w:tcPr>
            <w:tcW w:w="320" w:type="dxa"/>
            <w:vAlign w:val="bottom"/>
            <w:tcBorders>
              <w:left w:val="single" w:sz="8" w:color="auto"/>
            </w:tcBorders>
          </w:tcPr>
          <w:p>
            <w:pPr>
              <w:spacing w:after="0"/>
              <w:rPr>
                <w:sz w:val="15"/>
                <w:szCs w:val="15"/>
                <w:color w:val="auto"/>
              </w:rPr>
            </w:pPr>
          </w:p>
        </w:tc>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retainer payable for service as lead director,</w:t>
            </w:r>
          </w:p>
        </w:tc>
      </w:tr>
      <w:tr>
        <w:trPr>
          <w:trHeight w:val="197"/>
        </w:trPr>
        <w:tc>
          <w:tcPr>
            <w:tcW w:w="320" w:type="dxa"/>
            <w:vAlign w:val="bottom"/>
            <w:tcBorders>
              <w:left w:val="single" w:sz="8" w:color="auto"/>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chairperson of the Board or any committee thereof)</w:t>
            </w:r>
          </w:p>
        </w:tc>
      </w:tr>
    </w:tbl>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Under the policy, the following may be used in determining share ownership for purposes of the ownership requirement:</w:t>
      </w:r>
    </w:p>
    <w:p>
      <w:pPr>
        <w:spacing w:after="0" w:line="101" w:lineRule="exact"/>
        <w:rPr>
          <w:sz w:val="20"/>
          <w:szCs w:val="20"/>
          <w:color w:val="auto"/>
        </w:rPr>
      </w:pPr>
    </w:p>
    <w:p>
      <w:pPr>
        <w:ind w:left="860" w:right="99" w:hanging="276"/>
        <w:spacing w:after="0" w:line="271" w:lineRule="auto"/>
        <w:tabs>
          <w:tab w:leader="none" w:pos="8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owned directly (including shares acquired through open market purchases or acquired and held upon, or subject to, vesting of restricted stock, restricted stock units or performance-based awards, and shares received and held upon exercise of stock option awards);</w:t>
      </w:r>
    </w:p>
    <w:p>
      <w:pPr>
        <w:spacing w:after="0" w:line="54"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owned jointly with or separately by the director’s spouse;</w:t>
      </w:r>
    </w:p>
    <w:p>
      <w:pPr>
        <w:spacing w:after="0" w:line="101"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held in trust for the benefit of the Covered Person, or one or more family members of the Covered Person;</w:t>
      </w:r>
    </w:p>
    <w:p>
      <w:pPr>
        <w:spacing w:after="0" w:line="101"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held in qualified or nonqualified savings, profit-sharing, or deferred compensation accounts;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right="159" w:hanging="276"/>
        <w:spacing w:after="0" w:line="288" w:lineRule="auto"/>
        <w:tabs>
          <w:tab w:leader="none" w:pos="8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underlying vested but unexercised stock options (based on the excess of the market price of the stock over the exercise price and after deducting any tax withholding obligations); and</w:t>
      </w:r>
    </w:p>
    <w:p>
      <w:pPr>
        <w:spacing w:after="0" w:line="42"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underlying vested but unexercised warrants.</w:t>
      </w:r>
    </w:p>
    <w:p>
      <w:pPr>
        <w:spacing w:after="0" w:line="192" w:lineRule="exact"/>
        <w:rPr>
          <w:sz w:val="20"/>
          <w:szCs w:val="20"/>
          <w:color w:val="auto"/>
        </w:rPr>
      </w:pPr>
    </w:p>
    <w:p>
      <w:pPr>
        <w:ind w:left="40" w:right="59" w:firstLine="547"/>
        <w:spacing w:after="0" w:line="259" w:lineRule="auto"/>
        <w:rPr>
          <w:sz w:val="20"/>
          <w:szCs w:val="20"/>
          <w:color w:val="auto"/>
        </w:rPr>
      </w:pPr>
      <w:r>
        <w:rPr>
          <w:rFonts w:ascii="Times New Roman" w:cs="Times New Roman" w:eastAsia="Times New Roman" w:hAnsi="Times New Roman"/>
          <w:sz w:val="15"/>
          <w:szCs w:val="15"/>
          <w:color w:val="auto"/>
        </w:rPr>
        <w:t>Each person covered by the policy is expected to achieve the target ownership threshold within five years of the later of (i) January 26, 2017 and (ii) the date such person first becomes subject to the policy. The Compensation Committee will receive periodic reports of the ownership achieved by each covered person. Until such time as the covered person satisfies the share ownership requirement, the achievement level of share ownership will be determined by reference to the average closing stock price of the shares during the fiscal year ended immediately prior to the determination date. Once the share ownership requirement has been satisfied, future declines in share price will not impact the covered person’s compliance with this guideline, as long as the covered person holds the number of shares he or she had at the time he or she achieved the required ownership level. As of December 31, 2021, all persons covered by the policy were in compliance with the stock ownership requirements.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Anti-Hedging and Anti-Pledging Policy</w:t>
      </w:r>
    </w:p>
    <w:p>
      <w:pPr>
        <w:spacing w:after="0" w:line="196" w:lineRule="exact"/>
        <w:rPr>
          <w:sz w:val="20"/>
          <w:szCs w:val="20"/>
          <w:color w:val="auto"/>
        </w:rPr>
      </w:pPr>
    </w:p>
    <w:p>
      <w:pPr>
        <w:ind w:left="40" w:right="59" w:firstLine="547"/>
        <w:spacing w:after="0" w:line="256" w:lineRule="auto"/>
        <w:rPr>
          <w:sz w:val="20"/>
          <w:szCs w:val="20"/>
          <w:color w:val="auto"/>
        </w:rPr>
      </w:pPr>
      <w:r>
        <w:rPr>
          <w:rFonts w:ascii="Times New Roman" w:cs="Times New Roman" w:eastAsia="Times New Roman" w:hAnsi="Times New Roman"/>
          <w:sz w:val="15"/>
          <w:szCs w:val="15"/>
          <w:color w:val="auto"/>
        </w:rPr>
        <w:t>In connection with its initial public offering in 2008, the Company adopted an insider trading policy that includes restrictions and limitations on the ability of the Company’s directors, officers and other employees to engage in transactions involving the hedging and pledging of Company stock. Under the policy, hedging or monetization transactions, such as zero-cost collars and forward sale contracts, which allow an employee to lock in much of the value 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Compensation of Directors</w:t>
      </w:r>
    </w:p>
    <w:p>
      <w:pPr>
        <w:spacing w:after="0" w:line="196" w:lineRule="exact"/>
        <w:rPr>
          <w:sz w:val="20"/>
          <w:szCs w:val="20"/>
          <w:color w:val="auto"/>
        </w:rPr>
      </w:pPr>
    </w:p>
    <w:p>
      <w:pPr>
        <w:ind w:left="40" w:right="59" w:firstLine="547"/>
        <w:spacing w:after="0" w:line="256" w:lineRule="auto"/>
        <w:rPr>
          <w:sz w:val="20"/>
          <w:szCs w:val="20"/>
          <w:color w:val="auto"/>
        </w:rPr>
      </w:pPr>
      <w:r>
        <w:rPr>
          <w:rFonts w:ascii="Times New Roman" w:cs="Times New Roman" w:eastAsia="Times New Roman" w:hAnsi="Times New Roman"/>
          <w:sz w:val="15"/>
          <w:szCs w:val="15"/>
          <w:color w:val="auto"/>
        </w:rPr>
        <w:t>We have a compensation program in place for our non-employee directors that utilizes annual retainers and restricted stock grants. New non-employee directors, upon appointment or election to the Board of Directors, receive an award of restricted stock under our equity incentive plan valued at $20,000 on the date of grant, which vests on the one 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2021 Director Compensation</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following table provides information regarding the compensation paid to the persons who served as non-employee directors in 2021:</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360" w:type="dxa"/>
            <w:vAlign w:val="bottom"/>
            <w:gridSpan w:val="4"/>
            <w:vMerge w:val="restart"/>
          </w:tcPr>
          <w:p>
            <w:pPr>
              <w:ind w:left="900"/>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 w:type="dxa"/>
            <w:vAlign w:val="bottom"/>
          </w:tcPr>
          <w:p>
            <w:pPr>
              <w:spacing w:after="0"/>
              <w:rPr>
                <w:sz w:val="12"/>
                <w:szCs w:val="12"/>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rPr>
              <w:t>Fees Earned or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Stock Awards ($)</w:t>
            </w:r>
            <w:r>
              <w:rPr>
                <w:rFonts w:ascii="Times New Roman" w:cs="Times New Roman" w:eastAsia="Times New Roman" w:hAnsi="Times New Roman"/>
                <w:sz w:val="9"/>
                <w:szCs w:val="9"/>
                <w:b w:val="1"/>
                <w:bCs w:val="1"/>
                <w:color w:val="auto"/>
              </w:rPr>
              <w:t>(2)</w:t>
            </w:r>
          </w:p>
        </w:tc>
        <w:tc>
          <w:tcPr>
            <w:tcW w:w="18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0" w:type="dxa"/>
            <w:vAlign w:val="bottom"/>
          </w:tcPr>
          <w:p>
            <w:pPr>
              <w:spacing w:after="0"/>
              <w:rPr>
                <w:sz w:val="1"/>
                <w:szCs w:val="1"/>
                <w:color w:val="auto"/>
              </w:rPr>
            </w:pPr>
          </w:p>
        </w:tc>
      </w:tr>
      <w:tr>
        <w:trPr>
          <w:trHeight w:val="147"/>
        </w:trPr>
        <w:tc>
          <w:tcPr>
            <w:tcW w:w="43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2"/>
                <w:szCs w:val="12"/>
                <w:b w:val="1"/>
                <w:bCs w:val="1"/>
                <w:color w:val="auto"/>
              </w:rPr>
              <w:t>Paid in Cash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3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Sara R. Dial</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98,333</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173,333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Jack A. Henry</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Lisa Graham Keegan</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Chevy Humphrey</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M. Adame</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95,000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20" w:right="339" w:hanging="283"/>
        <w:spacing w:after="0" w:line="271" w:lineRule="auto"/>
        <w:tabs>
          <w:tab w:leader="none" w:pos="3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table provides a breakdown of the cash compensation paid to our non-employee directors in 2021 in respect of their annual retainers for service on the Board of Directors, for service on Board committees, and for services as a Board committee chair or as lead independent director:</w:t>
      </w:r>
    </w:p>
    <w:p>
      <w:pPr>
        <w:spacing w:after="0" w:line="137"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Board of</w:t>
            </w:r>
          </w:p>
        </w:tc>
        <w:tc>
          <w:tcPr>
            <w:tcW w:w="100" w:type="dxa"/>
            <w:vAlign w:val="bottom"/>
          </w:tcPr>
          <w:p>
            <w:pPr>
              <w:spacing w:after="0"/>
              <w:rPr>
                <w:sz w:val="12"/>
                <w:szCs w:val="12"/>
                <w:color w:val="auto"/>
              </w:rPr>
            </w:pPr>
          </w:p>
        </w:tc>
        <w:tc>
          <w:tcPr>
            <w:tcW w:w="1020" w:type="dxa"/>
            <w:vAlign w:val="bottom"/>
            <w:vMerge w:val="restart"/>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w w:val="99"/>
              </w:rPr>
              <w:t>Board</w:t>
            </w:r>
          </w:p>
        </w:tc>
        <w:tc>
          <w:tcPr>
            <w:tcW w:w="14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Committee</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Chair</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9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Directors</w:t>
            </w:r>
          </w:p>
        </w:tc>
        <w:tc>
          <w:tcPr>
            <w:tcW w:w="100" w:type="dxa"/>
            <w:vAlign w:val="bottom"/>
          </w:tcPr>
          <w:p>
            <w:pPr>
              <w:spacing w:after="0"/>
              <w:rPr>
                <w:sz w:val="10"/>
                <w:szCs w:val="10"/>
                <w:color w:val="auto"/>
              </w:rPr>
            </w:pPr>
          </w:p>
        </w:tc>
        <w:tc>
          <w:tcPr>
            <w:tcW w:w="102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2"/>
                <w:szCs w:val="12"/>
                <w:b w:val="1"/>
                <w:bCs w:val="1"/>
                <w:color w:val="auto"/>
                <w:w w:val="98"/>
              </w:rPr>
              <w:t>Committee</w:t>
            </w:r>
          </w:p>
        </w:tc>
        <w:tc>
          <w:tcPr>
            <w:tcW w:w="140" w:type="dxa"/>
            <w:vAlign w:val="bottom"/>
          </w:tcPr>
          <w:p>
            <w:pPr>
              <w:spacing w:after="0"/>
              <w:rPr>
                <w:sz w:val="10"/>
                <w:szCs w:val="10"/>
                <w:color w:val="auto"/>
              </w:rPr>
            </w:pPr>
          </w:p>
        </w:tc>
        <w:tc>
          <w:tcPr>
            <w:tcW w:w="84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Annual</w:t>
            </w:r>
          </w:p>
        </w:tc>
        <w:tc>
          <w:tcPr>
            <w:tcW w:w="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7"/>
        </w:trPr>
        <w:tc>
          <w:tcPr>
            <w:tcW w:w="2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Annual Retainer</w:t>
            </w:r>
          </w:p>
        </w:tc>
        <w:tc>
          <w:tcPr>
            <w:tcW w:w="100" w:type="dxa"/>
            <w:vAlign w:val="bottom"/>
          </w:tcPr>
          <w:p>
            <w:pPr>
              <w:spacing w:after="0"/>
              <w:rPr>
                <w:sz w:val="12"/>
                <w:szCs w:val="12"/>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rPr>
              <w:t>Annual Retainers</w:t>
            </w:r>
          </w:p>
        </w:tc>
        <w:tc>
          <w:tcPr>
            <w:tcW w:w="14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Retainer</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2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4"/>
                <w:szCs w:val="14"/>
                <w:color w:val="auto"/>
              </w:rPr>
              <w:t>Sara R. Dial</w:t>
            </w:r>
            <w:r>
              <w:rPr>
                <w:rFonts w:ascii="Times New Roman" w:cs="Times New Roman" w:eastAsia="Times New Roman" w:hAnsi="Times New Roman"/>
                <w:sz w:val="20"/>
                <w:szCs w:val="20"/>
                <w:color w:val="auto"/>
                <w:vertAlign w:val="superscript"/>
              </w:rPr>
              <w:t>(1)</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33,333</w:t>
            </w: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98,333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Times New Roman" w:cs="Times New Roman" w:eastAsia="Times New Roman" w:hAnsi="Times New Roman"/>
                <w:sz w:val="15"/>
                <w:szCs w:val="15"/>
                <w:color w:val="auto"/>
              </w:rPr>
              <w:t>Jack A. Henry</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Lisa Graham Keegan</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Times New Roman" w:cs="Times New Roman" w:eastAsia="Times New Roman" w:hAnsi="Times New Roman"/>
                <w:sz w:val="15"/>
                <w:szCs w:val="15"/>
                <w:color w:val="auto"/>
              </w:rPr>
              <w:t>Chevy Humphrey</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5"/>
                <w:szCs w:val="15"/>
                <w:color w:val="auto"/>
              </w:rPr>
              <w:t>David M. Adame</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580" w:hanging="269"/>
        <w:spacing w:after="0"/>
        <w:tabs>
          <w:tab w:leader="none" w:pos="58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for Ms. Dial includes the additional annual retainer of $33,333 that she received in her capacity as lead independent director.</w:t>
      </w:r>
    </w:p>
    <w:p>
      <w:pPr>
        <w:spacing w:after="0" w:line="10" w:lineRule="exact"/>
        <w:rPr>
          <w:rFonts w:ascii="Times New Roman" w:cs="Times New Roman" w:eastAsia="Times New Roman" w:hAnsi="Times New Roman"/>
          <w:sz w:val="15"/>
          <w:szCs w:val="15"/>
          <w:color w:val="auto"/>
        </w:rPr>
      </w:pPr>
    </w:p>
    <w:p>
      <w:pPr>
        <w:ind w:left="580" w:right="79" w:hanging="269"/>
        <w:spacing w:after="0" w:line="267" w:lineRule="auto"/>
        <w:tabs>
          <w:tab w:leader="none" w:pos="580" w:val="left"/>
        </w:tabs>
        <w:numPr>
          <w:ilvl w:val="1"/>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for Mr. Adame reflects a prorated amount for director and committee service since his appointment to the Board of Directors on June 22, 2021.</w:t>
      </w:r>
    </w:p>
    <w:p>
      <w:pPr>
        <w:spacing w:after="0" w:line="330" w:lineRule="exact"/>
        <w:rPr>
          <w:rFonts w:ascii="Times New Roman" w:cs="Times New Roman" w:eastAsia="Times New Roman" w:hAnsi="Times New Roman"/>
          <w:sz w:val="15"/>
          <w:szCs w:val="15"/>
          <w:color w:val="auto"/>
        </w:rPr>
      </w:pPr>
    </w:p>
    <w:p>
      <w:pPr>
        <w:ind w:left="320" w:right="159" w:hanging="283"/>
        <w:spacing w:after="0" w:line="258" w:lineRule="auto"/>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Represents the aggregate grant date fair value of the shares of restricted stock granted during the fiscal year as computed in accordance with ASC 718. For each director, except Mr. Adame, the number of shares granted was determined by dividing the grant date value of the award, $75,000, by $89.34, the closing price of the company’s common stock on June 16, 2021, the date of grant, rounded up to the nearest whole share. Each director, except Mr. Adame, held 840 unvested shares at December 31, 2021. For Mr. Adame, the number of shares granted was determined by dividing the grant date value of the award, $75,000, by $88.40, the closing price of the company’s common stock on June 22, 2021, the date of grant, rounded up to the nearest whole share. All unvested shares will vest on the earlier of the one-year anniversary of the date of grant or immediately prior to the Annual Meeting. Mr. Adame also received an initial equity grant upon appointment to the board with a value of $20,000, on June 22, 2021. These shares will vest on the one year anniversary of the date of grant. Mr. Adame held 1,075 unvested shares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-1107440</wp:posOffset>
            </wp:positionV>
            <wp:extent cx="141922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9225"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50" w:type="dxa"/>
        <w:tblCellMar>
          <w:top w:w="0" w:type="dxa"/>
          <w:left w:w="0" w:type="dxa"/>
          <w:bottom w:w="0" w:type="dxa"/>
          <w:right w:w="0" w:type="dxa"/>
        </w:tblCellMar>
      </w:tblPr>
      <w:tr>
        <w:trPr>
          <w:trHeight w:val="182"/>
        </w:trPr>
        <w:tc>
          <w:tcPr>
            <w:tcW w:w="4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360" w:type="dxa"/>
            <w:vAlign w:val="bottom"/>
          </w:tcPr>
          <w:p>
            <w:pPr>
              <w:ind w:left="1260"/>
              <w:spacing w:after="0"/>
              <w:rPr>
                <w:sz w:val="20"/>
                <w:szCs w:val="20"/>
                <w:color w:val="auto"/>
              </w:rPr>
            </w:pPr>
            <w:r>
              <w:rPr>
                <w:rFonts w:ascii="Times New Roman" w:cs="Times New Roman" w:eastAsia="Times New Roman" w:hAnsi="Times New Roman"/>
                <w:sz w:val="15"/>
                <w:szCs w:val="15"/>
                <w:b w:val="1"/>
                <w:bCs w:val="1"/>
                <w:color w:val="auto"/>
              </w:rPr>
              <w:t>PROPOSAL NO. 1</w:t>
            </w:r>
          </w:p>
        </w:tc>
      </w:tr>
      <w:tr>
        <w:trPr>
          <w:trHeight w:val="201"/>
        </w:trPr>
        <w:tc>
          <w:tcPr>
            <w:tcW w:w="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360" w:type="dxa"/>
            <w:vAlign w:val="bottom"/>
          </w:tcPr>
          <w:p>
            <w:pPr>
              <w:ind w:left="880"/>
              <w:spacing w:after="0"/>
              <w:rPr>
                <w:sz w:val="20"/>
                <w:szCs w:val="20"/>
                <w:color w:val="auto"/>
              </w:rPr>
            </w:pPr>
            <w:r>
              <w:rPr>
                <w:rFonts w:ascii="Times New Roman" w:cs="Times New Roman" w:eastAsia="Times New Roman" w:hAnsi="Times New Roman"/>
                <w:sz w:val="15"/>
                <w:szCs w:val="15"/>
                <w:b w:val="1"/>
                <w:bCs w:val="1"/>
                <w:color w:val="auto"/>
              </w:rPr>
              <w:t>ELECTION OF DIRECTORS</w:t>
            </w:r>
          </w:p>
        </w:tc>
      </w:tr>
      <w:tr>
        <w:trPr>
          <w:trHeight w:val="182"/>
        </w:trPr>
        <w:tc>
          <w:tcPr>
            <w:tcW w:w="2580" w:type="dxa"/>
            <w:vAlign w:val="bottom"/>
            <w:tcBorders>
              <w:bottom w:val="single" w:sz="8" w:color="auto"/>
            </w:tcBorders>
            <w:gridSpan w:val="2"/>
          </w:tcPr>
          <w:p>
            <w:pPr>
              <w:spacing w:after="0"/>
              <w:rPr>
                <w:sz w:val="15"/>
                <w:szCs w:val="15"/>
                <w:color w:val="auto"/>
              </w:rPr>
            </w:pPr>
          </w:p>
        </w:tc>
        <w:tc>
          <w:tcPr>
            <w:tcW w:w="6360" w:type="dxa"/>
            <w:vAlign w:val="bottom"/>
            <w:tcBorders>
              <w:bottom w:val="single" w:sz="8" w:color="auto"/>
            </w:tcBorders>
          </w:tcPr>
          <w:p>
            <w:pPr>
              <w:spacing w:after="0"/>
              <w:rPr>
                <w:sz w:val="15"/>
                <w:szCs w:val="15"/>
                <w:color w:val="auto"/>
              </w:rPr>
            </w:pPr>
          </w:p>
        </w:tc>
      </w:tr>
      <w:tr>
        <w:trPr>
          <w:trHeight w:val="206"/>
        </w:trPr>
        <w:tc>
          <w:tcPr>
            <w:tcW w:w="2580" w:type="dxa"/>
            <w:vAlign w:val="bottom"/>
            <w:tcBorders>
              <w:left w:val="single" w:sz="8" w:color="auto"/>
            </w:tcBorders>
            <w:gridSpan w:val="2"/>
          </w:tcPr>
          <w:p>
            <w:pPr>
              <w:ind w:left="180"/>
              <w:spacing w:after="0" w:line="173"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5"/>
                <w:szCs w:val="15"/>
                <w:b w:val="1"/>
                <w:bCs w:val="1"/>
                <w:i w:val="1"/>
                <w:iCs w:val="1"/>
                <w:color w:val="auto"/>
              </w:rPr>
              <w:t xml:space="preserve">  What am I voting on?</w:t>
            </w: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Stockholders are being asked to elect six directors to serve for a one-year term.</w:t>
            </w:r>
          </w:p>
        </w:tc>
      </w:tr>
      <w:tr>
        <w:trPr>
          <w:trHeight w:val="318"/>
        </w:trPr>
        <w:tc>
          <w:tcPr>
            <w:tcW w:w="400" w:type="dxa"/>
            <w:vAlign w:val="bottom"/>
            <w:tcBorders>
              <w:left w:val="single" w:sz="8" w:color="auto"/>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i w:val="1"/>
                <w:iCs w:val="1"/>
                <w:color w:val="auto"/>
              </w:rPr>
              <w:t>Voting recommendation:</w:t>
            </w: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Our Board of Directors unanimous recommends that you vote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election of each director</w:t>
            </w:r>
          </w:p>
        </w:tc>
      </w:tr>
      <w:tr>
        <w:trPr>
          <w:trHeight w:val="182"/>
        </w:trPr>
        <w:tc>
          <w:tcPr>
            <w:tcW w:w="400" w:type="dxa"/>
            <w:vAlign w:val="bottom"/>
            <w:tcBorders>
              <w:left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nominee. The Board and the Nominating and Corporate Governance Committee believe that the six</w:t>
            </w:r>
          </w:p>
        </w:tc>
      </w:tr>
      <w:tr>
        <w:trPr>
          <w:trHeight w:val="182"/>
        </w:trPr>
        <w:tc>
          <w:tcPr>
            <w:tcW w:w="400" w:type="dxa"/>
            <w:vAlign w:val="bottom"/>
            <w:tcBorders>
              <w:left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director nominees each possess the necessary qualifications, attributes, skills and experiences to</w:t>
            </w:r>
          </w:p>
        </w:tc>
      </w:tr>
      <w:tr>
        <w:trPr>
          <w:trHeight w:val="182"/>
        </w:trPr>
        <w:tc>
          <w:tcPr>
            <w:tcW w:w="400" w:type="dxa"/>
            <w:vAlign w:val="bottom"/>
            <w:tcBorders>
              <w:left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provide quality advice and counsel to the Company’s management and effectively oversee the</w:t>
            </w:r>
          </w:p>
        </w:tc>
      </w:tr>
      <w:tr>
        <w:trPr>
          <w:trHeight w:val="197"/>
        </w:trPr>
        <w:tc>
          <w:tcPr>
            <w:tcW w:w="400" w:type="dxa"/>
            <w:vAlign w:val="bottom"/>
            <w:tcBorders>
              <w:left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business and the long-term interests of our stockholders.</w:t>
            </w:r>
          </w:p>
        </w:tc>
      </w:tr>
      <w:tr>
        <w:trPr>
          <w:trHeight w:val="350"/>
        </w:trPr>
        <w:tc>
          <w:tcPr>
            <w:tcW w:w="400" w:type="dxa"/>
            <w:vAlign w:val="bottom"/>
            <w:tcBorders>
              <w:left w:val="single" w:sz="8" w:color="auto"/>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1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i w:val="1"/>
                <w:iCs w:val="1"/>
                <w:color w:val="auto"/>
              </w:rPr>
              <w:t>Vote required:</w:t>
            </w: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The affirmative vote of a majority of the votes cast at the Annual Meeting is required for the election</w:t>
            </w:r>
          </w:p>
        </w:tc>
      </w:tr>
      <w:tr>
        <w:trPr>
          <w:trHeight w:val="182"/>
        </w:trPr>
        <w:tc>
          <w:tcPr>
            <w:tcW w:w="400" w:type="dxa"/>
            <w:vAlign w:val="bottom"/>
            <w:tcBorders>
              <w:left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of each director. Stockholders of the Company are not permitted to cumulate their votes for the</w:t>
            </w:r>
          </w:p>
        </w:tc>
      </w:tr>
      <w:tr>
        <w:trPr>
          <w:trHeight w:val="182"/>
        </w:trPr>
        <w:tc>
          <w:tcPr>
            <w:tcW w:w="400" w:type="dxa"/>
            <w:vAlign w:val="bottom"/>
            <w:tcBorders>
              <w:left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election of directors. Abstentions and broker non-votes will have no effect on the results of the</w:t>
            </w:r>
          </w:p>
        </w:tc>
      </w:tr>
      <w:tr>
        <w:trPr>
          <w:trHeight w:val="182"/>
        </w:trPr>
        <w:tc>
          <w:tcPr>
            <w:tcW w:w="400" w:type="dxa"/>
            <w:vAlign w:val="bottom"/>
            <w:tcBorders>
              <w:left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6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election of directors. Unless contrary instructions are given, shares represented by proxies solicited by</w:t>
            </w:r>
          </w:p>
        </w:tc>
      </w:tr>
      <w:tr>
        <w:trPr>
          <w:trHeight w:val="197"/>
        </w:trPr>
        <w:tc>
          <w:tcPr>
            <w:tcW w:w="400" w:type="dxa"/>
            <w:vAlign w:val="bottom"/>
            <w:tcBorders>
              <w:left w:val="single" w:sz="8" w:color="auto"/>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6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the Board of Directors will be voted for the election of each of the director nominees identified below.</w:t>
            </w:r>
          </w:p>
        </w:tc>
      </w:tr>
      <w:tr>
        <w:trPr>
          <w:trHeight w:val="357"/>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Composition of our Board of Directors</w:t>
            </w:r>
          </w:p>
        </w:tc>
        <w:tc>
          <w:tcPr>
            <w:tcW w:w="6360" w:type="dxa"/>
            <w:vAlign w:val="bottom"/>
          </w:tcPr>
          <w:p>
            <w:pPr>
              <w:spacing w:after="0"/>
              <w:rPr>
                <w:sz w:val="24"/>
                <w:szCs w:val="24"/>
                <w:color w:val="auto"/>
              </w:rPr>
            </w:pPr>
          </w:p>
        </w:tc>
      </w:tr>
    </w:tbl>
    <w:p>
      <w:pPr>
        <w:spacing w:after="0" w:line="167" w:lineRule="exact"/>
        <w:rPr>
          <w:sz w:val="20"/>
          <w:szCs w:val="20"/>
          <w:color w:val="auto"/>
        </w:rPr>
      </w:pPr>
    </w:p>
    <w:p>
      <w:pPr>
        <w:ind w:left="40" w:right="179" w:firstLine="547"/>
        <w:spacing w:after="0" w:line="259" w:lineRule="auto"/>
        <w:rPr>
          <w:sz w:val="20"/>
          <w:szCs w:val="20"/>
          <w:color w:val="auto"/>
        </w:rPr>
      </w:pPr>
      <w:r>
        <w:rPr>
          <w:rFonts w:ascii="Times New Roman" w:cs="Times New Roman" w:eastAsia="Times New Roman" w:hAnsi="Times New Roman"/>
          <w:sz w:val="15"/>
          <w:szCs w:val="15"/>
          <w:color w:val="auto"/>
        </w:rPr>
        <w:t>Our bylaws provide that our business will be managed by or under the direction of the Board of Directors. The number of directors constituting our Board of Directors is determined from time to time by our Board of Directors. Currently, our Board of Directors consists of six members. Each of our six nominees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six persons named below for election as directors. Proxies solicited by our Board of Directors will, unless otherwise directed, be voted to elect the six nominees named below to constitute the entire Board of Directors.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Directors and Director Nominees</w:t>
      </w:r>
    </w:p>
    <w:p>
      <w:pPr>
        <w:spacing w:after="0" w:line="196" w:lineRule="exact"/>
        <w:rPr>
          <w:sz w:val="20"/>
          <w:szCs w:val="20"/>
          <w:color w:val="auto"/>
        </w:rPr>
      </w:pPr>
    </w:p>
    <w:p>
      <w:pPr>
        <w:ind w:left="40" w:right="99" w:firstLine="547"/>
        <w:spacing w:after="0" w:line="265" w:lineRule="auto"/>
        <w:rPr>
          <w:sz w:val="20"/>
          <w:szCs w:val="20"/>
          <w:color w:val="auto"/>
        </w:rPr>
      </w:pPr>
      <w:r>
        <w:rPr>
          <w:rFonts w:ascii="Times New Roman" w:cs="Times New Roman" w:eastAsia="Times New Roman" w:hAnsi="Times New Roman"/>
          <w:sz w:val="15"/>
          <w:szCs w:val="15"/>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following table sets forth certain information regarding each director nominee:</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1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160" w:type="dxa"/>
            <w:vAlign w:val="bottom"/>
          </w:tcPr>
          <w:p>
            <w:pPr>
              <w:spacing w:after="0"/>
              <w:rPr>
                <w:sz w:val="12"/>
                <w:szCs w:val="12"/>
                <w:color w:val="auto"/>
              </w:rPr>
            </w:pPr>
          </w:p>
        </w:tc>
        <w:tc>
          <w:tcPr>
            <w:tcW w:w="214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180" w:type="dxa"/>
            <w:vAlign w:val="bottom"/>
          </w:tcPr>
          <w:p>
            <w:pPr>
              <w:spacing w:after="0"/>
              <w:rPr>
                <w:sz w:val="12"/>
                <w:szCs w:val="12"/>
                <w:color w:val="auto"/>
              </w:rPr>
            </w:pPr>
          </w:p>
        </w:tc>
        <w:tc>
          <w:tcPr>
            <w:tcW w:w="3780" w:type="dxa"/>
            <w:vAlign w:val="bottom"/>
          </w:tcPr>
          <w:p>
            <w:pPr>
              <w:ind w:left="1240"/>
              <w:spacing w:after="0"/>
              <w:rPr>
                <w:sz w:val="20"/>
                <w:szCs w:val="20"/>
                <w:color w:val="auto"/>
              </w:rPr>
            </w:pPr>
            <w:r>
              <w:rPr>
                <w:rFonts w:ascii="Times New Roman" w:cs="Times New Roman" w:eastAsia="Times New Roman" w:hAnsi="Times New Roman"/>
                <w:sz w:val="12"/>
                <w:szCs w:val="12"/>
                <w:b w:val="1"/>
                <w:bCs w:val="1"/>
                <w:color w:val="auto"/>
              </w:rPr>
              <w:t>Committee Membership</w:t>
            </w:r>
          </w:p>
        </w:tc>
      </w:tr>
      <w:tr>
        <w:trPr>
          <w:trHeight w:val="159"/>
        </w:trPr>
        <w:tc>
          <w:tcPr>
            <w:tcW w:w="13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Brian E. Mueller</w:t>
            </w:r>
          </w:p>
        </w:tc>
        <w:tc>
          <w:tcPr>
            <w:tcW w:w="1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5"/>
                <w:szCs w:val="15"/>
                <w:color w:val="auto"/>
                <w:w w:val="93"/>
              </w:rPr>
              <w:t>68</w:t>
            </w:r>
          </w:p>
        </w:tc>
        <w:tc>
          <w:tcPr>
            <w:tcW w:w="16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Chairman and Chief Executive</w:t>
            </w:r>
          </w:p>
        </w:tc>
        <w:tc>
          <w:tcPr>
            <w:tcW w:w="180" w:type="dxa"/>
            <w:vAlign w:val="bottom"/>
            <w:tcBorders>
              <w:top w:val="single" w:sz="8" w:color="CCEEFF"/>
            </w:tcBorders>
            <w:shd w:val="clear" w:color="auto" w:fill="CCEEFF"/>
          </w:tcPr>
          <w:p>
            <w:pPr>
              <w:spacing w:after="0"/>
              <w:rPr>
                <w:sz w:val="13"/>
                <w:szCs w:val="13"/>
                <w:color w:val="auto"/>
              </w:rPr>
            </w:pPr>
          </w:p>
        </w:tc>
        <w:tc>
          <w:tcPr>
            <w:tcW w:w="37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None</w:t>
            </w:r>
          </w:p>
        </w:tc>
      </w:tr>
      <w:tr>
        <w:trPr>
          <w:trHeight w:val="197"/>
        </w:trPr>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Officer</w:t>
            </w:r>
          </w:p>
        </w:tc>
        <w:tc>
          <w:tcPr>
            <w:tcW w:w="18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r>
      <w:tr>
        <w:trPr>
          <w:trHeight w:val="168"/>
        </w:trPr>
        <w:tc>
          <w:tcPr>
            <w:tcW w:w="152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Sara R. Dial</w:t>
            </w:r>
          </w:p>
        </w:tc>
        <w:tc>
          <w:tcPr>
            <w:tcW w:w="116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w w:val="93"/>
              </w:rPr>
              <w:t>58</w:t>
            </w:r>
          </w:p>
        </w:tc>
        <w:tc>
          <w:tcPr>
            <w:tcW w:w="2300" w:type="dxa"/>
            <w:vAlign w:val="bottom"/>
            <w:gridSpan w:val="2"/>
          </w:tcPr>
          <w:p>
            <w:pPr>
              <w:ind w:left="160"/>
              <w:spacing w:after="0" w:line="168" w:lineRule="exact"/>
              <w:rPr>
                <w:sz w:val="20"/>
                <w:szCs w:val="20"/>
                <w:color w:val="auto"/>
              </w:rPr>
            </w:pPr>
            <w:r>
              <w:rPr>
                <w:rFonts w:ascii="Times New Roman" w:cs="Times New Roman" w:eastAsia="Times New Roman" w:hAnsi="Times New Roman"/>
                <w:sz w:val="15"/>
                <w:szCs w:val="15"/>
                <w:color w:val="auto"/>
              </w:rPr>
              <w:t>Director</w:t>
            </w:r>
          </w:p>
        </w:tc>
        <w:tc>
          <w:tcPr>
            <w:tcW w:w="3960" w:type="dxa"/>
            <w:vAlign w:val="bottom"/>
            <w:gridSpan w:val="2"/>
          </w:tcPr>
          <w:p>
            <w:pPr>
              <w:ind w:left="180"/>
              <w:spacing w:after="0" w:line="168" w:lineRule="exact"/>
              <w:rPr>
                <w:sz w:val="20"/>
                <w:szCs w:val="20"/>
                <w:color w:val="auto"/>
              </w:rPr>
            </w:pPr>
            <w:r>
              <w:rPr>
                <w:rFonts w:ascii="Times New Roman" w:cs="Times New Roman" w:eastAsia="Times New Roman" w:hAnsi="Times New Roman"/>
                <w:sz w:val="15"/>
                <w:szCs w:val="15"/>
                <w:color w:val="auto"/>
              </w:rPr>
              <w:t>Nominating and Corporate Governance; Compensation; and</w:t>
            </w:r>
          </w:p>
        </w:tc>
      </w:tr>
      <w:tr>
        <w:trPr>
          <w:trHeight w:val="197"/>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(Lead Independent Director)</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Audit</w:t>
            </w:r>
          </w:p>
        </w:tc>
      </w:tr>
      <w:tr>
        <w:trPr>
          <w:trHeight w:val="168"/>
        </w:trPr>
        <w:tc>
          <w:tcPr>
            <w:tcW w:w="15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Jack A. Henry</w:t>
            </w:r>
          </w:p>
        </w:tc>
        <w:tc>
          <w:tcPr>
            <w:tcW w:w="11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3"/>
              </w:rPr>
              <w:t>78</w:t>
            </w:r>
          </w:p>
        </w:tc>
        <w:tc>
          <w:tcPr>
            <w:tcW w:w="2300" w:type="dxa"/>
            <w:vAlign w:val="bottom"/>
            <w:gridSpan w:val="2"/>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Director</w:t>
            </w:r>
          </w:p>
        </w:tc>
        <w:tc>
          <w:tcPr>
            <w:tcW w:w="3960" w:type="dxa"/>
            <w:vAlign w:val="bottom"/>
            <w:gridSpan w:val="2"/>
            <w:shd w:val="clear" w:color="auto" w:fill="CCEEFF"/>
          </w:tcPr>
          <w:p>
            <w:pPr>
              <w:ind w:left="180"/>
              <w:spacing w:after="0" w:line="168" w:lineRule="exact"/>
              <w:rPr>
                <w:sz w:val="20"/>
                <w:szCs w:val="20"/>
                <w:color w:val="auto"/>
              </w:rPr>
            </w:pPr>
            <w:r>
              <w:rPr>
                <w:rFonts w:ascii="Times New Roman" w:cs="Times New Roman" w:eastAsia="Times New Roman" w:hAnsi="Times New Roman"/>
                <w:sz w:val="15"/>
                <w:szCs w:val="15"/>
                <w:color w:val="auto"/>
              </w:rPr>
              <w:t>Audit (chair); Nominating and Corporate Governance; and</w:t>
            </w:r>
          </w:p>
        </w:tc>
      </w:tr>
      <w:tr>
        <w:trPr>
          <w:trHeight w:val="197"/>
        </w:trPr>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Compensation</w:t>
            </w:r>
          </w:p>
        </w:tc>
      </w:tr>
      <w:tr>
        <w:trPr>
          <w:trHeight w:val="168"/>
        </w:trPr>
        <w:tc>
          <w:tcPr>
            <w:tcW w:w="152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Lisa Graham Keegan</w:t>
            </w:r>
          </w:p>
        </w:tc>
        <w:tc>
          <w:tcPr>
            <w:tcW w:w="116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w w:val="93"/>
              </w:rPr>
              <w:t>62</w:t>
            </w:r>
          </w:p>
        </w:tc>
        <w:tc>
          <w:tcPr>
            <w:tcW w:w="2300" w:type="dxa"/>
            <w:vAlign w:val="bottom"/>
            <w:gridSpan w:val="2"/>
          </w:tcPr>
          <w:p>
            <w:pPr>
              <w:ind w:left="160"/>
              <w:spacing w:after="0" w:line="168" w:lineRule="exact"/>
              <w:rPr>
                <w:sz w:val="20"/>
                <w:szCs w:val="20"/>
                <w:color w:val="auto"/>
              </w:rPr>
            </w:pPr>
            <w:r>
              <w:rPr>
                <w:rFonts w:ascii="Times New Roman" w:cs="Times New Roman" w:eastAsia="Times New Roman" w:hAnsi="Times New Roman"/>
                <w:sz w:val="15"/>
                <w:szCs w:val="15"/>
                <w:color w:val="auto"/>
              </w:rPr>
              <w:t>Director</w:t>
            </w:r>
          </w:p>
        </w:tc>
        <w:tc>
          <w:tcPr>
            <w:tcW w:w="3960" w:type="dxa"/>
            <w:vAlign w:val="bottom"/>
            <w:gridSpan w:val="2"/>
          </w:tcPr>
          <w:p>
            <w:pPr>
              <w:ind w:left="180"/>
              <w:spacing w:after="0" w:line="168" w:lineRule="exact"/>
              <w:rPr>
                <w:sz w:val="20"/>
                <w:szCs w:val="20"/>
                <w:color w:val="auto"/>
              </w:rPr>
            </w:pPr>
            <w:r>
              <w:rPr>
                <w:rFonts w:ascii="Times New Roman" w:cs="Times New Roman" w:eastAsia="Times New Roman" w:hAnsi="Times New Roman"/>
                <w:sz w:val="15"/>
                <w:szCs w:val="15"/>
                <w:color w:val="auto"/>
              </w:rPr>
              <w:t>Nominating and Corporate Governance (chair);</w:t>
            </w:r>
          </w:p>
        </w:tc>
      </w:tr>
      <w:tr>
        <w:trPr>
          <w:trHeight w:val="197"/>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Compensation; and Audit</w:t>
            </w:r>
          </w:p>
        </w:tc>
      </w:tr>
      <w:tr>
        <w:trPr>
          <w:trHeight w:val="168"/>
        </w:trPr>
        <w:tc>
          <w:tcPr>
            <w:tcW w:w="15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Chevy Humphrey</w:t>
            </w:r>
          </w:p>
        </w:tc>
        <w:tc>
          <w:tcPr>
            <w:tcW w:w="11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w w:val="93"/>
              </w:rPr>
              <w:t>57</w:t>
            </w:r>
          </w:p>
        </w:tc>
        <w:tc>
          <w:tcPr>
            <w:tcW w:w="2300" w:type="dxa"/>
            <w:vAlign w:val="bottom"/>
            <w:gridSpan w:val="2"/>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Director</w:t>
            </w:r>
          </w:p>
        </w:tc>
        <w:tc>
          <w:tcPr>
            <w:tcW w:w="3960" w:type="dxa"/>
            <w:vAlign w:val="bottom"/>
            <w:gridSpan w:val="2"/>
            <w:shd w:val="clear" w:color="auto" w:fill="CCEEFF"/>
          </w:tcPr>
          <w:p>
            <w:pPr>
              <w:ind w:left="180"/>
              <w:spacing w:after="0" w:line="168" w:lineRule="exact"/>
              <w:rPr>
                <w:sz w:val="20"/>
                <w:szCs w:val="20"/>
                <w:color w:val="auto"/>
              </w:rPr>
            </w:pPr>
            <w:r>
              <w:rPr>
                <w:rFonts w:ascii="Times New Roman" w:cs="Times New Roman" w:eastAsia="Times New Roman" w:hAnsi="Times New Roman"/>
                <w:sz w:val="15"/>
                <w:szCs w:val="15"/>
                <w:color w:val="auto"/>
              </w:rPr>
              <w:t>Compensation (chair); Nominating and Corporate</w:t>
            </w:r>
          </w:p>
        </w:tc>
      </w:tr>
      <w:tr>
        <w:trPr>
          <w:trHeight w:val="197"/>
        </w:trPr>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Governance; and Audit</w:t>
            </w:r>
          </w:p>
        </w:tc>
      </w:tr>
      <w:tr>
        <w:trPr>
          <w:trHeight w:val="168"/>
        </w:trPr>
        <w:tc>
          <w:tcPr>
            <w:tcW w:w="152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David M. Adame</w:t>
            </w:r>
          </w:p>
        </w:tc>
        <w:tc>
          <w:tcPr>
            <w:tcW w:w="116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w w:val="93"/>
              </w:rPr>
              <w:t>59</w:t>
            </w:r>
          </w:p>
        </w:tc>
        <w:tc>
          <w:tcPr>
            <w:tcW w:w="2300" w:type="dxa"/>
            <w:vAlign w:val="bottom"/>
            <w:gridSpan w:val="2"/>
          </w:tcPr>
          <w:p>
            <w:pPr>
              <w:ind w:left="160"/>
              <w:spacing w:after="0" w:line="168" w:lineRule="exact"/>
              <w:rPr>
                <w:sz w:val="20"/>
                <w:szCs w:val="20"/>
                <w:color w:val="auto"/>
              </w:rPr>
            </w:pPr>
            <w:r>
              <w:rPr>
                <w:rFonts w:ascii="Times New Roman" w:cs="Times New Roman" w:eastAsia="Times New Roman" w:hAnsi="Times New Roman"/>
                <w:sz w:val="15"/>
                <w:szCs w:val="15"/>
                <w:color w:val="auto"/>
              </w:rPr>
              <w:t>Director</w:t>
            </w:r>
          </w:p>
        </w:tc>
        <w:tc>
          <w:tcPr>
            <w:tcW w:w="3960" w:type="dxa"/>
            <w:vAlign w:val="bottom"/>
            <w:gridSpan w:val="2"/>
          </w:tcPr>
          <w:p>
            <w:pPr>
              <w:ind w:left="180"/>
              <w:spacing w:after="0" w:line="168" w:lineRule="exact"/>
              <w:rPr>
                <w:sz w:val="20"/>
                <w:szCs w:val="20"/>
                <w:color w:val="auto"/>
              </w:rPr>
            </w:pPr>
            <w:r>
              <w:rPr>
                <w:rFonts w:ascii="Times New Roman" w:cs="Times New Roman" w:eastAsia="Times New Roman" w:hAnsi="Times New Roman"/>
                <w:sz w:val="15"/>
                <w:szCs w:val="15"/>
                <w:color w:val="auto"/>
              </w:rPr>
              <w:t>Nominating and Corporate Governance; Compensation; and</w:t>
            </w:r>
          </w:p>
        </w:tc>
      </w:tr>
      <w:tr>
        <w:trPr>
          <w:trHeight w:val="197"/>
        </w:trPr>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Audit</w:t>
            </w:r>
          </w:p>
        </w:tc>
      </w:tr>
      <w:tr>
        <w:trPr>
          <w:trHeight w:val="730"/>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00" w:type="dxa"/>
            <w:vAlign w:val="bottom"/>
            <w:gridSpan w:val="2"/>
          </w:tcPr>
          <w:p>
            <w:pPr>
              <w:ind w:left="1700"/>
              <w:spacing w:after="0"/>
              <w:rPr>
                <w:sz w:val="20"/>
                <w:szCs w:val="20"/>
                <w:color w:val="auto"/>
              </w:rPr>
            </w:pPr>
            <w:r>
              <w:rPr>
                <w:rFonts w:ascii="Times New Roman" w:cs="Times New Roman" w:eastAsia="Times New Roman" w:hAnsi="Times New Roman"/>
                <w:sz w:val="15"/>
                <w:szCs w:val="15"/>
                <w:color w:val="auto"/>
              </w:rPr>
              <w:t>26</w:t>
            </w: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70"/>
        </w:trPr>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6"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right="119" w:firstLine="547"/>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Brian E. Mueller </w:t>
      </w:r>
      <w:r>
        <w:rPr>
          <w:rFonts w:ascii="Times New Roman" w:cs="Times New Roman" w:eastAsia="Times New Roman" w:hAnsi="Times New Roman"/>
          <w:sz w:val="15"/>
          <w:szCs w:val="15"/>
          <w:color w:val="auto"/>
        </w:rPr>
        <w:t>has been serving as our Chief Executive Officer since July 1, 2008, as a director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since March 2009, and as the Chairman of our Board since January 2017. Since July 1, 2018, Mr. Mueller has also served as the President of Grand Canyon University, an independent non-profit Arizona corporation that is our most significant university partner. From 2012 to 2018, Mr. Mueller served as the President of Grand Canyon University when it was owned and operated by the Company. See Policies and Procedures for Related Party Transactions. From 1987 to 2008, Mr. Mueller was employed by Apollo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-694055</wp:posOffset>
            </wp:positionV>
            <wp:extent cx="1035685" cy="139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35685" cy="1390015"/>
                    </a:xfrm>
                    <a:prstGeom prst="rect">
                      <a:avLst/>
                    </a:prstGeom>
                    <a:noFill/>
                  </pic:spPr>
                </pic:pic>
              </a:graphicData>
            </a:graphic>
          </wp:anchor>
        </w:drawing>
      </w:r>
    </w:p>
    <w:p>
      <w:pPr>
        <w:ind w:left="2280" w:right="59"/>
        <w:spacing w:after="0" w:line="255" w:lineRule="auto"/>
        <w:rPr>
          <w:sz w:val="20"/>
          <w:szCs w:val="20"/>
          <w:color w:val="auto"/>
        </w:rPr>
      </w:pPr>
      <w:r>
        <w:rPr>
          <w:rFonts w:ascii="Times New Roman" w:cs="Times New Roman" w:eastAsia="Times New Roman" w:hAnsi="Times New Roman"/>
          <w:sz w:val="15"/>
          <w:szCs w:val="15"/>
          <w:color w:val="auto"/>
        </w:rPr>
        <w:t>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 to day leadership and intimate knowledge of our business and operations, provide the Board of Directors with both industry-wide and Company-specific experience and expertise.</w:t>
      </w:r>
    </w:p>
    <w:p>
      <w:pPr>
        <w:spacing w:after="0" w:line="153" w:lineRule="exact"/>
        <w:rPr>
          <w:sz w:val="20"/>
          <w:szCs w:val="20"/>
          <w:color w:val="auto"/>
        </w:rPr>
      </w:pPr>
    </w:p>
    <w:p>
      <w:pPr>
        <w:ind w:left="2280" w:right="59" w:firstLine="547"/>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Sara R. Dial </w:t>
      </w:r>
      <w:r>
        <w:rPr>
          <w:rFonts w:ascii="Times New Roman" w:cs="Times New Roman" w:eastAsia="Times New Roman" w:hAnsi="Times New Roman"/>
          <w:sz w:val="15"/>
          <w:szCs w:val="15"/>
          <w:color w:val="auto"/>
        </w:rPr>
        <w:t>has been serving as a member of our Board of Directors since March 2013, and as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lead independent director since January 2017. Ms. Dial has served as President and Chief Executive Officer of Sara Dial &amp; Associates, an executive coaching and economic development consulting firm specializing in site selection and government relations since 1996. She has led high profile economic development initiatives in Arizona including the restructuring of Arizona’s statewide economic development organization under Governor Brewer, resulting in the creation of the agency now known as the Arizona Commerce Authority. From 1993 to 1996, Ms. Dial served as the director of the Arizona Department of Commerce, having previously served as the finance director from 1991 to 1993. Prior to her work in the public sector, Ms. Dial worked in the investment banking industry at Rauscher Pierces Refsnes, (now known as RBC Capital), Boettcher and Company and Kemper Securities Group, focusing on municipal finance. In 2019, she became a National Association of Corporate Directors Board Leadership Fellow on behalf of her commitment to exemplary corporate governance. Currently, Ms. Dial is a director for WillScot Mobile Mini Holdings Corp., a publicly traded provider of portable storage and mobile office solutions. Ms. Dial was previously a member of the board of trustees at Seattle Pacific University. Ms. Dial is a graduate of Stanford University with a Bachelor of Arts degree in international relations. Ms. Dial is NACD (National Association of Corporate Directors) Directorship Certified. The NACD Directorship Certification program equips directors with the foundation of knowledge sought by boards to effectively contribute in the boardroom. NACD Directorship Certified directors pass a foundational exam developed by experienced directors and, via continuing recertification requirements, commit to continuing education on governance and emerging issues impacting the businesses they service in order to elevate the profession of directorship. We believe Ms. Dial’s extensive experience with government, higher education and economic development provides a tremendous resource to our Board of Directors and management team, particularly in the areas of government relations,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-2664460</wp:posOffset>
            </wp:positionV>
            <wp:extent cx="1035685" cy="139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35685" cy="139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60" w:right="59" w:firstLine="547"/>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Jack A. Henry </w:t>
      </w:r>
      <w:r>
        <w:rPr>
          <w:rFonts w:ascii="Times New Roman" w:cs="Times New Roman" w:eastAsia="Times New Roman" w:hAnsi="Times New Roman"/>
          <w:sz w:val="15"/>
          <w:szCs w:val="15"/>
          <w:color w:val="auto"/>
        </w:rPr>
        <w:t>has been serving as a member of our Board of Directors since November 2008. Since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2000, Mr. Henry has served as the Managing 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 of directors and as chair of the audit committee of TPI Composites, Inc., a manufacturer of composite wind blades, and on the board of directors and audit committee of a private company. He is past President and founder of the Arizona Chapter of the National Association of Corporate Directors having served in that capacity for 15 years.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-1395095</wp:posOffset>
            </wp:positionV>
            <wp:extent cx="1035685" cy="139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35685" cy="1390015"/>
                    </a:xfrm>
                    <a:prstGeom prst="rect">
                      <a:avLst/>
                    </a:prstGeom>
                    <a:noFill/>
                  </pic:spPr>
                </pic:pic>
              </a:graphicData>
            </a:graphic>
          </wp:anchor>
        </w:drawing>
      </w:r>
    </w:p>
    <w:p>
      <w:pPr>
        <w:spacing w:after="0" w:line="135" w:lineRule="exact"/>
        <w:rPr>
          <w:sz w:val="20"/>
          <w:szCs w:val="20"/>
          <w:color w:val="auto"/>
        </w:rPr>
      </w:pPr>
    </w:p>
    <w:p>
      <w:pPr>
        <w:ind w:left="2260" w:right="59" w:firstLine="547"/>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Lisa Graham Keegan </w:t>
      </w:r>
      <w:r>
        <w:rPr>
          <w:rFonts w:ascii="Times New Roman" w:cs="Times New Roman" w:eastAsia="Times New Roman" w:hAnsi="Times New Roman"/>
          <w:sz w:val="15"/>
          <w:szCs w:val="15"/>
          <w:color w:val="auto"/>
        </w:rPr>
        <w:t>has been serving as a member of our Board of Directors since August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2019. Since 2001, Ms. Keegan has served as the Principal Partner at The Keegan Company, an education policy consulting firm, where she leads numerous projects, writes, and speaks on critical issues in American education. From 1991 to 2001, Ms. Keegan served as an Arizona elected official, first in the Arizona House of Representatives from 1991 to 1995, where she chaired the House Education Committee and oversaw the K-12, community college and university education budgets on the Appropriations Committee, and later as the Arizona Superintendent of Public Instruction from 1995 to 2001, where she oversaw Arizona’s public school system and directed the state’s Department of Education. In 2000 and 2008, respectively, Ms. Keegan served as education advisor to the John McCain campaigns for President. Ms. Keegan received a Bachelor of Arts degree from Stanford University and a Masters’ Degree from Arizona State University. We believe Ms. Keegan’s extensive experience with education and public office experience provides a tremendous resource to our Board of Directors and management team, particularly in the areas of operations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-1395095</wp:posOffset>
            </wp:positionV>
            <wp:extent cx="1057275" cy="15932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57275" cy="159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60" w:right="99" w:firstLine="547"/>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Chevy Humphrey </w:t>
      </w:r>
      <w:r>
        <w:rPr>
          <w:rFonts w:ascii="Times New Roman" w:cs="Times New Roman" w:eastAsia="Times New Roman" w:hAnsi="Times New Roman"/>
          <w:sz w:val="15"/>
          <w:szCs w:val="15"/>
          <w:color w:val="auto"/>
        </w:rPr>
        <w:t>has been serving as a member of our Board of Directors since August 2019. Ms.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Humphrey is the first Black American to head a science center in the United States and, in January 2021, Ms. Humphrey became the first women and first Black American to lead the Museum of Science and Industry (“MSI”), in Chicago, Illinois. Before joining MSI, Ms. Humphrey had served as President and CEO of the Arizona Science Center, one of the nation’s premier science and education centers, since 2005. During her tenure at Arizona Science Center, Ms. Humphrey secured numerous national competitive and prestigious grants for the Arizona Science Center from organizations such as the National Institutes for Health and the National Science Foundation and has been recognized by the Phoenix Business Journal as a Most Admired CEO and by the Women’s National Basketball Association as a Visionary Leader. Ms. Humphrey currently serves as a board member and Chair of the American Alliance of Museums, an organization that supports more than 35,000 museums, zoos, science centers and similar organizations. Ms. Humphrey also serves as a board member of College Success Arizona, an organization focused on increasing the post-secondary attainment rates of Arizona students, and the Sandra Day O’Connor Institute, an organization that advances civics education, civic engagement and civil discourse. Ms. Humphrey received a Bachelor of Business degree with a concentration in Marketing from the University of Phoenix, a Master of Business Administration degree from Northeastern University with specializations in Marketing and Entrepreneurship/Innovation, and is pursuing her Doctorate of Business Administration from Grand Canyon University. We believe Ms. Humphrey’s extensive experience and STEM related experience provides a tremendous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-2207260</wp:posOffset>
            </wp:positionV>
            <wp:extent cx="1078865" cy="16217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78865" cy="1621790"/>
                    </a:xfrm>
                    <a:prstGeom prst="rect">
                      <a:avLst/>
                    </a:prstGeom>
                    <a:noFill/>
                  </pic:spPr>
                </pic:pic>
              </a:graphicData>
            </a:graphic>
          </wp:anchor>
        </w:drawing>
      </w:r>
    </w:p>
    <w:p>
      <w:pPr>
        <w:spacing w:after="0" w:line="315" w:lineRule="exact"/>
        <w:rPr>
          <w:sz w:val="20"/>
          <w:szCs w:val="20"/>
          <w:color w:val="auto"/>
        </w:rPr>
      </w:pPr>
    </w:p>
    <w:p>
      <w:pPr>
        <w:jc w:val="both"/>
        <w:ind w:left="2260" w:right="59" w:firstLine="372"/>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David M. Adame </w:t>
      </w:r>
      <w:r>
        <w:rPr>
          <w:rFonts w:ascii="Times New Roman" w:cs="Times New Roman" w:eastAsia="Times New Roman" w:hAnsi="Times New Roman"/>
          <w:sz w:val="15"/>
          <w:szCs w:val="15"/>
          <w:color w:val="auto"/>
        </w:rPr>
        <w:t>has been serving as a member of our Board since June 22, 2021. Mr. Adame currently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serves as President and CEO of Chicanos Por La Causa (“CPLC”). Mr. Adame has been with CPLC since 2008, serving as Chief Operating Officer and Chief Financial Officer prior to becoming President and CEO. From 2003 to 2008, he was Vice President of Arizona Operations for McCormack Baron &amp; Salazar, responsible for overseeing the firm’s role in Henson Village, a HOPE VI project in Phoenix. From 1997 to 2003, he served as Senior Deputy Director of Fannie Mae’s Arizona Partnership Office. From 1994 to 1997, he served as a Program Officer with the Phoenix Office of the Local Initiatives Support Corporation (“LISC”) where he managed the HOMESTART program. Prior to 1994 he worked at JPMorgan Chase &amp; Co. (then called Bank One Arizona) for eight years, including as Corporate Banking Associate and later as Assistant Vice President in the Retail Business Loan Center. Over the years, Mr. Adame has served on numerous boards including: the Greater Phoenix Economic Council; the AARP Foundation; the National Association for Latino Community Asset Builders; the Arizona-Mexico Commission; the Maricopa Community Colleges Foundation; Unidos US; the Community Reinvestment Fund USA; the Creighton University Presidential Health Sciences Phoenix Advisory Board; and the Arizona Housing Commission. Recent honors include the Individual Hero of Education Award by Maricopa Community Colleges and the Maricopa Community Colleges Foundation, and the Lifetime Achievement Award by the Arizona Asian Chamber of Commerce. Mr. Adame received a Bachelor of Science in Business degree from Arizona State University (“ASU”) and a Master’s in Business Administration from the ASU School of Global Management. He was awarded an Honorary Doctorate in Humane Letters from the University of Arizona, and an Honorary Doctorate from the National Autonomous University of Mexico. We believe Mr. Adame’s extensive experience provides a tremendous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-2547620</wp:posOffset>
            </wp:positionV>
            <wp:extent cx="1071880" cy="16217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71880" cy="1621790"/>
                    </a:xfrm>
                    <a:prstGeom prst="rect">
                      <a:avLst/>
                    </a:prstGeom>
                    <a:noFill/>
                  </pic:spPr>
                </pic:pic>
              </a:graphicData>
            </a:graphic>
          </wp:anchor>
        </w:drawing>
      </w:r>
    </w:p>
    <w:p>
      <w:pPr>
        <w:spacing w:after="0" w:line="258" w:lineRule="exact"/>
        <w:rPr>
          <w:sz w:val="20"/>
          <w:szCs w:val="20"/>
          <w:color w:val="auto"/>
        </w:rPr>
      </w:pPr>
    </w:p>
    <w:p>
      <w:pPr>
        <w:ind w:left="40" w:right="179" w:firstLine="547"/>
        <w:spacing w:after="0" w:line="278" w:lineRule="auto"/>
        <w:rPr>
          <w:sz w:val="20"/>
          <w:szCs w:val="20"/>
          <w:color w:val="auto"/>
        </w:rPr>
      </w:pPr>
      <w:r>
        <w:rPr>
          <w:rFonts w:ascii="Times New Roman" w:cs="Times New Roman" w:eastAsia="Times New Roman" w:hAnsi="Times New Roman"/>
          <w:sz w:val="15"/>
          <w:szCs w:val="15"/>
          <w:b w:val="1"/>
          <w:bCs w:val="1"/>
          <w:color w:val="auto"/>
        </w:rPr>
        <w:t xml:space="preserve">Our Board of Directors unanimously recommends that the stockholders vote </w:t>
      </w:r>
      <w:r>
        <w:rPr>
          <w:rFonts w:ascii="Times New Roman" w:cs="Times New Roman" w:eastAsia="Times New Roman" w:hAnsi="Times New Roman"/>
          <w:sz w:val="15"/>
          <w:szCs w:val="15"/>
          <w:b w:val="1"/>
          <w:bCs w:val="1"/>
          <w:u w:val="single" w:color="auto"/>
          <w:color w:val="auto"/>
        </w:rPr>
        <w:t>FOR</w:t>
      </w:r>
      <w:r>
        <w:rPr>
          <w:rFonts w:ascii="Times New Roman" w:cs="Times New Roman" w:eastAsia="Times New Roman" w:hAnsi="Times New Roman"/>
          <w:sz w:val="15"/>
          <w:szCs w:val="15"/>
          <w:b w:val="1"/>
          <w:bCs w:val="1"/>
          <w:color w:val="auto"/>
        </w:rPr>
        <w:t xml:space="preserve"> the election of each of the six nominees listed above to constitute our Board of Directors.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6265" cy="14605"/>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PROPOSAL NO. 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ADVISORY VOTE TO APPROVE NAMED EXECUTIVE OFFICER COMPENSATION</w:t>
      </w:r>
    </w:p>
    <w:p>
      <w:pPr>
        <w:spacing w:after="0" w:line="172" w:lineRule="exact"/>
        <w:rPr>
          <w:sz w:val="20"/>
          <w:szCs w:val="20"/>
          <w:color w:val="auto"/>
        </w:rPr>
      </w:pPr>
    </w:p>
    <w:tbl>
      <w:tblPr>
        <w:tblLayout w:type="fixed"/>
        <w:tblInd w:w="50" w:type="dxa"/>
        <w:tblCellMar>
          <w:top w:w="0" w:type="dxa"/>
          <w:left w:w="0" w:type="dxa"/>
          <w:bottom w:w="0" w:type="dxa"/>
          <w:right w:w="0" w:type="dxa"/>
        </w:tblCellMar>
      </w:tblPr>
      <w:tr>
        <w:trPr>
          <w:trHeight w:val="175"/>
        </w:trPr>
        <w:tc>
          <w:tcPr>
            <w:tcW w:w="2360" w:type="dxa"/>
            <w:vAlign w:val="bottom"/>
            <w:tcBorders>
              <w:top w:val="single" w:sz="8" w:color="auto"/>
              <w:left w:val="single" w:sz="8" w:color="auto"/>
            </w:tcBorders>
            <w:gridSpan w:val="2"/>
          </w:tcPr>
          <w:p>
            <w:pPr>
              <w:ind w:left="180"/>
              <w:spacing w:after="0" w:line="173"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5"/>
                <w:szCs w:val="15"/>
                <w:b w:val="1"/>
                <w:bCs w:val="1"/>
                <w:i w:val="1"/>
                <w:iCs w:val="1"/>
                <w:color w:val="auto"/>
              </w:rPr>
              <w:t xml:space="preserve">  What am I voting on?</w:t>
            </w:r>
          </w:p>
        </w:tc>
        <w:tc>
          <w:tcPr>
            <w:tcW w:w="658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Stockholders are being asked to approve, on an advisory basis, the compensation of the named</w:t>
            </w:r>
          </w:p>
        </w:tc>
      </w:tr>
      <w:tr>
        <w:trPr>
          <w:trHeight w:val="186"/>
        </w:trPr>
        <w:tc>
          <w:tcPr>
            <w:tcW w:w="400" w:type="dxa"/>
            <w:vAlign w:val="bottom"/>
            <w:tcBorders>
              <w:left w:val="single" w:sz="8" w:color="auto"/>
            </w:tcBorders>
          </w:tcPr>
          <w:p>
            <w:pPr>
              <w:spacing w:after="0"/>
              <w:rPr>
                <w:sz w:val="16"/>
                <w:szCs w:val="16"/>
                <w:color w:val="auto"/>
              </w:rPr>
            </w:pPr>
          </w:p>
        </w:tc>
        <w:tc>
          <w:tcPr>
            <w:tcW w:w="1960" w:type="dxa"/>
            <w:vAlign w:val="bottom"/>
          </w:tcPr>
          <w:p>
            <w:pPr>
              <w:spacing w:after="0"/>
              <w:rPr>
                <w:sz w:val="16"/>
                <w:szCs w:val="16"/>
                <w:color w:val="auto"/>
              </w:rPr>
            </w:pPr>
          </w:p>
        </w:tc>
        <w:tc>
          <w:tcPr>
            <w:tcW w:w="65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 xml:space="preserve">executive officers as described in the </w:t>
            </w:r>
            <w:r>
              <w:rPr>
                <w:rFonts w:ascii="Times New Roman" w:cs="Times New Roman" w:eastAsia="Times New Roman" w:hAnsi="Times New Roman"/>
                <w:sz w:val="15"/>
                <w:szCs w:val="15"/>
                <w:i w:val="1"/>
                <w:iCs w:val="1"/>
                <w:color w:val="auto"/>
              </w:rPr>
              <w:t>Compensation Discussion and Analysis</w:t>
            </w:r>
            <w:r>
              <w:rPr>
                <w:rFonts w:ascii="Times New Roman" w:cs="Times New Roman" w:eastAsia="Times New Roman" w:hAnsi="Times New Roman"/>
                <w:sz w:val="15"/>
                <w:szCs w:val="15"/>
                <w:color w:val="auto"/>
              </w:rPr>
              <w:t xml:space="preserve"> section and the related</w:t>
            </w:r>
          </w:p>
        </w:tc>
      </w:tr>
      <w:tr>
        <w:trPr>
          <w:trHeight w:val="197"/>
        </w:trPr>
        <w:tc>
          <w:tcPr>
            <w:tcW w:w="400" w:type="dxa"/>
            <w:vAlign w:val="bottom"/>
            <w:tcBorders>
              <w:left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65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tables.</w:t>
            </w:r>
          </w:p>
        </w:tc>
      </w:tr>
      <w:tr>
        <w:trPr>
          <w:trHeight w:val="350"/>
        </w:trPr>
        <w:tc>
          <w:tcPr>
            <w:tcW w:w="400" w:type="dxa"/>
            <w:vAlign w:val="bottom"/>
            <w:tcBorders>
              <w:left w:val="single" w:sz="8" w:color="auto"/>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15"/>
                <w:szCs w:val="15"/>
                <w:b w:val="1"/>
                <w:bCs w:val="1"/>
                <w:i w:val="1"/>
                <w:iCs w:val="1"/>
                <w:color w:val="auto"/>
              </w:rPr>
              <w:t>Voting recommendation:</w:t>
            </w:r>
          </w:p>
        </w:tc>
        <w:tc>
          <w:tcPr>
            <w:tcW w:w="65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Our Board of Directors unanimously recommends that you vote “FOR” the advisory vote to approve</w:t>
            </w:r>
          </w:p>
        </w:tc>
      </w:tr>
      <w:tr>
        <w:trPr>
          <w:trHeight w:val="182"/>
        </w:trPr>
        <w:tc>
          <w:tcPr>
            <w:tcW w:w="400" w:type="dxa"/>
            <w:vAlign w:val="bottom"/>
            <w:tcBorders>
              <w:left w:val="single" w:sz="8" w:color="auto"/>
            </w:tcBorders>
          </w:tcPr>
          <w:p>
            <w:pPr>
              <w:spacing w:after="0"/>
              <w:rPr>
                <w:sz w:val="15"/>
                <w:szCs w:val="15"/>
                <w:color w:val="auto"/>
              </w:rPr>
            </w:pPr>
          </w:p>
        </w:tc>
        <w:tc>
          <w:tcPr>
            <w:tcW w:w="1960" w:type="dxa"/>
            <w:vAlign w:val="bottom"/>
          </w:tcPr>
          <w:p>
            <w:pPr>
              <w:spacing w:after="0"/>
              <w:rPr>
                <w:sz w:val="15"/>
                <w:szCs w:val="15"/>
                <w:color w:val="auto"/>
              </w:rPr>
            </w:pPr>
          </w:p>
        </w:tc>
        <w:tc>
          <w:tcPr>
            <w:tcW w:w="65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the compensation of our named executive officers. The Compensation Committee takes very seriously</w:t>
            </w:r>
          </w:p>
        </w:tc>
      </w:tr>
      <w:tr>
        <w:trPr>
          <w:trHeight w:val="182"/>
        </w:trPr>
        <w:tc>
          <w:tcPr>
            <w:tcW w:w="400" w:type="dxa"/>
            <w:vAlign w:val="bottom"/>
            <w:tcBorders>
              <w:left w:val="single" w:sz="8" w:color="auto"/>
            </w:tcBorders>
          </w:tcPr>
          <w:p>
            <w:pPr>
              <w:spacing w:after="0"/>
              <w:rPr>
                <w:sz w:val="15"/>
                <w:szCs w:val="15"/>
                <w:color w:val="auto"/>
              </w:rPr>
            </w:pPr>
          </w:p>
        </w:tc>
        <w:tc>
          <w:tcPr>
            <w:tcW w:w="1960" w:type="dxa"/>
            <w:vAlign w:val="bottom"/>
          </w:tcPr>
          <w:p>
            <w:pPr>
              <w:spacing w:after="0"/>
              <w:rPr>
                <w:sz w:val="15"/>
                <w:szCs w:val="15"/>
                <w:color w:val="auto"/>
              </w:rPr>
            </w:pPr>
          </w:p>
        </w:tc>
        <w:tc>
          <w:tcPr>
            <w:tcW w:w="65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its role in the governance of the Company’s compensation programs and will take into account the</w:t>
            </w:r>
          </w:p>
        </w:tc>
      </w:tr>
      <w:tr>
        <w:trPr>
          <w:trHeight w:val="197"/>
        </w:trPr>
        <w:tc>
          <w:tcPr>
            <w:tcW w:w="400" w:type="dxa"/>
            <w:vAlign w:val="bottom"/>
            <w:tcBorders>
              <w:left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65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outcome of the advisory vote when considering future executive compensation decisions.</w:t>
            </w:r>
          </w:p>
        </w:tc>
      </w:tr>
      <w:tr>
        <w:trPr>
          <w:trHeight w:val="350"/>
        </w:trPr>
        <w:tc>
          <w:tcPr>
            <w:tcW w:w="400" w:type="dxa"/>
            <w:vAlign w:val="bottom"/>
            <w:tcBorders>
              <w:left w:val="single" w:sz="8" w:color="auto"/>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15"/>
                <w:szCs w:val="15"/>
                <w:b w:val="1"/>
                <w:bCs w:val="1"/>
                <w:i w:val="1"/>
                <w:iCs w:val="1"/>
                <w:color w:val="auto"/>
              </w:rPr>
              <w:t>Vote required:</w:t>
            </w:r>
          </w:p>
        </w:tc>
        <w:tc>
          <w:tcPr>
            <w:tcW w:w="65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The affirmative vote of the majority of shares present in person or represented by proxy at the Annual</w:t>
            </w:r>
          </w:p>
        </w:tc>
      </w:tr>
      <w:tr>
        <w:trPr>
          <w:trHeight w:val="182"/>
        </w:trPr>
        <w:tc>
          <w:tcPr>
            <w:tcW w:w="400" w:type="dxa"/>
            <w:vAlign w:val="bottom"/>
            <w:tcBorders>
              <w:left w:val="single" w:sz="8" w:color="auto"/>
            </w:tcBorders>
          </w:tcPr>
          <w:p>
            <w:pPr>
              <w:spacing w:after="0"/>
              <w:rPr>
                <w:sz w:val="15"/>
                <w:szCs w:val="15"/>
                <w:color w:val="auto"/>
              </w:rPr>
            </w:pPr>
          </w:p>
        </w:tc>
        <w:tc>
          <w:tcPr>
            <w:tcW w:w="1960" w:type="dxa"/>
            <w:vAlign w:val="bottom"/>
          </w:tcPr>
          <w:p>
            <w:pPr>
              <w:spacing w:after="0"/>
              <w:rPr>
                <w:sz w:val="15"/>
                <w:szCs w:val="15"/>
                <w:color w:val="auto"/>
              </w:rPr>
            </w:pPr>
          </w:p>
        </w:tc>
        <w:tc>
          <w:tcPr>
            <w:tcW w:w="65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Meeting and entitled to vote. Broker non-votes will have no effect on the outcome of this proposal,</w:t>
            </w:r>
          </w:p>
        </w:tc>
      </w:tr>
      <w:tr>
        <w:trPr>
          <w:trHeight w:val="197"/>
        </w:trPr>
        <w:tc>
          <w:tcPr>
            <w:tcW w:w="400" w:type="dxa"/>
            <w:vAlign w:val="bottom"/>
            <w:tcBorders>
              <w:left w:val="single" w:sz="8" w:color="auto"/>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65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5"/>
                <w:szCs w:val="15"/>
                <w:color w:val="auto"/>
              </w:rPr>
              <w:t>while abstentions will have the effect of a vote against this proposal.</w:t>
            </w:r>
          </w:p>
        </w:tc>
      </w:tr>
    </w:tbl>
    <w:p>
      <w:pPr>
        <w:spacing w:after="0" w:line="168" w:lineRule="exact"/>
        <w:rPr>
          <w:sz w:val="20"/>
          <w:szCs w:val="20"/>
          <w:color w:val="auto"/>
        </w:rPr>
      </w:pPr>
    </w:p>
    <w:p>
      <w:pPr>
        <w:ind w:left="40" w:right="159" w:firstLine="547"/>
        <w:spacing w:after="0" w:line="262" w:lineRule="auto"/>
        <w:rPr>
          <w:sz w:val="20"/>
          <w:szCs w:val="20"/>
          <w:color w:val="auto"/>
        </w:rPr>
      </w:pPr>
      <w:r>
        <w:rPr>
          <w:rFonts w:ascii="Times New Roman" w:cs="Times New Roman" w:eastAsia="Times New Roman" w:hAnsi="Times New Roman"/>
          <w:sz w:val="15"/>
          <w:szCs w:val="15"/>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2017 Annual Meeting, our stockholders voted in favor of holding Say-On-Pay votes annually. In light of this result and other factors considered by the Board, the Board has determined that the Company will hold Say-On-Pay votes on an annual basis.</w:t>
      </w:r>
    </w:p>
    <w:p>
      <w:pPr>
        <w:spacing w:after="0" w:line="153" w:lineRule="exact"/>
        <w:rPr>
          <w:sz w:val="20"/>
          <w:szCs w:val="20"/>
          <w:color w:val="auto"/>
        </w:rPr>
      </w:pPr>
    </w:p>
    <w:p>
      <w:pPr>
        <w:ind w:left="40" w:right="179" w:firstLine="547"/>
        <w:spacing w:after="0" w:line="260" w:lineRule="auto"/>
        <w:rPr>
          <w:sz w:val="20"/>
          <w:szCs w:val="20"/>
          <w:color w:val="auto"/>
        </w:rPr>
      </w:pPr>
      <w:r>
        <w:rPr>
          <w:rFonts w:ascii="Times New Roman" w:cs="Times New Roman" w:eastAsia="Times New Roman" w:hAnsi="Times New Roman"/>
          <w:sz w:val="15"/>
          <w:szCs w:val="15"/>
          <w:color w:val="auto"/>
        </w:rPr>
        <w:t xml:space="preserve">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w:t>
      </w:r>
      <w:r>
        <w:rPr>
          <w:rFonts w:ascii="Times New Roman" w:cs="Times New Roman" w:eastAsia="Times New Roman" w:hAnsi="Times New Roman"/>
          <w:sz w:val="15"/>
          <w:szCs w:val="15"/>
          <w:i w:val="1"/>
          <w:iCs w:val="1"/>
          <w:color w:val="auto"/>
        </w:rPr>
        <w:t>Compensation Discussion and Analysis</w:t>
      </w:r>
      <w:r>
        <w:rPr>
          <w:rFonts w:ascii="Times New Roman" w:cs="Times New Roman" w:eastAsia="Times New Roman" w:hAnsi="Times New Roman"/>
          <w:sz w:val="15"/>
          <w:szCs w:val="15"/>
          <w:color w:val="auto"/>
        </w:rPr>
        <w:t xml:space="preserve"> section of this proxy statement for a detailed discussion about our executive compensation programs, including information about the fiscal year 2021 compensation of our named executive officers.</w:t>
      </w:r>
    </w:p>
    <w:p>
      <w:pPr>
        <w:spacing w:after="0" w:line="156" w:lineRule="exact"/>
        <w:rPr>
          <w:sz w:val="20"/>
          <w:szCs w:val="20"/>
          <w:color w:val="auto"/>
        </w:rPr>
      </w:pPr>
    </w:p>
    <w:p>
      <w:pPr>
        <w:ind w:left="40" w:right="179" w:firstLine="547"/>
        <w:spacing w:after="0" w:line="260" w:lineRule="auto"/>
        <w:rPr>
          <w:sz w:val="20"/>
          <w:szCs w:val="20"/>
          <w:color w:val="auto"/>
        </w:rPr>
      </w:pPr>
      <w:r>
        <w:rPr>
          <w:rFonts w:ascii="Times New Roman" w:cs="Times New Roman" w:eastAsia="Times New Roman" w:hAnsi="Times New Roman"/>
          <w:sz w:val="15"/>
          <w:szCs w:val="15"/>
          <w:color w:val="auto"/>
        </w:rPr>
        <w:t xml:space="preserve">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w:t>
      </w:r>
      <w:r>
        <w:rPr>
          <w:rFonts w:ascii="Times New Roman" w:cs="Times New Roman" w:eastAsia="Times New Roman" w:hAnsi="Times New Roman"/>
          <w:sz w:val="15"/>
          <w:szCs w:val="15"/>
          <w:i w:val="1"/>
          <w:iCs w:val="1"/>
          <w:color w:val="auto"/>
        </w:rPr>
        <w:t>Compensation Discussion and Analysis</w:t>
      </w:r>
      <w:r>
        <w:rPr>
          <w:rFonts w:ascii="Times New Roman" w:cs="Times New Roman" w:eastAsia="Times New Roman" w:hAnsi="Times New Roman"/>
          <w:sz w:val="15"/>
          <w:szCs w:val="15"/>
          <w:color w:val="auto"/>
        </w:rPr>
        <w:t xml:space="preserve"> section of this proxy statement provides a more detailed discussion of our executive compensation program. We believe that the compensation program we follow helps us achieve our principal compensation objectives.</w:t>
      </w:r>
    </w:p>
    <w:p>
      <w:pPr>
        <w:spacing w:after="0" w:line="156" w:lineRule="exact"/>
        <w:rPr>
          <w:sz w:val="20"/>
          <w:szCs w:val="20"/>
          <w:color w:val="auto"/>
        </w:rPr>
      </w:pPr>
    </w:p>
    <w:p>
      <w:pPr>
        <w:ind w:left="40" w:right="99" w:firstLine="547"/>
        <w:spacing w:after="0" w:line="258" w:lineRule="auto"/>
        <w:rPr>
          <w:sz w:val="20"/>
          <w:szCs w:val="20"/>
          <w:color w:val="auto"/>
        </w:rPr>
      </w:pPr>
      <w:r>
        <w:rPr>
          <w:rFonts w:ascii="Times New Roman" w:cs="Times New Roman" w:eastAsia="Times New Roman" w:hAnsi="Times New Roman"/>
          <w:sz w:val="15"/>
          <w:szCs w:val="15"/>
          <w:color w:val="auto"/>
        </w:rPr>
        <w:t>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Stockholders will be asked at the Annual Meeting to approve the following resolution pursuant to this Proposal No. 2:</w:t>
      </w:r>
    </w:p>
    <w:p>
      <w:pPr>
        <w:spacing w:after="0" w:line="192" w:lineRule="exact"/>
        <w:rPr>
          <w:sz w:val="20"/>
          <w:szCs w:val="20"/>
          <w:color w:val="auto"/>
        </w:rPr>
      </w:pPr>
    </w:p>
    <w:p>
      <w:pPr>
        <w:ind w:left="40" w:right="99" w:firstLine="547"/>
        <w:spacing w:after="0" w:line="271" w:lineRule="auto"/>
        <w:rPr>
          <w:sz w:val="20"/>
          <w:szCs w:val="20"/>
          <w:color w:val="auto"/>
        </w:rPr>
      </w:pPr>
      <w:r>
        <w:rPr>
          <w:rFonts w:ascii="Times New Roman" w:cs="Times New Roman" w:eastAsia="Times New Roman" w:hAnsi="Times New Roman"/>
          <w:sz w:val="15"/>
          <w:szCs w:val="15"/>
          <w:color w:val="auto"/>
        </w:rPr>
        <w:t>“RESOLVED, that the stockholders of Grand Canyon Education, Inc. approve, on an advisory basis, the compensation of the Company’s named executive officers, disclosed pursuant to Item 402 of Regulation S-K in the Company’s definitive proxy statement for the 2022 Annual Meeting of Stockholders.”</w:t>
      </w:r>
    </w:p>
    <w:p>
      <w:pPr>
        <w:spacing w:after="0" w:line="141" w:lineRule="exact"/>
        <w:rPr>
          <w:sz w:val="20"/>
          <w:szCs w:val="20"/>
          <w:color w:val="auto"/>
        </w:rPr>
      </w:pPr>
    </w:p>
    <w:p>
      <w:pPr>
        <w:ind w:left="40" w:right="219" w:firstLine="547"/>
        <w:spacing w:after="0" w:line="294" w:lineRule="auto"/>
        <w:rPr>
          <w:sz w:val="20"/>
          <w:szCs w:val="20"/>
          <w:color w:val="auto"/>
        </w:rPr>
      </w:pPr>
      <w:r>
        <w:rPr>
          <w:rFonts w:ascii="Times New Roman" w:cs="Times New Roman" w:eastAsia="Times New Roman" w:hAnsi="Times New Roman"/>
          <w:sz w:val="15"/>
          <w:szCs w:val="15"/>
          <w:b w:val="1"/>
          <w:bCs w:val="1"/>
          <w:color w:val="auto"/>
        </w:rPr>
        <w:t xml:space="preserve">Our Board of Directors unanimously recommends that you vote </w:t>
      </w:r>
      <w:r>
        <w:rPr>
          <w:rFonts w:ascii="Times New Roman" w:cs="Times New Roman" w:eastAsia="Times New Roman" w:hAnsi="Times New Roman"/>
          <w:sz w:val="15"/>
          <w:szCs w:val="15"/>
          <w:b w:val="1"/>
          <w:bCs w:val="1"/>
          <w:u w:val="single" w:color="auto"/>
          <w:color w:val="auto"/>
        </w:rPr>
        <w:t>FOR</w:t>
      </w:r>
      <w:r>
        <w:rPr>
          <w:rFonts w:ascii="Times New Roman" w:cs="Times New Roman" w:eastAsia="Times New Roman" w:hAnsi="Times New Roman"/>
          <w:sz w:val="15"/>
          <w:szCs w:val="15"/>
          <w:b w:val="1"/>
          <w:bCs w:val="1"/>
          <w:color w:val="auto"/>
        </w:rPr>
        <w:t xml:space="preserve"> the resolution approving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OFFICERS</w:t>
      </w:r>
    </w:p>
    <w:p>
      <w:pPr>
        <w:spacing w:after="0" w:line="196" w:lineRule="exact"/>
        <w:rPr>
          <w:sz w:val="20"/>
          <w:szCs w:val="20"/>
          <w:color w:val="auto"/>
        </w:rPr>
      </w:pPr>
    </w:p>
    <w:p>
      <w:pPr>
        <w:ind w:left="40" w:right="119" w:firstLine="547"/>
        <w:spacing w:after="0" w:line="271" w:lineRule="auto"/>
        <w:rPr>
          <w:sz w:val="20"/>
          <w:szCs w:val="20"/>
          <w:color w:val="auto"/>
        </w:rPr>
      </w:pPr>
      <w:r>
        <w:rPr>
          <w:rFonts w:ascii="Times New Roman" w:cs="Times New Roman" w:eastAsia="Times New Roman" w:hAnsi="Times New Roman"/>
          <w:sz w:val="15"/>
          <w:szCs w:val="15"/>
          <w:color w:val="auto"/>
        </w:rPr>
        <w:t xml:space="preserve">The following sets forth information regarding our non-director executive officers as of the date of this proxy statement. For information regarding Brian E. Mueller, our Chairman and our Chief Executive Officer, see “Proposal No. 1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Election of Directors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Directors and Director Nominees.”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74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Age</w:t>
            </w:r>
          </w:p>
        </w:tc>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74"/>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Dr. W. Stan Meyer</w:t>
            </w: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61</w:t>
            </w:r>
          </w:p>
        </w:tc>
        <w:tc>
          <w:tcPr>
            <w:tcW w:w="180" w:type="dxa"/>
            <w:vAlign w:val="bottom"/>
            <w:tcBorders>
              <w:top w:val="single" w:sz="8" w:color="CCEEFF"/>
            </w:tcBorders>
            <w:shd w:val="clear" w:color="auto" w:fill="CCEEFF"/>
          </w:tcPr>
          <w:p>
            <w:pPr>
              <w:spacing w:after="0"/>
              <w:rPr>
                <w:sz w:val="15"/>
                <w:szCs w:val="15"/>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Operating Officer</w:t>
            </w:r>
          </w:p>
        </w:tc>
      </w:tr>
      <w:tr>
        <w:trPr>
          <w:trHeight w:val="182"/>
        </w:trPr>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Daniel E. Bachus</w:t>
            </w:r>
          </w:p>
        </w:tc>
        <w:tc>
          <w:tcPr>
            <w:tcW w:w="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51</w:t>
            </w:r>
          </w:p>
        </w:tc>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82"/>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Dilek Marsh</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48</w:t>
            </w:r>
          </w:p>
        </w:tc>
        <w:tc>
          <w:tcPr>
            <w:tcW w:w="6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Chief Technology Officer</w:t>
            </w:r>
          </w:p>
        </w:tc>
      </w:tr>
      <w:tr>
        <w:trPr>
          <w:trHeight w:val="182"/>
        </w:trPr>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Daniel J. Briggs</w:t>
            </w:r>
          </w:p>
        </w:tc>
        <w:tc>
          <w:tcPr>
            <w:tcW w:w="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62</w:t>
            </w:r>
          </w:p>
        </w:tc>
        <w:tc>
          <w:tcPr>
            <w:tcW w:w="63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Orbis Education, Chief Executive Officer</w:t>
            </w:r>
          </w:p>
        </w:tc>
      </w:tr>
      <w:tr>
        <w:trPr>
          <w:trHeight w:val="182"/>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Kathy J. Claypatch</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60</w:t>
            </w:r>
          </w:p>
        </w:tc>
        <w:tc>
          <w:tcPr>
            <w:tcW w:w="6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Chief Information Officer</w:t>
            </w:r>
          </w:p>
        </w:tc>
      </w:tr>
    </w:tbl>
    <w:p>
      <w:pPr>
        <w:spacing w:after="0" w:line="346" w:lineRule="exact"/>
        <w:rPr>
          <w:sz w:val="20"/>
          <w:szCs w:val="20"/>
          <w:color w:val="auto"/>
        </w:rPr>
      </w:pPr>
    </w:p>
    <w:p>
      <w:pPr>
        <w:ind w:left="2380" w:right="79" w:firstLine="547"/>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Dr. W. Stan Meyer </w:t>
      </w:r>
      <w:r>
        <w:rPr>
          <w:rFonts w:ascii="Times New Roman" w:cs="Times New Roman" w:eastAsia="Times New Roman" w:hAnsi="Times New Roman"/>
          <w:sz w:val="15"/>
          <w:szCs w:val="15"/>
          <w:color w:val="auto"/>
        </w:rPr>
        <w:t>has been serving as our Chief Operating Officer since July 26, 2012, having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previously served in the position of Executive Vice President from June 2008 to July 2012.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-1277620</wp:posOffset>
            </wp:positionV>
            <wp:extent cx="1035685" cy="139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35685" cy="139001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5"/>
          <w:szCs w:val="15"/>
          <w:i w:val="1"/>
          <w:iCs w:val="1"/>
          <w:color w:val="auto"/>
        </w:rPr>
        <w:t xml:space="preserve">Daniel E. Bachus </w:t>
      </w:r>
      <w:r>
        <w:rPr>
          <w:rFonts w:ascii="Times New Roman" w:cs="Times New Roman" w:eastAsia="Times New Roman" w:hAnsi="Times New Roman"/>
          <w:sz w:val="15"/>
          <w:szCs w:val="15"/>
          <w:color w:val="auto"/>
        </w:rPr>
        <w:t>has been serving as our Chief Financial Officer since July 2008.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-97155</wp:posOffset>
            </wp:positionV>
            <wp:extent cx="1042670" cy="139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42670" cy="1390015"/>
                    </a:xfrm>
                    <a:prstGeom prst="rect">
                      <a:avLst/>
                    </a:prstGeom>
                    <a:noFill/>
                  </pic:spPr>
                </pic:pic>
              </a:graphicData>
            </a:graphic>
          </wp:anchor>
        </w:drawing>
      </w:r>
    </w:p>
    <w:p>
      <w:pPr>
        <w:spacing w:after="0" w:line="9" w:lineRule="exact"/>
        <w:rPr>
          <w:sz w:val="20"/>
          <w:szCs w:val="20"/>
          <w:color w:val="auto"/>
        </w:rPr>
      </w:pPr>
    </w:p>
    <w:p>
      <w:pPr>
        <w:ind w:left="2380" w:right="119"/>
        <w:spacing w:after="0" w:line="256" w:lineRule="auto"/>
        <w:rPr>
          <w:sz w:val="20"/>
          <w:szCs w:val="20"/>
          <w:color w:val="auto"/>
        </w:rPr>
      </w:pPr>
      <w:r>
        <w:rPr>
          <w:rFonts w:ascii="Times New Roman" w:cs="Times New Roman" w:eastAsia="Times New Roman" w:hAnsi="Times New Roman"/>
          <w:sz w:val="15"/>
          <w:szCs w:val="15"/>
          <w:color w:val="auto"/>
        </w:rPr>
        <w:t>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340" w:right="99" w:firstLine="456"/>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Dilek Marsh </w:t>
      </w:r>
      <w:r>
        <w:rPr>
          <w:rFonts w:ascii="Times New Roman" w:cs="Times New Roman" w:eastAsia="Times New Roman" w:hAnsi="Times New Roman"/>
          <w:sz w:val="15"/>
          <w:szCs w:val="15"/>
          <w:color w:val="auto"/>
        </w:rPr>
        <w:t>has been serving as our Chief Technology Officer since July 2021, having previously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served as Chief Data Officer since July 2018, and Executive Vice President since July 2012 and Senior Vice President since August 2008. Ms. Marsh has been in higher education for the last 20 years. Ms. Marsh has served in information technology roles since 1999, including software development project management, business process design and business analytics. Ms. Marsh holds a Bachelor of Arts in Sociology from Bogazici University in Turkey, a Master of Arts in Anthropology from Arizona State University and a Master of Business Administration in Technology Management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-817880</wp:posOffset>
            </wp:positionV>
            <wp:extent cx="1035685" cy="139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35685" cy="139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380" w:right="119" w:firstLine="494"/>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Daniel J. Briggs </w:t>
      </w:r>
      <w:r>
        <w:rPr>
          <w:rFonts w:ascii="Times New Roman" w:cs="Times New Roman" w:eastAsia="Times New Roman" w:hAnsi="Times New Roman"/>
          <w:sz w:val="15"/>
          <w:szCs w:val="15"/>
          <w:color w:val="auto"/>
        </w:rPr>
        <w:t>has been serving as the Chief Executive Officer of Orbis Education Services,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wholly owned subsidiary, since our acquisition of Orbis Education in January 2019. Mr. </w:t>
      </w:r>
      <w:r>
        <w:rPr>
          <w:rFonts w:ascii="Times New Roman" w:cs="Times New Roman" w:eastAsia="Times New Roman" w:hAnsi="Times New Roman"/>
          <w:sz w:val="15"/>
          <w:szCs w:val="15"/>
          <w:color w:val="333333"/>
        </w:rPr>
        <w:t>Briggs founded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333333"/>
        </w:rPr>
        <w:t>Orbis Education in 2003 and served in various positions, including chief executive officer and chief growth officer until January 2019. Prior to founding Orbis Education, Mr. Briggs served as Vice President of National Accounts for CCS Medical, a national home delivery company addressing chronic medical conditions, and Senior Vice President for ORYX Consulting, specializing in business unit for Roche Diagnostics Corporation that focused on treating common ailments through a virtual portal. Mr. Briggs holds a Bachelor of Secondary Education degree from the University of Missouri.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-933450</wp:posOffset>
            </wp:positionV>
            <wp:extent cx="1093470" cy="157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93470" cy="157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2320" w:right="59" w:firstLine="673"/>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Kathy J. Claypatch </w:t>
      </w:r>
      <w:r>
        <w:rPr>
          <w:rFonts w:ascii="Times New Roman" w:cs="Times New Roman" w:eastAsia="Times New Roman" w:hAnsi="Times New Roman"/>
          <w:sz w:val="15"/>
          <w:szCs w:val="15"/>
          <w:color w:val="auto"/>
        </w:rPr>
        <w:t>has been serving as our Chief Information Officer since July 2021, having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previously served in the position of Chief Technology Officer beginning in October 2012. From 2006 to 2012, Ms. Claypatch spent time in the financial industry and served as the Chief Information Officer for Apriva and the Vice President of information technology for TSYS Acquiring Solutions. She worked in higher education from 2002 to 2006 at Apollo Education Group, Inc., where she was responsible for growing the information technology infrastructure to support the online education environment and its rapid growth. Ms. Claypatch has over 30 years of leadership and entrepreneurial experience spanning from startups to Fortune 500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-814705</wp:posOffset>
            </wp:positionV>
            <wp:extent cx="1042670" cy="1426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42670" cy="142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Compensation Discussion and Analysis</w:t>
      </w:r>
    </w:p>
    <w:p>
      <w:pPr>
        <w:spacing w:after="0" w:line="192" w:lineRule="exact"/>
        <w:rPr>
          <w:sz w:val="20"/>
          <w:szCs w:val="20"/>
          <w:color w:val="auto"/>
        </w:rPr>
      </w:pPr>
    </w:p>
    <w:p>
      <w:pPr>
        <w:ind w:left="40" w:right="159" w:firstLine="547"/>
        <w:spacing w:after="0" w:line="294" w:lineRule="auto"/>
        <w:rPr>
          <w:sz w:val="20"/>
          <w:szCs w:val="20"/>
          <w:color w:val="auto"/>
        </w:rPr>
      </w:pPr>
      <w:r>
        <w:rPr>
          <w:rFonts w:ascii="Times New Roman" w:cs="Times New Roman" w:eastAsia="Times New Roman" w:hAnsi="Times New Roman"/>
          <w:sz w:val="15"/>
          <w:szCs w:val="15"/>
          <w:i w:val="1"/>
          <w:iCs w:val="1"/>
          <w:color w:val="auto"/>
        </w:rPr>
        <w:t>The following discussion and analysis should be read in conjunction with “Compensation of Named Executive Officers” and the related tables that follow.</w:t>
      </w:r>
    </w:p>
    <w:p>
      <w:pPr>
        <w:spacing w:after="0" w:line="129" w:lineRule="exact"/>
        <w:rPr>
          <w:sz w:val="20"/>
          <w:szCs w:val="20"/>
          <w:color w:val="auto"/>
        </w:rPr>
      </w:pPr>
    </w:p>
    <w:p>
      <w:pPr>
        <w:ind w:left="40" w:right="99" w:firstLine="547"/>
        <w:spacing w:after="0" w:line="262" w:lineRule="auto"/>
        <w:rPr>
          <w:sz w:val="20"/>
          <w:szCs w:val="20"/>
          <w:color w:val="auto"/>
        </w:rPr>
      </w:pPr>
      <w:r>
        <w:rPr>
          <w:rFonts w:ascii="Times New Roman" w:cs="Times New Roman" w:eastAsia="Times New Roman" w:hAnsi="Times New Roman"/>
          <w:sz w:val="15"/>
          <w:szCs w:val="15"/>
          <w:color w:val="auto"/>
        </w:rPr>
        <w:t>In this section, we describe the material components of our executive compensation program for our named executive officers (the “named executive officers”), whose compensation is set forth in the 2021 Summary Compensation Table and other compensation tables contained in this Proxy Statement. We also provide an overview of our executive compensation philosophy and our overall program. In addition, we explain how and why the Compensation Committee of our Board arrived at the specific compensation decisions involving the named executive officers for 2021.</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For 2021, our named executive officers were:</w:t>
      </w:r>
    </w:p>
    <w:p>
      <w:pPr>
        <w:spacing w:after="0" w:line="192" w:lineRule="exact"/>
        <w:rPr>
          <w:sz w:val="20"/>
          <w:szCs w:val="20"/>
          <w:color w:val="auto"/>
        </w:rPr>
      </w:pPr>
    </w:p>
    <w:p>
      <w:pPr>
        <w:jc w:val="both"/>
        <w:ind w:left="1160" w:right="4899"/>
        <w:spacing w:after="0" w:line="259" w:lineRule="auto"/>
        <w:rPr>
          <w:sz w:val="20"/>
          <w:szCs w:val="20"/>
          <w:color w:val="auto"/>
        </w:rPr>
      </w:pPr>
      <w:r>
        <w:rPr>
          <w:rFonts w:ascii="Times New Roman" w:cs="Times New Roman" w:eastAsia="Times New Roman" w:hAnsi="Times New Roman"/>
          <w:sz w:val="15"/>
          <w:szCs w:val="15"/>
          <w:color w:val="auto"/>
        </w:rPr>
        <w:t>Brian E. Mueller, our Chief Executive Officer; Dr. W. Stan Meyer, our Chief Operating Officer; Daniel E. Bachus, our Chief Financial Officer; Dilek Marsh, our Chief Technology Officer; and</w:t>
      </w:r>
    </w:p>
    <w:p>
      <w:pPr>
        <w:ind w:left="900"/>
        <w:spacing w:after="0"/>
        <w:rPr>
          <w:sz w:val="20"/>
          <w:szCs w:val="20"/>
          <w:color w:val="auto"/>
        </w:rPr>
      </w:pPr>
      <w:r>
        <w:rPr>
          <w:rFonts w:ascii="Times New Roman" w:cs="Times New Roman" w:eastAsia="Times New Roman" w:hAnsi="Times New Roman"/>
          <w:sz w:val="15"/>
          <w:szCs w:val="15"/>
          <w:color w:val="auto"/>
        </w:rPr>
        <w:t>Daniel J. Briggs, Chief Executive Officer, Orbis Education Services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2021 Business Highlights</w:t>
      </w:r>
    </w:p>
    <w:p>
      <w:pPr>
        <w:spacing w:after="0" w:line="192" w:lineRule="exact"/>
        <w:rPr>
          <w:sz w:val="20"/>
          <w:szCs w:val="20"/>
          <w:color w:val="auto"/>
        </w:rPr>
      </w:pPr>
    </w:p>
    <w:p>
      <w:pPr>
        <w:ind w:left="40" w:right="79" w:firstLine="547"/>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Our Business. </w:t>
      </w:r>
      <w:r>
        <w:rPr>
          <w:rFonts w:ascii="Times New Roman" w:cs="Times New Roman" w:eastAsia="Times New Roman" w:hAnsi="Times New Roman"/>
          <w:sz w:val="15"/>
          <w:szCs w:val="15"/>
          <w:color w:val="auto"/>
        </w:rPr>
        <w:t>We are an education services company dedicated to serving colleges and universities. We have developed significant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technological solutions, infrastructure and operational processes to provide services to these institutions on a large scale. Our largest university partner is Grand Canyon University (“GCU”), an Arizona non-profit corporation that operates a comprehensive regionally accredited university that offers graduate and undergraduate degree programs, emphases and certificates across nine colleges both online and on ground at its campus in Phoenix, Arizona and at two off-site campus classroom and laboratory sites. As of December 31, 2021, we provided education services and support to more than 108,100 students enrolled in GCU’s programs, emphases and certificates.</w:t>
      </w:r>
    </w:p>
    <w:p>
      <w:pPr>
        <w:spacing w:after="0" w:line="156" w:lineRule="exact"/>
        <w:rPr>
          <w:sz w:val="20"/>
          <w:szCs w:val="20"/>
          <w:color w:val="auto"/>
        </w:rPr>
      </w:pPr>
    </w:p>
    <w:p>
      <w:pPr>
        <w:ind w:left="40" w:right="99" w:firstLine="547"/>
        <w:spacing w:after="0" w:line="260" w:lineRule="auto"/>
        <w:rPr>
          <w:sz w:val="20"/>
          <w:szCs w:val="20"/>
          <w:color w:val="auto"/>
        </w:rPr>
      </w:pPr>
      <w:r>
        <w:rPr>
          <w:rFonts w:ascii="Times New Roman" w:cs="Times New Roman" w:eastAsia="Times New Roman" w:hAnsi="Times New Roman"/>
          <w:sz w:val="15"/>
          <w:szCs w:val="15"/>
          <w:color w:val="auto"/>
        </w:rPr>
        <w:t>GCE, together with Orbis Education Services LLC,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to develop high-quality, career-ready graduates to enter the workforce ready to meet the demands of the healthcare industry. In addition, we have begun providing certain services to a university partner to assist them in expanding their online graduate programs. As of December 31, 2021, GCE provided education services to 27 university partners across the United States.</w:t>
      </w:r>
    </w:p>
    <w:p>
      <w:pPr>
        <w:spacing w:after="0" w:line="156" w:lineRule="exact"/>
        <w:rPr>
          <w:sz w:val="20"/>
          <w:szCs w:val="20"/>
          <w:color w:val="auto"/>
        </w:rPr>
      </w:pPr>
    </w:p>
    <w:p>
      <w:pPr>
        <w:ind w:left="40" w:right="139" w:firstLine="547"/>
        <w:spacing w:after="0" w:line="259" w:lineRule="auto"/>
        <w:rPr>
          <w:sz w:val="20"/>
          <w:szCs w:val="20"/>
          <w:color w:val="auto"/>
        </w:rPr>
      </w:pPr>
      <w:r>
        <w:rPr>
          <w:rFonts w:ascii="Times New Roman" w:cs="Times New Roman" w:eastAsia="Times New Roman" w:hAnsi="Times New Roman"/>
          <w:sz w:val="15"/>
          <w:szCs w:val="15"/>
          <w:color w:val="auto"/>
        </w:rPr>
        <w:t xml:space="preserve">In March 2020, the World Health Organization declared the COVID-19 outbreak to be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that of our university partners. Refer to our Annual Report on Form 10-K for the year ended December 31, 2021, </w:t>
      </w:r>
      <w:r>
        <w:rPr>
          <w:rFonts w:ascii="Times New Roman" w:cs="Times New Roman" w:eastAsia="Times New Roman" w:hAnsi="Times New Roman"/>
          <w:sz w:val="15"/>
          <w:szCs w:val="15"/>
          <w:i w:val="1"/>
          <w:iCs w:val="1"/>
          <w:color w:val="auto"/>
        </w:rPr>
        <w:t>Item 7.</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Management’s Discussion and Analysis of Financial Condition and Results of Operations – Impact of COVID-19 </w:t>
      </w:r>
      <w:r>
        <w:rPr>
          <w:rFonts w:ascii="Times New Roman" w:cs="Times New Roman" w:eastAsia="Times New Roman" w:hAnsi="Times New Roman"/>
          <w:sz w:val="15"/>
          <w:szCs w:val="15"/>
          <w:color w:val="auto"/>
        </w:rPr>
        <w:t>for specific details on decisions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made by our university partners in response to the COVID-19 pandemic that resulted in reduced service revenue for the Company in 2021.</w:t>
      </w:r>
    </w:p>
    <w:p>
      <w:pPr>
        <w:spacing w:after="0" w:line="156" w:lineRule="exact"/>
        <w:rPr>
          <w:sz w:val="20"/>
          <w:szCs w:val="20"/>
          <w:color w:val="auto"/>
        </w:rPr>
      </w:pPr>
    </w:p>
    <w:p>
      <w:pPr>
        <w:ind w:left="40" w:right="179" w:firstLine="547"/>
        <w:spacing w:after="0" w:line="265" w:lineRule="auto"/>
        <w:rPr>
          <w:sz w:val="20"/>
          <w:szCs w:val="20"/>
          <w:color w:val="auto"/>
        </w:rPr>
      </w:pPr>
      <w:r>
        <w:rPr>
          <w:rFonts w:ascii="Times New Roman" w:cs="Times New Roman" w:eastAsia="Times New Roman" w:hAnsi="Times New Roman"/>
          <w:sz w:val="15"/>
          <w:szCs w:val="15"/>
          <w:color w:val="auto"/>
        </w:rPr>
        <w:t>The decisions made by the Compensation Committee and the Board on the compensation of our named executive officers reflect their role in the organic growth of the Company during 2021, which included increases in off-campus classroom and laboratory sites (totaling 31 as of December 31, 2021), expanding the number of university partners serviced to 27 and increasing service revenue by 6.2%, all while navigating through the impacts of the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right="399"/>
        <w:spacing w:after="0" w:line="288" w:lineRule="auto"/>
        <w:rPr>
          <w:sz w:val="20"/>
          <w:szCs w:val="20"/>
          <w:color w:val="auto"/>
        </w:rPr>
      </w:pPr>
      <w:r>
        <w:rPr>
          <w:rFonts w:ascii="Times New Roman" w:cs="Times New Roman" w:eastAsia="Times New Roman" w:hAnsi="Times New Roman"/>
          <w:sz w:val="15"/>
          <w:szCs w:val="15"/>
          <w:color w:val="auto"/>
        </w:rPr>
        <w:t>pandemic on our ability to operate our business as well as balancing the safety and well-being of our employees, university partners and their students.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Our Compensation Practices Highlights</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following summarizes key aspects of our compensation policies and programs:</w:t>
      </w:r>
    </w:p>
    <w:p>
      <w:pPr>
        <w:sectPr>
          <w:pgSz w:w="11900" w:h="16838" w:orient="portrait"/>
          <w:cols w:equalWidth="0" w:num="1">
            <w:col w:w="9019"/>
          </w:cols>
          <w:pgMar w:left="1440" w:top="456" w:right="1440" w:bottom="1440" w:gutter="0" w:footer="0" w:header="0"/>
        </w:sectPr>
      </w:pPr>
    </w:p>
    <w:p>
      <w:pPr>
        <w:spacing w:after="0" w:line="204"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-99695</wp:posOffset>
            </wp:positionV>
            <wp:extent cx="566928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9280" cy="698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15875</wp:posOffset>
            </wp:positionV>
            <wp:extent cx="284543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45435" cy="6985"/>
                    </a:xfrm>
                    <a:prstGeom prst="rect">
                      <a:avLst/>
                    </a:prstGeom>
                    <a:noFill/>
                  </pic:spPr>
                </pic:pic>
              </a:graphicData>
            </a:graphic>
          </wp:anchor>
        </w:drawing>
      </w:r>
    </w:p>
    <w:p>
      <w:pPr>
        <w:spacing w:after="0" w:line="172" w:lineRule="exact"/>
        <w:rPr>
          <w:sz w:val="20"/>
          <w:szCs w:val="20"/>
          <w:color w:val="auto"/>
        </w:rPr>
      </w:pPr>
    </w:p>
    <w:p>
      <w:pPr>
        <w:ind w:left="340" w:hanging="243"/>
        <w:spacing w:after="0" w:line="269" w:lineRule="auto"/>
        <w:tabs>
          <w:tab w:leader="none" w:pos="340" w:val="left"/>
        </w:tabs>
        <w:numPr>
          <w:ilvl w:val="0"/>
          <w:numId w:val="39"/>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 xml:space="preserve">We Pay for Performance: </w:t>
      </w:r>
      <w:r>
        <w:rPr>
          <w:rFonts w:ascii="Times New Roman" w:cs="Times New Roman" w:eastAsia="Times New Roman" w:hAnsi="Times New Roman"/>
          <w:sz w:val="14"/>
          <w:szCs w:val="14"/>
          <w:color w:val="auto"/>
        </w:rPr>
        <w:t>A significant portion of our cash compensation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based on achievement of key financial metrics that are disclosed to our stockholders.</w:t>
      </w:r>
    </w:p>
    <w:p>
      <w:pPr>
        <w:spacing w:after="0" w:line="142" w:lineRule="exact"/>
        <w:rPr>
          <w:rFonts w:ascii="MS PGothic" w:cs="MS PGothic" w:eastAsia="MS PGothic" w:hAnsi="MS PGothic"/>
          <w:sz w:val="14"/>
          <w:szCs w:val="14"/>
          <w:color w:val="auto"/>
        </w:rPr>
      </w:pPr>
    </w:p>
    <w:p>
      <w:pPr>
        <w:jc w:val="both"/>
        <w:ind w:left="340" w:right="200" w:hanging="243"/>
        <w:spacing w:after="0" w:line="269" w:lineRule="auto"/>
        <w:tabs>
          <w:tab w:leader="none" w:pos="340" w:val="left"/>
        </w:tabs>
        <w:numPr>
          <w:ilvl w:val="0"/>
          <w:numId w:val="39"/>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We Seek Alignment with Our Stockholders</w:t>
      </w:r>
      <w:r>
        <w:rPr>
          <w:rFonts w:ascii="Times New Roman" w:cs="Times New Roman" w:eastAsia="Times New Roman" w:hAnsi="Times New Roman"/>
          <w:sz w:val="14"/>
          <w:szCs w:val="14"/>
          <w:color w:val="auto"/>
        </w:rPr>
        <w:t>. We require both our named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executive officers and our directors to maintain a meaningful ownership stake at levels specified in our stock ownership policy.</w:t>
      </w:r>
    </w:p>
    <w:p>
      <w:pPr>
        <w:spacing w:after="0" w:line="313" w:lineRule="exact"/>
        <w:rPr>
          <w:rFonts w:ascii="MS PGothic" w:cs="MS PGothic" w:eastAsia="MS PGothic" w:hAnsi="MS PGothic"/>
          <w:sz w:val="14"/>
          <w:szCs w:val="14"/>
          <w:color w:val="auto"/>
        </w:rPr>
      </w:pPr>
    </w:p>
    <w:p>
      <w:pPr>
        <w:ind w:left="340" w:right="80" w:hanging="243"/>
        <w:spacing w:after="0" w:line="290" w:lineRule="auto"/>
        <w:tabs>
          <w:tab w:leader="none" w:pos="340" w:val="left"/>
        </w:tabs>
        <w:numPr>
          <w:ilvl w:val="0"/>
          <w:numId w:val="39"/>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i w:val="1"/>
          <w:iCs w:val="1"/>
          <w:color w:val="auto"/>
        </w:rPr>
        <w:t xml:space="preserve">We Balance Our Incentive Compensation: </w:t>
      </w:r>
      <w:r>
        <w:rPr>
          <w:rFonts w:ascii="Times New Roman" w:cs="Times New Roman" w:eastAsia="Times New Roman" w:hAnsi="Times New Roman"/>
          <w:sz w:val="13"/>
          <w:szCs w:val="13"/>
          <w:color w:val="auto"/>
        </w:rPr>
        <w:t>Our incentive compensation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programs provide a balance of short-term cash incentives that are based on achievement of annual financial metrics and time-based equity incentives that vest over five years and provide value as a long-term retention tool.</w:t>
      </w:r>
    </w:p>
    <w:p>
      <w:pPr>
        <w:spacing w:after="0" w:line="132" w:lineRule="exact"/>
        <w:rPr>
          <w:rFonts w:ascii="MS PGothic" w:cs="MS PGothic" w:eastAsia="MS PGothic" w:hAnsi="MS PGothic"/>
          <w:sz w:val="13"/>
          <w:szCs w:val="13"/>
          <w:color w:val="auto"/>
        </w:rPr>
      </w:pPr>
    </w:p>
    <w:p>
      <w:pPr>
        <w:ind w:left="340" w:right="20" w:hanging="243"/>
        <w:spacing w:after="0" w:line="264" w:lineRule="auto"/>
        <w:tabs>
          <w:tab w:leader="none" w:pos="340" w:val="left"/>
        </w:tabs>
        <w:numPr>
          <w:ilvl w:val="0"/>
          <w:numId w:val="39"/>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We Can Claw Back Compensation</w:t>
      </w:r>
      <w:r>
        <w:rPr>
          <w:rFonts w:ascii="Times New Roman" w:cs="Times New Roman" w:eastAsia="Times New Roman" w:hAnsi="Times New Roman"/>
          <w:sz w:val="14"/>
          <w:szCs w:val="14"/>
          <w:color w:val="auto"/>
        </w:rPr>
        <w:t>: We have the ability to recoup incentive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compensation if the Company’s financial results are restated or materially misstated due in whole or in part to misconduct by one or more of our named executive officers.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15875</wp:posOffset>
            </wp:positionV>
            <wp:extent cx="267906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79065" cy="6985"/>
                    </a:xfrm>
                    <a:prstGeom prst="rect">
                      <a:avLst/>
                    </a:prstGeom>
                    <a:noFill/>
                  </pic:spPr>
                </pic:pic>
              </a:graphicData>
            </a:graphic>
          </wp:anchor>
        </w:drawing>
      </w:r>
    </w:p>
    <w:p>
      <w:pPr>
        <w:spacing w:after="0" w:line="172" w:lineRule="exact"/>
        <w:rPr>
          <w:sz w:val="20"/>
          <w:szCs w:val="20"/>
          <w:color w:val="auto"/>
        </w:rPr>
      </w:pPr>
    </w:p>
    <w:p>
      <w:pPr>
        <w:ind w:left="240" w:right="159" w:hanging="240"/>
        <w:spacing w:after="0" w:line="283" w:lineRule="auto"/>
        <w:tabs>
          <w:tab w:leader="none" w:pos="240" w:val="left"/>
        </w:tabs>
        <w:numPr>
          <w:ilvl w:val="0"/>
          <w:numId w:val="40"/>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 xml:space="preserve">We Do Not Have Tax Gross-Ups: </w:t>
      </w:r>
      <w:r>
        <w:rPr>
          <w:rFonts w:ascii="Times New Roman" w:cs="Times New Roman" w:eastAsia="Times New Roman" w:hAnsi="Times New Roman"/>
          <w:sz w:val="14"/>
          <w:szCs w:val="14"/>
          <w:color w:val="auto"/>
        </w:rPr>
        <w:t>We do not provide tax gross-ups 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any severance or change-in-control type payments.</w:t>
      </w:r>
    </w:p>
    <w:p>
      <w:pPr>
        <w:spacing w:after="0" w:line="304" w:lineRule="exact"/>
        <w:rPr>
          <w:rFonts w:ascii="MS PGothic" w:cs="MS PGothic" w:eastAsia="MS PGothic" w:hAnsi="MS PGothic"/>
          <w:sz w:val="14"/>
          <w:szCs w:val="14"/>
          <w:color w:val="auto"/>
        </w:rPr>
      </w:pPr>
    </w:p>
    <w:p>
      <w:pPr>
        <w:ind w:left="240" w:right="279" w:hanging="240"/>
        <w:spacing w:after="0" w:line="264" w:lineRule="auto"/>
        <w:tabs>
          <w:tab w:leader="none" w:pos="240" w:val="left"/>
        </w:tabs>
        <w:numPr>
          <w:ilvl w:val="0"/>
          <w:numId w:val="40"/>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We Do Not Permit Hedging, Short Sales, or Pledging</w:t>
      </w:r>
      <w:r>
        <w:rPr>
          <w:rFonts w:ascii="Times New Roman" w:cs="Times New Roman" w:eastAsia="Times New Roman" w:hAnsi="Times New Roman"/>
          <w:sz w:val="14"/>
          <w:szCs w:val="14"/>
          <w:color w:val="auto"/>
        </w:rPr>
        <w:t>. Under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insider trading policy, our officers and directors are prohibited from hedging, effecting short sales of, and (except in extremely limited circumstances) pledging our stock.</w:t>
      </w:r>
    </w:p>
    <w:p>
      <w:pPr>
        <w:spacing w:after="0" w:line="146" w:lineRule="exact"/>
        <w:rPr>
          <w:rFonts w:ascii="MS PGothic" w:cs="MS PGothic" w:eastAsia="MS PGothic" w:hAnsi="MS PGothic"/>
          <w:sz w:val="14"/>
          <w:szCs w:val="14"/>
          <w:color w:val="auto"/>
        </w:rPr>
      </w:pPr>
    </w:p>
    <w:p>
      <w:pPr>
        <w:ind w:left="240" w:right="119" w:hanging="240"/>
        <w:spacing w:after="0" w:line="290" w:lineRule="auto"/>
        <w:tabs>
          <w:tab w:leader="none" w:pos="240" w:val="left"/>
        </w:tabs>
        <w:numPr>
          <w:ilvl w:val="0"/>
          <w:numId w:val="40"/>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i w:val="1"/>
          <w:iCs w:val="1"/>
          <w:color w:val="auto"/>
        </w:rPr>
        <w:t>We Do Not Automatically Increase Salaries or Bonuses</w:t>
      </w:r>
      <w:r>
        <w:rPr>
          <w:rFonts w:ascii="Times New Roman" w:cs="Times New Roman" w:eastAsia="Times New Roman" w:hAnsi="Times New Roman"/>
          <w:sz w:val="13"/>
          <w:szCs w:val="13"/>
          <w:color w:val="auto"/>
        </w:rPr>
        <w:t>: Since 2013,</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Chief Executive Officer, Chief Operating Officer and Chief Financial Officer have accepted cumulative base salary increases of only $40,000 each, and their bonuses are strictly performance based.</w:t>
      </w:r>
    </w:p>
    <w:p>
      <w:pPr>
        <w:spacing w:after="0" w:line="132" w:lineRule="exact"/>
        <w:rPr>
          <w:rFonts w:ascii="MS PGothic" w:cs="MS PGothic" w:eastAsia="MS PGothic" w:hAnsi="MS PGothic"/>
          <w:sz w:val="13"/>
          <w:szCs w:val="13"/>
          <w:color w:val="auto"/>
        </w:rPr>
      </w:pPr>
    </w:p>
    <w:p>
      <w:pPr>
        <w:ind w:left="240" w:right="399" w:hanging="240"/>
        <w:spacing w:after="0" w:line="283" w:lineRule="auto"/>
        <w:tabs>
          <w:tab w:leader="none" w:pos="240" w:val="left"/>
        </w:tabs>
        <w:numPr>
          <w:ilvl w:val="0"/>
          <w:numId w:val="40"/>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We Do Not Provide Excessive Perquisites</w:t>
      </w:r>
      <w:r>
        <w:rPr>
          <w:rFonts w:ascii="Times New Roman" w:cs="Times New Roman" w:eastAsia="Times New Roman" w:hAnsi="Times New Roman"/>
          <w:sz w:val="14"/>
          <w:szCs w:val="14"/>
          <w:color w:val="auto"/>
        </w:rPr>
        <w:t>: Our named executive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officers receive limited perquisites and benefits.</w:t>
      </w:r>
    </w:p>
    <w:p>
      <w:pPr>
        <w:spacing w:after="0" w:line="475" w:lineRule="exact"/>
        <w:rPr>
          <w:sz w:val="20"/>
          <w:szCs w:val="20"/>
          <w:color w:val="auto"/>
        </w:rPr>
      </w:pPr>
    </w:p>
    <w:p>
      <w:pPr>
        <w:sectPr>
          <w:pgSz w:w="11900" w:h="16838" w:orient="portrait"/>
          <w:cols w:equalWidth="0" w:num="2">
            <w:col w:w="4500" w:space="300"/>
            <w:col w:w="4219"/>
          </w:cols>
          <w:pgMar w:left="1440" w:top="456" w:right="1440" w:bottom="1440" w:gutter="0" w:footer="0" w:header="0"/>
          <w:type w:val="continuous"/>
        </w:sectPr>
      </w:pPr>
    </w:p>
    <w:p>
      <w:pPr>
        <w:jc w:val="both"/>
        <w:ind w:left="340" w:hanging="228"/>
        <w:spacing w:after="0" w:line="299" w:lineRule="auto"/>
        <w:tabs>
          <w:tab w:leader="none" w:pos="340" w:val="left"/>
        </w:tabs>
        <w:numPr>
          <w:ilvl w:val="0"/>
          <w:numId w:val="4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i w:val="1"/>
          <w:iCs w:val="1"/>
          <w:color w:val="auto"/>
        </w:rPr>
        <w:t xml:space="preserve">We Retain an Independent Compensation Consultant: </w:t>
      </w:r>
      <w:r>
        <w:rPr>
          <w:rFonts w:ascii="Times New Roman" w:cs="Times New Roman" w:eastAsia="Times New Roman" w:hAnsi="Times New Roman"/>
          <w:sz w:val="13"/>
          <w:szCs w:val="13"/>
          <w:color w:val="auto"/>
        </w:rPr>
        <w:t>Our Compensation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Committee engages an independent consultant from time to time to provide guidance on peer group composition and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-19050</wp:posOffset>
            </wp:positionV>
            <wp:extent cx="566928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40" w:right="199" w:hanging="240"/>
        <w:spacing w:after="0" w:line="269" w:lineRule="auto"/>
        <w:tabs>
          <w:tab w:leader="none" w:pos="240" w:val="left"/>
        </w:tabs>
        <w:numPr>
          <w:ilvl w:val="0"/>
          <w:numId w:val="4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i w:val="1"/>
          <w:iCs w:val="1"/>
          <w:color w:val="auto"/>
        </w:rPr>
        <w:t>We Do Not Provide for Change of Control Acceleration</w:t>
      </w:r>
      <w:r>
        <w:rPr>
          <w:rFonts w:ascii="Times New Roman" w:cs="Times New Roman" w:eastAsia="Times New Roman" w:hAnsi="Times New Roman"/>
          <w:sz w:val="14"/>
          <w:szCs w:val="14"/>
          <w:color w:val="auto"/>
        </w:rPr>
        <w:t>. We do not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provide “single-trigger” accelerated vesting of equity-based awards upon a change in control.</w:t>
      </w:r>
    </w:p>
    <w:p>
      <w:pPr>
        <w:spacing w:after="0" w:line="161" w:lineRule="exact"/>
        <w:rPr>
          <w:sz w:val="20"/>
          <w:szCs w:val="20"/>
          <w:color w:val="auto"/>
        </w:rPr>
      </w:pPr>
    </w:p>
    <w:p>
      <w:pPr>
        <w:sectPr>
          <w:pgSz w:w="11900" w:h="16838" w:orient="portrait"/>
          <w:cols w:equalWidth="0" w:num="2">
            <w:col w:w="4460" w:space="340"/>
            <w:col w:w="4219"/>
          </w:cols>
          <w:pgMar w:left="1440" w:top="456" w:right="1440"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Response to Advisory Vote on Executive Compensation</w:t>
      </w:r>
    </w:p>
    <w:p>
      <w:pPr>
        <w:spacing w:after="0" w:line="196" w:lineRule="exact"/>
        <w:rPr>
          <w:sz w:val="20"/>
          <w:szCs w:val="20"/>
          <w:color w:val="auto"/>
        </w:rPr>
      </w:pPr>
    </w:p>
    <w:p>
      <w:pPr>
        <w:ind w:left="40" w:right="259" w:firstLine="547"/>
        <w:spacing w:after="0" w:line="262" w:lineRule="auto"/>
        <w:rPr>
          <w:sz w:val="20"/>
          <w:szCs w:val="20"/>
          <w:color w:val="auto"/>
        </w:rPr>
      </w:pPr>
      <w:r>
        <w:rPr>
          <w:rFonts w:ascii="Times New Roman" w:cs="Times New Roman" w:eastAsia="Times New Roman" w:hAnsi="Times New Roman"/>
          <w:sz w:val="15"/>
          <w:szCs w:val="15"/>
          <w:color w:val="auto"/>
        </w:rPr>
        <w:t>We have held stockholder advisory votes on the compensation of our named executive officers, commonly referred to as a Say-on-Pay vote, since 2011 and, in each case, our stockholders approved the compensation of our named executive officers by wide margins, including receiving the support of 92.3% of shares voted in 2021. As we evaluate our compensation practices in light of such votes, we give great consideration to the strong support our stockholders continue to express for our overall compensation philosophy and practices. As a result, our Compensation Committee retained our general approach to executive compensation in 2021 and into 2022, as discussed below.</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Compensation Philosophy and Objectives</w:t>
      </w:r>
    </w:p>
    <w:p>
      <w:pPr>
        <w:spacing w:after="0" w:line="196" w:lineRule="exact"/>
        <w:rPr>
          <w:sz w:val="20"/>
          <w:szCs w:val="20"/>
          <w:color w:val="auto"/>
        </w:rPr>
      </w:pPr>
    </w:p>
    <w:p>
      <w:pPr>
        <w:ind w:left="40" w:right="59" w:firstLine="547"/>
        <w:spacing w:after="0" w:line="265" w:lineRule="auto"/>
        <w:rPr>
          <w:sz w:val="20"/>
          <w:szCs w:val="20"/>
          <w:color w:val="auto"/>
        </w:rPr>
      </w:pPr>
      <w:r>
        <w:rPr>
          <w:rFonts w:ascii="Times New Roman" w:cs="Times New Roman" w:eastAsia="Times New Roman" w:hAnsi="Times New Roman"/>
          <w:sz w:val="15"/>
          <w:szCs w:val="15"/>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 practices that are considered standard for good corporate governance and executive compensation, including:</w:t>
      </w:r>
    </w:p>
    <w:p>
      <w:pPr>
        <w:spacing w:after="0" w:line="150" w:lineRule="exact"/>
        <w:rPr>
          <w:sz w:val="20"/>
          <w:szCs w:val="20"/>
          <w:color w:val="auto"/>
        </w:rPr>
      </w:pPr>
    </w:p>
    <w:p>
      <w:pPr>
        <w:ind w:left="860" w:right="239" w:hanging="276"/>
        <w:spacing w:after="0" w:line="288" w:lineRule="auto"/>
        <w:tabs>
          <w:tab w:leader="none" w:pos="8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Strong alignment between company-wide performance and payouts under our annual cash incentive plan (“Annual Cash Incentive Plan”);</w:t>
      </w:r>
    </w:p>
    <w:p>
      <w:pPr>
        <w:spacing w:after="0" w:line="133"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guaranteed cash bonuses;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right="359" w:hanging="276"/>
        <w:spacing w:after="0" w:line="288" w:lineRule="auto"/>
        <w:tabs>
          <w:tab w:leader="none" w:pos="8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tool to retain key personnel, all stock-based awards are subject to five-year vesting periods, with 20% of each grant vesting annually on each of the first five anniversaries of the date of grant;</w:t>
      </w:r>
    </w:p>
    <w:p>
      <w:pPr>
        <w:spacing w:after="0" w:line="133" w:lineRule="exact"/>
        <w:rPr>
          <w:rFonts w:ascii="Times New Roman" w:cs="Times New Roman" w:eastAsia="Times New Roman" w:hAnsi="Times New Roman"/>
          <w:sz w:val="15"/>
          <w:szCs w:val="15"/>
          <w:color w:val="auto"/>
        </w:rPr>
      </w:pPr>
    </w:p>
    <w:p>
      <w:pPr>
        <w:ind w:left="860" w:right="339" w:hanging="276"/>
        <w:spacing w:after="0" w:line="288" w:lineRule="auto"/>
        <w:tabs>
          <w:tab w:leader="none" w:pos="8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Severance arrangements with our named executive officers that are limited to one year of compensation and benefits and limited acceleration of vesting; and</w:t>
      </w:r>
    </w:p>
    <w:p>
      <w:pPr>
        <w:spacing w:after="0" w:line="133"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Double-trigger change-in-control arrangements with our named executive officers.</w:t>
      </w:r>
    </w:p>
    <w:p>
      <w:pPr>
        <w:spacing w:after="0" w:line="192" w:lineRule="exact"/>
        <w:rPr>
          <w:sz w:val="20"/>
          <w:szCs w:val="20"/>
          <w:color w:val="auto"/>
        </w:rPr>
      </w:pPr>
    </w:p>
    <w:p>
      <w:pPr>
        <w:ind w:left="40" w:right="199" w:firstLine="547"/>
        <w:spacing w:after="0" w:line="265" w:lineRule="auto"/>
        <w:rPr>
          <w:sz w:val="20"/>
          <w:szCs w:val="20"/>
          <w:color w:val="auto"/>
        </w:rPr>
      </w:pPr>
      <w:r>
        <w:rPr>
          <w:rFonts w:ascii="Times New Roman" w:cs="Times New Roman" w:eastAsia="Times New Roman" w:hAnsi="Times New Roman"/>
          <w:sz w:val="15"/>
          <w:szCs w:val="15"/>
          <w:color w:val="auto"/>
        </w:rPr>
        <w:t>In light of the foregoing factors and practices, we believe our executive compensation in fiscal year 2021 appropriately reflected the economic and regulatory environments, the performance of the Company and the relationship with market compensation necessary to retain and motivate our executives, and that the continuation of these practices in 2022 is appropriate given the continued regulatory, economic and competitive challenges that we expect to face.</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 Note About the Compensation of Our Management Team</w:t>
      </w:r>
    </w:p>
    <w:p>
      <w:pPr>
        <w:spacing w:after="0" w:line="196" w:lineRule="exact"/>
        <w:rPr>
          <w:sz w:val="20"/>
          <w:szCs w:val="20"/>
          <w:color w:val="auto"/>
        </w:rPr>
      </w:pPr>
    </w:p>
    <w:p>
      <w:pPr>
        <w:ind w:left="40" w:right="79" w:firstLine="547"/>
        <w:spacing w:after="0" w:line="262" w:lineRule="auto"/>
        <w:rPr>
          <w:sz w:val="20"/>
          <w:szCs w:val="20"/>
          <w:color w:val="auto"/>
        </w:rPr>
      </w:pPr>
      <w:r>
        <w:rPr>
          <w:rFonts w:ascii="Times New Roman" w:cs="Times New Roman" w:eastAsia="Times New Roman" w:hAnsi="Times New Roman"/>
          <w:sz w:val="15"/>
          <w:szCs w:val="15"/>
          <w:color w:val="auto"/>
        </w:rPr>
        <w:t>Over the years, the Compensation Committee has periodically engaged an independent compensation consultant to provide recommendations regarding executive compensation consistent with the Company’s business needs, pay philosophy, market trends and latest legal and regulatory considerations; provide market data for base salary, short-term incentive and long-term incentive decisions; and advise the Compensation Committee as to best practices. Typically, analyses of peer group data show that our named executive officers are compensated below their peers. The reasons for this are twofold:</w:t>
      </w:r>
    </w:p>
    <w:p>
      <w:pPr>
        <w:spacing w:after="0" w:line="153" w:lineRule="exact"/>
        <w:rPr>
          <w:sz w:val="20"/>
          <w:szCs w:val="20"/>
          <w:color w:val="auto"/>
        </w:rPr>
      </w:pPr>
    </w:p>
    <w:p>
      <w:pPr>
        <w:ind w:left="860" w:right="119" w:hanging="276"/>
        <w:spacing w:after="0" w:line="265" w:lineRule="auto"/>
        <w:tabs>
          <w:tab w:leader="none" w:pos="8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executive officers as of December 31, 2021 has been with the Company for a decade (except for Mr. Briggs, who joined our Company upon our acquisition of Orbis Education) or more and, overall, our top management ranks have been extremely stable over time. This means that the compensation structure has not been forced to re-set due to the hiring of new management level personnel; and</w:t>
      </w:r>
    </w:p>
    <w:p>
      <w:pPr>
        <w:spacing w:after="0" w:line="150" w:lineRule="exact"/>
        <w:rPr>
          <w:rFonts w:ascii="Times New Roman" w:cs="Times New Roman" w:eastAsia="Times New Roman" w:hAnsi="Times New Roman"/>
          <w:sz w:val="15"/>
          <w:szCs w:val="15"/>
          <w:color w:val="auto"/>
        </w:rPr>
      </w:pPr>
    </w:p>
    <w:p>
      <w:pPr>
        <w:ind w:left="860" w:right="379" w:hanging="276"/>
        <w:spacing w:after="0" w:line="271" w:lineRule="auto"/>
        <w:tabs>
          <w:tab w:leader="none" w:pos="8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area of compensation, our senior executives firmly believe that compensation should be based on performance: thus, base salaries should be relatively stable, cash bonuses should reflect annual performance, and equity incentives should be granted in appropriate amounts and provide upside value only if that value is shared by all of our stockholders.</w:t>
      </w:r>
    </w:p>
    <w:p>
      <w:pPr>
        <w:spacing w:after="0" w:line="145" w:lineRule="exact"/>
        <w:rPr>
          <w:sz w:val="20"/>
          <w:szCs w:val="20"/>
          <w:color w:val="auto"/>
        </w:rPr>
      </w:pPr>
    </w:p>
    <w:p>
      <w:pPr>
        <w:ind w:left="40" w:right="59" w:firstLine="547"/>
        <w:spacing w:after="0" w:line="260" w:lineRule="auto"/>
        <w:rPr>
          <w:sz w:val="20"/>
          <w:szCs w:val="20"/>
          <w:color w:val="auto"/>
        </w:rPr>
      </w:pPr>
      <w:r>
        <w:rPr>
          <w:rFonts w:ascii="Times New Roman" w:cs="Times New Roman" w:eastAsia="Times New Roman" w:hAnsi="Times New Roman"/>
          <w:sz w:val="15"/>
          <w:szCs w:val="15"/>
          <w:color w:val="auto"/>
        </w:rPr>
        <w:t>This belief has been backed up by actions. Between December 31, 2010 and the date of this Proxy Statement - a period during which the Company’s market capitalization increased by 271% (or nearly $2.4 billion), from $895.6 million to $3.3 billion - our Chief Executive Officer, Chief Operating Officer and Chief Financial Officer have accepted cumulative base salary increases of only $40,000 each even though their cash compensation substantially lags behind peers. In addition, the grant date value of their annual long-term equity incentive grants substantially lags behind peers. The Compensation Committee applauds the leadership and performance of our executive management team and the example they set for the Company.</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Overview of 2021 Executive Compensation</w:t>
      </w:r>
    </w:p>
    <w:p>
      <w:pPr>
        <w:spacing w:after="0" w:line="196" w:lineRule="exact"/>
        <w:rPr>
          <w:sz w:val="20"/>
          <w:szCs w:val="20"/>
          <w:color w:val="auto"/>
        </w:rPr>
      </w:pPr>
    </w:p>
    <w:p>
      <w:pPr>
        <w:ind w:left="40" w:right="199" w:firstLine="547"/>
        <w:spacing w:after="0" w:line="288" w:lineRule="auto"/>
        <w:rPr>
          <w:sz w:val="20"/>
          <w:szCs w:val="20"/>
          <w:color w:val="auto"/>
        </w:rPr>
      </w:pPr>
      <w:r>
        <w:rPr>
          <w:rFonts w:ascii="Times New Roman" w:cs="Times New Roman" w:eastAsia="Times New Roman" w:hAnsi="Times New Roman"/>
          <w:sz w:val="15"/>
          <w:szCs w:val="15"/>
          <w:color w:val="auto"/>
        </w:rPr>
        <w:t>The purpose of this Compensation Discussion and Analysis is to provide information about each material element of compensation that we pay or award to, or that is earned by, our named executive officers.</w:t>
      </w:r>
    </w:p>
    <w:p>
      <w:pPr>
        <w:spacing w:after="0" w:line="133" w:lineRule="exact"/>
        <w:rPr>
          <w:sz w:val="20"/>
          <w:szCs w:val="20"/>
          <w:color w:val="auto"/>
        </w:rPr>
      </w:pPr>
    </w:p>
    <w:p>
      <w:pPr>
        <w:ind w:left="40" w:right="159" w:firstLine="547"/>
        <w:spacing w:after="0" w:line="271" w:lineRule="auto"/>
        <w:rPr>
          <w:sz w:val="20"/>
          <w:szCs w:val="20"/>
          <w:color w:val="auto"/>
        </w:rPr>
      </w:pPr>
      <w:r>
        <w:rPr>
          <w:rFonts w:ascii="Times New Roman" w:cs="Times New Roman" w:eastAsia="Times New Roman" w:hAnsi="Times New Roman"/>
          <w:sz w:val="15"/>
          <w:szCs w:val="15"/>
          <w:color w:val="auto"/>
        </w:rPr>
        <w:t>This Compensation Discussion and Analysis addresses and explains the compensation practices we followed in 2021, the numerical and related information contained in the summary compensation and related tables presented below, and actions we have taken regarding executive compensation since the end of our 2021 fiscal year. Specifically, this Compensation Discussion and Analysis addresses:</w:t>
      </w:r>
    </w:p>
    <w:p>
      <w:pPr>
        <w:spacing w:after="0" w:line="145" w:lineRule="exact"/>
        <w:rPr>
          <w:sz w:val="20"/>
          <w:szCs w:val="20"/>
          <w:color w:val="auto"/>
        </w:rPr>
      </w:pPr>
    </w:p>
    <w:p>
      <w:pPr>
        <w:ind w:left="860" w:hanging="276"/>
        <w:spacing w:after="0"/>
        <w:tabs>
          <w:tab w:leader="none" w:pos="8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objectives of our compensation program (found in the section entitled “Objectives of Compensation Programs”);</w:t>
      </w:r>
    </w:p>
    <w:p>
      <w:pPr>
        <w:spacing w:after="0" w:line="374" w:lineRule="exact"/>
        <w:rPr>
          <w:rFonts w:ascii="Times New Roman" w:cs="Times New Roman" w:eastAsia="Times New Roman" w:hAnsi="Times New Roman"/>
          <w:sz w:val="15"/>
          <w:szCs w:val="15"/>
          <w:color w:val="auto"/>
        </w:rPr>
      </w:pPr>
    </w:p>
    <w:p>
      <w:pPr>
        <w:ind w:left="44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right="699" w:hanging="276"/>
        <w:spacing w:after="0" w:line="288" w:lineRule="auto"/>
        <w:tabs>
          <w:tab w:leader="none" w:pos="8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What our compensation program is designed to reward (also described in the section entitled “Objectives of Compensation Programs”);</w:t>
      </w:r>
    </w:p>
    <w:p>
      <w:pPr>
        <w:spacing w:after="0" w:line="133"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element of compensation (set forth in the section entitled “Compensation Program Design and Elements of Compensation”);</w:t>
      </w:r>
    </w:p>
    <w:p>
      <w:pPr>
        <w:spacing w:after="0" w:line="192" w:lineRule="exact"/>
        <w:rPr>
          <w:rFonts w:ascii="Times New Roman" w:cs="Times New Roman" w:eastAsia="Times New Roman" w:hAnsi="Times New Roman"/>
          <w:sz w:val="15"/>
          <w:szCs w:val="15"/>
          <w:color w:val="auto"/>
        </w:rPr>
      </w:pPr>
    </w:p>
    <w:p>
      <w:pPr>
        <w:ind w:left="860" w:right="259" w:hanging="276"/>
        <w:spacing w:after="0" w:line="288" w:lineRule="auto"/>
        <w:tabs>
          <w:tab w:leader="none" w:pos="8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Why each element was chosen (described with each element of compensation, including base pay, short-term incentives and long-term incentives);</w:t>
      </w:r>
    </w:p>
    <w:p>
      <w:pPr>
        <w:spacing w:after="0" w:line="133" w:lineRule="exact"/>
        <w:rPr>
          <w:rFonts w:ascii="Times New Roman" w:cs="Times New Roman" w:eastAsia="Times New Roman" w:hAnsi="Times New Roman"/>
          <w:sz w:val="15"/>
          <w:szCs w:val="15"/>
          <w:color w:val="auto"/>
        </w:rPr>
      </w:pPr>
    </w:p>
    <w:p>
      <w:pPr>
        <w:ind w:left="860" w:right="359" w:hanging="276"/>
        <w:spacing w:after="0" w:line="288" w:lineRule="auto"/>
        <w:tabs>
          <w:tab w:leader="none" w:pos="8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amounts and formulas for pay are calculated and determined (also described with each element of compensation, including base pay, short-term incentives and long-term incentives); and</w:t>
      </w:r>
    </w:p>
    <w:p>
      <w:pPr>
        <w:spacing w:after="0" w:line="133" w:lineRule="exact"/>
        <w:rPr>
          <w:rFonts w:ascii="Times New Roman" w:cs="Times New Roman" w:eastAsia="Times New Roman" w:hAnsi="Times New Roman"/>
          <w:sz w:val="15"/>
          <w:szCs w:val="15"/>
          <w:color w:val="auto"/>
        </w:rPr>
      </w:pPr>
    </w:p>
    <w:p>
      <w:pPr>
        <w:ind w:left="860" w:right="319" w:hanging="276"/>
        <w:spacing w:after="0" w:line="288" w:lineRule="auto"/>
        <w:tabs>
          <w:tab w:leader="none" w:pos="8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each compensation element and our decisions regarding that element fit into our overall compensation objectives and affect decisions regarding other elements (described with each element of compensation).</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Compensation Determinations</w:t>
      </w:r>
    </w:p>
    <w:p>
      <w:pPr>
        <w:spacing w:after="0" w:line="196" w:lineRule="exact"/>
        <w:rPr>
          <w:sz w:val="20"/>
          <w:szCs w:val="20"/>
          <w:color w:val="auto"/>
        </w:rPr>
      </w:pPr>
    </w:p>
    <w:p>
      <w:pPr>
        <w:ind w:left="40" w:right="179" w:firstLine="547"/>
        <w:spacing w:after="0" w:line="265" w:lineRule="auto"/>
        <w:rPr>
          <w:sz w:val="20"/>
          <w:szCs w:val="20"/>
          <w:color w:val="auto"/>
        </w:rPr>
      </w:pPr>
      <w:r>
        <w:rPr>
          <w:rFonts w:ascii="Times New Roman" w:cs="Times New Roman" w:eastAsia="Times New Roman" w:hAnsi="Times New Roman"/>
          <w:sz w:val="15"/>
          <w:szCs w:val="15"/>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150" w:lineRule="exact"/>
        <w:rPr>
          <w:sz w:val="20"/>
          <w:szCs w:val="20"/>
          <w:color w:val="auto"/>
        </w:rPr>
      </w:pPr>
    </w:p>
    <w:p>
      <w:pPr>
        <w:ind w:left="40" w:right="279" w:firstLine="547"/>
        <w:spacing w:after="0" w:line="262" w:lineRule="auto"/>
        <w:rPr>
          <w:sz w:val="20"/>
          <w:szCs w:val="20"/>
          <w:color w:val="auto"/>
        </w:rPr>
      </w:pPr>
      <w:r>
        <w:rPr>
          <w:rFonts w:ascii="Times New Roman" w:cs="Times New Roman" w:eastAsia="Times New Roman" w:hAnsi="Times New Roman"/>
          <w:sz w:val="15"/>
          <w:szCs w:val="15"/>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 Committees of Our Board of Directors — Compensation Committee.”</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Objectives of Compensation Programs</w:t>
      </w:r>
    </w:p>
    <w:p>
      <w:pPr>
        <w:spacing w:after="0" w:line="196" w:lineRule="exact"/>
        <w:rPr>
          <w:sz w:val="20"/>
          <w:szCs w:val="20"/>
          <w:color w:val="auto"/>
        </w:rPr>
      </w:pPr>
    </w:p>
    <w:p>
      <w:pPr>
        <w:ind w:left="40" w:right="99" w:firstLine="547"/>
        <w:spacing w:after="0" w:line="271" w:lineRule="auto"/>
        <w:rPr>
          <w:sz w:val="20"/>
          <w:szCs w:val="20"/>
          <w:color w:val="auto"/>
        </w:rPr>
      </w:pPr>
      <w:r>
        <w:rPr>
          <w:rFonts w:ascii="Times New Roman" w:cs="Times New Roman" w:eastAsia="Times New Roman" w:hAnsi="Times New Roman"/>
          <w:sz w:val="15"/>
          <w:szCs w:val="15"/>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141" w:lineRule="exact"/>
        <w:rPr>
          <w:sz w:val="20"/>
          <w:szCs w:val="20"/>
          <w:color w:val="auto"/>
        </w:rPr>
      </w:pPr>
    </w:p>
    <w:p>
      <w:pPr>
        <w:ind w:left="40" w:right="219" w:firstLine="547"/>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Compensation philosophy. </w:t>
      </w:r>
      <w:r>
        <w:rPr>
          <w:rFonts w:ascii="Times New Roman" w:cs="Times New Roman" w:eastAsia="Times New Roman" w:hAnsi="Times New Roman"/>
          <w:sz w:val="15"/>
          <w:szCs w:val="15"/>
          <w:color w:val="auto"/>
        </w:rPr>
        <w:t>Under our compensation philosophy, a named executive officer’s total compensation will vary based 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Company’s overall 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i w:val="1"/>
          <w:iCs w:val="1"/>
          <w:color w:val="auto"/>
        </w:rPr>
        <w:t xml:space="preserve">Compensation objectives. </w:t>
      </w:r>
      <w:r>
        <w:rPr>
          <w:rFonts w:ascii="Times New Roman" w:cs="Times New Roman" w:eastAsia="Times New Roman" w:hAnsi="Times New Roman"/>
          <w:sz w:val="15"/>
          <w:szCs w:val="15"/>
          <w:color w:val="auto"/>
        </w:rPr>
        <w:t>We believe that the compensation program we follow helps us achieve the following objectives:</w:t>
      </w:r>
    </w:p>
    <w:p>
      <w:pPr>
        <w:spacing w:after="0" w:line="192" w:lineRule="exact"/>
        <w:rPr>
          <w:sz w:val="20"/>
          <w:szCs w:val="20"/>
          <w:color w:val="auto"/>
        </w:rPr>
      </w:pPr>
    </w:p>
    <w:p>
      <w:pPr>
        <w:ind w:left="860" w:right="119" w:hanging="276"/>
        <w:spacing w:after="0" w:line="267" w:lineRule="auto"/>
        <w:tabs>
          <w:tab w:leader="none" w:pos="8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Compensation should be related to performance. </w:t>
      </w:r>
      <w:r>
        <w:rPr>
          <w:rFonts w:ascii="Times New Roman" w:cs="Times New Roman" w:eastAsia="Times New Roman" w:hAnsi="Times New Roman"/>
          <w:sz w:val="15"/>
          <w:szCs w:val="15"/>
          <w:color w:val="auto"/>
        </w:rPr>
        <w:t>We believe that the performance-based portion of an individual’s total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compensation should 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0" w:right="99" w:hanging="276"/>
        <w:spacing w:after="0" w:line="263" w:lineRule="auto"/>
        <w:tabs>
          <w:tab w:leader="none" w:pos="86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Compensation should be competitive and cost effective. </w:t>
      </w:r>
      <w:r>
        <w:rPr>
          <w:rFonts w:ascii="Times New Roman" w:cs="Times New Roman" w:eastAsia="Times New Roman" w:hAnsi="Times New Roman"/>
          <w:sz w:val="15"/>
          <w:szCs w:val="15"/>
          <w:color w:val="auto"/>
        </w:rPr>
        <w:t>We believe that our compensation program should foster an innovative, high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50" w:lineRule="exact"/>
        <w:rPr>
          <w:sz w:val="20"/>
          <w:szCs w:val="20"/>
          <w:color w:val="auto"/>
        </w:rPr>
      </w:pPr>
    </w:p>
    <w:p>
      <w:pPr>
        <w:ind w:left="40" w:right="199" w:firstLine="547"/>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Company compensation policies. </w:t>
      </w:r>
      <w:r>
        <w:rPr>
          <w:rFonts w:ascii="Times New Roman" w:cs="Times New Roman" w:eastAsia="Times New Roman" w:hAnsi="Times New Roman"/>
          <w:sz w:val="15"/>
          <w:szCs w:val="15"/>
          <w:color w:val="auto"/>
        </w:rPr>
        <w:t>During 2021, our named executive officers’ total in-service compensation consisted of base salaries,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cash bonuses, share-based compensation, and other benefits generally available to all employees. With regard to these components, we adhere to the following compensation policies:</w:t>
      </w:r>
    </w:p>
    <w:p>
      <w:pPr>
        <w:spacing w:after="0" w:line="141" w:lineRule="exact"/>
        <w:rPr>
          <w:sz w:val="20"/>
          <w:szCs w:val="20"/>
          <w:color w:val="auto"/>
        </w:rPr>
      </w:pPr>
    </w:p>
    <w:p>
      <w:pPr>
        <w:ind w:left="860" w:right="59" w:hanging="276"/>
        <w:spacing w:after="0" w:line="273" w:lineRule="auto"/>
        <w:tabs>
          <w:tab w:leader="none" w:pos="8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Cash should be a significant component of compensation. </w:t>
      </w:r>
      <w:r>
        <w:rPr>
          <w:rFonts w:ascii="Times New Roman" w:cs="Times New Roman" w:eastAsia="Times New Roman" w:hAnsi="Times New Roman"/>
          <w:sz w:val="15"/>
          <w:szCs w:val="15"/>
          <w:color w:val="auto"/>
        </w:rPr>
        <w:t>The Company’s compensation policy focuses on providing the opportunity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its named executive officers to earn total cash compensation at levels that enable the Company to achieve the motivation and retention goals described above.</w:t>
      </w:r>
    </w:p>
    <w:p>
      <w:pPr>
        <w:spacing w:after="0" w:line="141" w:lineRule="exact"/>
        <w:rPr>
          <w:rFonts w:ascii="Times New Roman" w:cs="Times New Roman" w:eastAsia="Times New Roman" w:hAnsi="Times New Roman"/>
          <w:sz w:val="15"/>
          <w:szCs w:val="15"/>
          <w:color w:val="auto"/>
        </w:rPr>
      </w:pPr>
    </w:p>
    <w:p>
      <w:pPr>
        <w:ind w:left="860" w:right="159" w:hanging="276"/>
        <w:spacing w:after="0" w:line="263" w:lineRule="auto"/>
        <w:tabs>
          <w:tab w:leader="none" w:pos="8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Base salaries should generally be the largest component of cash compensation</w:t>
      </w:r>
      <w:r>
        <w:rPr>
          <w:rFonts w:ascii="Times New Roman" w:cs="Times New Roman" w:eastAsia="Times New Roman" w:hAnsi="Times New Roman"/>
          <w:sz w:val="15"/>
          <w:szCs w:val="15"/>
          <w:color w:val="auto"/>
        </w:rPr>
        <w:t>. Our compensation programs generally reflect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view that base 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p>
      <w:pPr>
        <w:spacing w:after="0" w:line="149" w:lineRule="exact"/>
        <w:rPr>
          <w:rFonts w:ascii="Times New Roman" w:cs="Times New Roman" w:eastAsia="Times New Roman" w:hAnsi="Times New Roman"/>
          <w:sz w:val="15"/>
          <w:szCs w:val="15"/>
          <w:color w:val="auto"/>
        </w:rPr>
      </w:pPr>
    </w:p>
    <w:p>
      <w:pPr>
        <w:ind w:left="860" w:right="219" w:hanging="276"/>
        <w:spacing w:after="0" w:line="273" w:lineRule="auto"/>
        <w:tabs>
          <w:tab w:leader="none" w:pos="8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Cash incentives should be linked to performance. </w:t>
      </w:r>
      <w:r>
        <w:rPr>
          <w:rFonts w:ascii="Times New Roman" w:cs="Times New Roman" w:eastAsia="Times New Roman" w:hAnsi="Times New Roman"/>
          <w:sz w:val="15"/>
          <w:szCs w:val="15"/>
          <w:color w:val="auto"/>
        </w:rPr>
        <w:t>Under our Annual Cash Incentive Plan, bonuses paid to our named executive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officers are based on overall company financial performance, but are subject to reduction based on the Compensation Committee’s assessment of the particular named executive officer’s personal performance and contribution to our overall results.</w:t>
      </w:r>
    </w:p>
    <w:p>
      <w:pPr>
        <w:spacing w:after="0" w:line="141" w:lineRule="exact"/>
        <w:rPr>
          <w:rFonts w:ascii="Times New Roman" w:cs="Times New Roman" w:eastAsia="Times New Roman" w:hAnsi="Times New Roman"/>
          <w:sz w:val="15"/>
          <w:szCs w:val="15"/>
          <w:color w:val="auto"/>
        </w:rPr>
      </w:pPr>
    </w:p>
    <w:p>
      <w:pPr>
        <w:jc w:val="both"/>
        <w:ind w:left="860" w:right="299" w:hanging="276"/>
        <w:spacing w:after="0" w:line="273" w:lineRule="auto"/>
        <w:tabs>
          <w:tab w:leader="none" w:pos="8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Equity awards should be utilized as a means to retain key management and to align their interests with those of our stockholders. </w:t>
      </w:r>
      <w:r>
        <w:rPr>
          <w:rFonts w:ascii="Times New Roman" w:cs="Times New Roman" w:eastAsia="Times New Roman" w:hAnsi="Times New Roman"/>
          <w:sz w:val="15"/>
          <w:szCs w:val="15"/>
          <w:color w:val="auto"/>
        </w:rPr>
        <w:t>We utilize time-based equity awards that vest ratably over five years. We believe a long vesting period encourages retention and focuses our management team on the long-term interests of our Company and stockholders.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We believe our policies have helped us achieve our compensation objectives of attracting, motivating, retaining, and rewarding our key</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officers.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Compensation Programs Design and Elements of Compensation</w:t>
      </w:r>
    </w:p>
    <w:p>
      <w:pPr>
        <w:spacing w:after="0" w:line="196" w:lineRule="exact"/>
        <w:rPr>
          <w:sz w:val="20"/>
          <w:szCs w:val="20"/>
          <w:color w:val="auto"/>
        </w:rPr>
      </w:pPr>
    </w:p>
    <w:p>
      <w:pPr>
        <w:ind w:left="40" w:right="59" w:firstLine="547"/>
        <w:spacing w:after="0" w:line="288" w:lineRule="auto"/>
        <w:rPr>
          <w:sz w:val="20"/>
          <w:szCs w:val="20"/>
          <w:color w:val="auto"/>
        </w:rPr>
      </w:pPr>
      <w:r>
        <w:rPr>
          <w:rFonts w:ascii="Times New Roman" w:cs="Times New Roman" w:eastAsia="Times New Roman" w:hAnsi="Times New Roman"/>
          <w:sz w:val="15"/>
          <w:szCs w:val="15"/>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29" w:lineRule="exact"/>
        <w:rPr>
          <w:sz w:val="20"/>
          <w:szCs w:val="20"/>
          <w:color w:val="auto"/>
        </w:rPr>
      </w:pPr>
    </w:p>
    <w:p>
      <w:pPr>
        <w:ind w:left="40" w:right="79" w:firstLine="547"/>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Elements of In-Service Compensation. </w:t>
      </w:r>
      <w:r>
        <w:rPr>
          <w:rFonts w:ascii="Times New Roman" w:cs="Times New Roman" w:eastAsia="Times New Roman" w:hAnsi="Times New Roman"/>
          <w:sz w:val="15"/>
          <w:szCs w:val="15"/>
          <w:color w:val="auto"/>
        </w:rPr>
        <w:t>For our 2021 fiscal year, our executive compensation mix included base salaries, performance-based cash bonuses, share-based compensation with vesting periods, and other benefits generally available to all employees. We seek to compensate our named executive officers at levels that eliminate the need for material perquisites and enable each individual officer to provide for his or her own needs, and in 2021, we did not provide any perquisites to our named executive officers. We generally determine the nature and amount of each element of compensation as follows:</w:t>
      </w:r>
    </w:p>
    <w:p>
      <w:pPr>
        <w:spacing w:after="0" w:line="150" w:lineRule="exact"/>
        <w:rPr>
          <w:sz w:val="20"/>
          <w:szCs w:val="20"/>
          <w:color w:val="auto"/>
        </w:rPr>
      </w:pPr>
    </w:p>
    <w:p>
      <w:pPr>
        <w:ind w:left="860" w:right="159" w:hanging="276"/>
        <w:spacing w:after="0" w:line="263" w:lineRule="auto"/>
        <w:tabs>
          <w:tab w:leader="none" w:pos="8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Base salary. </w:t>
      </w:r>
      <w:r>
        <w:rPr>
          <w:rFonts w:ascii="Times New Roman" w:cs="Times New Roman" w:eastAsia="Times New Roman" w:hAnsi="Times New Roman"/>
          <w:sz w:val="15"/>
          <w:szCs w:val="15"/>
          <w:color w:val="auto"/>
        </w:rPr>
        <w:t>We typically agree upon a base salary with a named executive officer at the time of initial employment. The amount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right="159"/>
        <w:spacing w:after="0" w:line="265" w:lineRule="auto"/>
        <w:rPr>
          <w:sz w:val="20"/>
          <w:szCs w:val="20"/>
          <w:color w:val="auto"/>
        </w:rPr>
      </w:pPr>
      <w:r>
        <w:rPr>
          <w:rFonts w:ascii="Times New Roman" w:cs="Times New Roman" w:eastAsia="Times New Roman" w:hAnsi="Times New Roman"/>
          <w:sz w:val="15"/>
          <w:szCs w:val="15"/>
          <w:color w:val="auto"/>
        </w:rPr>
        <w:t>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p>
      <w:pPr>
        <w:spacing w:after="0" w:line="146" w:lineRule="exact"/>
        <w:rPr>
          <w:sz w:val="20"/>
          <w:szCs w:val="20"/>
          <w:color w:val="auto"/>
        </w:rPr>
      </w:pPr>
    </w:p>
    <w:p>
      <w:pPr>
        <w:ind w:left="860" w:right="99" w:hanging="276"/>
        <w:spacing w:after="0" w:line="273" w:lineRule="auto"/>
        <w:tabs>
          <w:tab w:leader="none" w:pos="8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Bonuses. </w:t>
      </w:r>
      <w:r>
        <w:rPr>
          <w:rFonts w:ascii="Times New Roman" w:cs="Times New Roman" w:eastAsia="Times New Roman" w:hAnsi="Times New Roman"/>
          <w:sz w:val="15"/>
          <w:szCs w:val="15"/>
          <w:color w:val="auto"/>
        </w:rPr>
        <w:t>We provide cash bonuses, which typically are at-risk, to recognize and reward our named executive officers based on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success in a given year. For 2021, we awarded performance-related bonuses under our Annual Cash Incentive Plan. The operation of this plan as it relates to our named executive officers is described in more detail below.</w:t>
      </w:r>
    </w:p>
    <w:p>
      <w:pPr>
        <w:spacing w:after="0" w:line="141" w:lineRule="exact"/>
        <w:rPr>
          <w:rFonts w:ascii="Times New Roman" w:cs="Times New Roman" w:eastAsia="Times New Roman" w:hAnsi="Times New Roman"/>
          <w:sz w:val="15"/>
          <w:szCs w:val="15"/>
          <w:color w:val="auto"/>
        </w:rPr>
      </w:pPr>
    </w:p>
    <w:p>
      <w:pPr>
        <w:ind w:left="860" w:right="279" w:hanging="276"/>
        <w:spacing w:after="0" w:line="273" w:lineRule="auto"/>
        <w:tabs>
          <w:tab w:leader="none" w:pos="8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Share-based compensation</w:t>
      </w:r>
      <w:r>
        <w:rPr>
          <w:rFonts w:ascii="Times New Roman" w:cs="Times New Roman" w:eastAsia="Times New Roman" w:hAnsi="Times New Roman"/>
          <w:sz w:val="15"/>
          <w:szCs w:val="15"/>
          <w:color w:val="auto"/>
        </w:rPr>
        <w:t>. We make equity incentive grants pursuant to our 2017 Equity Incentive Plan (the “2017 Plan”), under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a maximum of 3,000,000 shares may be granted. In 2021, our named executive officers received grants of restricted stock under the 2017 plan, as part of an overall, annual equity incentive grant made to Company employees.</w:t>
      </w:r>
    </w:p>
    <w:p>
      <w:pPr>
        <w:spacing w:after="0" w:line="141" w:lineRule="exact"/>
        <w:rPr>
          <w:rFonts w:ascii="Times New Roman" w:cs="Times New Roman" w:eastAsia="Times New Roman" w:hAnsi="Times New Roman"/>
          <w:sz w:val="15"/>
          <w:szCs w:val="15"/>
          <w:color w:val="auto"/>
        </w:rPr>
      </w:pPr>
    </w:p>
    <w:p>
      <w:pPr>
        <w:ind w:left="860" w:right="159" w:hanging="276"/>
        <w:spacing w:after="0" w:line="259" w:lineRule="auto"/>
        <w:tabs>
          <w:tab w:leader="none" w:pos="8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Other. </w:t>
      </w:r>
      <w:r>
        <w:rPr>
          <w:rFonts w:ascii="Times New Roman" w:cs="Times New Roman" w:eastAsia="Times New Roman" w:hAnsi="Times New Roman"/>
          <w:sz w:val="15"/>
          <w:szCs w:val="15"/>
          <w:color w:val="auto"/>
        </w:rPr>
        <w:t>We offer other employee benefits to named executive officers for the purpose of meeting current and future health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tuition benefits for a spouse or up to two children with no more than two participants receiving the benefits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w:t>
      </w:r>
    </w:p>
    <w:p>
      <w:pPr>
        <w:spacing w:after="0" w:line="153" w:lineRule="exact"/>
        <w:rPr>
          <w:sz w:val="20"/>
          <w:szCs w:val="20"/>
          <w:color w:val="auto"/>
        </w:rPr>
      </w:pPr>
    </w:p>
    <w:p>
      <w:pPr>
        <w:ind w:left="40" w:right="39" w:firstLine="547"/>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Elements of Post-Termination Compensation and Benefits. </w:t>
      </w:r>
      <w:r>
        <w:rPr>
          <w:rFonts w:ascii="Times New Roman" w:cs="Times New Roman" w:eastAsia="Times New Roman" w:hAnsi="Times New Roman"/>
          <w:sz w:val="15"/>
          <w:szCs w:val="15"/>
          <w:color w:val="auto"/>
        </w:rPr>
        <w:t>The employment agreements of our named executive officers provide for post-termination salary and benefit continuation in the event of a termination by us without Cause (as defined below) or by the executive for Good Reason (as defined below) or in the event of any such termination within twelve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2021 pursuant to the written employment agreements consisted of the following:</w:t>
      </w:r>
    </w:p>
    <w:p>
      <w:pPr>
        <w:spacing w:after="0" w:line="335" w:lineRule="exact"/>
        <w:rPr>
          <w:sz w:val="20"/>
          <w:szCs w:val="20"/>
          <w:color w:val="auto"/>
        </w:rPr>
      </w:pPr>
    </w:p>
    <w:p>
      <w:pPr>
        <w:ind w:left="860" w:right="359" w:hanging="276"/>
        <w:spacing w:after="0" w:line="294" w:lineRule="auto"/>
        <w:tabs>
          <w:tab w:leader="none" w:pos="86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Salary continuation. </w:t>
      </w:r>
      <w:r>
        <w:rPr>
          <w:rFonts w:ascii="Times New Roman" w:cs="Times New Roman" w:eastAsia="Times New Roman" w:hAnsi="Times New Roman"/>
          <w:sz w:val="15"/>
          <w:szCs w:val="15"/>
          <w:color w:val="auto"/>
        </w:rPr>
        <w:t>Each named executive officer would continue to receive 100% of their base salary payable over a period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twelve (12) months following any qualifying termination of employment.</w:t>
      </w:r>
    </w:p>
    <w:p>
      <w:pPr>
        <w:spacing w:after="0" w:line="124" w:lineRule="exact"/>
        <w:rPr>
          <w:rFonts w:ascii="Times New Roman" w:cs="Times New Roman" w:eastAsia="Times New Roman" w:hAnsi="Times New Roman"/>
          <w:sz w:val="15"/>
          <w:szCs w:val="15"/>
          <w:color w:val="auto"/>
        </w:rPr>
      </w:pPr>
    </w:p>
    <w:p>
      <w:pPr>
        <w:ind w:left="860" w:right="159" w:hanging="276"/>
        <w:spacing w:after="0" w:line="273" w:lineRule="auto"/>
        <w:tabs>
          <w:tab w:leader="none" w:pos="86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 of target bonus</w:t>
      </w:r>
      <w:r>
        <w:rPr>
          <w:rFonts w:ascii="Times New Roman" w:cs="Times New Roman" w:eastAsia="Times New Roman" w:hAnsi="Times New Roman"/>
          <w:sz w:val="15"/>
          <w:szCs w:val="15"/>
          <w:color w:val="auto"/>
        </w:rPr>
        <w:t>. Each named executive officer would receive an additional amount equal to 100% of the named executive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officer’s annual target bonus for the year in which such termination occurs, with such amount also payable over twelve (12) months following any qualifying termination of employment.</w:t>
      </w:r>
    </w:p>
    <w:p>
      <w:pPr>
        <w:spacing w:after="0" w:line="141" w:lineRule="exact"/>
        <w:rPr>
          <w:rFonts w:ascii="Times New Roman" w:cs="Times New Roman" w:eastAsia="Times New Roman" w:hAnsi="Times New Roman"/>
          <w:sz w:val="15"/>
          <w:szCs w:val="15"/>
          <w:color w:val="auto"/>
        </w:rPr>
      </w:pPr>
    </w:p>
    <w:p>
      <w:pPr>
        <w:ind w:left="860" w:right="119" w:hanging="276"/>
        <w:spacing w:after="0" w:line="294" w:lineRule="auto"/>
        <w:tabs>
          <w:tab w:leader="none" w:pos="86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Benefits continuation. </w:t>
      </w:r>
      <w:r>
        <w:rPr>
          <w:rFonts w:ascii="Times New Roman" w:cs="Times New Roman" w:eastAsia="Times New Roman" w:hAnsi="Times New Roman"/>
          <w:sz w:val="15"/>
          <w:szCs w:val="15"/>
          <w:color w:val="auto"/>
        </w:rPr>
        <w:t>Each named executive officer would continue to receive Company-paid premiums for continued group health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benefits under COBRA during the severance period.</w:t>
      </w:r>
    </w:p>
    <w:p>
      <w:pPr>
        <w:spacing w:after="0" w:line="124" w:lineRule="exact"/>
        <w:rPr>
          <w:rFonts w:ascii="Times New Roman" w:cs="Times New Roman" w:eastAsia="Times New Roman" w:hAnsi="Times New Roman"/>
          <w:sz w:val="15"/>
          <w:szCs w:val="15"/>
          <w:color w:val="auto"/>
        </w:rPr>
      </w:pPr>
    </w:p>
    <w:p>
      <w:pPr>
        <w:ind w:left="860" w:right="179" w:hanging="276"/>
        <w:spacing w:after="0" w:line="294" w:lineRule="auto"/>
        <w:tabs>
          <w:tab w:leader="none" w:pos="86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Partially accelerated vesting of equity incentives</w:t>
      </w:r>
      <w:r>
        <w:rPr>
          <w:rFonts w:ascii="Times New Roman" w:cs="Times New Roman" w:eastAsia="Times New Roman" w:hAnsi="Times New Roman"/>
          <w:sz w:val="15"/>
          <w:szCs w:val="15"/>
          <w:color w:val="auto"/>
        </w:rPr>
        <w:t>. Each named executive officer would receive partial acceleration of the vesting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outstanding restricted stock awards to the next annual vesting date immediately following the date of termination.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0" w:right="59" w:hanging="276"/>
        <w:spacing w:after="0" w:line="273" w:lineRule="auto"/>
        <w:tabs>
          <w:tab w:leader="none" w:pos="86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Fully accelerated vesting of equity incentives</w:t>
      </w:r>
      <w:r>
        <w:rPr>
          <w:rFonts w:ascii="Times New Roman" w:cs="Times New Roman" w:eastAsia="Times New Roman" w:hAnsi="Times New Roman"/>
          <w:sz w:val="15"/>
          <w:szCs w:val="15"/>
          <w:color w:val="auto"/>
        </w:rPr>
        <w:t>. In the event of a termination by us without Cause or by the executive for Good Reason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within twelve (12) months following a Change in Control, each named executive officer would receive full acceleration of the vesting of their outstanding restricted stock awards.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See “Executive Employment Agreements” and “Potential Payments Upon Termination or Change in Control” for additional detail.</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Impact of Performance on Compensation</w:t>
      </w:r>
    </w:p>
    <w:p>
      <w:pPr>
        <w:spacing w:after="0" w:line="196" w:lineRule="exact"/>
        <w:rPr>
          <w:sz w:val="20"/>
          <w:szCs w:val="20"/>
          <w:color w:val="auto"/>
        </w:rPr>
      </w:pPr>
    </w:p>
    <w:p>
      <w:pPr>
        <w:ind w:left="40" w:right="119" w:firstLine="547"/>
        <w:spacing w:after="0" w:line="258" w:lineRule="auto"/>
        <w:rPr>
          <w:sz w:val="20"/>
          <w:szCs w:val="20"/>
          <w:color w:val="auto"/>
        </w:rPr>
      </w:pPr>
      <w:r>
        <w:rPr>
          <w:rFonts w:ascii="Times New Roman" w:cs="Times New Roman" w:eastAsia="Times New Roman" w:hAnsi="Times New Roman"/>
          <w:sz w:val="15"/>
          <w:szCs w:val="15"/>
          <w:color w:val="auto"/>
        </w:rPr>
        <w:t xml:space="preserve">For 2021, each of our named executive officers participated in the Annual Cash Incentive Plan, other than Mr. Briggs (as further described below). Under the Annual Cash Incentive Plan as in effect for 2021,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2021, we defined Adjusted EBITDA for purposes of the Annual Cash Incentive Plan in a manner consistent with the definition we use when reporting our financial results. See </w:t>
      </w:r>
      <w:r>
        <w:rPr>
          <w:rFonts w:ascii="Times New Roman" w:cs="Times New Roman" w:eastAsia="Times New Roman" w:hAnsi="Times New Roman"/>
          <w:sz w:val="15"/>
          <w:szCs w:val="15"/>
          <w:i w:val="1"/>
          <w:iCs w:val="1"/>
          <w:color w:val="auto"/>
        </w:rPr>
        <w:t>Item 7, Management’s Discussion and Analysis of Financial Condition and Results of Operations – Adjusted EBITDA (Non- GAAP</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Financial Measure), </w:t>
      </w:r>
      <w:r>
        <w:rPr>
          <w:rFonts w:ascii="Times New Roman" w:cs="Times New Roman" w:eastAsia="Times New Roman" w:hAnsi="Times New Roman"/>
          <w:sz w:val="15"/>
          <w:szCs w:val="15"/>
          <w:color w:val="auto"/>
        </w:rPr>
        <w:t>beginning on page 58 of our Annual Report on Form 10-K for the fiscal year ended December 31, 2021 for information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regarding our use and calculation of Adjusted EBITDA. As such, we believe it is fair and reasonable to our executives to assess their individual performance on the same basis as our performance is assessed by our Board of Directors and investors.</w:t>
      </w:r>
    </w:p>
    <w:p>
      <w:pPr>
        <w:spacing w:after="0" w:line="152" w:lineRule="exact"/>
        <w:rPr>
          <w:sz w:val="20"/>
          <w:szCs w:val="20"/>
          <w:color w:val="auto"/>
        </w:rPr>
      </w:pPr>
    </w:p>
    <w:p>
      <w:pPr>
        <w:ind w:left="40" w:right="139" w:firstLine="547"/>
        <w:spacing w:after="0" w:line="263" w:lineRule="auto"/>
        <w:rPr>
          <w:sz w:val="20"/>
          <w:szCs w:val="20"/>
          <w:color w:val="auto"/>
        </w:rPr>
      </w:pPr>
      <w:r>
        <w:rPr>
          <w:rFonts w:ascii="Times New Roman" w:cs="Times New Roman" w:eastAsia="Times New Roman" w:hAnsi="Times New Roman"/>
          <w:sz w:val="15"/>
          <w:szCs w:val="15"/>
          <w:i w:val="1"/>
          <w:iCs w:val="1"/>
          <w:color w:val="auto"/>
        </w:rPr>
        <w:t>Company performance</w:t>
      </w:r>
      <w:r>
        <w:rPr>
          <w:rFonts w:ascii="Times New Roman" w:cs="Times New Roman" w:eastAsia="Times New Roman" w:hAnsi="Times New Roman"/>
          <w:sz w:val="15"/>
          <w:szCs w:val="15"/>
          <w:color w:val="auto"/>
        </w:rPr>
        <w:t>. For our named executive officers on the Annual Cash Incentive Plan, the financial metrics account for 100%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target bonus, with the resulting amount subject to reduction based on the Compensation Committee’s assessment of the particular named executive officer’s personal performance and contribution to our overall results. For other plan participants on the Senior Management Plan (as defined below), the financial metrics account for 60% of the target bonus and specific individual performance goals account for 40% of the target bonus.</w:t>
      </w:r>
    </w:p>
    <w:p>
      <w:pPr>
        <w:spacing w:after="0" w:line="150" w:lineRule="exact"/>
        <w:rPr>
          <w:sz w:val="20"/>
          <w:szCs w:val="20"/>
          <w:color w:val="auto"/>
        </w:rPr>
      </w:pPr>
    </w:p>
    <w:p>
      <w:pPr>
        <w:ind w:left="40" w:right="299" w:firstLine="547"/>
        <w:spacing w:after="0" w:line="273" w:lineRule="auto"/>
        <w:rPr>
          <w:sz w:val="20"/>
          <w:szCs w:val="20"/>
          <w:color w:val="auto"/>
        </w:rPr>
      </w:pPr>
      <w:r>
        <w:rPr>
          <w:rFonts w:ascii="Times New Roman" w:cs="Times New Roman" w:eastAsia="Times New Roman" w:hAnsi="Times New Roman"/>
          <w:sz w:val="15"/>
          <w:szCs w:val="15"/>
          <w:i w:val="1"/>
          <w:iCs w:val="1"/>
          <w:color w:val="auto"/>
        </w:rPr>
        <w:t>Individual performance</w:t>
      </w:r>
      <w:r>
        <w:rPr>
          <w:rFonts w:ascii="Times New Roman" w:cs="Times New Roman" w:eastAsia="Times New Roman" w:hAnsi="Times New Roman"/>
          <w:sz w:val="15"/>
          <w:szCs w:val="15"/>
          <w:color w:val="auto"/>
        </w:rPr>
        <w:t>. In reviewing individual performance, we look at an executive’s achievement of non-financial objectives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respect to a given participant, may include achieving objectives related to, among other things, program development and expansion, regulatory compliance, student retention and academic outcomes.</w:t>
      </w:r>
    </w:p>
    <w:p>
      <w:pPr>
        <w:spacing w:after="0" w:line="141" w:lineRule="exact"/>
        <w:rPr>
          <w:sz w:val="20"/>
          <w:szCs w:val="20"/>
          <w:color w:val="auto"/>
        </w:rPr>
      </w:pPr>
    </w:p>
    <w:p>
      <w:pPr>
        <w:jc w:val="both"/>
        <w:ind w:left="40" w:right="79" w:firstLine="547"/>
        <w:spacing w:after="0" w:line="273" w:lineRule="auto"/>
        <w:rPr>
          <w:sz w:val="20"/>
          <w:szCs w:val="20"/>
          <w:color w:val="auto"/>
        </w:rPr>
      </w:pPr>
      <w:r>
        <w:rPr>
          <w:rFonts w:ascii="Times New Roman" w:cs="Times New Roman" w:eastAsia="Times New Roman" w:hAnsi="Times New Roman"/>
          <w:sz w:val="15"/>
          <w:szCs w:val="15"/>
          <w:i w:val="1"/>
          <w:iCs w:val="1"/>
          <w:color w:val="auto"/>
        </w:rPr>
        <w:t>Calculation of bonuses</w:t>
      </w:r>
      <w:r>
        <w:rPr>
          <w:rFonts w:ascii="Times New Roman" w:cs="Times New Roman" w:eastAsia="Times New Roman" w:hAnsi="Times New Roman"/>
          <w:sz w:val="15"/>
          <w:szCs w:val="15"/>
          <w:color w:val="auto"/>
        </w:rPr>
        <w:t>. For each named executive officer on the Annual Cash Incentive Plan, the Compensation Committee establishes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target bonus, which is stated as a percentage of the named executive officer’s base salary. For 2021, the bonus opportunity as a percentage of base salary for each of the named executive officers on the Annual Cash Incentive Plan were as follows: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Bonus Opportunity as a</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rPr>
              <w:t>Percentage of</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6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r>
              <w:rPr>
                <w:rFonts w:ascii="Times New Roman" w:cs="Times New Roman" w:eastAsia="Times New Roman" w:hAnsi="Times New Roman"/>
                <w:sz w:val="9"/>
                <w:szCs w:val="9"/>
                <w:b w:val="1"/>
                <w:bCs w:val="1"/>
                <w:color w:val="auto"/>
              </w:rPr>
              <w:t>(1)</w:t>
            </w:r>
          </w:p>
        </w:tc>
        <w:tc>
          <w:tcPr>
            <w:tcW w:w="140" w:type="dxa"/>
            <w:vAlign w:val="bottom"/>
            <w:vMerge w:val="restart"/>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Base Salary</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2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820" w:type="dxa"/>
            <w:vAlign w:val="bottom"/>
            <w:tcBorders>
              <w:bottom w:val="single" w:sz="8" w:color="auto"/>
            </w:tcBorders>
          </w:tcPr>
          <w:p>
            <w:pPr>
              <w:ind w:left="140"/>
              <w:spacing w:after="0" w:line="117"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2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7"/>
              </w:rPr>
              <w:t>Target</w:t>
            </w:r>
          </w:p>
        </w:tc>
        <w:tc>
          <w:tcPr>
            <w:tcW w:w="2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87"/>
              <w:spacing w:after="0" w:line="117"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Brian E. Mueller</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5"/>
                <w:szCs w:val="15"/>
                <w:color w:val="auto"/>
              </w:rPr>
              <w:t>50.0%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2"/>
        </w:trPr>
        <w:tc>
          <w:tcPr>
            <w:tcW w:w="5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Dr. W. Stan Meyer</w:t>
            </w:r>
          </w:p>
        </w:tc>
        <w:tc>
          <w:tcPr>
            <w:tcW w:w="1060" w:type="dxa"/>
            <w:vAlign w:val="bottom"/>
            <w:gridSpan w:val="2"/>
          </w:tcPr>
          <w:p>
            <w:pPr>
              <w:jc w:val="right"/>
              <w:ind w:right="59"/>
              <w:spacing w:after="0"/>
              <w:rPr>
                <w:sz w:val="20"/>
                <w:szCs w:val="20"/>
                <w:color w:val="auto"/>
              </w:rPr>
            </w:pPr>
            <w:r>
              <w:rPr>
                <w:rFonts w:ascii="Times New Roman" w:cs="Times New Roman" w:eastAsia="Times New Roman" w:hAnsi="Times New Roman"/>
                <w:sz w:val="15"/>
                <w:szCs w:val="15"/>
                <w:color w:val="auto"/>
              </w:rPr>
              <w:t>37.5%</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112.5 %</w:t>
            </w:r>
          </w:p>
        </w:tc>
        <w:tc>
          <w:tcPr>
            <w:tcW w:w="0" w:type="dxa"/>
            <w:vAlign w:val="bottom"/>
          </w:tcPr>
          <w:p>
            <w:pPr>
              <w:spacing w:after="0"/>
              <w:rPr>
                <w:sz w:val="1"/>
                <w:szCs w:val="1"/>
                <w:color w:val="auto"/>
              </w:rPr>
            </w:pPr>
          </w:p>
        </w:tc>
      </w:tr>
      <w:tr>
        <w:trPr>
          <w:trHeight w:val="182"/>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E. Bachus</w:t>
            </w:r>
          </w:p>
        </w:tc>
        <w:tc>
          <w:tcPr>
            <w:tcW w:w="10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5"/>
                <w:szCs w:val="15"/>
                <w:color w:val="auto"/>
              </w:rPr>
              <w:t>37.5%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112.5 %</w:t>
            </w:r>
          </w:p>
        </w:tc>
        <w:tc>
          <w:tcPr>
            <w:tcW w:w="0" w:type="dxa"/>
            <w:vAlign w:val="bottom"/>
          </w:tcPr>
          <w:p>
            <w:pPr>
              <w:spacing w:after="0"/>
              <w:rPr>
                <w:sz w:val="1"/>
                <w:szCs w:val="1"/>
                <w:color w:val="auto"/>
              </w:rPr>
            </w:pPr>
          </w:p>
        </w:tc>
      </w:tr>
      <w:tr>
        <w:trPr>
          <w:trHeight w:val="182"/>
        </w:trPr>
        <w:tc>
          <w:tcPr>
            <w:tcW w:w="5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Dilek Marsh</w:t>
            </w:r>
          </w:p>
        </w:tc>
        <w:tc>
          <w:tcPr>
            <w:tcW w:w="1060" w:type="dxa"/>
            <w:vAlign w:val="bottom"/>
            <w:gridSpan w:val="2"/>
          </w:tcPr>
          <w:p>
            <w:pPr>
              <w:jc w:val="right"/>
              <w:ind w:right="59"/>
              <w:spacing w:after="0"/>
              <w:rPr>
                <w:sz w:val="20"/>
                <w:szCs w:val="20"/>
                <w:color w:val="auto"/>
              </w:rPr>
            </w:pPr>
            <w:r>
              <w:rPr>
                <w:rFonts w:ascii="Times New Roman" w:cs="Times New Roman" w:eastAsia="Times New Roman" w:hAnsi="Times New Roman"/>
                <w:sz w:val="15"/>
                <w:szCs w:val="15"/>
                <w:color w:val="auto"/>
              </w:rPr>
              <w:t>17.8%</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35.6%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53.5 %</w:t>
            </w:r>
          </w:p>
        </w:tc>
        <w:tc>
          <w:tcPr>
            <w:tcW w:w="0" w:type="dxa"/>
            <w:vAlign w:val="bottom"/>
          </w:tcPr>
          <w:p>
            <w:pPr>
              <w:spacing w:after="0"/>
              <w:rPr>
                <w:sz w:val="1"/>
                <w:szCs w:val="1"/>
                <w:color w:val="auto"/>
              </w:rPr>
            </w:pPr>
          </w:p>
        </w:tc>
      </w:tr>
      <w:tr>
        <w:trPr>
          <w:trHeight w:val="182"/>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J. Briggs</w:t>
            </w:r>
          </w:p>
        </w:tc>
        <w:tc>
          <w:tcPr>
            <w:tcW w:w="10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5"/>
                <w:szCs w:val="15"/>
                <w:color w:val="auto"/>
              </w:rPr>
              <w:t>52.5%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97.5 %</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0" w:right="99" w:firstLine="547"/>
        <w:spacing w:after="0" w:line="258" w:lineRule="auto"/>
        <w:rPr>
          <w:sz w:val="20"/>
          <w:szCs w:val="20"/>
          <w:color w:val="auto"/>
        </w:rPr>
      </w:pPr>
      <w:r>
        <w:rPr>
          <w:rFonts w:ascii="Times New Roman" w:cs="Times New Roman" w:eastAsia="Times New Roman" w:hAnsi="Times New Roman"/>
          <w:sz w:val="15"/>
          <w:szCs w:val="15"/>
          <w:color w:val="auto"/>
        </w:rPr>
        <w:t>For these executive officers,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the threshold targets established for both the revenue and Adjusted EBITDA goals. Assuming both of these thresholds are achieved, payouts are made based on the Company’s achievement of the revenue goal and Adjusted EBITDA goal, with achievement of both goals at the threshold level resulting in a bonus of 50% of the target bonus and achievement of both goals at the maximum level resulting in a bonus of 150% of the target bonus. Performance between threshold and maximum levels results in prorated payments using straight-line interpolation.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Shown below is a summary of the matrix described above:</w:t>
      </w:r>
    </w:p>
    <w:p>
      <w:pPr>
        <w:spacing w:after="0" w:line="197" w:lineRule="exact"/>
        <w:rPr>
          <w:sz w:val="20"/>
          <w:szCs w:val="20"/>
          <w:color w:val="auto"/>
        </w:rPr>
      </w:pPr>
    </w:p>
    <w:tbl>
      <w:tblPr>
        <w:tblLayout w:type="fixed"/>
        <w:tblInd w:w="940" w:type="dxa"/>
        <w:tblCellMar>
          <w:top w:w="0" w:type="dxa"/>
          <w:left w:w="0" w:type="dxa"/>
          <w:bottom w:w="0" w:type="dxa"/>
          <w:right w:w="0" w:type="dxa"/>
        </w:tblCellMar>
      </w:tblPr>
      <w:tr>
        <w:trPr>
          <w:trHeight w:val="147"/>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Goal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Threshold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2"/>
              </w:rPr>
              <w:t>Target</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Maximum</w:t>
            </w:r>
          </w:p>
        </w:tc>
      </w:tr>
      <w:tr>
        <w:trPr>
          <w:trHeight w:val="174"/>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 goal (50.0% of financial metric)</w:t>
            </w: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 of goal</w:t>
            </w:r>
          </w:p>
        </w:tc>
        <w:tc>
          <w:tcPr>
            <w:tcW w:w="1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100% of goal</w:t>
            </w:r>
          </w:p>
        </w:tc>
        <w:tc>
          <w:tcPr>
            <w:tcW w:w="1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150% of goal</w:t>
            </w:r>
          </w:p>
        </w:tc>
      </w:tr>
      <w:tr>
        <w:trPr>
          <w:trHeight w:val="182"/>
        </w:trPr>
        <w:tc>
          <w:tcPr>
            <w:tcW w:w="3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Adjusted EBITDA (50.0% of financial metric)</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50% of goal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8"/>
              </w:rPr>
              <w:t>100% of goal</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150% of goal</w:t>
            </w:r>
          </w:p>
        </w:tc>
      </w:tr>
      <w:tr>
        <w:trPr>
          <w:trHeight w:val="182"/>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Bonus payout as a % of target bonus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150%</w:t>
            </w:r>
          </w:p>
        </w:tc>
      </w:tr>
    </w:tbl>
    <w:p>
      <w:pPr>
        <w:spacing w:after="0" w:line="168" w:lineRule="exact"/>
        <w:rPr>
          <w:sz w:val="20"/>
          <w:szCs w:val="20"/>
          <w:color w:val="auto"/>
        </w:rPr>
      </w:pPr>
    </w:p>
    <w:p>
      <w:pPr>
        <w:ind w:left="40" w:right="59" w:firstLine="547"/>
        <w:spacing w:after="0" w:line="258" w:lineRule="auto"/>
        <w:rPr>
          <w:sz w:val="20"/>
          <w:szCs w:val="20"/>
          <w:color w:val="auto"/>
        </w:rPr>
      </w:pPr>
      <w:r>
        <w:rPr>
          <w:rFonts w:ascii="Times New Roman" w:cs="Times New Roman" w:eastAsia="Times New Roman" w:hAnsi="Times New Roman"/>
          <w:sz w:val="15"/>
          <w:szCs w:val="15"/>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2021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of the bonus is payable at that level) and the Adjusted EBITDA target is achieved at the target level (so that 100% of the Adjusted EBITDA component of the bonus is payable at that level) the participant would be entitled to a potential bonus of $112,500, calculated as $37,500 (50% of the revenue component) plus $75,000 (100% of the Adjusted EBITDA component).</w:t>
      </w:r>
    </w:p>
    <w:p>
      <w:pPr>
        <w:spacing w:after="0" w:line="159" w:lineRule="exact"/>
        <w:rPr>
          <w:sz w:val="20"/>
          <w:szCs w:val="20"/>
          <w:color w:val="auto"/>
        </w:rPr>
      </w:pPr>
    </w:p>
    <w:p>
      <w:pPr>
        <w:ind w:left="40" w:right="79" w:firstLine="547"/>
        <w:spacing w:after="0" w:line="260" w:lineRule="auto"/>
        <w:rPr>
          <w:sz w:val="20"/>
          <w:szCs w:val="20"/>
          <w:color w:val="auto"/>
        </w:rPr>
      </w:pPr>
      <w:r>
        <w:rPr>
          <w:rFonts w:ascii="Times New Roman" w:cs="Times New Roman" w:eastAsia="Times New Roman" w:hAnsi="Times New Roman"/>
          <w:sz w:val="15"/>
          <w:szCs w:val="15"/>
          <w:color w:val="auto"/>
        </w:rPr>
        <w:t>The plan for eligible senior management (the “Senior Management Plan”) differs from the Annual Cash Incentive Plan in that it includes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participating in this plan, the bonus under the Senior Management Plan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52" w:lineRule="exact"/>
        <w:rPr>
          <w:sz w:val="20"/>
          <w:szCs w:val="20"/>
          <w:color w:val="auto"/>
        </w:rPr>
      </w:pPr>
    </w:p>
    <w:p>
      <w:pPr>
        <w:ind w:left="40" w:right="59" w:firstLine="547"/>
        <w:spacing w:after="0" w:line="258" w:lineRule="auto"/>
        <w:rPr>
          <w:sz w:val="20"/>
          <w:szCs w:val="20"/>
          <w:color w:val="auto"/>
        </w:rPr>
      </w:pPr>
      <w:r>
        <w:rPr>
          <w:rFonts w:ascii="Times New Roman" w:cs="Times New Roman" w:eastAsia="Times New Roman" w:hAnsi="Times New Roman"/>
          <w:sz w:val="15"/>
          <w:szCs w:val="15"/>
          <w:i w:val="1"/>
          <w:iCs w:val="1"/>
          <w:color w:val="auto"/>
        </w:rPr>
        <w:t>Changes to performance goals and target awards</w:t>
      </w:r>
      <w:r>
        <w:rPr>
          <w:rFonts w:ascii="Times New Roman" w:cs="Times New Roman" w:eastAsia="Times New Roman" w:hAnsi="Times New Roman"/>
          <w:sz w:val="15"/>
          <w:szCs w:val="15"/>
          <w:color w:val="auto"/>
        </w:rPr>
        <w:t>. In accordance with the terms of the Annual Cash Incentive Plan, at any time prior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final 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(including the financial impacts of a unique circumstance such as the COVID-19 pandemic),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156" w:lineRule="exact"/>
        <w:rPr>
          <w:sz w:val="20"/>
          <w:szCs w:val="20"/>
          <w:color w:val="auto"/>
        </w:rPr>
      </w:pPr>
    </w:p>
    <w:p>
      <w:pPr>
        <w:ind w:left="40" w:right="59" w:firstLine="547"/>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2021 financial goals. </w:t>
      </w:r>
      <w:r>
        <w:rPr>
          <w:rFonts w:ascii="Times New Roman" w:cs="Times New Roman" w:eastAsia="Times New Roman" w:hAnsi="Times New Roman"/>
          <w:sz w:val="15"/>
          <w:szCs w:val="15"/>
          <w:color w:val="auto"/>
        </w:rPr>
        <w:t>The following table shows the Company-wide financial goals established for the named executive officers for 2021.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These financial goals were selected based upon a combination of the Company’s internal budget and analyst estimates, which the Compensation Committee believes establishes an appropriate level at which to set goals in order to maximize the incentive for superior performance, as adjusted for the COVID-19 financial impacts that we discussed in our 2021 Annual Report on Form 10-K and quantified in our Form 8-K filed on February 16, 2022 as referenced above.</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47"/>
        </w:trPr>
        <w:tc>
          <w:tcPr>
            <w:tcW w:w="3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2"/>
                <w:szCs w:val="12"/>
                <w:b w:val="1"/>
                <w:bCs w:val="1"/>
                <w:color w:val="auto"/>
              </w:rPr>
              <w:t>Threshold</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2"/>
                <w:szCs w:val="12"/>
                <w:b w:val="1"/>
                <w:bCs w:val="1"/>
                <w:color w:val="auto"/>
              </w:rPr>
              <w:t>Maximum</w:t>
            </w:r>
          </w:p>
        </w:tc>
      </w:tr>
      <w:tr>
        <w:trPr>
          <w:trHeight w:val="17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889,700,000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897,700,000</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905,700,000</w:t>
            </w:r>
          </w:p>
        </w:tc>
      </w:tr>
      <w:tr>
        <w:trPr>
          <w:trHeight w:val="201"/>
        </w:trPr>
        <w:tc>
          <w:tcPr>
            <w:tcW w:w="34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Adjusted EBITDA</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320,475,000</w:t>
            </w:r>
          </w:p>
        </w:tc>
        <w:tc>
          <w:tcPr>
            <w:tcW w:w="30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328,475,000</w:t>
            </w: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336,475,000</w:t>
            </w:r>
          </w:p>
        </w:tc>
      </w:tr>
    </w:tbl>
    <w:p>
      <w:pPr>
        <w:spacing w:after="0" w:line="54" w:lineRule="exact"/>
        <w:rPr>
          <w:sz w:val="20"/>
          <w:szCs w:val="20"/>
          <w:color w:val="auto"/>
        </w:rPr>
      </w:pPr>
    </w:p>
    <w:p>
      <w:pPr>
        <w:ind w:left="40" w:right="119" w:firstLine="547"/>
        <w:spacing w:after="0" w:line="273" w:lineRule="auto"/>
        <w:rPr>
          <w:sz w:val="20"/>
          <w:szCs w:val="20"/>
          <w:color w:val="auto"/>
        </w:rPr>
      </w:pPr>
      <w:r>
        <w:rPr>
          <w:rFonts w:ascii="Times New Roman" w:cs="Times New Roman" w:eastAsia="Times New Roman" w:hAnsi="Times New Roman"/>
          <w:sz w:val="15"/>
          <w:szCs w:val="15"/>
          <w:i w:val="1"/>
          <w:iCs w:val="1"/>
          <w:color w:val="auto"/>
        </w:rPr>
        <w:t>Actual performance vs. compensation paid for 2021</w:t>
      </w:r>
      <w:r>
        <w:rPr>
          <w:rFonts w:ascii="Times New Roman" w:cs="Times New Roman" w:eastAsia="Times New Roman" w:hAnsi="Times New Roman"/>
          <w:sz w:val="15"/>
          <w:szCs w:val="15"/>
          <w:color w:val="auto"/>
        </w:rPr>
        <w:t>. For 2021, the Company achieved revenue of $896.6 million and Adjusted EBITDA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$328.2 million, each of which exceeded the threshold level of achievement but was less than the target level of achievement and resulted in performance payout percentages equal to 92.9% for the</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right="79"/>
        <w:spacing w:after="0" w:line="288" w:lineRule="auto"/>
        <w:rPr>
          <w:sz w:val="20"/>
          <w:szCs w:val="20"/>
          <w:color w:val="auto"/>
        </w:rPr>
      </w:pPr>
      <w:r>
        <w:rPr>
          <w:rFonts w:ascii="Times New Roman" w:cs="Times New Roman" w:eastAsia="Times New Roman" w:hAnsi="Times New Roman"/>
          <w:sz w:val="15"/>
          <w:szCs w:val="15"/>
          <w:color w:val="auto"/>
        </w:rPr>
        <w:t>revenue component of the incentive bonus and 98.0% for the Adjusted EBITDA component of the incentive target bonus. Accordingly, the named executive officers achieved incentive bonuses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184"/>
              <w:spacing w:after="0"/>
              <w:rPr>
                <w:sz w:val="20"/>
                <w:szCs w:val="20"/>
                <w:color w:val="auto"/>
              </w:rPr>
            </w:pPr>
            <w:r>
              <w:rPr>
                <w:rFonts w:ascii="Times New Roman" w:cs="Times New Roman" w:eastAsia="Times New Roman" w:hAnsi="Times New Roman"/>
                <w:sz w:val="12"/>
                <w:szCs w:val="12"/>
                <w:b w:val="1"/>
                <w:bCs w:val="1"/>
                <w:color w:val="auto"/>
              </w:rPr>
              <w:t>Adjusted</w:t>
            </w:r>
          </w:p>
        </w:tc>
        <w:tc>
          <w:tcPr>
            <w:tcW w:w="1160" w:type="dxa"/>
            <w:vAlign w:val="bottom"/>
            <w:gridSpan w:val="2"/>
            <w:vMerge w:val="restart"/>
          </w:tcPr>
          <w:p>
            <w:pPr>
              <w:jc w:val="center"/>
              <w:ind w:right="164"/>
              <w:spacing w:after="0"/>
              <w:rPr>
                <w:sz w:val="20"/>
                <w:szCs w:val="20"/>
                <w:color w:val="auto"/>
              </w:rPr>
            </w:pPr>
            <w:r>
              <w:rPr>
                <w:rFonts w:ascii="Times New Roman" w:cs="Times New Roman" w:eastAsia="Times New Roman" w:hAnsi="Times New Roman"/>
                <w:sz w:val="12"/>
                <w:szCs w:val="12"/>
                <w:b w:val="1"/>
                <w:bCs w:val="1"/>
                <w:color w:val="auto"/>
                <w:w w:val="98"/>
              </w:rPr>
              <w:t>2021 Bonus as</w:t>
            </w:r>
          </w:p>
        </w:tc>
        <w:tc>
          <w:tcPr>
            <w:tcW w:w="1020" w:type="dxa"/>
            <w:vAlign w:val="bottom"/>
            <w:gridSpan w:val="2"/>
          </w:tcPr>
          <w:p>
            <w:pPr>
              <w:jc w:val="center"/>
              <w:ind w:right="104"/>
              <w:spacing w:after="0"/>
              <w:rPr>
                <w:sz w:val="20"/>
                <w:szCs w:val="20"/>
                <w:color w:val="auto"/>
              </w:rPr>
            </w:pPr>
            <w:r>
              <w:rPr>
                <w:rFonts w:ascii="Times New Roman" w:cs="Times New Roman" w:eastAsia="Times New Roman" w:hAnsi="Times New Roman"/>
                <w:sz w:val="12"/>
                <w:szCs w:val="12"/>
                <w:b w:val="1"/>
                <w:bCs w:val="1"/>
                <w:color w:val="auto"/>
              </w:rPr>
              <w:t>2021 Bonus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164"/>
              <w:spacing w:after="0"/>
              <w:rPr>
                <w:sz w:val="20"/>
                <w:szCs w:val="20"/>
                <w:color w:val="auto"/>
              </w:rPr>
            </w:pPr>
            <w:r>
              <w:rPr>
                <w:rFonts w:ascii="Times New Roman" w:cs="Times New Roman" w:eastAsia="Times New Roman" w:hAnsi="Times New Roman"/>
                <w:sz w:val="12"/>
                <w:szCs w:val="12"/>
                <w:b w:val="1"/>
                <w:bCs w:val="1"/>
                <w:color w:val="auto"/>
                <w:w w:val="99"/>
              </w:rPr>
              <w:t>Revenue</w:t>
            </w:r>
          </w:p>
        </w:tc>
        <w:tc>
          <w:tcPr>
            <w:tcW w:w="110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20" w:type="dxa"/>
            <w:vAlign w:val="bottom"/>
            <w:gridSpan w:val="2"/>
          </w:tcPr>
          <w:p>
            <w:pPr>
              <w:jc w:val="center"/>
              <w:ind w:right="104"/>
              <w:spacing w:after="0" w:line="126" w:lineRule="exact"/>
              <w:rPr>
                <w:sz w:val="20"/>
                <w:szCs w:val="20"/>
                <w:color w:val="auto"/>
              </w:rPr>
            </w:pPr>
            <w:r>
              <w:rPr>
                <w:rFonts w:ascii="Times New Roman" w:cs="Times New Roman" w:eastAsia="Times New Roman" w:hAnsi="Times New Roman"/>
                <w:sz w:val="12"/>
                <w:szCs w:val="12"/>
                <w:b w:val="1"/>
                <w:bCs w:val="1"/>
                <w:color w:val="auto"/>
              </w:rPr>
              <w:t>as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00" w:type="dxa"/>
            <w:vAlign w:val="bottom"/>
            <w:gridSpan w:val="2"/>
          </w:tcPr>
          <w:p>
            <w:pPr>
              <w:jc w:val="center"/>
              <w:ind w:right="164"/>
              <w:spacing w:after="0" w:line="126" w:lineRule="exact"/>
              <w:rPr>
                <w:sz w:val="20"/>
                <w:szCs w:val="20"/>
                <w:color w:val="auto"/>
              </w:rPr>
            </w:pPr>
            <w:r>
              <w:rPr>
                <w:rFonts w:ascii="Times New Roman" w:cs="Times New Roman" w:eastAsia="Times New Roman" w:hAnsi="Times New Roman"/>
                <w:sz w:val="12"/>
                <w:szCs w:val="12"/>
                <w:b w:val="1"/>
                <w:bCs w:val="1"/>
                <w:color w:val="auto"/>
                <w:w w:val="99"/>
              </w:rPr>
              <w:t>EBITDA</w:t>
            </w:r>
          </w:p>
        </w:tc>
        <w:tc>
          <w:tcPr>
            <w:tcW w:w="1160" w:type="dxa"/>
            <w:vAlign w:val="bottom"/>
            <w:gridSpan w:val="2"/>
          </w:tcPr>
          <w:p>
            <w:pPr>
              <w:jc w:val="center"/>
              <w:ind w:right="164"/>
              <w:spacing w:after="0" w:line="126" w:lineRule="exact"/>
              <w:rPr>
                <w:sz w:val="20"/>
                <w:szCs w:val="20"/>
                <w:color w:val="auto"/>
              </w:rPr>
            </w:pPr>
            <w:r>
              <w:rPr>
                <w:rFonts w:ascii="Times New Roman" w:cs="Times New Roman" w:eastAsia="Times New Roman" w:hAnsi="Times New Roman"/>
                <w:sz w:val="12"/>
                <w:szCs w:val="12"/>
                <w:b w:val="1"/>
                <w:bCs w:val="1"/>
                <w:color w:val="auto"/>
              </w:rPr>
              <w:t>Percentage of</w:t>
            </w:r>
          </w:p>
        </w:tc>
        <w:tc>
          <w:tcPr>
            <w:tcW w:w="1020" w:type="dxa"/>
            <w:vAlign w:val="bottom"/>
            <w:gridSpan w:val="2"/>
          </w:tcPr>
          <w:p>
            <w:pPr>
              <w:jc w:val="center"/>
              <w:ind w:right="104"/>
              <w:spacing w:after="0" w:line="126" w:lineRule="exact"/>
              <w:rPr>
                <w:sz w:val="20"/>
                <w:szCs w:val="20"/>
                <w:color w:val="auto"/>
              </w:rPr>
            </w:pPr>
            <w:r>
              <w:rPr>
                <w:rFonts w:ascii="Times New Roman" w:cs="Times New Roman" w:eastAsia="Times New Roman" w:hAnsi="Times New Roman"/>
                <w:sz w:val="12"/>
                <w:szCs w:val="12"/>
                <w:b w:val="1"/>
                <w:bCs w:val="1"/>
                <w:color w:val="auto"/>
                <w:w w:val="98"/>
              </w:rPr>
              <w:t>Percentage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25"/>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120" w:type="dxa"/>
            <w:vAlign w:val="bottom"/>
            <w:gridSpan w:val="2"/>
          </w:tcPr>
          <w:p>
            <w:pPr>
              <w:jc w:val="center"/>
              <w:ind w:right="164"/>
              <w:spacing w:after="0" w:line="126" w:lineRule="exact"/>
              <w:rPr>
                <w:sz w:val="20"/>
                <w:szCs w:val="20"/>
                <w:color w:val="auto"/>
              </w:rPr>
            </w:pPr>
            <w:r>
              <w:rPr>
                <w:rFonts w:ascii="Times New Roman" w:cs="Times New Roman" w:eastAsia="Times New Roman" w:hAnsi="Times New Roman"/>
                <w:sz w:val="12"/>
                <w:szCs w:val="12"/>
                <w:b w:val="1"/>
                <w:bCs w:val="1"/>
                <w:color w:val="auto"/>
              </w:rPr>
              <w:t>Performance</w:t>
            </w:r>
          </w:p>
        </w:tc>
        <w:tc>
          <w:tcPr>
            <w:tcW w:w="1100" w:type="dxa"/>
            <w:vAlign w:val="bottom"/>
            <w:gridSpan w:val="2"/>
          </w:tcPr>
          <w:p>
            <w:pPr>
              <w:jc w:val="center"/>
              <w:ind w:right="184"/>
              <w:spacing w:after="0" w:line="126" w:lineRule="exact"/>
              <w:rPr>
                <w:sz w:val="20"/>
                <w:szCs w:val="20"/>
                <w:color w:val="auto"/>
              </w:rPr>
            </w:pPr>
            <w:r>
              <w:rPr>
                <w:rFonts w:ascii="Times New Roman" w:cs="Times New Roman" w:eastAsia="Times New Roman" w:hAnsi="Times New Roman"/>
                <w:sz w:val="12"/>
                <w:szCs w:val="12"/>
                <w:b w:val="1"/>
                <w:bCs w:val="1"/>
                <w:color w:val="auto"/>
              </w:rPr>
              <w:t>Performance</w:t>
            </w:r>
          </w:p>
        </w:tc>
        <w:tc>
          <w:tcPr>
            <w:tcW w:w="1160" w:type="dxa"/>
            <w:vAlign w:val="bottom"/>
            <w:gridSpan w:val="2"/>
          </w:tcPr>
          <w:p>
            <w:pPr>
              <w:jc w:val="center"/>
              <w:ind w:right="164"/>
              <w:spacing w:after="0" w:line="126" w:lineRule="exact"/>
              <w:rPr>
                <w:sz w:val="20"/>
                <w:szCs w:val="20"/>
                <w:color w:val="auto"/>
              </w:rPr>
            </w:pPr>
            <w:r>
              <w:rPr>
                <w:rFonts w:ascii="Times New Roman" w:cs="Times New Roman" w:eastAsia="Times New Roman" w:hAnsi="Times New Roman"/>
                <w:sz w:val="12"/>
                <w:szCs w:val="12"/>
                <w:b w:val="1"/>
                <w:bCs w:val="1"/>
                <w:color w:val="auto"/>
                <w:w w:val="97"/>
              </w:rPr>
              <w:t>Target Bonus</w:t>
            </w:r>
          </w:p>
        </w:tc>
        <w:tc>
          <w:tcPr>
            <w:tcW w:w="1020" w:type="dxa"/>
            <w:vAlign w:val="bottom"/>
            <w:gridSpan w:val="2"/>
          </w:tcPr>
          <w:p>
            <w:pPr>
              <w:jc w:val="center"/>
              <w:ind w:right="104"/>
              <w:spacing w:after="0" w:line="126" w:lineRule="exact"/>
              <w:rPr>
                <w:sz w:val="20"/>
                <w:szCs w:val="20"/>
                <w:color w:val="auto"/>
              </w:rPr>
            </w:pPr>
            <w:r>
              <w:rPr>
                <w:rFonts w:ascii="Times New Roman" w:cs="Times New Roman" w:eastAsia="Times New Roman" w:hAnsi="Times New Roman"/>
                <w:sz w:val="12"/>
                <w:szCs w:val="12"/>
                <w:b w:val="1"/>
                <w:bCs w:val="1"/>
                <w:color w:val="auto"/>
                <w:w w:val="97"/>
              </w:rPr>
              <w:t>of Base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500" w:type="dxa"/>
            <w:vAlign w:val="bottom"/>
            <w:gridSpan w:val="2"/>
            <w:vMerge w:val="continue"/>
          </w:tcPr>
          <w:p>
            <w:pPr>
              <w:spacing w:after="0"/>
              <w:rPr>
                <w:sz w:val="12"/>
                <w:szCs w:val="12"/>
                <w:color w:val="auto"/>
              </w:rPr>
            </w:pPr>
          </w:p>
        </w:tc>
        <w:tc>
          <w:tcPr>
            <w:tcW w:w="1120" w:type="dxa"/>
            <w:vAlign w:val="bottom"/>
            <w:gridSpan w:val="2"/>
          </w:tcPr>
          <w:p>
            <w:pPr>
              <w:jc w:val="center"/>
              <w:ind w:right="144"/>
              <w:spacing w:after="0"/>
              <w:rPr>
                <w:sz w:val="20"/>
                <w:szCs w:val="20"/>
                <w:color w:val="auto"/>
              </w:rPr>
            </w:pPr>
            <w:r>
              <w:rPr>
                <w:rFonts w:ascii="Times New Roman" w:cs="Times New Roman" w:eastAsia="Times New Roman" w:hAnsi="Times New Roman"/>
                <w:sz w:val="12"/>
                <w:szCs w:val="12"/>
                <w:b w:val="1"/>
                <w:bCs w:val="1"/>
                <w:color w:val="auto"/>
                <w:w w:val="98"/>
              </w:rPr>
              <w:t>Payout (%)</w:t>
            </w:r>
          </w:p>
        </w:tc>
        <w:tc>
          <w:tcPr>
            <w:tcW w:w="1100" w:type="dxa"/>
            <w:vAlign w:val="bottom"/>
            <w:gridSpan w:val="2"/>
          </w:tcPr>
          <w:p>
            <w:pPr>
              <w:jc w:val="center"/>
              <w:ind w:right="184"/>
              <w:spacing w:after="0"/>
              <w:rPr>
                <w:sz w:val="20"/>
                <w:szCs w:val="20"/>
                <w:color w:val="auto"/>
              </w:rPr>
            </w:pPr>
            <w:r>
              <w:rPr>
                <w:rFonts w:ascii="Times New Roman" w:cs="Times New Roman" w:eastAsia="Times New Roman" w:hAnsi="Times New Roman"/>
                <w:sz w:val="12"/>
                <w:szCs w:val="12"/>
                <w:b w:val="1"/>
                <w:bCs w:val="1"/>
                <w:color w:val="auto"/>
              </w:rPr>
              <w:t>Payout (%)</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Pr>
          <w:p>
            <w:pPr>
              <w:spacing w:after="0"/>
              <w:rPr>
                <w:sz w:val="12"/>
                <w:szCs w:val="12"/>
                <w:color w:val="auto"/>
              </w:rPr>
            </w:pPr>
          </w:p>
        </w:tc>
        <w:tc>
          <w:tcPr>
            <w:tcW w:w="1020" w:type="dxa"/>
            <w:vAlign w:val="bottom"/>
            <w:gridSpan w:val="2"/>
          </w:tcPr>
          <w:p>
            <w:pPr>
              <w:jc w:val="center"/>
              <w:ind w:right="104"/>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Bonus ($)</w:t>
            </w:r>
          </w:p>
        </w:tc>
        <w:tc>
          <w:tcPr>
            <w:tcW w:w="0" w:type="dxa"/>
            <w:vAlign w:val="bottom"/>
          </w:tcPr>
          <w:p>
            <w:pPr>
              <w:spacing w:after="0"/>
              <w:rPr>
                <w:sz w:val="1"/>
                <w:szCs w:val="1"/>
                <w:color w:val="auto"/>
              </w:rPr>
            </w:pPr>
          </w:p>
        </w:tc>
      </w:tr>
      <w:tr>
        <w:trPr>
          <w:trHeight w:val="174"/>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Brian E. Mueller</w:t>
            </w: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240" w:type="dxa"/>
            <w:vAlign w:val="bottom"/>
            <w:tcBorders>
              <w:top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220" w:type="dxa"/>
            <w:vAlign w:val="bottom"/>
            <w:tcBorders>
              <w:top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w:t>
            </w:r>
          </w:p>
        </w:tc>
        <w:tc>
          <w:tcPr>
            <w:tcW w:w="240" w:type="dxa"/>
            <w:vAlign w:val="bottom"/>
            <w:tcBorders>
              <w:top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306,353</w:t>
            </w:r>
          </w:p>
        </w:tc>
        <w:tc>
          <w:tcPr>
            <w:tcW w:w="0" w:type="dxa"/>
            <w:vAlign w:val="bottom"/>
          </w:tcPr>
          <w:p>
            <w:pPr>
              <w:spacing w:after="0"/>
              <w:rPr>
                <w:sz w:val="1"/>
                <w:szCs w:val="1"/>
                <w:color w:val="auto"/>
              </w:rPr>
            </w:pPr>
          </w:p>
        </w:tc>
      </w:tr>
      <w:tr>
        <w:trPr>
          <w:trHeight w:val="182"/>
        </w:trPr>
        <w:tc>
          <w:tcPr>
            <w:tcW w:w="3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Dr. W. Stan Meyer</w:t>
            </w:r>
          </w:p>
        </w:tc>
        <w:tc>
          <w:tcPr>
            <w:tcW w:w="11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92.9 %</w:t>
            </w:r>
          </w:p>
        </w:tc>
        <w:tc>
          <w:tcPr>
            <w:tcW w:w="110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98.0 %</w:t>
            </w:r>
          </w:p>
        </w:tc>
        <w:tc>
          <w:tcPr>
            <w:tcW w:w="11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95.4 %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71.6 %</w:t>
            </w: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279,154</w:t>
            </w:r>
          </w:p>
        </w:tc>
        <w:tc>
          <w:tcPr>
            <w:tcW w:w="0" w:type="dxa"/>
            <w:vAlign w:val="bottom"/>
          </w:tcPr>
          <w:p>
            <w:pPr>
              <w:spacing w:after="0"/>
              <w:rPr>
                <w:sz w:val="1"/>
                <w:szCs w:val="1"/>
                <w:color w:val="auto"/>
              </w:rPr>
            </w:pPr>
          </w:p>
        </w:tc>
      </w:tr>
      <w:tr>
        <w:trPr>
          <w:trHeight w:val="182"/>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E. Bachus</w:t>
            </w:r>
          </w:p>
        </w:tc>
        <w:tc>
          <w:tcPr>
            <w:tcW w:w="11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92.9 %</w:t>
            </w:r>
          </w:p>
        </w:tc>
        <w:tc>
          <w:tcPr>
            <w:tcW w:w="11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98.0 %</w:t>
            </w:r>
          </w:p>
        </w:tc>
        <w:tc>
          <w:tcPr>
            <w:tcW w:w="11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95.4 %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71.6 %</w:t>
            </w:r>
          </w:p>
        </w:tc>
        <w:tc>
          <w:tcPr>
            <w:tcW w:w="2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279,154</w:t>
            </w:r>
          </w:p>
        </w:tc>
        <w:tc>
          <w:tcPr>
            <w:tcW w:w="0" w:type="dxa"/>
            <w:vAlign w:val="bottom"/>
          </w:tcPr>
          <w:p>
            <w:pPr>
              <w:spacing w:after="0"/>
              <w:rPr>
                <w:sz w:val="1"/>
                <w:szCs w:val="1"/>
                <w:color w:val="auto"/>
              </w:rPr>
            </w:pPr>
          </w:p>
        </w:tc>
      </w:tr>
      <w:tr>
        <w:trPr>
          <w:trHeight w:val="182"/>
        </w:trPr>
        <w:tc>
          <w:tcPr>
            <w:tcW w:w="3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Dilek Marsh</w:t>
            </w:r>
          </w:p>
        </w:tc>
        <w:tc>
          <w:tcPr>
            <w:tcW w:w="11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92.9 %</w:t>
            </w:r>
          </w:p>
        </w:tc>
        <w:tc>
          <w:tcPr>
            <w:tcW w:w="110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98.0 %</w:t>
            </w:r>
          </w:p>
        </w:tc>
        <w:tc>
          <w:tcPr>
            <w:tcW w:w="11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95.4 %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34.0 %</w:t>
            </w: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95,437</w:t>
            </w:r>
          </w:p>
        </w:tc>
        <w:tc>
          <w:tcPr>
            <w:tcW w:w="0" w:type="dxa"/>
            <w:vAlign w:val="bottom"/>
          </w:tcPr>
          <w:p>
            <w:pPr>
              <w:spacing w:after="0"/>
              <w:rPr>
                <w:sz w:val="1"/>
                <w:szCs w:val="1"/>
                <w:color w:val="auto"/>
              </w:rPr>
            </w:pPr>
          </w:p>
        </w:tc>
      </w:tr>
      <w:tr>
        <w:trPr>
          <w:trHeight w:val="182"/>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J. Briggs</w:t>
            </w:r>
          </w:p>
        </w:tc>
        <w:tc>
          <w:tcPr>
            <w:tcW w:w="11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18.6 %</w:t>
            </w:r>
          </w:p>
        </w:tc>
        <w:tc>
          <w:tcPr>
            <w:tcW w:w="11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19.6 %</w:t>
            </w:r>
          </w:p>
        </w:tc>
        <w:tc>
          <w:tcPr>
            <w:tcW w:w="11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73.2 %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54.9 %</w:t>
            </w:r>
          </w:p>
        </w:tc>
        <w:tc>
          <w:tcPr>
            <w:tcW w:w="2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161,543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right="139" w:firstLine="547"/>
        <w:spacing w:after="0" w:line="273" w:lineRule="auto"/>
        <w:rPr>
          <w:sz w:val="20"/>
          <w:szCs w:val="20"/>
          <w:color w:val="auto"/>
        </w:rPr>
      </w:pPr>
      <w:r>
        <w:rPr>
          <w:rFonts w:ascii="Times New Roman" w:cs="Times New Roman" w:eastAsia="Times New Roman" w:hAnsi="Times New Roman"/>
          <w:sz w:val="15"/>
          <w:szCs w:val="15"/>
          <w:i w:val="1"/>
          <w:iCs w:val="1"/>
          <w:color w:val="auto"/>
        </w:rPr>
        <w:t>2021 individual goals</w:t>
      </w:r>
      <w:r>
        <w:rPr>
          <w:rFonts w:ascii="Times New Roman" w:cs="Times New Roman" w:eastAsia="Times New Roman" w:hAnsi="Times New Roman"/>
          <w:sz w:val="15"/>
          <w:szCs w:val="15"/>
          <w:color w:val="auto"/>
        </w:rPr>
        <w:t>. The individual performance goals applicable to the named executive officers in 2021 focused on each executive’s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achievement of one or more objectives that related to their specific duties and responsibilities on behalf of the Company. These individual goals included:</w:t>
      </w:r>
    </w:p>
    <w:p>
      <w:pPr>
        <w:spacing w:after="0" w:line="145" w:lineRule="exact"/>
        <w:rPr>
          <w:sz w:val="20"/>
          <w:szCs w:val="20"/>
          <w:color w:val="auto"/>
        </w:rPr>
      </w:pPr>
    </w:p>
    <w:p>
      <w:pPr>
        <w:ind w:left="860" w:hanging="276"/>
        <w:spacing w:after="0"/>
        <w:tabs>
          <w:tab w:leader="none" w:pos="8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Dr. Meyer and Mr. Bachus, collectively: to manage their individual departments within budget.</w:t>
      </w:r>
    </w:p>
    <w:p>
      <w:pPr>
        <w:spacing w:after="0" w:line="192" w:lineRule="exact"/>
        <w:rPr>
          <w:rFonts w:ascii="Times New Roman" w:cs="Times New Roman" w:eastAsia="Times New Roman" w:hAnsi="Times New Roman"/>
          <w:sz w:val="15"/>
          <w:szCs w:val="15"/>
          <w:color w:val="auto"/>
        </w:rPr>
      </w:pPr>
    </w:p>
    <w:p>
      <w:pPr>
        <w:ind w:left="860" w:right="59" w:hanging="276"/>
        <w:spacing w:after="0" w:line="265" w:lineRule="auto"/>
        <w:tabs>
          <w:tab w:leader="none" w:pos="8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Mr. Mueller, Dr. Meyer and Mr. Bachus, collectively: to work on key strategic initiatives for the Company including the future growth of the hybrid healthcare partnerships with new and existing university partners and new off-campus classroom and laboratory sites, continue to achieve growth goals set by our most significant partner and participate in a specified number of investor conferences and/or investor meetings.</w:t>
      </w:r>
    </w:p>
    <w:p>
      <w:pPr>
        <w:spacing w:after="0" w:line="150" w:lineRule="exact"/>
        <w:rPr>
          <w:rFonts w:ascii="Times New Roman" w:cs="Times New Roman" w:eastAsia="Times New Roman" w:hAnsi="Times New Roman"/>
          <w:sz w:val="15"/>
          <w:szCs w:val="15"/>
          <w:color w:val="auto"/>
        </w:rPr>
      </w:pPr>
    </w:p>
    <w:p>
      <w:pPr>
        <w:ind w:left="860" w:right="479" w:hanging="276"/>
        <w:spacing w:after="0" w:line="288" w:lineRule="auto"/>
        <w:tabs>
          <w:tab w:leader="none" w:pos="8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Mr. Mueller, Dr. Meyer and Mr. Bachus: to lead the Company’s corporate responsibility initiatives, including its efforts in expanding its environmental awareness, social responsibility and human capital, and governance initiatives.</w:t>
      </w:r>
    </w:p>
    <w:p>
      <w:pPr>
        <w:spacing w:after="0" w:line="133"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Dr. Meyer: to demonstrate leadership over key functional areas such as marketing, online operations and campus operations.</w:t>
      </w:r>
    </w:p>
    <w:p>
      <w:pPr>
        <w:spacing w:after="0" w:line="192" w:lineRule="exact"/>
        <w:rPr>
          <w:rFonts w:ascii="Times New Roman" w:cs="Times New Roman" w:eastAsia="Times New Roman" w:hAnsi="Times New Roman"/>
          <w:sz w:val="15"/>
          <w:szCs w:val="15"/>
          <w:color w:val="auto"/>
        </w:rPr>
      </w:pPr>
    </w:p>
    <w:p>
      <w:pPr>
        <w:ind w:left="860" w:right="699" w:hanging="276"/>
        <w:spacing w:after="0" w:line="288" w:lineRule="auto"/>
        <w:tabs>
          <w:tab w:leader="none" w:pos="8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Mr. Bachus: to manage the financial and reporting functions to ensure that no material weaknesses occurred within the Company’s financial reporting structure.</w:t>
      </w:r>
    </w:p>
    <w:p>
      <w:pPr>
        <w:spacing w:after="0" w:line="133" w:lineRule="exact"/>
        <w:rPr>
          <w:rFonts w:ascii="Times New Roman" w:cs="Times New Roman" w:eastAsia="Times New Roman" w:hAnsi="Times New Roman"/>
          <w:sz w:val="15"/>
          <w:szCs w:val="15"/>
          <w:color w:val="auto"/>
        </w:rPr>
      </w:pPr>
    </w:p>
    <w:p>
      <w:pPr>
        <w:ind w:left="860" w:right="479" w:hanging="276"/>
        <w:spacing w:after="0" w:line="288" w:lineRule="auto"/>
        <w:tabs>
          <w:tab w:leader="none" w:pos="8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Ms. Marsh: to manage process improvements and manage data reporting and analytics for the company and our university partners.</w:t>
      </w:r>
    </w:p>
    <w:p>
      <w:pPr>
        <w:spacing w:after="0" w:line="133" w:lineRule="exact"/>
        <w:rPr>
          <w:sz w:val="20"/>
          <w:szCs w:val="20"/>
          <w:color w:val="auto"/>
        </w:rPr>
      </w:pPr>
    </w:p>
    <w:p>
      <w:pPr>
        <w:ind w:left="40" w:right="79" w:firstLine="547"/>
        <w:spacing w:after="0" w:line="265" w:lineRule="auto"/>
        <w:rPr>
          <w:sz w:val="20"/>
          <w:szCs w:val="20"/>
          <w:color w:val="auto"/>
        </w:rPr>
      </w:pPr>
      <w:r>
        <w:rPr>
          <w:rFonts w:ascii="Times New Roman" w:cs="Times New Roman" w:eastAsia="Times New Roman" w:hAnsi="Times New Roman"/>
          <w:sz w:val="15"/>
          <w:szCs w:val="15"/>
          <w:color w:val="auto"/>
        </w:rPr>
        <w:t>Based on each individual named executive officer’s achievement or substantial achievement of their individual performance goals, and in light of the superior financial performance achieved by the Company in 2021,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146" w:lineRule="exact"/>
        <w:rPr>
          <w:sz w:val="20"/>
          <w:szCs w:val="20"/>
          <w:color w:val="auto"/>
        </w:rPr>
      </w:pPr>
    </w:p>
    <w:p>
      <w:pPr>
        <w:ind w:left="40" w:right="59" w:firstLine="547"/>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Bonus Paid to Mr. Briggs. </w:t>
      </w:r>
      <w:r>
        <w:rPr>
          <w:rFonts w:ascii="Times New Roman" w:cs="Times New Roman" w:eastAsia="Times New Roman" w:hAnsi="Times New Roman"/>
          <w:sz w:val="15"/>
          <w:szCs w:val="15"/>
          <w:color w:val="auto"/>
        </w:rPr>
        <w:t>Under the terms of the second amended and restated employment agreement entered into on May 10, 2020</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between Mr. Briggs and the Company, Mr. Briggs was eligible to receive an incentive bonus with a target amount equal to 75% of his base salary and threshold and maximum amounts equal to 52.5% and 97.5%, respectively. Of his target bonus, 20% was based on the achievement of revenue and Adjusted EBITDA targets for the Company (discussed above) and 80% was based on the achievement of individual performance goals, including developing new and expand current university partner relationships, increasing the number of opened off-campus classroom and laboratory sites, and achieving certain revenue and profitability goals for our hybrid healthcare programs.</w:t>
      </w:r>
    </w:p>
    <w:p>
      <w:pPr>
        <w:spacing w:after="0" w:line="156" w:lineRule="exact"/>
        <w:rPr>
          <w:sz w:val="20"/>
          <w:szCs w:val="20"/>
          <w:color w:val="auto"/>
        </w:rPr>
      </w:pPr>
    </w:p>
    <w:p>
      <w:pPr>
        <w:ind w:left="40" w:right="319" w:firstLine="547"/>
        <w:spacing w:after="0" w:line="288" w:lineRule="auto"/>
        <w:rPr>
          <w:sz w:val="20"/>
          <w:szCs w:val="20"/>
          <w:color w:val="auto"/>
        </w:rPr>
      </w:pPr>
      <w:r>
        <w:rPr>
          <w:rFonts w:ascii="Times New Roman" w:cs="Times New Roman" w:eastAsia="Times New Roman" w:hAnsi="Times New Roman"/>
          <w:sz w:val="15"/>
          <w:szCs w:val="15"/>
          <w:color w:val="auto"/>
        </w:rPr>
        <w:t>Based on the financial performance of the Company during 2021 and the percentage of his individual goals achieved, Mr. Briggs was awarded a bonus equal to approximately 54.9% of his base salary.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Equity Incentive Plan</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December 31, 2021, there were 1,414,233 shares available for grant under the 2017 Plan.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Equity Award Grant Policy</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Our Board of Directors has approved a policy relating to the granting of stock options and other equity-based awards. Under this policy:</w:t>
      </w:r>
    </w:p>
    <w:p>
      <w:pPr>
        <w:spacing w:after="0" w:line="192" w:lineRule="exact"/>
        <w:rPr>
          <w:sz w:val="20"/>
          <w:szCs w:val="20"/>
          <w:color w:val="auto"/>
        </w:rPr>
      </w:pPr>
    </w:p>
    <w:p>
      <w:pPr>
        <w:ind w:left="860" w:right="79" w:hanging="276"/>
        <w:spacing w:after="0" w:line="288" w:lineRule="auto"/>
        <w:tabs>
          <w:tab w:leader="none" w:pos="8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stock option grants, restricted stock awards, and other equity based awards, which we collectively refer to as stock-based awards, must be approved by the Compensation Committee;</w:t>
      </w:r>
    </w:p>
    <w:p>
      <w:pPr>
        <w:spacing w:after="0" w:line="133" w:lineRule="exact"/>
        <w:rPr>
          <w:rFonts w:ascii="Times New Roman" w:cs="Times New Roman" w:eastAsia="Times New Roman" w:hAnsi="Times New Roman"/>
          <w:sz w:val="15"/>
          <w:szCs w:val="15"/>
          <w:color w:val="auto"/>
        </w:rPr>
      </w:pPr>
    </w:p>
    <w:p>
      <w:pPr>
        <w:ind w:left="860" w:right="79" w:hanging="276"/>
        <w:spacing w:after="0" w:line="271" w:lineRule="auto"/>
        <w:tabs>
          <w:tab w:leader="none" w:pos="8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145" w:lineRule="exact"/>
        <w:rPr>
          <w:rFonts w:ascii="Times New Roman" w:cs="Times New Roman" w:eastAsia="Times New Roman" w:hAnsi="Times New Roman"/>
          <w:sz w:val="15"/>
          <w:szCs w:val="15"/>
          <w:color w:val="auto"/>
        </w:rPr>
      </w:pPr>
    </w:p>
    <w:p>
      <w:pPr>
        <w:ind w:left="860" w:right="859" w:hanging="276"/>
        <w:spacing w:after="0" w:line="288" w:lineRule="auto"/>
        <w:tabs>
          <w:tab w:leader="none" w:pos="8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133" w:lineRule="exact"/>
        <w:rPr>
          <w:rFonts w:ascii="Times New Roman" w:cs="Times New Roman" w:eastAsia="Times New Roman" w:hAnsi="Times New Roman"/>
          <w:sz w:val="15"/>
          <w:szCs w:val="15"/>
          <w:color w:val="auto"/>
        </w:rPr>
      </w:pPr>
    </w:p>
    <w:p>
      <w:pPr>
        <w:ind w:left="860" w:right="859" w:hanging="276"/>
        <w:spacing w:after="0" w:line="288" w:lineRule="auto"/>
        <w:tabs>
          <w:tab w:leader="none" w:pos="8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Compensation Committee will approve stock-based grants only for persons specifically identified at the meeting by management.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Severance and Change in Control Arrangements</w:t>
      </w:r>
    </w:p>
    <w:p>
      <w:pPr>
        <w:spacing w:after="0" w:line="196" w:lineRule="exact"/>
        <w:rPr>
          <w:sz w:val="20"/>
          <w:szCs w:val="20"/>
          <w:color w:val="auto"/>
        </w:rPr>
      </w:pPr>
    </w:p>
    <w:p>
      <w:pPr>
        <w:ind w:left="40" w:right="139" w:firstLine="547"/>
        <w:spacing w:after="0" w:line="258" w:lineRule="auto"/>
        <w:rPr>
          <w:sz w:val="20"/>
          <w:szCs w:val="20"/>
          <w:color w:val="auto"/>
        </w:rPr>
      </w:pPr>
      <w:r>
        <w:rPr>
          <w:rFonts w:ascii="Times New Roman" w:cs="Times New Roman" w:eastAsia="Times New Roman" w:hAnsi="Times New Roman"/>
          <w:sz w:val="15"/>
          <w:szCs w:val="15"/>
          <w:color w:val="auto"/>
        </w:rPr>
        <w:t>Our named executive officers are eligible for severance payments and benefits in the event of an involuntary termination of employment without “cause” or for “good reason,” as well as certain benefits in connection with a change in control of the Company. Our named executive officers are also eligible for “double trigger” severance payments and benefits in the event of an involuntary termination of employment without “cause” or a termination of employment with “good reason” in connection with a change in control of the Company. Our equity awards are also designed to be “double trigger,” so long as such awards are allowed to continue in effect following any change in control transaction on substantially equivalent terms and conditions to those applicable prior to such transaction. For detailed information on the estimated potential payments and benefits payable to the named executive officers in the event of their termination of employment, including following a change in control of the Company, see the section titled “Potential Payments Upon Termination or Change in Control.”</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Perquisites and Other Personal Benefits</w:t>
      </w:r>
    </w:p>
    <w:p>
      <w:pPr>
        <w:spacing w:after="0" w:line="196" w:lineRule="exact"/>
        <w:rPr>
          <w:sz w:val="20"/>
          <w:szCs w:val="20"/>
          <w:color w:val="auto"/>
        </w:rPr>
      </w:pPr>
    </w:p>
    <w:p>
      <w:pPr>
        <w:ind w:left="40" w:right="119" w:firstLine="547"/>
        <w:spacing w:after="0" w:line="265" w:lineRule="auto"/>
        <w:rPr>
          <w:sz w:val="20"/>
          <w:szCs w:val="20"/>
          <w:color w:val="auto"/>
        </w:rPr>
      </w:pPr>
      <w:r>
        <w:rPr>
          <w:rFonts w:ascii="Times New Roman" w:cs="Times New Roman" w:eastAsia="Times New Roman" w:hAnsi="Times New Roman"/>
          <w:sz w:val="15"/>
          <w:szCs w:val="15"/>
          <w:color w:val="auto"/>
        </w:rPr>
        <w:t>We do not provide our named executive officers with perquisites or other personal benefits, except for company paid life insurance and a 401(k) plan match, both of which are available to employees of the Company generally. The value of these benefits is reported in the Summary Compensation Table. We do not provide tax reimbursements or any other tax payments, including excise tax “gross-ups,” to any of our executive officers.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Clawback Policy</w:t>
      </w:r>
    </w:p>
    <w:p>
      <w:pPr>
        <w:spacing w:after="0" w:line="196" w:lineRule="exact"/>
        <w:rPr>
          <w:sz w:val="20"/>
          <w:szCs w:val="20"/>
          <w:color w:val="auto"/>
        </w:rPr>
      </w:pPr>
    </w:p>
    <w:p>
      <w:pPr>
        <w:ind w:left="40" w:right="79" w:firstLine="547"/>
        <w:spacing w:after="0" w:line="260" w:lineRule="auto"/>
        <w:rPr>
          <w:sz w:val="20"/>
          <w:szCs w:val="20"/>
          <w:color w:val="auto"/>
        </w:rPr>
      </w:pPr>
      <w:r>
        <w:rPr>
          <w:rFonts w:ascii="Times New Roman" w:cs="Times New Roman" w:eastAsia="Times New Roman" w:hAnsi="Times New Roman"/>
          <w:sz w:val="15"/>
          <w:szCs w:val="15"/>
          <w:color w:val="auto"/>
        </w:rPr>
        <w:t>Effective January 26, 2017, the Board of Directors adopted an Incentive Compensation Clawback Policy that authorizes the Company to recover incentive compensation previously paid to its Section 16 officers. The policy provides that, in the event of a restatement of the Company’s financial statements for any fiscal year commencing after December 31, 2015 that is due to the misconduct of any employee, the Board or, if so designated by the Board, the Compensation Committee of the Board, is authorized to take action to recoup all or part of any incentive compensation received by a Section 16 officer of the Company. For purposes of this policy, incentive compensation means any cash compensation paid by or any equity compensation awarded by the Company that is based in whole or in part on the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5"/>
          <w:szCs w:val="15"/>
          <w:color w:val="auto"/>
        </w:rPr>
        <w:t>achievement of financial results by the Company, including, but not limited to, any bonus or other performance-based cash or equity arrangement or award, but excluding base salary. The policy defines misconduct as the willful commission of an illegal act, fraud, intentional misconduct or gross recklessness in the performance of a Section 16 officer’s duties and responsibilities, as determined by the Board in its sole discretion. In determining whether to take action to recoup any incentive compensation received by a Section 16 officer of the Company, the Board or, if so designated, the Compensation Committee of the Board, will take into consideration whether the Section 16 officer engaged in the misconduct or was in a position, including in a supervisory role, to have been able to have reasonably prevented the misconduct that caused the restatement.</w:t>
      </w:r>
    </w:p>
    <w:p>
      <w:pPr>
        <w:spacing w:after="0" w:line="156" w:lineRule="exact"/>
        <w:rPr>
          <w:sz w:val="20"/>
          <w:szCs w:val="20"/>
          <w:color w:val="auto"/>
        </w:rPr>
      </w:pPr>
    </w:p>
    <w:p>
      <w:pPr>
        <w:ind w:left="40" w:right="59" w:firstLine="547"/>
        <w:spacing w:after="0" w:line="265" w:lineRule="auto"/>
        <w:rPr>
          <w:sz w:val="20"/>
          <w:szCs w:val="20"/>
          <w:color w:val="auto"/>
        </w:rPr>
      </w:pPr>
      <w:r>
        <w:rPr>
          <w:rFonts w:ascii="Times New Roman" w:cs="Times New Roman" w:eastAsia="Times New Roman" w:hAnsi="Times New Roman"/>
          <w:sz w:val="15"/>
          <w:szCs w:val="15"/>
          <w:color w:val="auto"/>
        </w:rPr>
        <w:t>As directed by the Dodd-Frank Act, the SEC has issued proposed rules which, if adopted in final form, would require issuers to seek recovery from executive officers in certain circumstances involving financial restatements. As of the date of this Proxy Statement, the SEC has not issued final rules implementing this portion of the Dodd-Frank Act. Once the SEC issues final rules regarding the required form of a clawback policy under the Dodd-Frank Act, we expect to amend our Incentive Compensation Clawback Policy accordingly.</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Role of the Compensation Consultant</w:t>
      </w:r>
    </w:p>
    <w:p>
      <w:pPr>
        <w:spacing w:after="0" w:line="196" w:lineRule="exact"/>
        <w:rPr>
          <w:sz w:val="20"/>
          <w:szCs w:val="20"/>
          <w:color w:val="auto"/>
        </w:rPr>
      </w:pPr>
    </w:p>
    <w:p>
      <w:pPr>
        <w:ind w:left="40" w:right="159" w:firstLine="547"/>
        <w:spacing w:after="0" w:line="265" w:lineRule="auto"/>
        <w:rPr>
          <w:sz w:val="20"/>
          <w:szCs w:val="20"/>
          <w:color w:val="auto"/>
        </w:rPr>
      </w:pPr>
      <w:r>
        <w:rPr>
          <w:rFonts w:ascii="Times New Roman" w:cs="Times New Roman" w:eastAsia="Times New Roman" w:hAnsi="Times New Roman"/>
          <w:sz w:val="15"/>
          <w:szCs w:val="15"/>
          <w:color w:val="auto"/>
        </w:rPr>
        <w:t>The Compensation Committee has the sole authority, delegated from the Board of Directors, to appoint, compensate and oversee the work of an independent compensation consultant. In prior years, the Compensation Committee has retained Mercer as its consultant to assist the Compensation Committee with its responsibilities related to our executive compensation programs. The Compensation Committee did not utilize the services of a compensation consultant in 2021.</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Effect of Accounting and Tax Treatment on Compensation Decisions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Internal Revenue Code Section 409A</w:t>
      </w:r>
    </w:p>
    <w:p>
      <w:pPr>
        <w:spacing w:after="0" w:line="196" w:lineRule="exact"/>
        <w:rPr>
          <w:sz w:val="20"/>
          <w:szCs w:val="20"/>
          <w:color w:val="auto"/>
        </w:rPr>
      </w:pPr>
    </w:p>
    <w:p>
      <w:pPr>
        <w:ind w:left="40" w:right="99" w:firstLine="547"/>
        <w:spacing w:after="0" w:line="258" w:lineRule="auto"/>
        <w:rPr>
          <w:sz w:val="20"/>
          <w:szCs w:val="20"/>
          <w:color w:val="auto"/>
        </w:rPr>
      </w:pPr>
      <w:r>
        <w:rPr>
          <w:rFonts w:ascii="Times New Roman" w:cs="Times New Roman" w:eastAsia="Times New Roman" w:hAnsi="Times New Roman"/>
          <w:sz w:val="15"/>
          <w:szCs w:val="15"/>
          <w:color w:val="auto"/>
        </w:rPr>
        <w:t>Section 409A of the Internal Revenue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penalties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Accounting Standards</w:t>
      </w:r>
    </w:p>
    <w:p>
      <w:pPr>
        <w:spacing w:after="0" w:line="196" w:lineRule="exact"/>
        <w:rPr>
          <w:sz w:val="20"/>
          <w:szCs w:val="20"/>
          <w:color w:val="auto"/>
        </w:rPr>
      </w:pPr>
    </w:p>
    <w:p>
      <w:pPr>
        <w:ind w:left="40" w:right="139" w:firstLine="547"/>
        <w:spacing w:after="0" w:line="265" w:lineRule="auto"/>
        <w:rPr>
          <w:sz w:val="20"/>
          <w:szCs w:val="20"/>
          <w:color w:val="auto"/>
        </w:rPr>
      </w:pPr>
      <w:r>
        <w:rPr>
          <w:rFonts w:ascii="Times New Roman" w:cs="Times New Roman" w:eastAsia="Times New Roman" w:hAnsi="Times New Roman"/>
          <w:sz w:val="15"/>
          <w:szCs w:val="15"/>
          <w:color w:val="auto"/>
        </w:rPr>
        <w:t>Grants of equity awards under our equity plan are recognized as compensation expense for the fair value of equity-based compensation awards. The Compensation Committee considers the accounting implications of significant compensation decisions, including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Conclusion</w:t>
      </w:r>
    </w:p>
    <w:p>
      <w:pPr>
        <w:spacing w:after="0" w:line="196" w:lineRule="exact"/>
        <w:rPr>
          <w:sz w:val="20"/>
          <w:szCs w:val="20"/>
          <w:color w:val="auto"/>
        </w:rPr>
      </w:pPr>
    </w:p>
    <w:p>
      <w:pPr>
        <w:ind w:left="40" w:right="59" w:firstLine="547"/>
        <w:spacing w:after="0" w:line="288" w:lineRule="auto"/>
        <w:rPr>
          <w:sz w:val="20"/>
          <w:szCs w:val="20"/>
          <w:color w:val="auto"/>
        </w:rPr>
      </w:pPr>
      <w:r>
        <w:rPr>
          <w:rFonts w:ascii="Times New Roman" w:cs="Times New Roman" w:eastAsia="Times New Roman" w:hAnsi="Times New Roman"/>
          <w:sz w:val="15"/>
          <w:szCs w:val="15"/>
          <w:color w:val="auto"/>
        </w:rPr>
        <w:t>We believe that the compensation amounts paid to our named executive officers for their service in 2021 were reasonable and appropriate and in our best interests.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Compensation Policies and Practices as Related to Risk Management</w:t>
      </w:r>
    </w:p>
    <w:p>
      <w:pPr>
        <w:spacing w:after="0" w:line="196" w:lineRule="exact"/>
        <w:rPr>
          <w:sz w:val="20"/>
          <w:szCs w:val="20"/>
          <w:color w:val="auto"/>
        </w:rPr>
      </w:pPr>
    </w:p>
    <w:p>
      <w:pPr>
        <w:ind w:left="40" w:right="239" w:firstLine="547"/>
        <w:spacing w:after="0" w:line="271" w:lineRule="auto"/>
        <w:rPr>
          <w:sz w:val="20"/>
          <w:szCs w:val="20"/>
          <w:color w:val="auto"/>
        </w:rPr>
      </w:pPr>
      <w:r>
        <w:rPr>
          <w:rFonts w:ascii="Times New Roman" w:cs="Times New Roman" w:eastAsia="Times New Roman" w:hAnsi="Times New Roman"/>
          <w:sz w:val="15"/>
          <w:szCs w:val="15"/>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145" w:lineRule="exact"/>
        <w:rPr>
          <w:sz w:val="20"/>
          <w:szCs w:val="20"/>
          <w:color w:val="auto"/>
        </w:rPr>
      </w:pPr>
    </w:p>
    <w:p>
      <w:pPr>
        <w:ind w:left="860" w:right="319" w:hanging="276"/>
        <w:spacing w:after="0" w:line="271" w:lineRule="auto"/>
        <w:tabs>
          <w:tab w:leader="none" w:pos="86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145" w:lineRule="exact"/>
        <w:rPr>
          <w:rFonts w:ascii="Times New Roman" w:cs="Times New Roman" w:eastAsia="Times New Roman" w:hAnsi="Times New Roman"/>
          <w:sz w:val="15"/>
          <w:szCs w:val="15"/>
          <w:color w:val="auto"/>
        </w:rPr>
      </w:pPr>
    </w:p>
    <w:p>
      <w:pPr>
        <w:ind w:left="860" w:right="339" w:hanging="276"/>
        <w:spacing w:after="0" w:line="288" w:lineRule="auto"/>
        <w:tabs>
          <w:tab w:leader="none" w:pos="86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133" w:lineRule="exact"/>
        <w:rPr>
          <w:rFonts w:ascii="Times New Roman" w:cs="Times New Roman" w:eastAsia="Times New Roman" w:hAnsi="Times New Roman"/>
          <w:sz w:val="15"/>
          <w:szCs w:val="15"/>
          <w:color w:val="auto"/>
        </w:rPr>
      </w:pPr>
    </w:p>
    <w:p>
      <w:pPr>
        <w:ind w:left="860" w:right="339" w:hanging="276"/>
        <w:spacing w:after="0" w:line="288" w:lineRule="auto"/>
        <w:tabs>
          <w:tab w:leader="none" w:pos="86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133" w:lineRule="exact"/>
        <w:rPr>
          <w:rFonts w:ascii="Times New Roman" w:cs="Times New Roman" w:eastAsia="Times New Roman" w:hAnsi="Times New Roman"/>
          <w:sz w:val="15"/>
          <w:szCs w:val="15"/>
          <w:color w:val="auto"/>
        </w:rPr>
      </w:pPr>
    </w:p>
    <w:p>
      <w:pPr>
        <w:ind w:left="860" w:right="99" w:hanging="276"/>
        <w:spacing w:after="0" w:line="288" w:lineRule="auto"/>
        <w:tabs>
          <w:tab w:leader="none" w:pos="86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equity grants made to our named executive officers, and all other employees, under our equity plan all vest in annual increments over a period of five years, which we believe discourages excessive or inappropriate short-term risk taking.</w:t>
      </w:r>
    </w:p>
    <w:p>
      <w:pPr>
        <w:spacing w:after="0" w:line="133" w:lineRule="exact"/>
        <w:rPr>
          <w:sz w:val="20"/>
          <w:szCs w:val="20"/>
          <w:color w:val="auto"/>
        </w:rPr>
      </w:pPr>
    </w:p>
    <w:p>
      <w:pPr>
        <w:ind w:left="40" w:right="159" w:firstLine="547"/>
        <w:spacing w:after="0" w:line="288" w:lineRule="auto"/>
        <w:rPr>
          <w:sz w:val="20"/>
          <w:szCs w:val="20"/>
          <w:color w:val="auto"/>
        </w:rPr>
      </w:pPr>
      <w:r>
        <w:rPr>
          <w:rFonts w:ascii="Times New Roman" w:cs="Times New Roman" w:eastAsia="Times New Roman" w:hAnsi="Times New Roman"/>
          <w:sz w:val="15"/>
          <w:szCs w:val="15"/>
          <w:color w:val="auto"/>
        </w:rPr>
        <w:t>Based on that review, and with input from management, the Compensation Committee has determined that there are no known potential risks arising from our compensation polices or practices that are reasonably likely to have a material adverse effect on us.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Compensation of Named Executive Officers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Summary Compensation Table</w:t>
      </w:r>
    </w:p>
    <w:p>
      <w:pPr>
        <w:spacing w:after="0" w:line="196" w:lineRule="exact"/>
        <w:rPr>
          <w:sz w:val="20"/>
          <w:szCs w:val="20"/>
          <w:color w:val="auto"/>
        </w:rPr>
      </w:pPr>
    </w:p>
    <w:p>
      <w:pPr>
        <w:ind w:left="40" w:right="379" w:firstLine="547"/>
        <w:spacing w:after="0" w:line="288" w:lineRule="auto"/>
        <w:rPr>
          <w:sz w:val="20"/>
          <w:szCs w:val="20"/>
          <w:color w:val="auto"/>
        </w:rPr>
      </w:pPr>
      <w:r>
        <w:rPr>
          <w:rFonts w:ascii="Times New Roman" w:cs="Times New Roman" w:eastAsia="Times New Roman" w:hAnsi="Times New Roman"/>
          <w:sz w:val="15"/>
          <w:szCs w:val="15"/>
          <w:color w:val="auto"/>
        </w:rPr>
        <w:t>The following table sets forth the total compensation earned for services rendered by our named executive officers for the fiscal year ended December 31, 2021, 2020 and 2019.</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center"/>
              <w:ind w:right="87"/>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ind w:right="7"/>
              <w:spacing w:after="0"/>
              <w:rPr>
                <w:sz w:val="20"/>
                <w:szCs w:val="20"/>
                <w:color w:val="auto"/>
              </w:rPr>
            </w:pPr>
            <w:r>
              <w:rPr>
                <w:rFonts w:ascii="Times New Roman" w:cs="Times New Roman" w:eastAsia="Times New Roman" w:hAnsi="Times New Roman"/>
                <w:sz w:val="12"/>
                <w:szCs w:val="12"/>
                <w:b w:val="1"/>
                <w:bCs w:val="1"/>
                <w:color w:val="auto"/>
                <w:w w:val="99"/>
              </w:rPr>
              <w:t>Non-Equity</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center"/>
              <w:ind w:right="7"/>
              <w:spacing w:after="0" w:line="126" w:lineRule="exact"/>
              <w:rPr>
                <w:sz w:val="20"/>
                <w:szCs w:val="20"/>
                <w:color w:val="auto"/>
              </w:rPr>
            </w:pPr>
            <w:r>
              <w:rPr>
                <w:rFonts w:ascii="Times New Roman" w:cs="Times New Roman" w:eastAsia="Times New Roman" w:hAnsi="Times New Roman"/>
                <w:sz w:val="12"/>
                <w:szCs w:val="12"/>
                <w:b w:val="1"/>
                <w:bCs w:val="1"/>
                <w:color w:val="auto"/>
              </w:rPr>
              <w:t>Incentive Plan</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Position</w:t>
            </w:r>
          </w:p>
        </w:tc>
        <w:tc>
          <w:tcPr>
            <w:tcW w:w="14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87"/>
              <w:spacing w:after="0" w:line="126"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center"/>
              <w:ind w:right="7"/>
              <w:spacing w:after="0" w:line="126"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Compensation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45"/>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7"/>
        </w:trPr>
        <w:tc>
          <w:tcPr>
            <w:tcW w:w="3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86"/>
              <w:spacing w:after="0" w:line="147"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7"/>
              <w:spacing w:after="0" w:line="147" w:lineRule="exact"/>
              <w:rPr>
                <w:sz w:val="20"/>
                <w:szCs w:val="20"/>
                <w:color w:val="auto"/>
              </w:rPr>
            </w:pPr>
            <w:r>
              <w:rPr>
                <w:rFonts w:ascii="Times New Roman" w:cs="Times New Roman" w:eastAsia="Times New Roman" w:hAnsi="Times New Roman"/>
                <w:sz w:val="12"/>
                <w:szCs w:val="12"/>
                <w:b w:val="1"/>
                <w:bCs w:val="1"/>
                <w:color w:val="auto"/>
                <w:w w:val="88"/>
              </w:rPr>
              <w:t>($)</w:t>
            </w:r>
            <w:r>
              <w:rPr>
                <w:rFonts w:ascii="Times New Roman" w:cs="Times New Roman" w:eastAsia="Times New Roman" w:hAnsi="Times New Roman"/>
                <w:sz w:val="17"/>
                <w:szCs w:val="17"/>
                <w:b w:val="1"/>
                <w:bCs w:val="1"/>
                <w:color w:val="auto"/>
                <w:w w:val="88"/>
                <w:vertAlign w:val="superscript"/>
              </w:rPr>
              <w:t>(2)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ind w:right="7"/>
              <w:spacing w:after="0" w:line="147" w:lineRule="exact"/>
              <w:rPr>
                <w:sz w:val="20"/>
                <w:szCs w:val="20"/>
                <w:color w:val="auto"/>
              </w:rPr>
            </w:pPr>
            <w:r>
              <w:rPr>
                <w:rFonts w:ascii="Times New Roman" w:cs="Times New Roman" w:eastAsia="Times New Roman" w:hAnsi="Times New Roman"/>
                <w:sz w:val="12"/>
                <w:szCs w:val="12"/>
                <w:b w:val="1"/>
                <w:bCs w:val="1"/>
                <w:color w:val="auto"/>
                <w:w w:val="88"/>
              </w:rPr>
              <w:t>($)</w:t>
            </w:r>
            <w:r>
              <w:rPr>
                <w:rFonts w:ascii="Times New Roman" w:cs="Times New Roman" w:eastAsia="Times New Roman" w:hAnsi="Times New Roman"/>
                <w:sz w:val="17"/>
                <w:szCs w:val="17"/>
                <w:b w:val="1"/>
                <w:bCs w:val="1"/>
                <w:color w:val="auto"/>
                <w:w w:val="88"/>
                <w:vertAlign w:val="superscript"/>
              </w:rPr>
              <w:t>(3)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ind w:right="7"/>
              <w:spacing w:after="0" w:line="147" w:lineRule="exact"/>
              <w:rPr>
                <w:sz w:val="20"/>
                <w:szCs w:val="20"/>
                <w:color w:val="auto"/>
              </w:rPr>
            </w:pPr>
            <w:r>
              <w:rPr>
                <w:rFonts w:ascii="Times New Roman" w:cs="Times New Roman" w:eastAsia="Times New Roman" w:hAnsi="Times New Roman"/>
                <w:sz w:val="12"/>
                <w:szCs w:val="12"/>
                <w:b w:val="1"/>
                <w:bCs w:val="1"/>
                <w:color w:val="auto"/>
                <w:w w:val="92"/>
              </w:rPr>
              <w:t xml:space="preserve">($) </w:t>
            </w:r>
            <w:r>
              <w:rPr>
                <w:rFonts w:ascii="Times New Roman" w:cs="Times New Roman" w:eastAsia="Times New Roman" w:hAnsi="Times New Roman"/>
                <w:sz w:val="17"/>
                <w:szCs w:val="17"/>
                <w:b w:val="1"/>
                <w:bCs w:val="1"/>
                <w:color w:val="auto"/>
                <w:w w:val="92"/>
                <w:vertAlign w:val="superscript"/>
              </w:rPr>
              <w:t>(4)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Brian E. Mueller</w:t>
            </w:r>
          </w:p>
        </w:tc>
        <w:tc>
          <w:tcPr>
            <w:tcW w:w="1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i w:val="1"/>
                <w:iCs w:val="1"/>
                <w:color w:val="auto"/>
              </w:rPr>
              <w:t>Chief Executive Officer and Chairman</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321,000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1,211,575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306,353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1,843,058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(Principal Executive Officer)</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321,000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1,211,533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91,175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2,105,208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2019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321,000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1,211,502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392,454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1,929,086</w:t>
            </w:r>
          </w:p>
        </w:tc>
        <w:tc>
          <w:tcPr>
            <w:tcW w:w="0" w:type="dxa"/>
            <w:vAlign w:val="bottom"/>
          </w:tcPr>
          <w:p>
            <w:pPr>
              <w:spacing w:after="0"/>
              <w:rPr>
                <w:sz w:val="1"/>
                <w:szCs w:val="1"/>
                <w:color w:val="auto"/>
              </w:rPr>
            </w:pPr>
          </w:p>
        </w:tc>
      </w:tr>
      <w:tr>
        <w:trPr>
          <w:trHeight w:val="346"/>
        </w:trPr>
        <w:tc>
          <w:tcPr>
            <w:tcW w:w="3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Dr. W. Stan Meyer</w:t>
            </w:r>
          </w:p>
        </w:tc>
        <w:tc>
          <w:tcPr>
            <w:tcW w:w="78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w w:val="99"/>
              </w:rPr>
              <w:t>2021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390,000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646,494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279,154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1,321,821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5"/>
                <w:szCs w:val="15"/>
                <w:i w:val="1"/>
                <w:iCs w:val="1"/>
                <w:color w:val="auto"/>
              </w:rPr>
              <w:t>Chief Operating Officer</w:t>
            </w:r>
          </w:p>
        </w:tc>
        <w:tc>
          <w:tcPr>
            <w:tcW w:w="78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w w:val="99"/>
              </w:rPr>
              <w:t>2020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390,000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646,498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438,750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1,480,423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78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w w:val="99"/>
              </w:rPr>
              <w:t>2019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390,000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646,486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357,610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1,399,210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0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E. Bachus</w:t>
            </w:r>
          </w:p>
        </w:tc>
        <w:tc>
          <w:tcPr>
            <w:tcW w:w="78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w w:val="99"/>
              </w:rPr>
              <w:t>2021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390,000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646,494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279,154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1,316,586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390,000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646,498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438,750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939</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1,476,187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(Principal Financial Officer)</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2019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390,000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646,486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357,610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1,394,708</w:t>
            </w:r>
          </w:p>
        </w:tc>
        <w:tc>
          <w:tcPr>
            <w:tcW w:w="0" w:type="dxa"/>
            <w:vAlign w:val="bottom"/>
          </w:tcPr>
          <w:p>
            <w:pPr>
              <w:spacing w:after="0"/>
              <w:rPr>
                <w:sz w:val="1"/>
                <w:szCs w:val="1"/>
                <w:color w:val="auto"/>
              </w:rPr>
            </w:pPr>
          </w:p>
        </w:tc>
      </w:tr>
      <w:tr>
        <w:trPr>
          <w:trHeight w:val="346"/>
        </w:trPr>
        <w:tc>
          <w:tcPr>
            <w:tcW w:w="3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Dilek Marsh</w:t>
            </w:r>
          </w:p>
        </w:tc>
        <w:tc>
          <w:tcPr>
            <w:tcW w:w="78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w w:val="99"/>
              </w:rPr>
              <w:t>2021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280,528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420,307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800,202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15"/>
                <w:szCs w:val="15"/>
                <w:i w:val="1"/>
                <w:iCs w:val="1"/>
                <w:color w:val="auto"/>
              </w:rPr>
              <w:t>Chief Technology Officer</w:t>
            </w:r>
          </w:p>
        </w:tc>
        <w:tc>
          <w:tcPr>
            <w:tcW w:w="78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w w:val="99"/>
              </w:rPr>
              <w:t>2020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263,313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266,418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668,534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78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auto"/>
                <w:w w:val="99"/>
              </w:rPr>
              <w:t>2019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257,081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266,445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637,303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08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J. Briggs</w:t>
            </w:r>
          </w:p>
        </w:tc>
        <w:tc>
          <w:tcPr>
            <w:tcW w:w="78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5"/>
                <w:szCs w:val="15"/>
                <w:color w:val="auto"/>
                <w:w w:val="99"/>
              </w:rPr>
              <w:t>2021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294,082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161,543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961,039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i w:val="1"/>
                <w:iCs w:val="1"/>
                <w:color w:val="auto"/>
              </w:rPr>
              <w:t>Orbis Education CEO</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2020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294,082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499,964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286,496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1,085,894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2019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266,319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246,263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239,482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11,200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173990</wp:posOffset>
            </wp:positionV>
            <wp:extent cx="141922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19225" cy="14605"/>
                    </a:xfrm>
                    <a:prstGeom prst="rect">
                      <a:avLst/>
                    </a:prstGeom>
                    <a:noFill/>
                  </pic:spPr>
                </pic:pic>
              </a:graphicData>
            </a:graphic>
          </wp:anchor>
        </w:drawing>
      </w:r>
    </w:p>
    <w:p>
      <w:pPr>
        <w:spacing w:after="0" w:line="330" w:lineRule="exact"/>
        <w:rPr>
          <w:sz w:val="20"/>
          <w:szCs w:val="20"/>
          <w:color w:val="auto"/>
        </w:rPr>
      </w:pPr>
    </w:p>
    <w:p>
      <w:pPr>
        <w:ind w:left="320" w:right="199" w:hanging="283"/>
        <w:spacing w:after="0" w:line="271" w:lineRule="auto"/>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reflect the base salary cash payments made in each year. Ms. Dilek’s base salary for 2021 reflects the amount paid prior to and following her promotion on July 1, 2021 to Chief Technology Officer. Mr. Briggs base salary for 2019 reflects the amount paid following the acquisition of Orbis Education on January 22, 2019 through December 31, 2019.</w:t>
      </w:r>
    </w:p>
    <w:p>
      <w:pPr>
        <w:spacing w:after="0" w:line="145" w:lineRule="exact"/>
        <w:rPr>
          <w:rFonts w:ascii="Times New Roman" w:cs="Times New Roman" w:eastAsia="Times New Roman" w:hAnsi="Times New Roman"/>
          <w:sz w:val="15"/>
          <w:szCs w:val="15"/>
          <w:color w:val="auto"/>
        </w:rPr>
      </w:pPr>
    </w:p>
    <w:p>
      <w:pPr>
        <w:ind w:left="320" w:right="159" w:hanging="283"/>
        <w:spacing w:after="0" w:line="262" w:lineRule="auto"/>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shown in this column reflect the compensation costs attributable to the restricted stock awards granted in 2021, 2020 and 2019.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2021, 2020, and 2019 fiscal years are set forth in Notes 4 and 16 to our financial statements for the fiscal year ended December 31, 2021 included in our 2021 Annual Report on Form 10-K.</w:t>
      </w:r>
    </w:p>
    <w:p>
      <w:pPr>
        <w:spacing w:after="0" w:line="153" w:lineRule="exact"/>
        <w:rPr>
          <w:rFonts w:ascii="Times New Roman" w:cs="Times New Roman" w:eastAsia="Times New Roman" w:hAnsi="Times New Roman"/>
          <w:sz w:val="15"/>
          <w:szCs w:val="15"/>
          <w:color w:val="auto"/>
        </w:rPr>
      </w:pPr>
    </w:p>
    <w:p>
      <w:pPr>
        <w:ind w:left="320" w:right="59" w:hanging="283"/>
        <w:spacing w:after="0" w:line="263" w:lineRule="auto"/>
        <w:tabs>
          <w:tab w:leader="none" w:pos="320" w:val="left"/>
        </w:tabs>
        <w:numPr>
          <w:ilvl w:val="0"/>
          <w:numId w:val="58"/>
        </w:numPr>
        <w:rPr>
          <w:rFonts w:ascii="Calibri" w:cs="Calibri" w:eastAsia="Calibri" w:hAnsi="Calibri"/>
          <w:sz w:val="15"/>
          <w:szCs w:val="15"/>
          <w:color w:val="auto"/>
        </w:rPr>
      </w:pPr>
      <w:r>
        <w:rPr>
          <w:rFonts w:ascii="Times New Roman" w:cs="Times New Roman" w:eastAsia="Times New Roman" w:hAnsi="Times New Roman"/>
          <w:sz w:val="15"/>
          <w:szCs w:val="15"/>
          <w:color w:val="auto"/>
        </w:rPr>
        <w:t>The amounts in this column reflect non-equity incentive payments earned pursuant to our Annual Cash Incentive Plan in 2021, 2020 and 2019 except for Mr. Briggs whose non-equity incentive payments were based on the Senior Management Plan in 2021, 2020 and 2019. The amounts for Ms. Marsh in 2021 give effect to a salary increase from $263,313 to $300,000 effective July 1, 2021.</w:t>
      </w:r>
    </w:p>
    <w:p>
      <w:pPr>
        <w:spacing w:after="0" w:line="151" w:lineRule="exact"/>
        <w:rPr>
          <w:rFonts w:ascii="Calibri" w:cs="Calibri" w:eastAsia="Calibri" w:hAnsi="Calibri"/>
          <w:sz w:val="15"/>
          <w:szCs w:val="15"/>
          <w:color w:val="auto"/>
        </w:rPr>
      </w:pPr>
    </w:p>
    <w:p>
      <w:pPr>
        <w:ind w:left="320" w:right="359" w:hanging="283"/>
        <w:spacing w:after="0" w:line="262" w:lineRule="auto"/>
        <w:tabs>
          <w:tab w:leader="none" w:pos="3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2021, 2020, and 2019, the amounts in this column include company paid life insurance premiums for all named executive officers. For Dr. Meyer, Ms. Marsh and Mr. Briggs, the amounts in this column also reflect matching payments made by the Company under our 401(k) plan. For Mr. Mueller in 2020, the amount also includes (i) $61,410, reflecting the allocated cost of airfare to fly certain Company executives and family members on a plane chartered by the Company on behalf of a customer, to attend a customer event for business development related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right="99"/>
        <w:spacing w:after="0" w:line="288" w:lineRule="auto"/>
        <w:rPr>
          <w:sz w:val="20"/>
          <w:szCs w:val="20"/>
          <w:color w:val="auto"/>
        </w:rPr>
      </w:pPr>
      <w:r>
        <w:rPr>
          <w:rFonts w:ascii="Times New Roman" w:cs="Times New Roman" w:eastAsia="Times New Roman" w:hAnsi="Times New Roman"/>
          <w:sz w:val="15"/>
          <w:szCs w:val="15"/>
          <w:color w:val="auto"/>
        </w:rPr>
        <w:t>purposes (where the cost of the flight was fixed and the inclusion of the executives and family members did not result in any incremental cost to the Company), and (ii) $25,635, reflecting a gross-up payment for the income tax payable by Mr. Mueller on the foregoing amount.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2021 Grants of Plan-Based Awards</w:t>
      </w:r>
    </w:p>
    <w:p>
      <w:pPr>
        <w:spacing w:after="0" w:line="196" w:lineRule="exact"/>
        <w:rPr>
          <w:sz w:val="20"/>
          <w:szCs w:val="20"/>
          <w:color w:val="auto"/>
        </w:rPr>
      </w:pPr>
    </w:p>
    <w:p>
      <w:pPr>
        <w:ind w:left="40" w:right="279" w:firstLine="547"/>
        <w:spacing w:after="0" w:line="288" w:lineRule="auto"/>
        <w:rPr>
          <w:sz w:val="20"/>
          <w:szCs w:val="20"/>
          <w:color w:val="auto"/>
        </w:rPr>
      </w:pPr>
      <w:r>
        <w:rPr>
          <w:rFonts w:ascii="Times New Roman" w:cs="Times New Roman" w:eastAsia="Times New Roman" w:hAnsi="Times New Roman"/>
          <w:sz w:val="15"/>
          <w:szCs w:val="15"/>
          <w:color w:val="auto"/>
        </w:rPr>
        <w:t>The following table sets forth certain information with respect to incentive plan awards under our Annual Cash Incentive Plan and our 2017 Plan for the fiscal year ended December 31, 2021 to each of our named executive officers:</w:t>
      </w:r>
    </w:p>
    <w:p>
      <w:pPr>
        <w:spacing w:after="0" w:line="138"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2"/>
          <w:szCs w:val="12"/>
          <w:b w:val="1"/>
          <w:bCs w:val="1"/>
          <w:color w:val="auto"/>
        </w:rPr>
        <w:t>Estimated Future Payouts Under Non-</w:t>
      </w:r>
    </w:p>
    <w:p>
      <w:pPr>
        <w:jc w:val="center"/>
        <w:ind w:left="1620"/>
        <w:spacing w:after="0" w:line="234" w:lineRule="auto"/>
        <w:rPr>
          <w:sz w:val="20"/>
          <w:szCs w:val="20"/>
          <w:color w:val="auto"/>
        </w:rPr>
      </w:pPr>
      <w:r>
        <w:rPr>
          <w:rFonts w:ascii="Times New Roman" w:cs="Times New Roman" w:eastAsia="Times New Roman" w:hAnsi="Times New Roman"/>
          <w:sz w:val="12"/>
          <w:szCs w:val="12"/>
          <w:b w:val="1"/>
          <w:bCs w:val="1"/>
          <w:color w:val="auto"/>
        </w:rPr>
        <w:t>Equity Incentive Plan Awards</w:t>
      </w:r>
      <w:r>
        <w:rPr>
          <w:rFonts w:ascii="Times New Roman" w:cs="Times New Roman" w:eastAsia="Times New Roman" w:hAnsi="Times New Roman"/>
          <w:sz w:val="9"/>
          <w:szCs w:val="9"/>
          <w:b w:val="1"/>
          <w:bCs w:val="1"/>
          <w:color w:val="auto"/>
        </w:rPr>
        <w:t>(1)</w:t>
      </w:r>
    </w:p>
    <w:tbl>
      <w:tblPr>
        <w:tblLayout w:type="fixed"/>
        <w:tblInd w:w="40" w:type="dxa"/>
        <w:tblCellMar>
          <w:top w:w="0" w:type="dxa"/>
          <w:left w:w="0" w:type="dxa"/>
          <w:bottom w:w="0" w:type="dxa"/>
          <w:right w:w="0" w:type="dxa"/>
        </w:tblCellMar>
      </w:tblP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All Other</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Stock</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9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68"/>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25"/>
        </w:trPr>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jc w:val="right"/>
              <w:ind w:right="5"/>
              <w:spacing w:after="0"/>
              <w:rPr>
                <w:sz w:val="20"/>
                <w:szCs w:val="20"/>
                <w:color w:val="auto"/>
              </w:rPr>
            </w:pPr>
            <w:r>
              <w:rPr>
                <w:rFonts w:ascii="Times New Roman" w:cs="Times New Roman" w:eastAsia="Times New Roman" w:hAnsi="Times New Roman"/>
                <w:sz w:val="12"/>
                <w:szCs w:val="12"/>
                <w:b w:val="1"/>
                <w:bCs w:val="1"/>
                <w:color w:val="auto"/>
                <w:w w:val="98"/>
              </w:rPr>
              <w:t>Threshold($)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88"/>
              <w:spacing w:after="0" w:line="126" w:lineRule="exact"/>
              <w:rPr>
                <w:sz w:val="20"/>
                <w:szCs w:val="20"/>
                <w:color w:val="auto"/>
              </w:rPr>
            </w:pPr>
            <w:r>
              <w:rPr>
                <w:rFonts w:ascii="Times New Roman" w:cs="Times New Roman" w:eastAsia="Times New Roman" w:hAnsi="Times New Roman"/>
                <w:sz w:val="12"/>
                <w:szCs w:val="12"/>
                <w:b w:val="1"/>
                <w:bCs w:val="1"/>
                <w:color w:val="auto"/>
              </w:rPr>
              <w:t>of Stock</w:t>
            </w:r>
          </w:p>
        </w:tc>
        <w:tc>
          <w:tcPr>
            <w:tcW w:w="0" w:type="dxa"/>
            <w:vAlign w:val="bottom"/>
          </w:tcPr>
          <w:p>
            <w:pPr>
              <w:spacing w:after="0"/>
              <w:rPr>
                <w:sz w:val="1"/>
                <w:szCs w:val="1"/>
                <w:color w:val="auto"/>
              </w:rPr>
            </w:pPr>
          </w:p>
        </w:tc>
      </w:tr>
      <w:tr>
        <w:trPr>
          <w:trHeight w:val="147"/>
        </w:trPr>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67"/>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67"/>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of Stock (#)</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w w:val="96"/>
              </w:rPr>
              <w:t>Awards(2)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Brian E. Mueller</w:t>
            </w:r>
          </w:p>
        </w:tc>
        <w:tc>
          <w:tcPr>
            <w:tcW w:w="18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160,500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321,000</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481,500</w:t>
            </w: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 27, 2021</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1,211,575</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Dr. W. Stan Meyer</w:t>
            </w: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146,250</w:t>
            </w:r>
          </w:p>
        </w:tc>
        <w:tc>
          <w:tcPr>
            <w:tcW w:w="3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438,750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 27, 2021</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646,494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E. Bachus</w:t>
            </w: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146,250</w:t>
            </w:r>
          </w:p>
        </w:tc>
        <w:tc>
          <w:tcPr>
            <w:tcW w:w="3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438,750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 27, 2021</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646,494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Dilek Marsh</w:t>
            </w: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3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 27, 2021</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420,307</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J. Briggs</w:t>
            </w: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154,393</w:t>
            </w:r>
          </w:p>
        </w:tc>
        <w:tc>
          <w:tcPr>
            <w:tcW w:w="3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220,561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286,730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January 27, 2021</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5,816</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173990</wp:posOffset>
            </wp:positionV>
            <wp:extent cx="141922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9225" cy="14605"/>
                    </a:xfrm>
                    <a:prstGeom prst="rect">
                      <a:avLst/>
                    </a:prstGeom>
                    <a:noFill/>
                  </pic:spPr>
                </pic:pic>
              </a:graphicData>
            </a:graphic>
          </wp:anchor>
        </w:drawing>
      </w:r>
    </w:p>
    <w:p>
      <w:pPr>
        <w:spacing w:after="0" w:line="330" w:lineRule="exact"/>
        <w:rPr>
          <w:sz w:val="20"/>
          <w:szCs w:val="20"/>
          <w:color w:val="auto"/>
        </w:rPr>
      </w:pPr>
    </w:p>
    <w:p>
      <w:pPr>
        <w:ind w:left="320" w:right="119" w:hanging="283"/>
        <w:spacing w:after="0" w:line="262" w:lineRule="auto"/>
        <w:tabs>
          <w:tab w:leader="none" w:pos="3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amounts reflect the Threshold, Target and Maximum bonuses payable to our named executive officers under our Annual Cash Incentive Plan (based on their base salaries as in effect at year end), except for Ms. Marsh. The Threshold, Target and Maximum amounts for Ms. Marsh’s non-equity incentive plan award are prorated amounts that reflect her base salary and bonus opportunity prior to and subsequent to becoming Chief Technology Officer effective July 1, 2021. All such awards have been paid, and the actual amounts paid are set forth in the Summary Compensation Table above.</w:t>
      </w:r>
    </w:p>
    <w:p>
      <w:pPr>
        <w:spacing w:after="0" w:line="153" w:lineRule="exact"/>
        <w:rPr>
          <w:rFonts w:ascii="Times New Roman" w:cs="Times New Roman" w:eastAsia="Times New Roman" w:hAnsi="Times New Roman"/>
          <w:sz w:val="15"/>
          <w:szCs w:val="15"/>
          <w:color w:val="auto"/>
        </w:rPr>
      </w:pPr>
    </w:p>
    <w:p>
      <w:pPr>
        <w:ind w:left="320" w:right="79" w:hanging="283"/>
        <w:spacing w:after="0" w:line="262" w:lineRule="auto"/>
        <w:tabs>
          <w:tab w:leader="none" w:pos="3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shown in this column reflect the compensation costs attributable to the restricted stock awards granted in 2021.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2021 are set forth in Notes 4 and 16 to our financial statements for the fiscal year ended December 31, 2021 included in our 2021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164465</wp:posOffset>
            </wp:positionV>
            <wp:extent cx="141922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19225"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2021 Outstanding Equity Awards at Fiscal Year-End</w:t>
      </w:r>
    </w:p>
    <w:p>
      <w:pPr>
        <w:spacing w:after="0" w:line="196" w:lineRule="exact"/>
        <w:rPr>
          <w:sz w:val="20"/>
          <w:szCs w:val="20"/>
          <w:color w:val="auto"/>
        </w:rPr>
      </w:pPr>
    </w:p>
    <w:p>
      <w:pPr>
        <w:ind w:left="40" w:right="79" w:firstLine="547"/>
        <w:spacing w:after="0" w:line="288" w:lineRule="auto"/>
        <w:rPr>
          <w:sz w:val="20"/>
          <w:szCs w:val="20"/>
          <w:color w:val="auto"/>
        </w:rPr>
      </w:pPr>
      <w:r>
        <w:rPr>
          <w:rFonts w:ascii="Times New Roman" w:cs="Times New Roman" w:eastAsia="Times New Roman" w:hAnsi="Times New Roman"/>
          <w:sz w:val="15"/>
          <w:szCs w:val="15"/>
          <w:color w:val="auto"/>
        </w:rPr>
        <w:t>The following table provides certain summary information concerning outstanding equity awards held by the named executive officers as of December 31, 2021.</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w w:val="97"/>
              </w:rPr>
              <w:t>Stock Awards</w:t>
            </w: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jc w:val="center"/>
              <w:ind w:right="412"/>
              <w:spacing w:after="0" w:line="95" w:lineRule="exact"/>
              <w:rPr>
                <w:sz w:val="20"/>
                <w:szCs w:val="20"/>
                <w:color w:val="auto"/>
              </w:rPr>
            </w:pPr>
            <w:r>
              <w:rPr>
                <w:rFonts w:ascii="Times New Roman" w:cs="Times New Roman" w:eastAsia="Times New Roman" w:hAnsi="Times New Roman"/>
                <w:sz w:val="11"/>
                <w:szCs w:val="11"/>
                <w:b w:val="1"/>
                <w:bCs w:val="1"/>
                <w:color w:val="auto"/>
              </w:rPr>
              <w:t>Market Value</w:t>
            </w:r>
          </w:p>
        </w:tc>
        <w:tc>
          <w:tcPr>
            <w:tcW w:w="0" w:type="dxa"/>
            <w:vAlign w:val="bottom"/>
          </w:tcPr>
          <w:p>
            <w:pPr>
              <w:spacing w:after="0"/>
              <w:rPr>
                <w:sz w:val="1"/>
                <w:szCs w:val="1"/>
                <w:color w:val="auto"/>
              </w:rPr>
            </w:pPr>
          </w:p>
        </w:tc>
      </w:tr>
      <w:tr>
        <w:trPr>
          <w:trHeight w:val="125"/>
        </w:trPr>
        <w:tc>
          <w:tcPr>
            <w:tcW w:w="5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jc w:val="center"/>
              <w:ind w:right="412"/>
              <w:spacing w:after="0" w:line="126" w:lineRule="exact"/>
              <w:rPr>
                <w:sz w:val="20"/>
                <w:szCs w:val="20"/>
                <w:color w:val="auto"/>
              </w:rPr>
            </w:pPr>
            <w:r>
              <w:rPr>
                <w:rFonts w:ascii="Times New Roman" w:cs="Times New Roman" w:eastAsia="Times New Roman" w:hAnsi="Times New Roman"/>
                <w:sz w:val="12"/>
                <w:szCs w:val="12"/>
                <w:b w:val="1"/>
                <w:bCs w:val="1"/>
                <w:color w:val="auto"/>
                <w:w w:val="98"/>
              </w:rPr>
              <w:t>of Shares of</w:t>
            </w:r>
          </w:p>
        </w:tc>
        <w:tc>
          <w:tcPr>
            <w:tcW w:w="0" w:type="dxa"/>
            <w:vAlign w:val="bottom"/>
          </w:tcPr>
          <w:p>
            <w:pPr>
              <w:spacing w:after="0"/>
              <w:rPr>
                <w:sz w:val="1"/>
                <w:szCs w:val="1"/>
                <w:color w:val="auto"/>
              </w:rPr>
            </w:pPr>
          </w:p>
        </w:tc>
      </w:tr>
      <w:tr>
        <w:trPr>
          <w:trHeight w:val="125"/>
        </w:trPr>
        <w:tc>
          <w:tcPr>
            <w:tcW w:w="5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Stock That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jc w:val="center"/>
              <w:ind w:right="412"/>
              <w:spacing w:after="0" w:line="126" w:lineRule="exact"/>
              <w:rPr>
                <w:sz w:val="20"/>
                <w:szCs w:val="20"/>
                <w:color w:val="auto"/>
              </w:rPr>
            </w:pPr>
            <w:r>
              <w:rPr>
                <w:rFonts w:ascii="Times New Roman" w:cs="Times New Roman" w:eastAsia="Times New Roman" w:hAnsi="Times New Roman"/>
                <w:sz w:val="12"/>
                <w:szCs w:val="12"/>
                <w:b w:val="1"/>
                <w:bCs w:val="1"/>
                <w:color w:val="auto"/>
                <w:w w:val="99"/>
              </w:rPr>
              <w:t>Stock That</w:t>
            </w:r>
          </w:p>
        </w:tc>
        <w:tc>
          <w:tcPr>
            <w:tcW w:w="0" w:type="dxa"/>
            <w:vAlign w:val="bottom"/>
          </w:tcPr>
          <w:p>
            <w:pPr>
              <w:spacing w:after="0"/>
              <w:rPr>
                <w:sz w:val="1"/>
                <w:szCs w:val="1"/>
                <w:color w:val="auto"/>
              </w:rPr>
            </w:pPr>
          </w:p>
        </w:tc>
      </w:tr>
      <w:tr>
        <w:trPr>
          <w:trHeight w:val="125"/>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36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Have Not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jc w:val="center"/>
              <w:ind w:right="412"/>
              <w:spacing w:after="0" w:line="126"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0" w:type="dxa"/>
            <w:vAlign w:val="bottom"/>
          </w:tcPr>
          <w:p>
            <w:pPr>
              <w:spacing w:after="0"/>
              <w:rPr>
                <w:sz w:val="1"/>
                <w:szCs w:val="1"/>
                <w:color w:val="auto"/>
              </w:rPr>
            </w:pPr>
          </w:p>
        </w:tc>
      </w:tr>
      <w:tr>
        <w:trPr>
          <w:trHeight w:val="147"/>
        </w:trPr>
        <w:tc>
          <w:tcPr>
            <w:tcW w:w="5460" w:type="dxa"/>
            <w:vAlign w:val="bottom"/>
            <w:gridSpan w:val="2"/>
            <w:vMerge w:val="continue"/>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 xml:space="preserve">Vested </w:t>
            </w:r>
            <w:r>
              <w:rPr>
                <w:rFonts w:ascii="Times New Roman" w:cs="Times New Roman" w:eastAsia="Times New Roman" w:hAnsi="Times New Roman"/>
                <w:sz w:val="9"/>
                <w:szCs w:val="9"/>
                <w:b w:val="1"/>
                <w:bCs w:val="1"/>
                <w:color w:val="auto"/>
                <w:w w:val="95"/>
              </w:rPr>
              <w:t>(1)</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jc w:val="center"/>
              <w:ind w:right="432"/>
              <w:spacing w:after="0"/>
              <w:rPr>
                <w:sz w:val="20"/>
                <w:szCs w:val="20"/>
                <w:color w:val="auto"/>
              </w:rPr>
            </w:pPr>
            <w:r>
              <w:rPr>
                <w:rFonts w:ascii="Times New Roman" w:cs="Times New Roman" w:eastAsia="Times New Roman" w:hAnsi="Times New Roman"/>
                <w:sz w:val="12"/>
                <w:szCs w:val="12"/>
                <w:b w:val="1"/>
                <w:bCs w:val="1"/>
                <w:color w:val="auto"/>
                <w:w w:val="97"/>
              </w:rPr>
              <w:t>Vested</w:t>
            </w:r>
          </w:p>
        </w:tc>
        <w:tc>
          <w:tcPr>
            <w:tcW w:w="0" w:type="dxa"/>
            <w:vAlign w:val="bottom"/>
          </w:tcPr>
          <w:p>
            <w:pPr>
              <w:spacing w:after="0"/>
              <w:rPr>
                <w:sz w:val="1"/>
                <w:szCs w:val="1"/>
                <w:color w:val="auto"/>
              </w:rPr>
            </w:pPr>
          </w:p>
        </w:tc>
      </w:tr>
      <w:tr>
        <w:trPr>
          <w:trHeight w:val="174"/>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Brian E. Mueller</w:t>
            </w:r>
          </w:p>
        </w:tc>
        <w:tc>
          <w:tcPr>
            <w:tcW w:w="3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42,382</w:t>
            </w:r>
          </w:p>
        </w:tc>
        <w:tc>
          <w:tcPr>
            <w:tcW w:w="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3,758,860</w:t>
            </w:r>
          </w:p>
        </w:tc>
        <w:tc>
          <w:tcPr>
            <w:tcW w:w="0" w:type="dxa"/>
            <w:vAlign w:val="bottom"/>
          </w:tcPr>
          <w:p>
            <w:pPr>
              <w:spacing w:after="0"/>
              <w:rPr>
                <w:sz w:val="1"/>
                <w:szCs w:val="1"/>
                <w:color w:val="auto"/>
              </w:rPr>
            </w:pPr>
          </w:p>
        </w:tc>
      </w:tr>
      <w:tr>
        <w:trPr>
          <w:trHeight w:val="182"/>
        </w:trPr>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Dr. W. Stan Meyer</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22,616</w:t>
            </w:r>
          </w:p>
        </w:tc>
        <w:tc>
          <w:tcPr>
            <w:tcW w:w="800" w:type="dxa"/>
            <w:vAlign w:val="bottom"/>
            <w:gridSpan w:val="3"/>
          </w:tcPr>
          <w:p>
            <w:pPr>
              <w:jc w:val="right"/>
              <w:ind w:right="34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2,005,813</w:t>
            </w:r>
          </w:p>
        </w:tc>
        <w:tc>
          <w:tcPr>
            <w:tcW w:w="0" w:type="dxa"/>
            <w:vAlign w:val="bottom"/>
          </w:tcPr>
          <w:p>
            <w:pPr>
              <w:spacing w:after="0"/>
              <w:rPr>
                <w:sz w:val="1"/>
                <w:szCs w:val="1"/>
                <w:color w:val="auto"/>
              </w:rPr>
            </w:pPr>
          </w:p>
        </w:tc>
      </w:tr>
      <w:tr>
        <w:trPr>
          <w:trHeight w:val="182"/>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E. Bachus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22,616</w:t>
            </w:r>
          </w:p>
        </w:tc>
        <w:tc>
          <w:tcPr>
            <w:tcW w:w="800" w:type="dxa"/>
            <w:vAlign w:val="bottom"/>
            <w:gridSpan w:val="3"/>
            <w:shd w:val="clear" w:color="auto" w:fill="CCEEFF"/>
          </w:tcPr>
          <w:p>
            <w:pPr>
              <w:jc w:val="right"/>
              <w:ind w:right="34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2,005,813</w:t>
            </w:r>
          </w:p>
        </w:tc>
        <w:tc>
          <w:tcPr>
            <w:tcW w:w="0" w:type="dxa"/>
            <w:vAlign w:val="bottom"/>
          </w:tcPr>
          <w:p>
            <w:pPr>
              <w:spacing w:after="0"/>
              <w:rPr>
                <w:sz w:val="1"/>
                <w:szCs w:val="1"/>
                <w:color w:val="auto"/>
              </w:rPr>
            </w:pPr>
          </w:p>
        </w:tc>
      </w:tr>
      <w:tr>
        <w:trPr>
          <w:trHeight w:val="182"/>
        </w:trPr>
        <w:tc>
          <w:tcPr>
            <w:tcW w:w="5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Dilek Marsh</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11,109</w:t>
            </w:r>
          </w:p>
        </w:tc>
        <w:tc>
          <w:tcPr>
            <w:tcW w:w="800" w:type="dxa"/>
            <w:vAlign w:val="bottom"/>
            <w:gridSpan w:val="3"/>
          </w:tcPr>
          <w:p>
            <w:pPr>
              <w:jc w:val="right"/>
              <w:ind w:right="34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985,257</w:t>
            </w:r>
          </w:p>
        </w:tc>
        <w:tc>
          <w:tcPr>
            <w:tcW w:w="0" w:type="dxa"/>
            <w:vAlign w:val="bottom"/>
          </w:tcPr>
          <w:p>
            <w:pPr>
              <w:spacing w:after="0"/>
              <w:rPr>
                <w:sz w:val="1"/>
                <w:szCs w:val="1"/>
                <w:color w:val="auto"/>
              </w:rPr>
            </w:pPr>
          </w:p>
        </w:tc>
      </w:tr>
      <w:tr>
        <w:trPr>
          <w:trHeight w:val="182"/>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J. Briggs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12,170</w:t>
            </w:r>
          </w:p>
        </w:tc>
        <w:tc>
          <w:tcPr>
            <w:tcW w:w="800" w:type="dxa"/>
            <w:vAlign w:val="bottom"/>
            <w:gridSpan w:val="3"/>
            <w:shd w:val="clear" w:color="auto" w:fill="CCEEFF"/>
          </w:tcPr>
          <w:p>
            <w:pPr>
              <w:jc w:val="right"/>
              <w:ind w:right="346"/>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1,079,357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173990</wp:posOffset>
            </wp:positionV>
            <wp:extent cx="14192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19225" cy="6985"/>
                    </a:xfrm>
                    <a:prstGeom prst="rect">
                      <a:avLst/>
                    </a:prstGeom>
                    <a:noFill/>
                  </pic:spPr>
                </pic:pic>
              </a:graphicData>
            </a:graphic>
          </wp:anchor>
        </w:drawing>
      </w:r>
    </w:p>
    <w:p>
      <w:pPr>
        <w:spacing w:after="0" w:line="330" w:lineRule="exact"/>
        <w:rPr>
          <w:sz w:val="20"/>
          <w:szCs w:val="20"/>
          <w:color w:val="auto"/>
        </w:rPr>
      </w:pPr>
    </w:p>
    <w:p>
      <w:pPr>
        <w:ind w:left="780" w:right="59" w:hanging="469"/>
        <w:spacing w:after="0" w:line="259" w:lineRule="auto"/>
        <w:tabs>
          <w:tab w:leader="none" w:pos="7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restricted stock awards granted to Mr. Mueller, Dr. Meyer, Mr. Bachus, Ms. Marsh, and Mr. Briggs vest in five successive equal annual installments upon the completion of each year of service with us over the five year period measured from the respective date of grant, subject to fully accelerated vesting in the event of a termination of employment without Cause or by the executive for Good Reason (each as defined and discussed below) within twelve (12) months following a change in control of the Company. Mr. Mueller, Dr. Meyer, Mr. Bachus, Ms. Marsh, and Mr. Briggs also receive partial accelerated vesting through the next annual vesting date immediately following the date of termination, upon the termination of employment by us without Cause or by the executive for Good Reason (as further discussed below).</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2021 Options Exercised and Stock Vested</w:t>
      </w:r>
    </w:p>
    <w:p>
      <w:pPr>
        <w:spacing w:after="0" w:line="196" w:lineRule="exact"/>
        <w:rPr>
          <w:sz w:val="20"/>
          <w:szCs w:val="20"/>
          <w:color w:val="auto"/>
        </w:rPr>
      </w:pPr>
    </w:p>
    <w:p>
      <w:pPr>
        <w:ind w:left="40" w:right="359" w:firstLine="547"/>
        <w:spacing w:after="0" w:line="288" w:lineRule="auto"/>
        <w:rPr>
          <w:sz w:val="20"/>
          <w:szCs w:val="20"/>
          <w:color w:val="auto"/>
        </w:rPr>
      </w:pPr>
      <w:r>
        <w:rPr>
          <w:rFonts w:ascii="Times New Roman" w:cs="Times New Roman" w:eastAsia="Times New Roman" w:hAnsi="Times New Roman"/>
          <w:sz w:val="15"/>
          <w:szCs w:val="15"/>
          <w:color w:val="auto"/>
        </w:rPr>
        <w:t>The following table provides certain summary information concerning option awards exercised by our named executive officers, and restricted stock awards made to our named executive officers that vested, during the fiscal year ended December 31, 2021.</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4"/>
          </w:tcPr>
          <w:p>
            <w:pPr>
              <w:jc w:val="right"/>
              <w:ind w:right="809"/>
              <w:spacing w:after="0"/>
              <w:rPr>
                <w:sz w:val="20"/>
                <w:szCs w:val="20"/>
                <w:color w:val="auto"/>
              </w:rPr>
            </w:pPr>
            <w:r>
              <w:rPr>
                <w:rFonts w:ascii="Times New Roman" w:cs="Times New Roman" w:eastAsia="Times New Roman" w:hAnsi="Times New Roman"/>
                <w:sz w:val="12"/>
                <w:szCs w:val="12"/>
                <w:b w:val="1"/>
                <w:bCs w:val="1"/>
                <w:color w:val="auto"/>
              </w:rPr>
              <w:t>Restricted Stock Awards</w:t>
            </w:r>
          </w:p>
        </w:tc>
        <w:tc>
          <w:tcPr>
            <w:tcW w:w="0" w:type="dxa"/>
            <w:vAlign w:val="bottom"/>
          </w:tcPr>
          <w:p>
            <w:pPr>
              <w:spacing w:after="0"/>
              <w:rPr>
                <w:sz w:val="1"/>
                <w:szCs w:val="1"/>
                <w:color w:val="auto"/>
              </w:rPr>
            </w:pPr>
          </w:p>
        </w:tc>
      </w:tr>
      <w:tr>
        <w:trPr>
          <w:trHeight w:val="95"/>
        </w:trPr>
        <w:tc>
          <w:tcPr>
            <w:tcW w:w="27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560" w:type="dxa"/>
            <w:vAlign w:val="bottom"/>
          </w:tcPr>
          <w:p>
            <w:pPr>
              <w:jc w:val="right"/>
              <w:ind w:right="250"/>
              <w:spacing w:after="0" w:line="95"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tcPr>
          <w:p>
            <w:pPr>
              <w:ind w:left="40"/>
              <w:spacing w:after="0" w:line="95" w:lineRule="exact"/>
              <w:rPr>
                <w:sz w:val="20"/>
                <w:szCs w:val="20"/>
                <w:color w:val="auto"/>
              </w:rPr>
            </w:pPr>
            <w:r>
              <w:rPr>
                <w:rFonts w:ascii="Times New Roman" w:cs="Times New Roman" w:eastAsia="Times New Roman" w:hAnsi="Times New Roman"/>
                <w:sz w:val="11"/>
                <w:szCs w:val="11"/>
                <w:b w:val="1"/>
                <w:bCs w:val="1"/>
                <w:color w:val="auto"/>
              </w:rPr>
              <w:t>Value Realized</w:t>
            </w:r>
          </w:p>
        </w:tc>
        <w:tc>
          <w:tcPr>
            <w:tcW w:w="1520" w:type="dxa"/>
            <w:vAlign w:val="bottom"/>
          </w:tcPr>
          <w:p>
            <w:pPr>
              <w:jc w:val="right"/>
              <w:ind w:right="230"/>
              <w:spacing w:after="0" w:line="95"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jc w:val="right"/>
              <w:ind w:right="229"/>
              <w:spacing w:after="0" w:line="95" w:lineRule="exact"/>
              <w:rPr>
                <w:sz w:val="20"/>
                <w:szCs w:val="20"/>
                <w:color w:val="auto"/>
              </w:rPr>
            </w:pPr>
            <w:r>
              <w:rPr>
                <w:rFonts w:ascii="Times New Roman" w:cs="Times New Roman" w:eastAsia="Times New Roman" w:hAnsi="Times New Roman"/>
                <w:sz w:val="11"/>
                <w:szCs w:val="11"/>
                <w:b w:val="1"/>
                <w:bCs w:val="1"/>
                <w:color w:val="auto"/>
              </w:rPr>
              <w:t>Value Realized</w:t>
            </w:r>
          </w:p>
        </w:tc>
        <w:tc>
          <w:tcPr>
            <w:tcW w:w="0" w:type="dxa"/>
            <w:vAlign w:val="bottom"/>
          </w:tcPr>
          <w:p>
            <w:pPr>
              <w:spacing w:after="0"/>
              <w:rPr>
                <w:sz w:val="1"/>
                <w:szCs w:val="1"/>
                <w:color w:val="auto"/>
              </w:rPr>
            </w:pPr>
          </w:p>
        </w:tc>
      </w:tr>
      <w:tr>
        <w:trPr>
          <w:trHeight w:val="147"/>
        </w:trPr>
        <w:tc>
          <w:tcPr>
            <w:tcW w:w="2740" w:type="dxa"/>
            <w:vAlign w:val="bottom"/>
            <w:gridSpan w:val="4"/>
            <w:vMerge w:val="continue"/>
          </w:tcPr>
          <w:p>
            <w:pPr>
              <w:spacing w:after="0"/>
              <w:rPr>
                <w:sz w:val="12"/>
                <w:szCs w:val="12"/>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Acquired on Exercise (#)</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on Exercise ($)</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Acquired on Vesting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on Vesting ($)</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Mr. Brian E. Mueller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8,031,788</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17,253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1,841,240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Dr. W. Stan Meyer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3,549,760</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982,464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Mr. Daniel E. Bachus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3,549,343</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982,464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Ms. Dilek Marsh</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404,789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Mr. Daniel J. Briggs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183,665</w:t>
            </w:r>
          </w:p>
        </w:tc>
        <w:tc>
          <w:tcPr>
            <w:tcW w:w="0" w:type="dxa"/>
            <w:vAlign w:val="bottom"/>
          </w:tcPr>
          <w:p>
            <w:pPr>
              <w:spacing w:after="0"/>
              <w:rPr>
                <w:sz w:val="1"/>
                <w:szCs w:val="1"/>
                <w:color w:val="auto"/>
              </w:rPr>
            </w:pPr>
          </w:p>
        </w:tc>
      </w:tr>
      <w:tr>
        <w:trPr>
          <w:trHeight w:val="276"/>
        </w:trPr>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Pay Ratio Disclosure</w:t>
      </w:r>
    </w:p>
    <w:p>
      <w:pPr>
        <w:spacing w:after="0" w:line="196" w:lineRule="exact"/>
        <w:rPr>
          <w:sz w:val="20"/>
          <w:szCs w:val="20"/>
          <w:color w:val="auto"/>
        </w:rPr>
      </w:pPr>
    </w:p>
    <w:p>
      <w:pPr>
        <w:ind w:left="40" w:right="119" w:firstLine="547"/>
        <w:spacing w:after="0" w:line="271" w:lineRule="auto"/>
        <w:rPr>
          <w:sz w:val="20"/>
          <w:szCs w:val="20"/>
          <w:color w:val="auto"/>
        </w:rPr>
      </w:pPr>
      <w:r>
        <w:rPr>
          <w:rFonts w:ascii="Times New Roman" w:cs="Times New Roman" w:eastAsia="Times New Roman" w:hAnsi="Times New Roman"/>
          <w:sz w:val="15"/>
          <w:szCs w:val="15"/>
          <w:color w:val="auto"/>
        </w:rPr>
        <w:t>Under Section 953(b) of the Dodd-Frank Wall Street Reform and Consumer Protection Act and Item 402(u) of Regulation S-K, we are required to provide the ratio of the annual total compensation of Mr. Mueller, our Chief Executive Officer, to the annual total compensation of the median employee of the Company (the “Pay Ratio Disclosure”).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For 2021, our last completed fiscal year:</w:t>
      </w:r>
    </w:p>
    <w:p>
      <w:pPr>
        <w:spacing w:after="0" w:line="192" w:lineRule="exact"/>
        <w:rPr>
          <w:sz w:val="20"/>
          <w:szCs w:val="20"/>
          <w:color w:val="auto"/>
        </w:rPr>
      </w:pPr>
    </w:p>
    <w:p>
      <w:pPr>
        <w:ind w:left="1140" w:hanging="282"/>
        <w:spacing w:after="0"/>
        <w:tabs>
          <w:tab w:leader="none" w:pos="11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median annual total compensation of all of our employees (other than the Chief Executive Officer) was $54,529; and</w:t>
      </w:r>
    </w:p>
    <w:p>
      <w:pPr>
        <w:spacing w:after="0" w:line="192" w:lineRule="exact"/>
        <w:rPr>
          <w:rFonts w:ascii="Times New Roman" w:cs="Times New Roman" w:eastAsia="Times New Roman" w:hAnsi="Times New Roman"/>
          <w:sz w:val="15"/>
          <w:szCs w:val="15"/>
          <w:color w:val="auto"/>
        </w:rPr>
      </w:pPr>
    </w:p>
    <w:p>
      <w:pPr>
        <w:ind w:left="1140" w:hanging="282"/>
        <w:spacing w:after="0"/>
        <w:tabs>
          <w:tab w:leader="none" w:pos="11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 total compensation of Mr. Mueller, as reported above in the Summary Compensation Table, was $1,843,058.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131445</wp:posOffset>
            </wp:positionV>
            <wp:extent cx="4532630" cy="2533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32630" cy="253365"/>
                    </a:xfrm>
                    <a:prstGeom prst="rect">
                      <a:avLst/>
                    </a:prstGeom>
                    <a:noFill/>
                  </pic:spPr>
                </pic:pic>
              </a:graphicData>
            </a:graphic>
          </wp:anchor>
        </w:drawing>
      </w:r>
    </w:p>
    <w:p>
      <w:pPr>
        <w:spacing w:after="0" w:line="191" w:lineRule="exact"/>
        <w:rPr>
          <w:sz w:val="20"/>
          <w:szCs w:val="20"/>
          <w:color w:val="auto"/>
        </w:rPr>
      </w:pPr>
    </w:p>
    <w:p>
      <w:pPr>
        <w:ind w:left="1060" w:right="1019"/>
        <w:spacing w:after="0" w:line="294" w:lineRule="auto"/>
        <w:rPr>
          <w:sz w:val="20"/>
          <w:szCs w:val="20"/>
          <w:color w:val="auto"/>
        </w:rPr>
      </w:pPr>
      <w:r>
        <w:rPr>
          <w:rFonts w:ascii="Times New Roman" w:cs="Times New Roman" w:eastAsia="Times New Roman" w:hAnsi="Times New Roman"/>
          <w:sz w:val="15"/>
          <w:szCs w:val="15"/>
          <w:i w:val="1"/>
          <w:iCs w:val="1"/>
          <w:color w:val="auto"/>
        </w:rPr>
        <w:t>Based on this information, for 2021 the ratio of the annual total compensation of Mr. Mueller, our Chief Executive Officer, to the median of the annual total compensation of all employees was 33.8 to 1.</w:t>
      </w:r>
    </w:p>
    <w:p>
      <w:pPr>
        <w:spacing w:after="0" w:line="140" w:lineRule="exact"/>
        <w:rPr>
          <w:sz w:val="20"/>
          <w:szCs w:val="20"/>
          <w:color w:val="auto"/>
        </w:rPr>
      </w:pPr>
    </w:p>
    <w:p>
      <w:pPr>
        <w:ind w:left="40" w:right="259" w:firstLine="547"/>
        <w:spacing w:after="0" w:line="288" w:lineRule="auto"/>
        <w:rPr>
          <w:sz w:val="20"/>
          <w:szCs w:val="20"/>
          <w:color w:val="auto"/>
        </w:rPr>
      </w:pPr>
      <w:r>
        <w:rPr>
          <w:rFonts w:ascii="Times New Roman" w:cs="Times New Roman" w:eastAsia="Times New Roman" w:hAnsi="Times New Roman"/>
          <w:sz w:val="15"/>
          <w:szCs w:val="15"/>
          <w:color w:val="auto"/>
        </w:rPr>
        <w:t>To identify the median of the annual total compensation of all our employees, as well as to determine the annual total compensation of our median employee, we took the following steps:</w:t>
      </w:r>
    </w:p>
    <w:p>
      <w:pPr>
        <w:spacing w:after="0" w:line="133" w:lineRule="exact"/>
        <w:rPr>
          <w:sz w:val="20"/>
          <w:szCs w:val="20"/>
          <w:color w:val="auto"/>
        </w:rPr>
      </w:pPr>
    </w:p>
    <w:p>
      <w:pPr>
        <w:ind w:left="860" w:right="139" w:hanging="276"/>
        <w:spacing w:after="0" w:line="265" w:lineRule="auto"/>
        <w:tabs>
          <w:tab w:leader="none" w:pos="8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determined that, as of December 31, 2021, our employee population consisted of 4,691 individuals, all of whom were located in the United States and of which 3,697, or 78.8%, were full-time employees, 1,969, or 42.0%, were full-time salaried employees, and 917, or 19.5%, were part-time employees and student workers. We selected December 31, 2021 as the date upon which we would identify the “median employee” because it enabled us to make such identification in a reasonably efficient and economical manner.</w:t>
      </w:r>
    </w:p>
    <w:p>
      <w:pPr>
        <w:spacing w:after="0" w:line="150" w:lineRule="exact"/>
        <w:rPr>
          <w:rFonts w:ascii="Times New Roman" w:cs="Times New Roman" w:eastAsia="Times New Roman" w:hAnsi="Times New Roman"/>
          <w:sz w:val="15"/>
          <w:szCs w:val="15"/>
          <w:color w:val="auto"/>
        </w:rPr>
      </w:pPr>
    </w:p>
    <w:p>
      <w:pPr>
        <w:ind w:left="860" w:right="79" w:hanging="276"/>
        <w:spacing w:after="0" w:line="259" w:lineRule="auto"/>
        <w:tabs>
          <w:tab w:leader="none" w:pos="8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identify the “median employee” from our employee population, we compared the amount of base salary of our employees as reflected in our payroll records and included as port of the total compensation reported to the Internal Revenue Service on Form W-2 for 2021. In making this determination, we annualized the compensation of approximately 857 full-time employees who were hired after January 1, 2021 but did not work for us for the entire fiscal year. We identified our median employee using this compensation measure, which was consistently applied to all our employees included in the calculation. Since all our employees are located in the United States, as is our Chief Executive Officer, we did not make any cost-of-living adjustments in identifying the “median employee.”</w:t>
      </w:r>
    </w:p>
    <w:p>
      <w:pPr>
        <w:spacing w:after="0" w:line="156" w:lineRule="exact"/>
        <w:rPr>
          <w:rFonts w:ascii="Times New Roman" w:cs="Times New Roman" w:eastAsia="Times New Roman" w:hAnsi="Times New Roman"/>
          <w:sz w:val="15"/>
          <w:szCs w:val="15"/>
          <w:color w:val="auto"/>
        </w:rPr>
      </w:pPr>
    </w:p>
    <w:p>
      <w:pPr>
        <w:ind w:left="860" w:right="79" w:hanging="276"/>
        <w:spacing w:after="0" w:line="259" w:lineRule="auto"/>
        <w:tabs>
          <w:tab w:leader="none" w:pos="8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Once we identified our median employee, we combined all of the elements of such employee’s compensation for 2021 in accordance with the requirements of Item 402(c)(2)(x) of Regulation S-K, resulting in annual total compensation of $54,532. The difference between such employee’s base salary and the employee’s annual total compensation represents the employee’s overtime pay, annual bonus and company matching contributions on behalf of the employee to our 401(k) employee savings plan. Since we do not maintain a defined benefit or other actuarial plan for our employees, and do not otherwise provide a plan for payments or other benefits at, following, or in connection with retirement, the “median employee’s” annual total compensation did not include amounts attributable to those types of arrangements.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Executive Employment Agreements</w:t>
      </w:r>
    </w:p>
    <w:p>
      <w:pPr>
        <w:spacing w:after="0" w:line="196" w:lineRule="exact"/>
        <w:rPr>
          <w:sz w:val="20"/>
          <w:szCs w:val="20"/>
          <w:color w:val="auto"/>
        </w:rPr>
      </w:pPr>
    </w:p>
    <w:p>
      <w:pPr>
        <w:ind w:left="40" w:right="79" w:firstLine="547"/>
        <w:spacing w:after="0" w:line="265" w:lineRule="auto"/>
        <w:rPr>
          <w:sz w:val="20"/>
          <w:szCs w:val="20"/>
          <w:color w:val="auto"/>
        </w:rPr>
      </w:pPr>
      <w:r>
        <w:rPr>
          <w:rFonts w:ascii="Times New Roman" w:cs="Times New Roman" w:eastAsia="Times New Roman" w:hAnsi="Times New Roman"/>
          <w:sz w:val="15"/>
          <w:szCs w:val="15"/>
          <w:color w:val="auto"/>
        </w:rPr>
        <w:t>We are party to employment agreements with each of our named executive officers. Each of the agreements has a five-year term from the effective date, except for the agreement with Mr. Briggs which has a three-year term from the effective date, that automatically renews for one-year periods after the initial term unless either party provides written notice that it does not wish to renew the respective agreement. The terms of each agreement are similar in all material respects and, among other things, provide for each executive to:</w:t>
      </w:r>
    </w:p>
    <w:p>
      <w:pPr>
        <w:spacing w:after="0" w:line="150" w:lineRule="exact"/>
        <w:rPr>
          <w:sz w:val="20"/>
          <w:szCs w:val="20"/>
          <w:color w:val="auto"/>
        </w:rPr>
      </w:pPr>
    </w:p>
    <w:p>
      <w:pPr>
        <w:ind w:left="860" w:hanging="276"/>
        <w:spacing w:after="0"/>
        <w:tabs>
          <w:tab w:leader="none" w:pos="8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 a base salary and a target incentive bonus.</w:t>
      </w:r>
    </w:p>
    <w:p>
      <w:pPr>
        <w:spacing w:after="0" w:line="192" w:lineRule="exact"/>
        <w:rPr>
          <w:rFonts w:ascii="Times New Roman" w:cs="Times New Roman" w:eastAsia="Times New Roman" w:hAnsi="Times New Roman"/>
          <w:sz w:val="15"/>
          <w:szCs w:val="15"/>
          <w:color w:val="auto"/>
        </w:rPr>
      </w:pPr>
    </w:p>
    <w:p>
      <w:pPr>
        <w:ind w:left="860" w:right="119" w:hanging="276"/>
        <w:spacing w:after="0" w:line="288" w:lineRule="auto"/>
        <w:tabs>
          <w:tab w:leader="none" w:pos="8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 customary and usual fringe benefits generally available to our senior management, and to be reimbursed for reasonable out-of-pocket business expenses.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hanging="276"/>
        <w:spacing w:after="0"/>
        <w:tabs>
          <w:tab w:leader="none" w:pos="8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 certain benefits upon his or her termination of employment under specified circumstances.</w:t>
      </w:r>
    </w:p>
    <w:p>
      <w:pPr>
        <w:spacing w:after="0" w:line="192" w:lineRule="exact"/>
        <w:rPr>
          <w:sz w:val="20"/>
          <w:szCs w:val="20"/>
          <w:color w:val="auto"/>
        </w:rPr>
      </w:pPr>
    </w:p>
    <w:p>
      <w:pPr>
        <w:ind w:left="40" w:right="159" w:firstLine="547"/>
        <w:spacing w:after="0" w:line="288" w:lineRule="auto"/>
        <w:rPr>
          <w:sz w:val="20"/>
          <w:szCs w:val="20"/>
          <w:color w:val="auto"/>
        </w:rPr>
      </w:pPr>
      <w:r>
        <w:rPr>
          <w:rFonts w:ascii="Times New Roman" w:cs="Times New Roman" w:eastAsia="Times New Roman" w:hAnsi="Times New Roman"/>
          <w:sz w:val="15"/>
          <w:szCs w:val="15"/>
          <w:color w:val="auto"/>
        </w:rPr>
        <w:t>In addition, each of the above employment agreements provides for payments upon certain terminations of the executive’s employment, as described below.</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Termination for Cause</w:t>
      </w:r>
    </w:p>
    <w:p>
      <w:pPr>
        <w:spacing w:after="0" w:line="196" w:lineRule="exact"/>
        <w:rPr>
          <w:sz w:val="20"/>
          <w:szCs w:val="20"/>
          <w:color w:val="auto"/>
        </w:rPr>
      </w:pPr>
    </w:p>
    <w:p>
      <w:pPr>
        <w:ind w:left="40" w:right="59" w:firstLine="547"/>
        <w:spacing w:after="0" w:line="256" w:lineRule="auto"/>
        <w:rPr>
          <w:sz w:val="20"/>
          <w:szCs w:val="20"/>
          <w:color w:val="auto"/>
        </w:rPr>
      </w:pPr>
      <w:r>
        <w:rPr>
          <w:rFonts w:ascii="Times New Roman" w:cs="Times New Roman" w:eastAsia="Times New Roman" w:hAnsi="Times New Roman"/>
          <w:sz w:val="15"/>
          <w:szCs w:val="15"/>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Termination Without Cause or Termination for Good Reason</w:t>
      </w:r>
    </w:p>
    <w:p>
      <w:pPr>
        <w:spacing w:after="0" w:line="196" w:lineRule="exact"/>
        <w:rPr>
          <w:sz w:val="20"/>
          <w:szCs w:val="20"/>
          <w:color w:val="auto"/>
        </w:rPr>
      </w:pPr>
    </w:p>
    <w:p>
      <w:pPr>
        <w:jc w:val="both"/>
        <w:ind w:left="40" w:right="139" w:firstLine="547"/>
        <w:spacing w:after="0" w:line="271" w:lineRule="auto"/>
        <w:rPr>
          <w:sz w:val="20"/>
          <w:szCs w:val="20"/>
          <w:color w:val="auto"/>
        </w:rPr>
      </w:pPr>
      <w:r>
        <w:rPr>
          <w:rFonts w:ascii="Times New Roman" w:cs="Times New Roman" w:eastAsia="Times New Roman" w:hAnsi="Times New Roman"/>
          <w:sz w:val="15"/>
          <w:szCs w:val="15"/>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145" w:lineRule="exact"/>
        <w:rPr>
          <w:sz w:val="20"/>
          <w:szCs w:val="20"/>
          <w:color w:val="auto"/>
        </w:rPr>
      </w:pPr>
    </w:p>
    <w:p>
      <w:pPr>
        <w:ind w:left="860" w:right="59" w:hanging="276"/>
        <w:spacing w:after="0" w:line="262" w:lineRule="auto"/>
        <w:tabs>
          <w:tab w:leader="none" w:pos="8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severance payment in an amount equal to the sum of (i) twelve (12) months of the executive’s base salary then in effect on the date of termination, and (ii)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153" w:lineRule="exact"/>
        <w:rPr>
          <w:rFonts w:ascii="Times New Roman" w:cs="Times New Roman" w:eastAsia="Times New Roman" w:hAnsi="Times New Roman"/>
          <w:sz w:val="15"/>
          <w:szCs w:val="15"/>
          <w:color w:val="auto"/>
        </w:rPr>
      </w:pPr>
    </w:p>
    <w:p>
      <w:pPr>
        <w:ind w:left="860" w:right="219" w:hanging="276"/>
        <w:spacing w:after="0" w:line="265" w:lineRule="auto"/>
        <w:tabs>
          <w:tab w:leader="none" w:pos="8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by us of the premiums required to continue the executive’s group health care coverage for a period of twelve (12)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150" w:lineRule="exact"/>
        <w:rPr>
          <w:rFonts w:ascii="Times New Roman" w:cs="Times New Roman" w:eastAsia="Times New Roman" w:hAnsi="Times New Roman"/>
          <w:sz w:val="15"/>
          <w:szCs w:val="15"/>
          <w:color w:val="auto"/>
        </w:rPr>
      </w:pPr>
    </w:p>
    <w:p>
      <w:pPr>
        <w:ind w:left="860" w:right="319" w:hanging="276"/>
        <w:spacing w:after="0" w:line="288" w:lineRule="auto"/>
        <w:tabs>
          <w:tab w:leader="none" w:pos="8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acceleration of the vesting of the next annual installment under any outstanding restricted stock award that otherwise would have vested on the next annual vesting date following the named executive officer’s termination.</w:t>
      </w:r>
    </w:p>
    <w:p>
      <w:pPr>
        <w:spacing w:after="0" w:line="133" w:lineRule="exact"/>
        <w:rPr>
          <w:sz w:val="20"/>
          <w:szCs w:val="20"/>
          <w:color w:val="auto"/>
        </w:rPr>
      </w:pPr>
    </w:p>
    <w:p>
      <w:pPr>
        <w:ind w:left="40" w:right="59" w:firstLine="547"/>
        <w:spacing w:after="0" w:line="262" w:lineRule="auto"/>
        <w:rPr>
          <w:sz w:val="20"/>
          <w:szCs w:val="20"/>
          <w:color w:val="auto"/>
        </w:rPr>
      </w:pPr>
      <w:r>
        <w:rPr>
          <w:rFonts w:ascii="Times New Roman" w:cs="Times New Roman" w:eastAsia="Times New Roman" w:hAnsi="Times New Roman"/>
          <w:sz w:val="15"/>
          <w:szCs w:val="15"/>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right="79" w:firstLine="547"/>
        <w:spacing w:after="0" w:line="258" w:lineRule="auto"/>
        <w:rPr>
          <w:sz w:val="20"/>
          <w:szCs w:val="20"/>
          <w:color w:val="auto"/>
        </w:rPr>
      </w:pPr>
      <w:r>
        <w:rPr>
          <w:rFonts w:ascii="Times New Roman" w:cs="Times New Roman" w:eastAsia="Times New Roman" w:hAnsi="Times New Roman"/>
          <w:sz w:val="15"/>
          <w:szCs w:val="15"/>
          <w:color w:val="auto"/>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Termination Upon a Change in Control</w:t>
      </w:r>
    </w:p>
    <w:p>
      <w:pPr>
        <w:spacing w:after="0" w:line="196" w:lineRule="exact"/>
        <w:rPr>
          <w:sz w:val="20"/>
          <w:szCs w:val="20"/>
          <w:color w:val="auto"/>
        </w:rPr>
      </w:pPr>
    </w:p>
    <w:p>
      <w:pPr>
        <w:ind w:left="40" w:right="59" w:firstLine="547"/>
        <w:spacing w:after="0" w:line="255" w:lineRule="auto"/>
        <w:rPr>
          <w:sz w:val="20"/>
          <w:szCs w:val="20"/>
          <w:color w:val="auto"/>
        </w:rPr>
      </w:pPr>
      <w:r>
        <w:rPr>
          <w:rFonts w:ascii="Times New Roman" w:cs="Times New Roman" w:eastAsia="Times New Roman" w:hAnsi="Times New Roman"/>
          <w:sz w:val="15"/>
          <w:szCs w:val="15"/>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Non-Competition and Non-Solicitation Obligations</w:t>
      </w:r>
    </w:p>
    <w:p>
      <w:pPr>
        <w:spacing w:after="0" w:line="196" w:lineRule="exact"/>
        <w:rPr>
          <w:sz w:val="20"/>
          <w:szCs w:val="20"/>
          <w:color w:val="auto"/>
        </w:rPr>
      </w:pPr>
    </w:p>
    <w:p>
      <w:pPr>
        <w:ind w:left="40" w:right="59" w:firstLine="547"/>
        <w:spacing w:after="0" w:line="257" w:lineRule="auto"/>
        <w:rPr>
          <w:sz w:val="20"/>
          <w:szCs w:val="20"/>
          <w:color w:val="auto"/>
        </w:rPr>
      </w:pPr>
      <w:r>
        <w:rPr>
          <w:rFonts w:ascii="Times New Roman" w:cs="Times New Roman" w:eastAsia="Times New Roman" w:hAnsi="Times New Roman"/>
          <w:sz w:val="15"/>
          <w:szCs w:val="15"/>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 (12) months thereafter, from (a) owning (except ownership of less than 1% of any class of securities which are listed for trading on any securities exchange or which are traded in the over-the-counter market), managing, controlling, participating in, consulting with, rendering services for, being employed by, or in any manner engaging in the operation of (i) any business that develops or administers services to degree-granting institutions of higher education, or (ii) any other business of the Company in which the executive had significant involvement prior to the executive’s separation; (b) inducing or attempting to induce any employee of the Company to leave the employ of the Company, or in any way interfering with the relationship between the Company and any employee thereof, or (c) inducing or attempting to induce any customer, supplier, licensee or other business relation of the Company to cease doing business with, or modify its business relationship with, the Company, or in any way interfering with or hindering the relationship between any such customer, supplier, licensee or business relation and the Company. Each of the executives has separately entered into a confidentiality agreement with us.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Potential Payments upon Termination or Change in Control</w:t>
      </w:r>
    </w:p>
    <w:p>
      <w:pPr>
        <w:spacing w:after="0" w:line="196" w:lineRule="exact"/>
        <w:rPr>
          <w:sz w:val="20"/>
          <w:szCs w:val="20"/>
          <w:color w:val="auto"/>
        </w:rPr>
      </w:pPr>
    </w:p>
    <w:p>
      <w:pPr>
        <w:ind w:left="40" w:right="119" w:firstLine="547"/>
        <w:spacing w:after="0" w:line="262" w:lineRule="auto"/>
        <w:rPr>
          <w:sz w:val="20"/>
          <w:szCs w:val="20"/>
          <w:color w:val="auto"/>
        </w:rPr>
      </w:pPr>
      <w:r>
        <w:rPr>
          <w:rFonts w:ascii="Times New Roman" w:cs="Times New Roman" w:eastAsia="Times New Roman" w:hAnsi="Times New Roman"/>
          <w:sz w:val="15"/>
          <w:szCs w:val="15"/>
          <w:color w:val="auto"/>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2021, the last business day of fiscal year 2021. All payments in connection with any such termination will comply with Section 409A of the Internal Revenue Code, to the extent Section 409A applies. The actual amounts to be paid out can only be determined at the time of such executive’s separation from the Company.</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20" w:type="dxa"/>
            <w:vAlign w:val="bottom"/>
            <w:gridSpan w:val="7"/>
            <w:vMerge w:val="restart"/>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Termination without Cause or for Good Reason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gridSpan w:val="7"/>
          </w:tcPr>
          <w:p>
            <w:pPr>
              <w:jc w:val="right"/>
              <w:ind w:right="510"/>
              <w:spacing w:after="0"/>
              <w:rPr>
                <w:sz w:val="20"/>
                <w:szCs w:val="20"/>
                <w:color w:val="auto"/>
              </w:rPr>
            </w:pPr>
            <w:r>
              <w:rPr>
                <w:rFonts w:ascii="Times New Roman" w:cs="Times New Roman" w:eastAsia="Times New Roman" w:hAnsi="Times New Roman"/>
                <w:sz w:val="12"/>
                <w:szCs w:val="12"/>
                <w:b w:val="1"/>
                <w:bCs w:val="1"/>
                <w:color w:val="auto"/>
              </w:rPr>
              <w:t>Termination without Cause or for Good Reason</w:t>
            </w:r>
          </w:p>
        </w:tc>
        <w:tc>
          <w:tcPr>
            <w:tcW w:w="0" w:type="dxa"/>
            <w:vAlign w:val="bottom"/>
          </w:tcPr>
          <w:p>
            <w:pPr>
              <w:spacing w:after="0"/>
              <w:rPr>
                <w:sz w:val="1"/>
                <w:szCs w:val="1"/>
                <w:color w:val="auto"/>
              </w:rPr>
            </w:pPr>
          </w:p>
        </w:tc>
      </w:tr>
      <w:tr>
        <w:trPr>
          <w:trHeight w:val="147"/>
        </w:trPr>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6"/>
          </w:tcPr>
          <w:p>
            <w:pPr>
              <w:jc w:val="right"/>
              <w:ind w:right="970"/>
              <w:spacing w:after="0"/>
              <w:rPr>
                <w:sz w:val="20"/>
                <w:szCs w:val="20"/>
                <w:color w:val="auto"/>
              </w:rPr>
            </w:pPr>
            <w:r>
              <w:rPr>
                <w:rFonts w:ascii="Times New Roman" w:cs="Times New Roman" w:eastAsia="Times New Roman" w:hAnsi="Times New Roman"/>
                <w:sz w:val="12"/>
                <w:szCs w:val="12"/>
                <w:b w:val="1"/>
                <w:bCs w:val="1"/>
                <w:color w:val="auto"/>
              </w:rPr>
              <w:t>following a Change in Control</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center"/>
              <w:ind w:right="142"/>
              <w:spacing w:after="0" w:line="95" w:lineRule="exact"/>
              <w:rPr>
                <w:sz w:val="20"/>
                <w:szCs w:val="20"/>
                <w:color w:val="auto"/>
              </w:rPr>
            </w:pPr>
            <w:r>
              <w:rPr>
                <w:rFonts w:ascii="Times New Roman" w:cs="Times New Roman" w:eastAsia="Times New Roman" w:hAnsi="Times New Roman"/>
                <w:sz w:val="11"/>
                <w:szCs w:val="11"/>
                <w:b w:val="1"/>
                <w:bCs w:val="1"/>
                <w:color w:val="auto"/>
              </w:rPr>
              <w:t>Cash</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jc w:val="center"/>
              <w:ind w:right="50"/>
              <w:spacing w:after="0" w:line="95" w:lineRule="exact"/>
              <w:rPr>
                <w:sz w:val="20"/>
                <w:szCs w:val="20"/>
                <w:color w:val="auto"/>
              </w:rPr>
            </w:pPr>
            <w:r>
              <w:rPr>
                <w:rFonts w:ascii="Times New Roman" w:cs="Times New Roman" w:eastAsia="Times New Roman" w:hAnsi="Times New Roman"/>
                <w:sz w:val="11"/>
                <w:szCs w:val="11"/>
                <w:b w:val="1"/>
                <w:bCs w:val="1"/>
                <w:color w:val="auto"/>
              </w:rPr>
              <w:t>Acceleration of</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w w:val="99"/>
              </w:rPr>
              <w:t>Cash Payment</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jc w:val="center"/>
              <w:ind w:right="130"/>
              <w:spacing w:after="0" w:line="95" w:lineRule="exact"/>
              <w:rPr>
                <w:sz w:val="20"/>
                <w:szCs w:val="20"/>
                <w:color w:val="auto"/>
              </w:rPr>
            </w:pPr>
            <w:r>
              <w:rPr>
                <w:rFonts w:ascii="Times New Roman" w:cs="Times New Roman" w:eastAsia="Times New Roman" w:hAnsi="Times New Roman"/>
                <w:sz w:val="11"/>
                <w:szCs w:val="11"/>
                <w:b w:val="1"/>
                <w:bCs w:val="1"/>
                <w:color w:val="auto"/>
              </w:rPr>
              <w:t>Acceleration of</w:t>
            </w:r>
          </w:p>
        </w:tc>
        <w:tc>
          <w:tcPr>
            <w:tcW w:w="0" w:type="dxa"/>
            <w:vAlign w:val="bottom"/>
          </w:tcPr>
          <w:p>
            <w:pPr>
              <w:spacing w:after="0"/>
              <w:rPr>
                <w:sz w:val="1"/>
                <w:szCs w:val="1"/>
                <w:color w:val="auto"/>
              </w:rPr>
            </w:pPr>
          </w:p>
        </w:tc>
      </w:tr>
      <w:tr>
        <w:trPr>
          <w:trHeight w:val="125"/>
        </w:trPr>
        <w:tc>
          <w:tcPr>
            <w:tcW w:w="1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Payment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right="50"/>
              <w:spacing w:after="0" w:line="126" w:lineRule="exact"/>
              <w:rPr>
                <w:sz w:val="20"/>
                <w:szCs w:val="20"/>
                <w:color w:val="auto"/>
              </w:rPr>
            </w:pPr>
            <w:r>
              <w:rPr>
                <w:rFonts w:ascii="Times New Roman" w:cs="Times New Roman" w:eastAsia="Times New Roman" w:hAnsi="Times New Roman"/>
                <w:sz w:val="12"/>
                <w:szCs w:val="12"/>
                <w:b w:val="1"/>
                <w:bCs w:val="1"/>
                <w:color w:val="auto"/>
              </w:rPr>
              <w:t>Vesting of Shares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30"/>
              <w:spacing w:after="0" w:line="126" w:lineRule="exact"/>
              <w:rPr>
                <w:sz w:val="20"/>
                <w:szCs w:val="20"/>
                <w:color w:val="auto"/>
              </w:rPr>
            </w:pPr>
            <w:r>
              <w:rPr>
                <w:rFonts w:ascii="Times New Roman" w:cs="Times New Roman" w:eastAsia="Times New Roman" w:hAnsi="Times New Roman"/>
                <w:sz w:val="12"/>
                <w:szCs w:val="12"/>
                <w:b w:val="1"/>
                <w:bCs w:val="1"/>
                <w:color w:val="auto"/>
              </w:rPr>
              <w:t>Vesting of Shares</w:t>
            </w:r>
          </w:p>
        </w:tc>
        <w:tc>
          <w:tcPr>
            <w:tcW w:w="0" w:type="dxa"/>
            <w:vAlign w:val="bottom"/>
          </w:tcPr>
          <w:p>
            <w:pPr>
              <w:spacing w:after="0"/>
              <w:rPr>
                <w:sz w:val="1"/>
                <w:szCs w:val="1"/>
                <w:color w:val="auto"/>
              </w:rPr>
            </w:pPr>
          </w:p>
        </w:tc>
      </w:tr>
      <w:tr>
        <w:trPr>
          <w:trHeight w:val="147"/>
        </w:trPr>
        <w:tc>
          <w:tcPr>
            <w:tcW w:w="1580" w:type="dxa"/>
            <w:vAlign w:val="bottom"/>
          </w:tcPr>
          <w:p>
            <w:pPr>
              <w:spacing w:after="0"/>
              <w:rPr>
                <w:sz w:val="12"/>
                <w:szCs w:val="12"/>
                <w:color w:val="auto"/>
              </w:rPr>
            </w:pPr>
          </w:p>
        </w:tc>
        <w:tc>
          <w:tcPr>
            <w:tcW w:w="1260" w:type="dxa"/>
            <w:vAlign w:val="bottom"/>
            <w:gridSpan w:val="3"/>
          </w:tcPr>
          <w:p>
            <w:pPr>
              <w:jc w:val="center"/>
              <w:ind w:left="387"/>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2"/>
                <w:szCs w:val="12"/>
                <w:b w:val="1"/>
                <w:bCs w:val="1"/>
                <w:color w:val="auto"/>
              </w:rPr>
              <w:t>($)(2)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0" w:type="dxa"/>
            <w:vAlign w:val="bottom"/>
          </w:tcPr>
          <w:p>
            <w:pPr>
              <w:spacing w:after="0"/>
              <w:rPr>
                <w:sz w:val="1"/>
                <w:szCs w:val="1"/>
                <w:color w:val="auto"/>
              </w:rPr>
            </w:pPr>
          </w:p>
        </w:tc>
      </w:tr>
      <w:tr>
        <w:trPr>
          <w:trHeight w:val="174"/>
        </w:trPr>
        <w:tc>
          <w:tcPr>
            <w:tcW w:w="1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Brian E. Mueller</w:t>
            </w:r>
          </w:p>
        </w:tc>
        <w:tc>
          <w:tcPr>
            <w:tcW w:w="4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   642,000</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18,253</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1,290,617</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642,000</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18,253</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3,758,806</w:t>
            </w:r>
          </w:p>
        </w:tc>
        <w:tc>
          <w:tcPr>
            <w:tcW w:w="0" w:type="dxa"/>
            <w:vAlign w:val="bottom"/>
          </w:tcPr>
          <w:p>
            <w:pPr>
              <w:spacing w:after="0"/>
              <w:rPr>
                <w:sz w:val="1"/>
                <w:szCs w:val="1"/>
                <w:color w:val="auto"/>
              </w:rPr>
            </w:pPr>
          </w:p>
        </w:tc>
      </w:tr>
      <w:tr>
        <w:trPr>
          <w:trHeight w:val="182"/>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Dr. W. Stan Meyer</w:t>
            </w:r>
          </w:p>
        </w:tc>
        <w:tc>
          <w:tcPr>
            <w:tcW w:w="1260" w:type="dxa"/>
            <w:vAlign w:val="bottom"/>
            <w:gridSpan w:val="3"/>
          </w:tcPr>
          <w:p>
            <w:pPr>
              <w:jc w:val="right"/>
              <w:ind w:right="2"/>
              <w:spacing w:after="0"/>
              <w:rPr>
                <w:sz w:val="20"/>
                <w:szCs w:val="20"/>
                <w:color w:val="auto"/>
              </w:rPr>
            </w:pPr>
            <w:r>
              <w:rPr>
                <w:rFonts w:ascii="Times New Roman" w:cs="Times New Roman" w:eastAsia="Times New Roman" w:hAnsi="Times New Roman"/>
                <w:sz w:val="15"/>
                <w:szCs w:val="15"/>
                <w:color w:val="auto"/>
              </w:rPr>
              <w:t>682,500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15,197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688,713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682,500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15,197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2,005,760</w:t>
            </w:r>
          </w:p>
        </w:tc>
        <w:tc>
          <w:tcPr>
            <w:tcW w:w="0" w:type="dxa"/>
            <w:vAlign w:val="bottom"/>
          </w:tcPr>
          <w:p>
            <w:pPr>
              <w:spacing w:after="0"/>
              <w:rPr>
                <w:sz w:val="1"/>
                <w:szCs w:val="1"/>
                <w:color w:val="auto"/>
              </w:rPr>
            </w:pPr>
          </w:p>
        </w:tc>
      </w:tr>
      <w:tr>
        <w:trPr>
          <w:trHeight w:val="18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E. Bachus</w:t>
            </w:r>
          </w:p>
        </w:tc>
        <w:tc>
          <w:tcPr>
            <w:tcW w:w="12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682,500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22,105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688,713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682,500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22,105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2,005,760</w:t>
            </w:r>
          </w:p>
        </w:tc>
        <w:tc>
          <w:tcPr>
            <w:tcW w:w="0" w:type="dxa"/>
            <w:vAlign w:val="bottom"/>
          </w:tcPr>
          <w:p>
            <w:pPr>
              <w:spacing w:after="0"/>
              <w:rPr>
                <w:sz w:val="1"/>
                <w:szCs w:val="1"/>
                <w:color w:val="auto"/>
              </w:rPr>
            </w:pPr>
          </w:p>
        </w:tc>
      </w:tr>
      <w:tr>
        <w:trPr>
          <w:trHeight w:val="182"/>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Dilek Marsh</w:t>
            </w:r>
          </w:p>
        </w:tc>
        <w:tc>
          <w:tcPr>
            <w:tcW w:w="1260" w:type="dxa"/>
            <w:vAlign w:val="bottom"/>
            <w:gridSpan w:val="3"/>
          </w:tcPr>
          <w:p>
            <w:pPr>
              <w:jc w:val="right"/>
              <w:ind w:right="2"/>
              <w:spacing w:after="0"/>
              <w:rPr>
                <w:sz w:val="20"/>
                <w:szCs w:val="20"/>
                <w:color w:val="auto"/>
              </w:rPr>
            </w:pPr>
            <w:r>
              <w:rPr>
                <w:rFonts w:ascii="Times New Roman" w:cs="Times New Roman" w:eastAsia="Times New Roman" w:hAnsi="Times New Roman"/>
                <w:sz w:val="15"/>
                <w:szCs w:val="15"/>
                <w:color w:val="auto"/>
              </w:rPr>
              <w:t>410,000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315,328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410,000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22,105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985,115</w:t>
            </w:r>
          </w:p>
        </w:tc>
        <w:tc>
          <w:tcPr>
            <w:tcW w:w="0" w:type="dxa"/>
            <w:vAlign w:val="bottom"/>
          </w:tcPr>
          <w:p>
            <w:pPr>
              <w:spacing w:after="0"/>
              <w:rPr>
                <w:sz w:val="1"/>
                <w:szCs w:val="1"/>
                <w:color w:val="auto"/>
              </w:rPr>
            </w:pPr>
          </w:p>
        </w:tc>
      </w:tr>
      <w:tr>
        <w:trPr>
          <w:trHeight w:val="182"/>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J. Briggs</w:t>
            </w:r>
          </w:p>
        </w:tc>
        <w:tc>
          <w:tcPr>
            <w:tcW w:w="12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514,643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15,197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255,835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514,643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15,197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1,079,322</w:t>
            </w:r>
          </w:p>
        </w:tc>
        <w:tc>
          <w:tcPr>
            <w:tcW w:w="0" w:type="dxa"/>
            <w:vAlign w:val="bottom"/>
          </w:tcPr>
          <w:p>
            <w:pPr>
              <w:spacing w:after="0"/>
              <w:rPr>
                <w:sz w:val="1"/>
                <w:szCs w:val="1"/>
                <w:color w:val="auto"/>
              </w:rPr>
            </w:pPr>
          </w:p>
        </w:tc>
      </w:tr>
      <w:tr>
        <w:trPr>
          <w:trHeight w:val="94"/>
        </w:trPr>
        <w:tc>
          <w:tcPr>
            <w:tcW w:w="1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20" w:hanging="283"/>
        <w:spacing w:after="0"/>
        <w:tabs>
          <w:tab w:leader="none" w:pos="3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a termination date of December 31, 2021, and is based on the executive’s salary and target bonus in effect at such date.</w:t>
      </w:r>
    </w:p>
    <w:p>
      <w:pPr>
        <w:spacing w:after="0" w:line="192" w:lineRule="exact"/>
        <w:rPr>
          <w:rFonts w:ascii="Times New Roman" w:cs="Times New Roman" w:eastAsia="Times New Roman" w:hAnsi="Times New Roman"/>
          <w:sz w:val="15"/>
          <w:szCs w:val="15"/>
          <w:color w:val="auto"/>
        </w:rPr>
      </w:pPr>
    </w:p>
    <w:p>
      <w:pPr>
        <w:ind w:left="320" w:hanging="283"/>
        <w:spacing w:after="0"/>
        <w:tabs>
          <w:tab w:leader="none" w:pos="3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cost related to the continuation of the executive’s health benefits for the period specified.</w:t>
      </w:r>
    </w:p>
    <w:p>
      <w:pPr>
        <w:spacing w:after="0" w:line="192" w:lineRule="exact"/>
        <w:rPr>
          <w:rFonts w:ascii="Times New Roman" w:cs="Times New Roman" w:eastAsia="Times New Roman" w:hAnsi="Times New Roman"/>
          <w:sz w:val="15"/>
          <w:szCs w:val="15"/>
          <w:color w:val="auto"/>
        </w:rPr>
      </w:pPr>
    </w:p>
    <w:p>
      <w:pPr>
        <w:ind w:left="320" w:right="319" w:hanging="283"/>
        <w:spacing w:after="0" w:line="288" w:lineRule="auto"/>
        <w:tabs>
          <w:tab w:leader="none" w:pos="3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based on an assumed termination date of December 31, 2021 and the closing market price of our common stock on the Nasdaq Global Market on such date.</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Compensation Committee Report</w:t>
      </w:r>
    </w:p>
    <w:p>
      <w:pPr>
        <w:spacing w:after="0" w:line="196" w:lineRule="exact"/>
        <w:rPr>
          <w:sz w:val="20"/>
          <w:szCs w:val="20"/>
          <w:color w:val="auto"/>
        </w:rPr>
      </w:pPr>
    </w:p>
    <w:p>
      <w:pPr>
        <w:ind w:left="40" w:right="99" w:firstLine="547"/>
        <w:spacing w:after="0" w:line="271" w:lineRule="auto"/>
        <w:rPr>
          <w:sz w:val="20"/>
          <w:szCs w:val="20"/>
          <w:color w:val="auto"/>
        </w:rPr>
      </w:pPr>
      <w:r>
        <w:rPr>
          <w:rFonts w:ascii="Times New Roman" w:cs="Times New Roman" w:eastAsia="Times New Roman" w:hAnsi="Times New Roman"/>
          <w:sz w:val="15"/>
          <w:szCs w:val="15"/>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Compensation Committee:</w:t>
      </w:r>
    </w:p>
    <w:p>
      <w:pPr>
        <w:spacing w:after="0" w:line="1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i w:val="1"/>
          <w:iCs w:val="1"/>
          <w:color w:val="auto"/>
        </w:rPr>
        <w:t>Chevy Humphrey (Chair)</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i w:val="1"/>
          <w:iCs w:val="1"/>
          <w:color w:val="auto"/>
        </w:rPr>
        <w:t>Jack A. Henry</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i w:val="1"/>
          <w:iCs w:val="1"/>
          <w:color w:val="auto"/>
        </w:rPr>
        <w:t>Sara R. Dial</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i w:val="1"/>
          <w:iCs w:val="1"/>
          <w:color w:val="auto"/>
        </w:rPr>
        <w:t>Lisa Graham Keegan</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i w:val="1"/>
          <w:iCs w:val="1"/>
          <w:color w:val="auto"/>
        </w:rPr>
        <w:t>David M. Adame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PROPOSAL NO. 3</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RATIFICATION OF INDEPENDENT REGISTERED PUBLIC ACCOUNTING FIRM</w:t>
      </w:r>
    </w:p>
    <w:p>
      <w:pPr>
        <w:spacing w:after="0" w:line="172" w:lineRule="exact"/>
        <w:rPr>
          <w:sz w:val="20"/>
          <w:szCs w:val="20"/>
          <w:color w:val="auto"/>
        </w:rPr>
      </w:pPr>
    </w:p>
    <w:tbl>
      <w:tblPr>
        <w:tblLayout w:type="fixed"/>
        <w:tblInd w:w="50" w:type="dxa"/>
        <w:tblCellMar>
          <w:top w:w="0" w:type="dxa"/>
          <w:left w:w="0" w:type="dxa"/>
          <w:bottom w:w="0" w:type="dxa"/>
          <w:right w:w="0" w:type="dxa"/>
        </w:tblCellMar>
      </w:tblPr>
      <w:tr>
        <w:trPr>
          <w:trHeight w:val="179"/>
        </w:trPr>
        <w:tc>
          <w:tcPr>
            <w:tcW w:w="2380" w:type="dxa"/>
            <w:vAlign w:val="bottom"/>
            <w:tcBorders>
              <w:top w:val="single" w:sz="8" w:color="auto"/>
              <w:left w:val="single" w:sz="8" w:color="auto"/>
            </w:tcBorders>
            <w:gridSpan w:val="2"/>
          </w:tcPr>
          <w:p>
            <w:pPr>
              <w:ind w:left="180"/>
              <w:spacing w:after="0" w:line="173"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5"/>
                <w:szCs w:val="15"/>
                <w:b w:val="1"/>
                <w:bCs w:val="1"/>
                <w:i w:val="1"/>
                <w:iCs w:val="1"/>
                <w:color w:val="auto"/>
              </w:rPr>
              <w:t xml:space="preserve">  What am I voting on?</w:t>
            </w:r>
          </w:p>
        </w:tc>
        <w:tc>
          <w:tcPr>
            <w:tcW w:w="656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Stockholders are being asked to ratify the appointment of KPMG LLP, a registered public accounting</w:t>
            </w:r>
          </w:p>
        </w:tc>
      </w:tr>
      <w:tr>
        <w:trPr>
          <w:trHeight w:val="182"/>
        </w:trPr>
        <w:tc>
          <w:tcPr>
            <w:tcW w:w="400" w:type="dxa"/>
            <w:vAlign w:val="bottom"/>
            <w:tcBorders>
              <w:left w:val="single" w:sz="8" w:color="auto"/>
            </w:tcBorders>
          </w:tcPr>
          <w:p>
            <w:pPr>
              <w:spacing w:after="0"/>
              <w:rPr>
                <w:sz w:val="15"/>
                <w:szCs w:val="15"/>
                <w:color w:val="auto"/>
              </w:rPr>
            </w:pPr>
          </w:p>
        </w:tc>
        <w:tc>
          <w:tcPr>
            <w:tcW w:w="1980" w:type="dxa"/>
            <w:vAlign w:val="bottom"/>
          </w:tcPr>
          <w:p>
            <w:pPr>
              <w:spacing w:after="0"/>
              <w:rPr>
                <w:sz w:val="15"/>
                <w:szCs w:val="15"/>
                <w:color w:val="auto"/>
              </w:rPr>
            </w:pPr>
          </w:p>
        </w:tc>
        <w:tc>
          <w:tcPr>
            <w:tcW w:w="6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firm, to serve as the Company’s independent registered public accounting firm for the fiscal year</w:t>
            </w:r>
          </w:p>
        </w:tc>
      </w:tr>
      <w:tr>
        <w:trPr>
          <w:trHeight w:val="197"/>
        </w:trPr>
        <w:tc>
          <w:tcPr>
            <w:tcW w:w="400" w:type="dxa"/>
            <w:vAlign w:val="bottom"/>
            <w:tcBorders>
              <w:left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6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ending December 31, 2022.</w:t>
            </w:r>
          </w:p>
        </w:tc>
      </w:tr>
      <w:tr>
        <w:trPr>
          <w:trHeight w:val="350"/>
        </w:trPr>
        <w:tc>
          <w:tcPr>
            <w:tcW w:w="400" w:type="dxa"/>
            <w:vAlign w:val="bottom"/>
            <w:tcBorders>
              <w:left w:val="single" w:sz="8" w:color="auto"/>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i w:val="1"/>
                <w:iCs w:val="1"/>
                <w:color w:val="auto"/>
              </w:rPr>
              <w:t>Voting recommendation:</w:t>
            </w:r>
          </w:p>
        </w:tc>
        <w:tc>
          <w:tcPr>
            <w:tcW w:w="6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Our Board of Directors unanimously recommends that you vote “FOR” the ratification of the</w:t>
            </w:r>
          </w:p>
        </w:tc>
      </w:tr>
      <w:tr>
        <w:trPr>
          <w:trHeight w:val="182"/>
        </w:trPr>
        <w:tc>
          <w:tcPr>
            <w:tcW w:w="400" w:type="dxa"/>
            <w:vAlign w:val="bottom"/>
            <w:tcBorders>
              <w:left w:val="single" w:sz="8" w:color="auto"/>
            </w:tcBorders>
          </w:tcPr>
          <w:p>
            <w:pPr>
              <w:spacing w:after="0"/>
              <w:rPr>
                <w:sz w:val="15"/>
                <w:szCs w:val="15"/>
                <w:color w:val="auto"/>
              </w:rPr>
            </w:pPr>
          </w:p>
        </w:tc>
        <w:tc>
          <w:tcPr>
            <w:tcW w:w="1980" w:type="dxa"/>
            <w:vAlign w:val="bottom"/>
          </w:tcPr>
          <w:p>
            <w:pPr>
              <w:spacing w:after="0"/>
              <w:rPr>
                <w:sz w:val="15"/>
                <w:szCs w:val="15"/>
                <w:color w:val="auto"/>
              </w:rPr>
            </w:pPr>
          </w:p>
        </w:tc>
        <w:tc>
          <w:tcPr>
            <w:tcW w:w="6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appointment of KPMG LLP as our independent registered public accounting firm for the fiscal year</w:t>
            </w:r>
          </w:p>
        </w:tc>
      </w:tr>
      <w:tr>
        <w:trPr>
          <w:trHeight w:val="197"/>
        </w:trPr>
        <w:tc>
          <w:tcPr>
            <w:tcW w:w="400" w:type="dxa"/>
            <w:vAlign w:val="bottom"/>
            <w:tcBorders>
              <w:left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6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ending December 31, 2022.</w:t>
            </w:r>
          </w:p>
        </w:tc>
      </w:tr>
      <w:tr>
        <w:trPr>
          <w:trHeight w:val="350"/>
        </w:trPr>
        <w:tc>
          <w:tcPr>
            <w:tcW w:w="400" w:type="dxa"/>
            <w:vAlign w:val="bottom"/>
            <w:tcBorders>
              <w:left w:val="single" w:sz="8" w:color="auto"/>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9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i w:val="1"/>
                <w:iCs w:val="1"/>
                <w:color w:val="auto"/>
              </w:rPr>
              <w:t>Vote required:</w:t>
            </w:r>
          </w:p>
        </w:tc>
        <w:tc>
          <w:tcPr>
            <w:tcW w:w="6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The affirmative vote of the majority of shares present in person or represented by proxy at the Annual</w:t>
            </w:r>
          </w:p>
        </w:tc>
      </w:tr>
      <w:tr>
        <w:trPr>
          <w:trHeight w:val="182"/>
        </w:trPr>
        <w:tc>
          <w:tcPr>
            <w:tcW w:w="400" w:type="dxa"/>
            <w:vAlign w:val="bottom"/>
            <w:tcBorders>
              <w:left w:val="single" w:sz="8" w:color="auto"/>
            </w:tcBorders>
          </w:tcPr>
          <w:p>
            <w:pPr>
              <w:spacing w:after="0"/>
              <w:rPr>
                <w:sz w:val="15"/>
                <w:szCs w:val="15"/>
                <w:color w:val="auto"/>
              </w:rPr>
            </w:pPr>
          </w:p>
        </w:tc>
        <w:tc>
          <w:tcPr>
            <w:tcW w:w="1980" w:type="dxa"/>
            <w:vAlign w:val="bottom"/>
          </w:tcPr>
          <w:p>
            <w:pPr>
              <w:spacing w:after="0"/>
              <w:rPr>
                <w:sz w:val="15"/>
                <w:szCs w:val="15"/>
                <w:color w:val="auto"/>
              </w:rPr>
            </w:pPr>
          </w:p>
        </w:tc>
        <w:tc>
          <w:tcPr>
            <w:tcW w:w="6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Meeting and entitled to vote. Brokers have discretion to vote on the ratification of our independent</w:t>
            </w:r>
          </w:p>
        </w:tc>
      </w:tr>
      <w:tr>
        <w:trPr>
          <w:trHeight w:val="182"/>
        </w:trPr>
        <w:tc>
          <w:tcPr>
            <w:tcW w:w="400" w:type="dxa"/>
            <w:vAlign w:val="bottom"/>
            <w:tcBorders>
              <w:left w:val="single" w:sz="8" w:color="auto"/>
            </w:tcBorders>
          </w:tcPr>
          <w:p>
            <w:pPr>
              <w:spacing w:after="0"/>
              <w:rPr>
                <w:sz w:val="15"/>
                <w:szCs w:val="15"/>
                <w:color w:val="auto"/>
              </w:rPr>
            </w:pPr>
          </w:p>
        </w:tc>
        <w:tc>
          <w:tcPr>
            <w:tcW w:w="1980" w:type="dxa"/>
            <w:vAlign w:val="bottom"/>
          </w:tcPr>
          <w:p>
            <w:pPr>
              <w:spacing w:after="0"/>
              <w:rPr>
                <w:sz w:val="15"/>
                <w:szCs w:val="15"/>
                <w:color w:val="auto"/>
              </w:rPr>
            </w:pPr>
          </w:p>
        </w:tc>
        <w:tc>
          <w:tcPr>
            <w:tcW w:w="65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auditors and, as such, no votes on this proposal will be considered broker non-votes. Abstentions will</w:t>
            </w:r>
          </w:p>
        </w:tc>
      </w:tr>
      <w:tr>
        <w:trPr>
          <w:trHeight w:val="197"/>
        </w:trPr>
        <w:tc>
          <w:tcPr>
            <w:tcW w:w="400" w:type="dxa"/>
            <w:vAlign w:val="bottom"/>
            <w:tcBorders>
              <w:left w:val="single" w:sz="8" w:color="auto"/>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656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have the effect of a vote against this proposal.</w:t>
            </w:r>
          </w:p>
        </w:tc>
      </w:tr>
    </w:tbl>
    <w:p>
      <w:pPr>
        <w:spacing w:after="0" w:line="168" w:lineRule="exact"/>
        <w:rPr>
          <w:sz w:val="20"/>
          <w:szCs w:val="20"/>
          <w:color w:val="auto"/>
        </w:rPr>
      </w:pPr>
    </w:p>
    <w:p>
      <w:pPr>
        <w:ind w:left="40" w:right="59" w:firstLine="547"/>
        <w:spacing w:after="0" w:line="257" w:lineRule="auto"/>
        <w:rPr>
          <w:sz w:val="20"/>
          <w:szCs w:val="20"/>
          <w:color w:val="auto"/>
        </w:rPr>
      </w:pPr>
      <w:r>
        <w:rPr>
          <w:rFonts w:ascii="Times New Roman" w:cs="Times New Roman" w:eastAsia="Times New Roman" w:hAnsi="Times New Roman"/>
          <w:sz w:val="15"/>
          <w:szCs w:val="15"/>
          <w:color w:val="auto"/>
        </w:rPr>
        <w:t>The Audit Committee of the Board of Directors has selected KPMG LLP (“KPMG”), an independent registered public accounting firm, to audit our consolidated financial statements for the year ending December 31, 2022.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2022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2022.</w:t>
      </w:r>
    </w:p>
    <w:p>
      <w:pPr>
        <w:spacing w:after="0" w:line="160" w:lineRule="exact"/>
        <w:rPr>
          <w:sz w:val="20"/>
          <w:szCs w:val="20"/>
          <w:color w:val="auto"/>
        </w:rPr>
      </w:pPr>
    </w:p>
    <w:p>
      <w:pPr>
        <w:ind w:left="40" w:right="319" w:firstLine="547"/>
        <w:spacing w:after="0" w:line="288" w:lineRule="auto"/>
        <w:rPr>
          <w:sz w:val="20"/>
          <w:szCs w:val="20"/>
          <w:color w:val="auto"/>
        </w:rPr>
      </w:pPr>
      <w:r>
        <w:rPr>
          <w:rFonts w:ascii="Times New Roman" w:cs="Times New Roman" w:eastAsia="Times New Roman" w:hAnsi="Times New Roman"/>
          <w:sz w:val="15"/>
          <w:szCs w:val="15"/>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129" w:lineRule="exact"/>
        <w:rPr>
          <w:sz w:val="20"/>
          <w:szCs w:val="20"/>
          <w:color w:val="auto"/>
        </w:rPr>
      </w:pPr>
    </w:p>
    <w:p>
      <w:pPr>
        <w:ind w:left="40" w:right="159" w:firstLine="547"/>
        <w:spacing w:after="0" w:line="294" w:lineRule="auto"/>
        <w:rPr>
          <w:sz w:val="20"/>
          <w:szCs w:val="20"/>
          <w:color w:val="auto"/>
        </w:rPr>
      </w:pPr>
      <w:r>
        <w:rPr>
          <w:rFonts w:ascii="Times New Roman" w:cs="Times New Roman" w:eastAsia="Times New Roman" w:hAnsi="Times New Roman"/>
          <w:sz w:val="15"/>
          <w:szCs w:val="15"/>
          <w:b w:val="1"/>
          <w:bCs w:val="1"/>
          <w:color w:val="auto"/>
        </w:rPr>
        <w:t xml:space="preserve">Our Board of Directors unanimously recommends that the stockholders vote </w:t>
      </w:r>
      <w:r>
        <w:rPr>
          <w:rFonts w:ascii="Times New Roman" w:cs="Times New Roman" w:eastAsia="Times New Roman" w:hAnsi="Times New Roman"/>
          <w:sz w:val="15"/>
          <w:szCs w:val="15"/>
          <w:b w:val="1"/>
          <w:bCs w:val="1"/>
          <w:u w:val="single" w:color="auto"/>
          <w:color w:val="auto"/>
        </w:rPr>
        <w:t>FOR</w:t>
      </w:r>
      <w:r>
        <w:rPr>
          <w:rFonts w:ascii="Times New Roman" w:cs="Times New Roman" w:eastAsia="Times New Roman" w:hAnsi="Times New Roman"/>
          <w:sz w:val="15"/>
          <w:szCs w:val="15"/>
          <w:b w:val="1"/>
          <w:bCs w:val="1"/>
          <w:color w:val="auto"/>
        </w:rPr>
        <w:t xml:space="preserve"> the ratification of the appointment of KPMG LLP as our independent registered public accounting firm for the fiscal year ending December 31, 2022.</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Fees</w:t>
      </w:r>
    </w:p>
    <w:p>
      <w:pPr>
        <w:spacing w:after="0" w:line="196" w:lineRule="exact"/>
        <w:rPr>
          <w:sz w:val="20"/>
          <w:szCs w:val="20"/>
          <w:color w:val="auto"/>
        </w:rPr>
      </w:pPr>
    </w:p>
    <w:p>
      <w:pPr>
        <w:ind w:left="40" w:right="239" w:firstLine="547"/>
        <w:spacing w:after="0" w:line="271" w:lineRule="auto"/>
        <w:rPr>
          <w:sz w:val="20"/>
          <w:szCs w:val="20"/>
          <w:color w:val="auto"/>
        </w:rPr>
      </w:pPr>
      <w:r>
        <w:rPr>
          <w:rFonts w:ascii="Times New Roman" w:cs="Times New Roman" w:eastAsia="Times New Roman" w:hAnsi="Times New Roman"/>
          <w:sz w:val="15"/>
          <w:szCs w:val="15"/>
          <w:color w:val="auto"/>
        </w:rPr>
        <w:t>For the years ended December 31, 2021 and 2020,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6280" w:type="dxa"/>
            <w:vAlign w:val="bottom"/>
            <w:gridSpan w:val="3"/>
          </w:tcPr>
          <w:p>
            <w:pPr>
              <w:ind w:left="900"/>
              <w:spacing w:after="0"/>
              <w:rPr>
                <w:sz w:val="20"/>
                <w:szCs w:val="20"/>
                <w:color w:val="auto"/>
              </w:rPr>
            </w:pPr>
            <w:r>
              <w:rPr>
                <w:rFonts w:ascii="Times New Roman" w:cs="Times New Roman" w:eastAsia="Times New Roman" w:hAnsi="Times New Roman"/>
                <w:sz w:val="12"/>
                <w:szCs w:val="12"/>
                <w:b w:val="1"/>
                <w:bCs w:val="1"/>
                <w:color w:val="auto"/>
              </w:rPr>
              <w:t>Services Rendered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174"/>
        </w:trPr>
        <w:tc>
          <w:tcPr>
            <w:tcW w:w="900" w:type="dxa"/>
            <w:vAlign w:val="bottom"/>
          </w:tcPr>
          <w:p>
            <w:pPr>
              <w:spacing w:after="0"/>
              <w:rPr>
                <w:sz w:val="15"/>
                <w:szCs w:val="15"/>
                <w:color w:val="auto"/>
              </w:rPr>
            </w:pPr>
          </w:p>
        </w:tc>
        <w:tc>
          <w:tcPr>
            <w:tcW w:w="5380" w:type="dxa"/>
            <w:vAlign w:val="bottom"/>
            <w:tcBorders>
              <w:top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20"/>
                <w:szCs w:val="20"/>
                <w:color w:val="auto"/>
                <w:vertAlign w:val="superscript"/>
              </w:rPr>
              <w:t>(1)</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695,000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647,500</w:t>
            </w:r>
          </w:p>
        </w:tc>
      </w:tr>
      <w:tr>
        <w:trPr>
          <w:trHeight w:val="182"/>
        </w:trPr>
        <w:tc>
          <w:tcPr>
            <w:tcW w:w="900" w:type="dxa"/>
            <w:vAlign w:val="bottom"/>
          </w:tcPr>
          <w:p>
            <w:pPr>
              <w:spacing w:after="0"/>
              <w:rPr>
                <w:sz w:val="15"/>
                <w:szCs w:val="15"/>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Audit-Related Fees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900" w:type="dxa"/>
            <w:vAlign w:val="bottom"/>
          </w:tcPr>
          <w:p>
            <w:pPr>
              <w:spacing w:after="0"/>
              <w:rPr>
                <w:sz w:val="15"/>
                <w:szCs w:val="15"/>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Fees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900" w:type="dxa"/>
            <w:vAlign w:val="bottom"/>
          </w:tcPr>
          <w:p>
            <w:pPr>
              <w:spacing w:after="0"/>
              <w:rPr>
                <w:sz w:val="15"/>
                <w:szCs w:val="15"/>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All Other Fees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4"/>
        </w:trPr>
        <w:tc>
          <w:tcPr>
            <w:tcW w:w="900" w:type="dxa"/>
            <w:vAlign w:val="bottom"/>
          </w:tcPr>
          <w:p>
            <w:pPr>
              <w:spacing w:after="0"/>
              <w:rPr>
                <w:sz w:val="15"/>
                <w:szCs w:val="15"/>
                <w:color w:val="auto"/>
              </w:rPr>
            </w:pPr>
          </w:p>
        </w:tc>
        <w:tc>
          <w:tcPr>
            <w:tcW w:w="5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Fees</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647,500</w:t>
            </w:r>
          </w:p>
        </w:tc>
      </w:tr>
      <w:tr>
        <w:trPr>
          <w:trHeight w:val="20"/>
        </w:trPr>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68"/>
        </w:trPr>
        <w:tc>
          <w:tcPr>
            <w:tcW w:w="9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4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r>
    </w:tbl>
    <w:p>
      <w:pPr>
        <w:spacing w:after="0" w:line="54" w:lineRule="exact"/>
        <w:rPr>
          <w:sz w:val="20"/>
          <w:szCs w:val="20"/>
          <w:color w:val="auto"/>
        </w:rPr>
      </w:pPr>
    </w:p>
    <w:p>
      <w:pPr>
        <w:ind w:left="320" w:right="259" w:hanging="283"/>
        <w:spacing w:after="0" w:line="288" w:lineRule="auto"/>
        <w:tabs>
          <w:tab w:leader="none" w:pos="32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 Fees in 2021 and 2020 relate to services rendered for the audits of our annual consolidated financial statements including accounting and reporting consultations, for the review of our quarterly financial statements,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and for services that are normally provided by the auditor in connection with statutory and regulatory filings or engagements.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Approval of Independent Registered Public Accounting Firm Services and Fees</w:t>
      </w:r>
    </w:p>
    <w:p>
      <w:pPr>
        <w:spacing w:after="0" w:line="196" w:lineRule="exact"/>
        <w:rPr>
          <w:sz w:val="20"/>
          <w:szCs w:val="20"/>
          <w:color w:val="auto"/>
        </w:rPr>
      </w:pPr>
    </w:p>
    <w:p>
      <w:pPr>
        <w:ind w:left="40" w:right="259" w:firstLine="547"/>
        <w:spacing w:after="0" w:line="265" w:lineRule="auto"/>
        <w:rPr>
          <w:sz w:val="20"/>
          <w:szCs w:val="20"/>
          <w:color w:val="auto"/>
        </w:rPr>
      </w:pPr>
      <w:r>
        <w:rPr>
          <w:rFonts w:ascii="Times New Roman" w:cs="Times New Roman" w:eastAsia="Times New Roman" w:hAnsi="Times New Roman"/>
          <w:sz w:val="15"/>
          <w:szCs w:val="15"/>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50" w:lineRule="exact"/>
        <w:rPr>
          <w:sz w:val="20"/>
          <w:szCs w:val="20"/>
          <w:color w:val="auto"/>
        </w:rPr>
      </w:pPr>
    </w:p>
    <w:p>
      <w:pPr>
        <w:ind w:left="40" w:right="139" w:firstLine="547"/>
        <w:spacing w:after="0" w:line="265" w:lineRule="auto"/>
        <w:rPr>
          <w:sz w:val="20"/>
          <w:szCs w:val="20"/>
          <w:color w:val="auto"/>
        </w:rPr>
      </w:pPr>
      <w:r>
        <w:rPr>
          <w:rFonts w:ascii="Times New Roman" w:cs="Times New Roman" w:eastAsia="Times New Roman" w:hAnsi="Times New Roman"/>
          <w:sz w:val="15"/>
          <w:szCs w:val="15"/>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50" w:lineRule="exact"/>
        <w:rPr>
          <w:sz w:val="20"/>
          <w:szCs w:val="20"/>
          <w:color w:val="auto"/>
        </w:rPr>
      </w:pPr>
    </w:p>
    <w:p>
      <w:pPr>
        <w:ind w:left="40" w:right="279" w:firstLine="547"/>
        <w:spacing w:after="0" w:line="288" w:lineRule="auto"/>
        <w:rPr>
          <w:sz w:val="20"/>
          <w:szCs w:val="20"/>
          <w:color w:val="auto"/>
        </w:rPr>
      </w:pPr>
      <w:r>
        <w:rPr>
          <w:rFonts w:ascii="Times New Roman" w:cs="Times New Roman" w:eastAsia="Times New Roman" w:hAnsi="Times New Roman"/>
          <w:sz w:val="15"/>
          <w:szCs w:val="15"/>
          <w:color w:val="auto"/>
        </w:rPr>
        <w:t>On a regular basis, management provides written updates to the Audit Committee regarding the amount of audit and non-audit service fees incurred to date. All of the services described above for fiscal years 2021 and 2020 were approved by our Audit Committee.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AUDIT COMMITTEE REPORT</w:t>
      </w:r>
    </w:p>
    <w:p>
      <w:pPr>
        <w:spacing w:after="0" w:line="196" w:lineRule="exact"/>
        <w:rPr>
          <w:sz w:val="20"/>
          <w:szCs w:val="20"/>
          <w:color w:val="auto"/>
        </w:rPr>
      </w:pPr>
    </w:p>
    <w:p>
      <w:pPr>
        <w:ind w:left="40" w:right="99" w:firstLine="547"/>
        <w:spacing w:after="0" w:line="265" w:lineRule="auto"/>
        <w:rPr>
          <w:sz w:val="20"/>
          <w:szCs w:val="20"/>
          <w:color w:val="auto"/>
        </w:rPr>
      </w:pPr>
      <w:r>
        <w:rPr>
          <w:rFonts w:ascii="Times New Roman" w:cs="Times New Roman" w:eastAsia="Times New Roman" w:hAnsi="Times New Roman"/>
          <w:sz w:val="15"/>
          <w:szCs w:val="15"/>
          <w:color w:val="auto"/>
        </w:rPr>
        <w:t xml:space="preserve">The Audit Committee operates under a written charter adopted by the Board that outlines its responsibilities and the practices it follows. You can view the charter on the Company’s website, </w:t>
      </w:r>
      <w:r>
        <w:rPr>
          <w:rFonts w:ascii="Times New Roman" w:cs="Times New Roman" w:eastAsia="Times New Roman" w:hAnsi="Times New Roman"/>
          <w:sz w:val="15"/>
          <w:szCs w:val="15"/>
          <w:i w:val="1"/>
          <w:iCs w:val="1"/>
          <w:u w:val="single" w:color="auto"/>
          <w:color w:val="auto"/>
        </w:rPr>
        <w:t>www.gce.com</w:t>
      </w:r>
      <w:r>
        <w:rPr>
          <w:rFonts w:ascii="Times New Roman" w:cs="Times New Roman" w:eastAsia="Times New Roman" w:hAnsi="Times New Roman"/>
          <w:sz w:val="15"/>
          <w:szCs w:val="15"/>
          <w:color w:val="auto"/>
        </w:rPr>
        <w:t xml:space="preserve">. The Audit Committee reviews and assesses the adequacy of its charter at least annually and, when appropriate, recommends changes to the Board to reflect the evolving role of the Audit Committee. The duties of the Audit Committee as set forth in its charter are summarized in this proxy statement under </w:t>
      </w:r>
      <w:r>
        <w:rPr>
          <w:rFonts w:ascii="Times New Roman" w:cs="Times New Roman" w:eastAsia="Times New Roman" w:hAnsi="Times New Roman"/>
          <w:sz w:val="15"/>
          <w:szCs w:val="15"/>
          <w:i w:val="1"/>
          <w:iCs w:val="1"/>
          <w:color w:val="auto"/>
        </w:rPr>
        <w:t>Committees of Our Board of Directors</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left="40" w:right="139" w:firstLine="547"/>
        <w:spacing w:after="0" w:line="265" w:lineRule="auto"/>
        <w:rPr>
          <w:sz w:val="20"/>
          <w:szCs w:val="20"/>
          <w:color w:val="auto"/>
        </w:rPr>
      </w:pPr>
      <w:r>
        <w:rPr>
          <w:rFonts w:ascii="Times New Roman" w:cs="Times New Roman" w:eastAsia="Times New Roman" w:hAnsi="Times New Roman"/>
          <w:sz w:val="15"/>
          <w:szCs w:val="15"/>
          <w:color w:val="auto"/>
        </w:rPr>
        <w:t>The Audit Committee is composed of five, non-employee directors, each of whom the Board has determined meet the independence and financial literacy requirements of the Nasdaq Stock Market and additional, heightened independence criteria applicable to members of the Audit Committee under SEC and Nasdaq Stock Market rules. The Board has designated each of Mr. Jack A. Henry, Ms. Chevy Humphrey and Mr. David M. Adame as “audit committee financial experts” under the SEC rules.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Primary Responsibilities of the Audit Committee and the Audit Committee’s Activities in 2021</w:t>
      </w:r>
    </w:p>
    <w:p>
      <w:pPr>
        <w:spacing w:after="0" w:line="196" w:lineRule="exact"/>
        <w:rPr>
          <w:sz w:val="20"/>
          <w:szCs w:val="20"/>
          <w:color w:val="auto"/>
        </w:rPr>
      </w:pPr>
    </w:p>
    <w:p>
      <w:pPr>
        <w:ind w:left="40" w:right="79" w:firstLine="547"/>
        <w:spacing w:after="0" w:line="258" w:lineRule="auto"/>
        <w:rPr>
          <w:sz w:val="20"/>
          <w:szCs w:val="20"/>
          <w:color w:val="auto"/>
        </w:rPr>
      </w:pPr>
      <w:r>
        <w:rPr>
          <w:rFonts w:ascii="Times New Roman" w:cs="Times New Roman" w:eastAsia="Times New Roman" w:hAnsi="Times New Roman"/>
          <w:sz w:val="15"/>
          <w:szCs w:val="15"/>
          <w:color w:val="auto"/>
        </w:rPr>
        <w:t>The Audit Committee represents and assists the Board in fulfilling its oversight responsibility relating to the integrity of the Company’s financial statements and the financial reporting process, the systems of internal accounting and financial controls, the internal audit function and the annual independent audit of the Company’s financial statements. The Audit Committee oversees the Company’s compliance with legal and regulatory requirements, the independent auditors’ qualifications and independence, the performance of the Company’s internal audit function and the independent auditors, and the Company’s ethical compliance programs, including the Company’s codes of conduct.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regulatory compliance and cybersecurity, among others), and the processes in place to monitor and control such exposures.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During 2021, among other things, the Audit Committee:</w:t>
      </w:r>
    </w:p>
    <w:p>
      <w:pPr>
        <w:spacing w:after="0" w:line="192" w:lineRule="exact"/>
        <w:rPr>
          <w:sz w:val="20"/>
          <w:szCs w:val="20"/>
          <w:color w:val="auto"/>
        </w:rPr>
      </w:pPr>
    </w:p>
    <w:p>
      <w:pPr>
        <w:ind w:left="860" w:hanging="276"/>
        <w:spacing w:after="0"/>
        <w:tabs>
          <w:tab w:leader="none" w:pos="8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Engaged KPMG as our independent auditors;</w:t>
      </w:r>
    </w:p>
    <w:p>
      <w:pPr>
        <w:spacing w:after="0" w:line="192"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Was involved in the selection of the lead engagement partner and negotiation of audit fees;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0" w:hanging="276"/>
        <w:spacing w:after="0"/>
        <w:tabs>
          <w:tab w:leader="none" w:pos="8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tenure of the independent audit firm;</w:t>
      </w:r>
    </w:p>
    <w:p>
      <w:pPr>
        <w:spacing w:after="0" w:line="192"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Met with the senior members of the Company’s financial management team at each regularly scheduled meeting;</w:t>
      </w:r>
    </w:p>
    <w:p>
      <w:pPr>
        <w:spacing w:after="0" w:line="192" w:lineRule="exact"/>
        <w:rPr>
          <w:rFonts w:ascii="Times New Roman" w:cs="Times New Roman" w:eastAsia="Times New Roman" w:hAnsi="Times New Roman"/>
          <w:sz w:val="15"/>
          <w:szCs w:val="15"/>
          <w:color w:val="auto"/>
        </w:rPr>
      </w:pPr>
    </w:p>
    <w:p>
      <w:pPr>
        <w:ind w:left="860" w:right="299" w:hanging="276"/>
        <w:spacing w:after="0" w:line="288" w:lineRule="auto"/>
        <w:tabs>
          <w:tab w:leader="none" w:pos="8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Held separate private sessions, during its regularly scheduled meetings, with each of KPMG and our Chief Risk Officer, at which candid discussions regarding financial management, legal, accounting, auditing and internal control issues took place;</w:t>
      </w:r>
    </w:p>
    <w:p>
      <w:pPr>
        <w:spacing w:after="0" w:line="133" w:lineRule="exact"/>
        <w:rPr>
          <w:rFonts w:ascii="Times New Roman" w:cs="Times New Roman" w:eastAsia="Times New Roman" w:hAnsi="Times New Roman"/>
          <w:sz w:val="15"/>
          <w:szCs w:val="15"/>
          <w:color w:val="auto"/>
        </w:rPr>
      </w:pPr>
    </w:p>
    <w:p>
      <w:pPr>
        <w:ind w:left="860" w:right="539" w:hanging="276"/>
        <w:spacing w:after="0" w:line="271" w:lineRule="auto"/>
        <w:tabs>
          <w:tab w:leader="none" w:pos="8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Received periodic updates on management’s process to assess the adequacy of the Company’s system of internal control over financial reporting, the framework used to make the assessment and management’s conclusions on the effectiveness of the Company’s internal control over financial reporting;</w:t>
      </w:r>
    </w:p>
    <w:p>
      <w:pPr>
        <w:spacing w:after="0" w:line="145" w:lineRule="exact"/>
        <w:rPr>
          <w:rFonts w:ascii="Times New Roman" w:cs="Times New Roman" w:eastAsia="Times New Roman" w:hAnsi="Times New Roman"/>
          <w:sz w:val="15"/>
          <w:szCs w:val="15"/>
          <w:color w:val="auto"/>
        </w:rPr>
      </w:pPr>
    </w:p>
    <w:p>
      <w:pPr>
        <w:ind w:left="860" w:right="459" w:hanging="276"/>
        <w:spacing w:after="0" w:line="288" w:lineRule="auto"/>
        <w:tabs>
          <w:tab w:leader="none" w:pos="8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Discussed with KPMG the Company’s internal control assessment process, management’s assessment with respect thereto and KPMG’s evaluation of the Company’s system of internal control over financial reporting;</w:t>
      </w:r>
    </w:p>
    <w:p>
      <w:pPr>
        <w:spacing w:after="0" w:line="133" w:lineRule="exact"/>
        <w:rPr>
          <w:rFonts w:ascii="Times New Roman" w:cs="Times New Roman" w:eastAsia="Times New Roman" w:hAnsi="Times New Roman"/>
          <w:sz w:val="15"/>
          <w:szCs w:val="15"/>
          <w:color w:val="auto"/>
        </w:rPr>
      </w:pPr>
    </w:p>
    <w:p>
      <w:pPr>
        <w:ind w:left="860" w:right="519" w:hanging="276"/>
        <w:spacing w:after="0" w:line="288" w:lineRule="auto"/>
        <w:tabs>
          <w:tab w:leader="none" w:pos="8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and discussed with management and KPMG the Company’s periodic reports prior to filing with the SEC, including matters such as significant accounting policies, management judgements and accounting estimates;</w:t>
      </w:r>
    </w:p>
    <w:p>
      <w:pPr>
        <w:spacing w:after="0" w:line="133"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Company’s internal audit plan and the performance of the Company’s internal audit function;</w:t>
      </w:r>
    </w:p>
    <w:p>
      <w:pPr>
        <w:spacing w:after="0" w:line="192" w:lineRule="exact"/>
        <w:rPr>
          <w:rFonts w:ascii="Times New Roman" w:cs="Times New Roman" w:eastAsia="Times New Roman" w:hAnsi="Times New Roman"/>
          <w:sz w:val="15"/>
          <w:szCs w:val="15"/>
          <w:color w:val="auto"/>
        </w:rPr>
      </w:pPr>
    </w:p>
    <w:p>
      <w:pPr>
        <w:ind w:left="860" w:right="159" w:hanging="276"/>
        <w:spacing w:after="0" w:line="271" w:lineRule="auto"/>
        <w:tabs>
          <w:tab w:leader="none" w:pos="8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with senior members of the Company’s financial management team, KPMG, and our Chief Risk Officer the overall audit scope and plans, the results of internal and external audits, evaluations by management and the independent auditors of the Company’s internal controls over financial reporting and the quality of the Company’s financial reporting; and</w:t>
      </w:r>
    </w:p>
    <w:p>
      <w:pPr>
        <w:spacing w:after="0" w:line="145" w:lineRule="exact"/>
        <w:rPr>
          <w:rFonts w:ascii="Times New Roman" w:cs="Times New Roman" w:eastAsia="Times New Roman" w:hAnsi="Times New Roman"/>
          <w:sz w:val="15"/>
          <w:szCs w:val="15"/>
          <w:color w:val="auto"/>
        </w:rPr>
      </w:pPr>
    </w:p>
    <w:p>
      <w:pPr>
        <w:jc w:val="both"/>
        <w:ind w:left="860" w:right="99" w:hanging="276"/>
        <w:spacing w:after="0" w:line="271" w:lineRule="auto"/>
        <w:tabs>
          <w:tab w:leader="none" w:pos="8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with management, including our Chief Risk Officer, Chief Information Security Officer and General Counsel, and KPMG significant risks and exposures identified by management, the overall adequacy and effectiveness of the Company’s legal, regulatory and ethical compliance programs, including the Company’s code of conduct and cybersecurity programs.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2021 Audited Financial Statements</w:t>
      </w:r>
    </w:p>
    <w:p>
      <w:pPr>
        <w:spacing w:after="0" w:line="196" w:lineRule="exact"/>
        <w:rPr>
          <w:sz w:val="20"/>
          <w:szCs w:val="20"/>
          <w:color w:val="auto"/>
        </w:rPr>
      </w:pPr>
    </w:p>
    <w:p>
      <w:pPr>
        <w:ind w:left="40" w:right="159" w:firstLine="547"/>
        <w:spacing w:after="0" w:line="265" w:lineRule="auto"/>
        <w:rPr>
          <w:sz w:val="20"/>
          <w:szCs w:val="20"/>
          <w:color w:val="auto"/>
        </w:rPr>
      </w:pPr>
      <w:r>
        <w:rPr>
          <w:rFonts w:ascii="Times New Roman" w:cs="Times New Roman" w:eastAsia="Times New Roman" w:hAnsi="Times New Roman"/>
          <w:sz w:val="15"/>
          <w:szCs w:val="15"/>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50" w:lineRule="exact"/>
        <w:rPr>
          <w:sz w:val="20"/>
          <w:szCs w:val="20"/>
          <w:color w:val="auto"/>
        </w:rPr>
      </w:pPr>
    </w:p>
    <w:p>
      <w:pPr>
        <w:ind w:left="40" w:right="79" w:firstLine="547"/>
        <w:spacing w:after="0" w:line="260" w:lineRule="auto"/>
        <w:rPr>
          <w:sz w:val="20"/>
          <w:szCs w:val="20"/>
          <w:color w:val="auto"/>
        </w:rPr>
      </w:pPr>
      <w:r>
        <w:rPr>
          <w:rFonts w:ascii="Times New Roman" w:cs="Times New Roman" w:eastAsia="Times New Roman" w:hAnsi="Times New Roman"/>
          <w:sz w:val="15"/>
          <w:szCs w:val="15"/>
          <w:color w:val="auto"/>
        </w:rPr>
        <w:t xml:space="preserve">We have (a) reviewed and discussed our Company’s audited financial statements for the fiscal year ended December 31, 2021, with management; (b) discussed with our Company’s independent registered public accounting firm the matters required to be discussed by Public Company Oversight Board (PCAOB) Auditing Standard Number 1301, </w:t>
      </w:r>
      <w:r>
        <w:rPr>
          <w:rFonts w:ascii="Times New Roman" w:cs="Times New Roman" w:eastAsia="Times New Roman" w:hAnsi="Times New Roman"/>
          <w:sz w:val="15"/>
          <w:szCs w:val="15"/>
          <w:i w:val="1"/>
          <w:iCs w:val="1"/>
          <w:color w:val="auto"/>
        </w:rPr>
        <w:t>Communications with Audit Committees</w:t>
      </w:r>
      <w:r>
        <w:rPr>
          <w:rFonts w:ascii="Times New Roman" w:cs="Times New Roman" w:eastAsia="Times New Roman" w:hAnsi="Times New Roman"/>
          <w:sz w:val="15"/>
          <w:szCs w:val="15"/>
          <w:color w:val="auto"/>
        </w:rPr>
        <w:t xml:space="preserve"> (PCAOB General Auditing Standards 1300, </w:t>
      </w:r>
      <w:r>
        <w:rPr>
          <w:rFonts w:ascii="Times New Roman" w:cs="Times New Roman" w:eastAsia="Times New Roman" w:hAnsi="Times New Roman"/>
          <w:sz w:val="15"/>
          <w:szCs w:val="15"/>
          <w:i w:val="1"/>
          <w:iCs w:val="1"/>
          <w:color w:val="auto"/>
        </w:rPr>
        <w:t>Auditor Communications</w:t>
      </w:r>
      <w:r>
        <w:rPr>
          <w:rFonts w:ascii="Times New Roman" w:cs="Times New Roman" w:eastAsia="Times New Roman" w:hAnsi="Times New Roman"/>
          <w:sz w:val="15"/>
          <w:szCs w:val="15"/>
          <w:color w:val="auto"/>
        </w:rPr>
        <w:t>); (c) received the written disclosures and presentation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right="179" w:firstLine="547"/>
        <w:spacing w:after="0" w:line="271" w:lineRule="auto"/>
        <w:rPr>
          <w:sz w:val="20"/>
          <w:szCs w:val="20"/>
          <w:color w:val="auto"/>
        </w:rPr>
      </w:pPr>
      <w:r>
        <w:rPr>
          <w:rFonts w:ascii="Times New Roman" w:cs="Times New Roman" w:eastAsia="Times New Roman" w:hAnsi="Times New Roman"/>
          <w:sz w:val="15"/>
          <w:szCs w:val="15"/>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2021, for filing with the Securities and Exchange Commission.</w:t>
      </w:r>
    </w:p>
    <w:p>
      <w:pPr>
        <w:spacing w:after="0" w:line="1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Audit Committee:</w:t>
      </w:r>
    </w:p>
    <w:p>
      <w:pPr>
        <w:spacing w:after="0" w:line="1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i w:val="1"/>
          <w:iCs w:val="1"/>
          <w:color w:val="auto"/>
        </w:rPr>
        <w:t>Jack A. Henry (Chair)</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i w:val="1"/>
          <w:iCs w:val="1"/>
          <w:color w:val="auto"/>
        </w:rPr>
        <w:t>Sara R. Dial</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i w:val="1"/>
          <w:iCs w:val="1"/>
          <w:color w:val="auto"/>
        </w:rPr>
        <w:t>Lisa Graham Keegan</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i w:val="1"/>
          <w:iCs w:val="1"/>
          <w:color w:val="auto"/>
        </w:rPr>
        <w:t>Chevy Humphrey</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i w:val="1"/>
          <w:iCs w:val="1"/>
          <w:color w:val="auto"/>
        </w:rPr>
        <w:t>David M. Adame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BENEFICIAL OWNERSHIP OF COMMON STOCK</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following table sets forth information regarding the beneficial ownership of our common stock as of March 31, 2022 for:</w:t>
      </w:r>
    </w:p>
    <w:p>
      <w:pPr>
        <w:spacing w:after="0" w:line="192" w:lineRule="exact"/>
        <w:rPr>
          <w:sz w:val="20"/>
          <w:szCs w:val="20"/>
          <w:color w:val="auto"/>
        </w:rPr>
      </w:pPr>
    </w:p>
    <w:p>
      <w:pPr>
        <w:ind w:left="860" w:hanging="276"/>
        <w:spacing w:after="0"/>
        <w:tabs>
          <w:tab w:leader="none" w:pos="8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or group of affiliated persons, known to us to own beneficially 5% or more of our outstanding common stock;</w:t>
      </w:r>
    </w:p>
    <w:p>
      <w:pPr>
        <w:spacing w:after="0" w:line="192"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w:t>
      </w:r>
    </w:p>
    <w:p>
      <w:pPr>
        <w:spacing w:after="0" w:line="192"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named executive officers; and</w:t>
      </w:r>
    </w:p>
    <w:p>
      <w:pPr>
        <w:spacing w:after="0" w:line="192" w:lineRule="exact"/>
        <w:rPr>
          <w:rFonts w:ascii="Times New Roman" w:cs="Times New Roman" w:eastAsia="Times New Roman" w:hAnsi="Times New Roman"/>
          <w:sz w:val="15"/>
          <w:szCs w:val="15"/>
          <w:color w:val="auto"/>
        </w:rPr>
      </w:pPr>
    </w:p>
    <w:p>
      <w:pPr>
        <w:ind w:left="860" w:hanging="276"/>
        <w:spacing w:after="0"/>
        <w:tabs>
          <w:tab w:leader="none" w:pos="8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directors and named executive officers as a group.</w:t>
      </w:r>
    </w:p>
    <w:p>
      <w:pPr>
        <w:spacing w:after="0" w:line="192" w:lineRule="exact"/>
        <w:rPr>
          <w:sz w:val="20"/>
          <w:szCs w:val="20"/>
          <w:color w:val="auto"/>
        </w:rPr>
      </w:pPr>
    </w:p>
    <w:p>
      <w:pPr>
        <w:ind w:left="40" w:right="39" w:firstLine="547"/>
        <w:spacing w:after="0" w:line="258" w:lineRule="auto"/>
        <w:rPr>
          <w:sz w:val="20"/>
          <w:szCs w:val="20"/>
          <w:color w:val="auto"/>
        </w:rPr>
      </w:pPr>
      <w:r>
        <w:rPr>
          <w:rFonts w:ascii="Times New Roman" w:cs="Times New Roman" w:eastAsia="Times New Roman" w:hAnsi="Times New Roman"/>
          <w:sz w:val="15"/>
          <w:szCs w:val="15"/>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2600 W. Camelback Road, Phoenix, Arizona 85017.</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calculations of beneficial ownership in this table are based on 33,278,114 shares outstanding at March 31, 2022</w:t>
      </w:r>
      <w:r>
        <w:rPr>
          <w:rFonts w:ascii="Times New Roman" w:cs="Times New Roman" w:eastAsia="Times New Roman" w:hAnsi="Times New Roman"/>
          <w:sz w:val="15"/>
          <w:szCs w:val="15"/>
          <w:b w:val="1"/>
          <w:bCs w:val="1"/>
          <w:color w:val="auto"/>
        </w:rPr>
        <w:t>.</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Borders>
              <w:bottom w:val="single" w:sz="8" w:color="auto"/>
            </w:tcBorders>
            <w:gridSpan w:val="3"/>
          </w:tcPr>
          <w:p>
            <w:pPr>
              <w:jc w:val="right"/>
              <w:ind w:right="1045"/>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11"/>
                <w:szCs w:val="11"/>
                <w:b w:val="1"/>
                <w:bCs w:val="1"/>
                <w:color w:val="auto"/>
              </w:rPr>
              <w:t>Amount and Nature of</w:t>
            </w:r>
          </w:p>
        </w:tc>
        <w:tc>
          <w:tcPr>
            <w:tcW w:w="16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Percent of Class</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47"/>
        </w:trPr>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Beneficial Ownership</w:t>
            </w: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Principal Stockholders:</w:t>
            </w:r>
          </w:p>
        </w:tc>
        <w:tc>
          <w:tcPr>
            <w:tcW w:w="1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5"/>
                <w:szCs w:val="15"/>
                <w:color w:val="auto"/>
              </w:rPr>
              <w:t>The Vanguard Group – 23-1945930</w:t>
            </w:r>
            <w:r>
              <w:rPr>
                <w:rFonts w:ascii="Times New Roman" w:cs="Times New Roman" w:eastAsia="Times New Roman" w:hAnsi="Times New Roman"/>
                <w:sz w:val="21"/>
                <w:szCs w:val="21"/>
                <w:color w:val="auto"/>
                <w:vertAlign w:val="superscript"/>
              </w:rPr>
              <w:t>(2)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3,664,071</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11.0 %</w:t>
            </w:r>
          </w:p>
        </w:tc>
        <w:tc>
          <w:tcPr>
            <w:tcW w:w="0" w:type="dxa"/>
            <w:vAlign w:val="bottom"/>
          </w:tcPr>
          <w:p>
            <w:pPr>
              <w:spacing w:after="0"/>
              <w:rPr>
                <w:sz w:val="1"/>
                <w:szCs w:val="1"/>
                <w:color w:val="auto"/>
              </w:rPr>
            </w:pPr>
          </w:p>
        </w:tc>
      </w:tr>
      <w:tr>
        <w:trPr>
          <w:trHeight w:val="182"/>
        </w:trPr>
        <w:tc>
          <w:tcPr>
            <w:tcW w:w="5560" w:type="dxa"/>
            <w:vAlign w:val="bottom"/>
          </w:tcPr>
          <w:p>
            <w:pPr>
              <w:spacing w:after="0" w:line="183" w:lineRule="exact"/>
              <w:rPr>
                <w:sz w:val="20"/>
                <w:szCs w:val="20"/>
                <w:color w:val="auto"/>
              </w:rPr>
            </w:pPr>
            <w:r>
              <w:rPr>
                <w:rFonts w:ascii="Times New Roman" w:cs="Times New Roman" w:eastAsia="Times New Roman" w:hAnsi="Times New Roman"/>
                <w:sz w:val="15"/>
                <w:szCs w:val="15"/>
                <w:color w:val="auto"/>
              </w:rPr>
              <w:t>BlackRock, Inc.</w:t>
            </w:r>
            <w:r>
              <w:rPr>
                <w:rFonts w:ascii="Times New Roman" w:cs="Times New Roman" w:eastAsia="Times New Roman" w:hAnsi="Times New Roman"/>
                <w:sz w:val="21"/>
                <w:szCs w:val="21"/>
                <w:color w:val="auto"/>
                <w:vertAlign w:val="superscript"/>
              </w:rPr>
              <w:t>(3)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3,330,145</w:t>
            </w:r>
          </w:p>
        </w:tc>
        <w:tc>
          <w:tcPr>
            <w:tcW w:w="180" w:type="dxa"/>
            <w:vAlign w:val="bottom"/>
          </w:tcPr>
          <w:p>
            <w:pPr>
              <w:spacing w:after="0"/>
              <w:rPr>
                <w:sz w:val="15"/>
                <w:szCs w:val="15"/>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5"/>
                <w:szCs w:val="15"/>
                <w:color w:val="auto"/>
              </w:rPr>
              <w:t>Riverbridge Partners LLC</w:t>
            </w:r>
            <w:r>
              <w:rPr>
                <w:rFonts w:ascii="Times New Roman" w:cs="Times New Roman" w:eastAsia="Times New Roman" w:hAnsi="Times New Roman"/>
                <w:sz w:val="21"/>
                <w:szCs w:val="21"/>
                <w:color w:val="auto"/>
                <w:vertAlign w:val="superscript"/>
              </w:rPr>
              <w:t>(4)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2,784,752</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8.4 %</w:t>
            </w:r>
          </w:p>
        </w:tc>
        <w:tc>
          <w:tcPr>
            <w:tcW w:w="0" w:type="dxa"/>
            <w:vAlign w:val="bottom"/>
          </w:tcPr>
          <w:p>
            <w:pPr>
              <w:spacing w:after="0"/>
              <w:rPr>
                <w:sz w:val="1"/>
                <w:szCs w:val="1"/>
                <w:color w:val="auto"/>
              </w:rPr>
            </w:pPr>
          </w:p>
        </w:tc>
      </w:tr>
      <w:tr>
        <w:trPr>
          <w:trHeight w:val="182"/>
        </w:trPr>
        <w:tc>
          <w:tcPr>
            <w:tcW w:w="5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Directors and Named Executive Officers:</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Brian E. Mueller</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300,367</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0.9 %</w:t>
            </w:r>
          </w:p>
        </w:tc>
        <w:tc>
          <w:tcPr>
            <w:tcW w:w="0" w:type="dxa"/>
            <w:vAlign w:val="bottom"/>
          </w:tcPr>
          <w:p>
            <w:pPr>
              <w:spacing w:after="0"/>
              <w:rPr>
                <w:sz w:val="1"/>
                <w:szCs w:val="1"/>
                <w:color w:val="auto"/>
              </w:rPr>
            </w:pPr>
          </w:p>
        </w:tc>
      </w:tr>
      <w:tr>
        <w:trPr>
          <w:trHeight w:val="182"/>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Dr. W. Stan Meyer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108,531</w:t>
            </w:r>
          </w:p>
        </w:tc>
        <w:tc>
          <w:tcPr>
            <w:tcW w:w="180" w:type="dxa"/>
            <w:vAlign w:val="bottom"/>
          </w:tcPr>
          <w:p>
            <w:pPr>
              <w:spacing w:after="0"/>
              <w:rPr>
                <w:sz w:val="15"/>
                <w:szCs w:val="15"/>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0.3 %</w:t>
            </w: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E. Bachus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115,143</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0.3 %</w:t>
            </w:r>
          </w:p>
        </w:tc>
        <w:tc>
          <w:tcPr>
            <w:tcW w:w="0" w:type="dxa"/>
            <w:vAlign w:val="bottom"/>
          </w:tcPr>
          <w:p>
            <w:pPr>
              <w:spacing w:after="0"/>
              <w:rPr>
                <w:sz w:val="1"/>
                <w:szCs w:val="1"/>
                <w:color w:val="auto"/>
              </w:rPr>
            </w:pPr>
          </w:p>
        </w:tc>
      </w:tr>
      <w:tr>
        <w:trPr>
          <w:trHeight w:val="182"/>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Dilek Marsh</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22,986</w:t>
            </w:r>
          </w:p>
        </w:tc>
        <w:tc>
          <w:tcPr>
            <w:tcW w:w="180" w:type="dxa"/>
            <w:vAlign w:val="bottom"/>
          </w:tcPr>
          <w:p>
            <w:pPr>
              <w:spacing w:after="0"/>
              <w:rPr>
                <w:sz w:val="15"/>
                <w:szCs w:val="15"/>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0.1 %</w:t>
            </w: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J. Briggs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20,029</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0.1 %</w:t>
            </w:r>
          </w:p>
        </w:tc>
        <w:tc>
          <w:tcPr>
            <w:tcW w:w="0" w:type="dxa"/>
            <w:vAlign w:val="bottom"/>
          </w:tcPr>
          <w:p>
            <w:pPr>
              <w:spacing w:after="0"/>
              <w:rPr>
                <w:sz w:val="1"/>
                <w:szCs w:val="1"/>
                <w:color w:val="auto"/>
              </w:rPr>
            </w:pPr>
          </w:p>
        </w:tc>
      </w:tr>
      <w:tr>
        <w:trPr>
          <w:trHeight w:val="182"/>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Sara R. Dial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4,752</w:t>
            </w:r>
          </w:p>
        </w:tc>
        <w:tc>
          <w:tcPr>
            <w:tcW w:w="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Jack A. Henry</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17,159</w:t>
            </w: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0.1 %</w:t>
            </w:r>
          </w:p>
        </w:tc>
        <w:tc>
          <w:tcPr>
            <w:tcW w:w="0" w:type="dxa"/>
            <w:vAlign w:val="bottom"/>
          </w:tcPr>
          <w:p>
            <w:pPr>
              <w:spacing w:after="0"/>
              <w:rPr>
                <w:sz w:val="1"/>
                <w:szCs w:val="1"/>
                <w:color w:val="auto"/>
              </w:rPr>
            </w:pPr>
          </w:p>
        </w:tc>
      </w:tr>
      <w:tr>
        <w:trPr>
          <w:trHeight w:val="168"/>
        </w:trPr>
        <w:tc>
          <w:tcPr>
            <w:tcW w:w="556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Lisa Graham Keegan</w:t>
            </w:r>
          </w:p>
        </w:tc>
        <w:tc>
          <w:tcPr>
            <w:tcW w:w="160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auto"/>
              </w:rPr>
              <w:t>1,872</w:t>
            </w:r>
          </w:p>
        </w:tc>
        <w:tc>
          <w:tcPr>
            <w:tcW w:w="1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Chevy Humphrey</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1,772</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M. Adame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1,075</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All directors and executive officers as a group (10 persons)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593,686</w:t>
            </w:r>
          </w:p>
        </w:tc>
        <w:tc>
          <w:tcPr>
            <w:tcW w:w="18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45720</wp:posOffset>
            </wp:positionV>
            <wp:extent cx="141922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19225" cy="14605"/>
                    </a:xfrm>
                    <a:prstGeom prst="rect">
                      <a:avLst/>
                    </a:prstGeom>
                    <a:noFill/>
                  </pic:spPr>
                </pic:pic>
              </a:graphicData>
            </a:graphic>
          </wp:anchor>
        </w:drawing>
      </w:r>
    </w:p>
    <w:p>
      <w:pPr>
        <w:spacing w:after="0" w:line="129" w:lineRule="exact"/>
        <w:rPr>
          <w:sz w:val="20"/>
          <w:szCs w:val="20"/>
          <w:color w:val="auto"/>
        </w:rPr>
      </w:pPr>
    </w:p>
    <w:p>
      <w:pPr>
        <w:ind w:left="40"/>
        <w:spacing w:after="0"/>
        <w:tabs>
          <w:tab w:leader="none" w:pos="300" w:val="left"/>
        </w:tabs>
        <w:rPr>
          <w:sz w:val="20"/>
          <w:szCs w:val="20"/>
          <w:color w:val="auto"/>
        </w:rPr>
      </w:pPr>
      <w:r>
        <w:rPr>
          <w:rFonts w:ascii="Times New Roman" w:cs="Times New Roman" w:eastAsia="Times New Roman" w:hAnsi="Times New Roman"/>
          <w:sz w:val="15"/>
          <w:szCs w:val="15"/>
          <w:color w:val="auto"/>
        </w:rPr>
        <w:t>*</w:t>
        <w:tab/>
        <w:t>Represents beneficial ownership of less than 0.1%</w:t>
      </w:r>
    </w:p>
    <w:p>
      <w:pPr>
        <w:spacing w:after="0" w:line="192" w:lineRule="exact"/>
        <w:rPr>
          <w:sz w:val="20"/>
          <w:szCs w:val="20"/>
          <w:color w:val="auto"/>
        </w:rPr>
      </w:pPr>
    </w:p>
    <w:p>
      <w:pPr>
        <w:ind w:left="320" w:right="339" w:hanging="283"/>
        <w:spacing w:after="0" w:line="265" w:lineRule="auto"/>
        <w:tabs>
          <w:tab w:leader="none" w:pos="3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right="339"/>
        <w:spacing w:after="0" w:line="288" w:lineRule="auto"/>
        <w:rPr>
          <w:sz w:val="20"/>
          <w:szCs w:val="20"/>
          <w:color w:val="auto"/>
        </w:rPr>
      </w:pPr>
      <w:r>
        <w:rPr>
          <w:rFonts w:ascii="Times New Roman" w:cs="Times New Roman" w:eastAsia="Times New Roman" w:hAnsi="Times New Roman"/>
          <w:sz w:val="15"/>
          <w:szCs w:val="15"/>
          <w:color w:val="auto"/>
        </w:rPr>
        <w:t>investment power within 60 days after such date. Consequently, the denominator for calculating beneficial ownership percentages may be different for each beneficial owner.</w:t>
      </w:r>
    </w:p>
    <w:p>
      <w:pPr>
        <w:spacing w:after="0" w:line="133" w:lineRule="exact"/>
        <w:rPr>
          <w:sz w:val="20"/>
          <w:szCs w:val="20"/>
          <w:color w:val="auto"/>
        </w:rPr>
      </w:pPr>
    </w:p>
    <w:p>
      <w:pPr>
        <w:ind w:left="320" w:right="159" w:hanging="283"/>
        <w:spacing w:after="0" w:line="265" w:lineRule="auto"/>
        <w:tabs>
          <w:tab w:leader="none" w:pos="32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information for the Vanguard Group – 23-1945930 (“Vanguard”) is based on a Schedule 13G/A filed with the Securities and Exchange Commission on February 14, 2022. The address for Vanguard is 100 Vanguard Blvd., Malvern, PA 19355. Vanguard reported that it had sole voting power over 0 shares, shared voting power over 25,912 shares, sole dispositive power over 3,600,507 shares, and shared dispositive power over 63,564 shares.</w:t>
      </w:r>
    </w:p>
    <w:p>
      <w:pPr>
        <w:spacing w:after="0" w:line="150" w:lineRule="exact"/>
        <w:rPr>
          <w:rFonts w:ascii="Times New Roman" w:cs="Times New Roman" w:eastAsia="Times New Roman" w:hAnsi="Times New Roman"/>
          <w:sz w:val="15"/>
          <w:szCs w:val="15"/>
          <w:color w:val="auto"/>
        </w:rPr>
      </w:pPr>
    </w:p>
    <w:p>
      <w:pPr>
        <w:ind w:left="320" w:right="139" w:hanging="283"/>
        <w:spacing w:after="0" w:line="231" w:lineRule="auto"/>
        <w:tabs>
          <w:tab w:leader="none" w:pos="32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information for BlackRock, Inc. (“BlackRock”) is based on a Schedule 13G/A filed with the Securities and Exchange Commission on February 3, 2022. The address for BlackRock is 55 East 52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5"/>
          <w:szCs w:val="15"/>
          <w:color w:val="auto"/>
        </w:rPr>
        <w:t xml:space="preserve"> Street, New York, NY 10055. BlackRock reported that it had sole voting power over 3,157,123 shares, shared voting power over 0 shares, sole dispositive power over 3,330,145 shares, and shared dispositive power over 0 shares.</w:t>
      </w:r>
    </w:p>
    <w:p>
      <w:pPr>
        <w:spacing w:after="0" w:line="170" w:lineRule="exact"/>
        <w:rPr>
          <w:rFonts w:ascii="Times New Roman" w:cs="Times New Roman" w:eastAsia="Times New Roman" w:hAnsi="Times New Roman"/>
          <w:sz w:val="15"/>
          <w:szCs w:val="15"/>
          <w:color w:val="auto"/>
        </w:rPr>
      </w:pPr>
    </w:p>
    <w:p>
      <w:pPr>
        <w:ind w:left="320" w:right="59" w:hanging="283"/>
        <w:spacing w:after="0" w:line="265" w:lineRule="auto"/>
        <w:tabs>
          <w:tab w:leader="none" w:pos="32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information for Riverbridge Partners LLC (“Riverbridge”) is based on a Schedule 13G/A filed with the Securities and Exchange Commission on January 21, 2022. The address for Riverbridge is 80 South Eighth St., Suite 1200, Minneapolis, MN 55402. Riverbridge reported that it had sole voting power over 2,038,397 shares, shared voting power over 0 shares, sole dispositive power over 2,784,752 shares, and shared dispositive power over 0 shares.</w:t>
      </w:r>
    </w:p>
    <w:p>
      <w:pPr>
        <w:spacing w:after="0" w:line="14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5"/>
          <w:szCs w:val="15"/>
          <w:b w:val="1"/>
          <w:bCs w:val="1"/>
          <w:color w:val="auto"/>
        </w:rPr>
        <w:t>CERTAIN RELATIONSHIPS AND RELATED TRANSACTIONS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Policies and Procedures for Related Party Transactions</w:t>
      </w:r>
    </w:p>
    <w:p>
      <w:pPr>
        <w:spacing w:after="0" w:line="196" w:lineRule="exact"/>
        <w:rPr>
          <w:sz w:val="20"/>
          <w:szCs w:val="20"/>
          <w:color w:val="auto"/>
        </w:rPr>
      </w:pPr>
    </w:p>
    <w:p>
      <w:pPr>
        <w:ind w:left="40" w:right="79" w:firstLine="547"/>
        <w:spacing w:after="0" w:line="256" w:lineRule="auto"/>
        <w:rPr>
          <w:sz w:val="20"/>
          <w:szCs w:val="20"/>
          <w:color w:val="auto"/>
        </w:rPr>
      </w:pPr>
      <w:r>
        <w:rPr>
          <w:rFonts w:ascii="Times New Roman" w:cs="Times New Roman" w:eastAsia="Times New Roman" w:hAnsi="Times New Roman"/>
          <w:sz w:val="15"/>
          <w:szCs w:val="15"/>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346" w:lineRule="exact"/>
        <w:rPr>
          <w:sz w:val="20"/>
          <w:szCs w:val="20"/>
          <w:color w:val="auto"/>
        </w:rPr>
      </w:pPr>
    </w:p>
    <w:p>
      <w:pPr>
        <w:ind w:left="40" w:right="59" w:firstLine="547"/>
        <w:spacing w:after="0" w:line="257" w:lineRule="auto"/>
        <w:rPr>
          <w:sz w:val="20"/>
          <w:szCs w:val="20"/>
          <w:color w:val="auto"/>
        </w:rPr>
      </w:pPr>
      <w:r>
        <w:rPr>
          <w:rFonts w:ascii="Times New Roman" w:cs="Times New Roman" w:eastAsia="Times New Roman" w:hAnsi="Times New Roman"/>
          <w:sz w:val="15"/>
          <w:szCs w:val="15"/>
          <w:color w:val="auto"/>
        </w:rPr>
        <w:t>Mr. Brian E. Mueller has served as the Chief Executive Officer of the Company since 2008 and the Chairman of the Board of the Company since 2017 and has also served as the President of GCU since 2012. In connection with the sale of GCU to Grand Canyon University, an Arizona non-profit corporation, in 2018, the Board of Directors of the Company and the board of trustees of GCU each independently determined that Mr. Mueller should retain those roles. Accordingly, Mr. Mueller remains the Chairman of the Board and Chief Executive Officer of the Company and as the President of GCU, although he is prohibited from serving on the board of trustees of GCU. Our Board and the board of trustees of GCU each recognized that Mr. Mueller’s dual role could raise conflict of interest issues. Accordingly, at the time of the sale of GCU, GCU adopted governance provisions that prohibit Mr. Mueller from serving on the board of trustees of GCU. We also jointly imposed a structure, through GCU’s governance documents and through express provisions of the Master Services Agreement, that prevent Mr. Mueller from participating in day-to-day management of, or negotiations between the Company and GCU relating to, the Master Services Agreement. Aside from Mr. Mueller, no other employee of GCU or GCE has a dual role in both organizations. Beginning July 1, 2018, the base salary under Mr. Mueller’s employment agreement with the Company was decreased by 50% to $321,000, reflecting his dual employment by GCE and GCU.</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right="59" w:firstLine="547"/>
        <w:spacing w:after="0" w:line="257" w:lineRule="auto"/>
        <w:rPr>
          <w:sz w:val="20"/>
          <w:szCs w:val="20"/>
          <w:color w:val="auto"/>
        </w:rPr>
      </w:pPr>
      <w:r>
        <w:rPr>
          <w:rFonts w:ascii="Times New Roman" w:cs="Times New Roman" w:eastAsia="Times New Roman" w:hAnsi="Times New Roman"/>
          <w:sz w:val="15"/>
          <w:szCs w:val="15"/>
          <w:color w:val="auto"/>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GCU’s relationship with the Company, and (iii) prohibits any trustee from having any financial interest in, or role with, the Company. In addition, an operational structure has been put in place that prevents Mr. Mueller from participating in operational matters involving the Company and GCU. Accordingly, the Company’s relationship with GCU, both pursuant to the master services agreement between the two companies and operationally, is no longer as owner and operator, but as a third-party service provider to an independent customer. While the Company believes that its relationship with GCU will remain strong, GCU’s board of trustees and management have fiduciary and other duties that require them to focus on the best interests of GCU and over time those interests could diverge from those of the Company.</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Certain Transactions</w:t>
      </w:r>
    </w:p>
    <w:p>
      <w:pPr>
        <w:spacing w:after="0" w:line="174" w:lineRule="exact"/>
        <w:rPr>
          <w:sz w:val="20"/>
          <w:szCs w:val="20"/>
          <w:color w:val="auto"/>
        </w:rPr>
      </w:pPr>
    </w:p>
    <w:p>
      <w:pPr>
        <w:jc w:val="both"/>
        <w:ind w:left="40" w:right="539" w:firstLine="547"/>
        <w:spacing w:after="0" w:line="271" w:lineRule="auto"/>
        <w:rPr>
          <w:sz w:val="20"/>
          <w:szCs w:val="20"/>
          <w:color w:val="auto"/>
        </w:rPr>
      </w:pPr>
      <w:r>
        <w:rPr>
          <w:rFonts w:ascii="Times New Roman" w:cs="Times New Roman" w:eastAsia="Times New Roman" w:hAnsi="Times New Roman"/>
          <w:sz w:val="15"/>
          <w:szCs w:val="15"/>
          <w:color w:val="auto"/>
        </w:rPr>
        <w:t>There were no transactions since January 1, 2021,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HOUSEHOLDING OF PROXY MATERIALS</w:t>
      </w:r>
    </w:p>
    <w:p>
      <w:pPr>
        <w:spacing w:after="0" w:line="174" w:lineRule="exact"/>
        <w:rPr>
          <w:sz w:val="20"/>
          <w:szCs w:val="20"/>
          <w:color w:val="auto"/>
        </w:rPr>
      </w:pPr>
    </w:p>
    <w:p>
      <w:pPr>
        <w:ind w:left="40" w:right="79" w:firstLine="547"/>
        <w:spacing w:after="0" w:line="257" w:lineRule="auto"/>
        <w:rPr>
          <w:sz w:val="20"/>
          <w:szCs w:val="20"/>
          <w:color w:val="auto"/>
        </w:rPr>
      </w:pPr>
      <w:r>
        <w:rPr>
          <w:rFonts w:ascii="Times New Roman" w:cs="Times New Roman" w:eastAsia="Times New Roman" w:hAnsi="Times New Roman"/>
          <w:sz w:val="15"/>
          <w:szCs w:val="15"/>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2600 W. Camelback Road, Phoenix, Arizona, 85017, Attn: Investor Relations, or by calling (602) 247-4400.</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ADDITIONAL INFORMATION</w:t>
      </w:r>
    </w:p>
    <w:p>
      <w:pPr>
        <w:spacing w:after="0" w:line="174" w:lineRule="exact"/>
        <w:rPr>
          <w:sz w:val="20"/>
          <w:szCs w:val="20"/>
          <w:color w:val="auto"/>
        </w:rPr>
      </w:pPr>
    </w:p>
    <w:p>
      <w:pPr>
        <w:ind w:left="40" w:right="119" w:firstLine="547"/>
        <w:spacing w:after="0" w:line="262" w:lineRule="auto"/>
        <w:rPr>
          <w:sz w:val="20"/>
          <w:szCs w:val="20"/>
          <w:color w:val="auto"/>
        </w:rPr>
      </w:pPr>
      <w:r>
        <w:rPr>
          <w:rFonts w:ascii="Times New Roman" w:cs="Times New Roman" w:eastAsia="Times New Roman" w:hAnsi="Times New Roman"/>
          <w:sz w:val="15"/>
          <w:szCs w:val="15"/>
          <w:color w:val="auto"/>
        </w:rPr>
        <w:t xml:space="preserve">Our 2021 annual report and our Annual Report on Form 10-K for fiscal year 2021, including financial statements, are available electronically along with our proxy statement to all stockholders of record as of April 14, 2022, including those stockholders whose shares are held in a brokerage, bank or similar account, who will receive the same mailing from the organization holding the account. </w:t>
      </w:r>
      <w:r>
        <w:rPr>
          <w:rFonts w:ascii="Times New Roman" w:cs="Times New Roman" w:eastAsia="Times New Roman" w:hAnsi="Times New Roman"/>
          <w:sz w:val="15"/>
          <w:szCs w:val="15"/>
          <w:b w:val="1"/>
          <w:bCs w:val="1"/>
          <w:color w:val="auto"/>
        </w:rPr>
        <w:t>Stockholders who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wish to obtain a copy of our Annual Report on Form 10-K, for the fiscal year ended December 31, 2021, and our proxy statement may do so without charge by writing to Investor Relations, Grand Canyon Education, Inc., 2600 W. Camelback Road, Phoenix, Arizona 85017.</w:t>
      </w:r>
    </w:p>
    <w:p>
      <w:pPr>
        <w:spacing w:after="0" w:line="130" w:lineRule="exact"/>
        <w:rPr>
          <w:sz w:val="20"/>
          <w:szCs w:val="20"/>
          <w:color w:val="auto"/>
        </w:rPr>
      </w:pPr>
    </w:p>
    <w:p>
      <w:pPr>
        <w:jc w:val="both"/>
        <w:ind w:left="40" w:right="139" w:firstLine="547"/>
        <w:spacing w:after="0" w:line="265" w:lineRule="auto"/>
        <w:rPr>
          <w:sz w:val="20"/>
          <w:szCs w:val="20"/>
          <w:color w:val="auto"/>
        </w:rPr>
      </w:pPr>
      <w:r>
        <w:rPr>
          <w:rFonts w:ascii="Times New Roman" w:cs="Times New Roman" w:eastAsia="Times New Roman" w:hAnsi="Times New Roman"/>
          <w:sz w:val="15"/>
          <w:szCs w:val="15"/>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Brian E. Mueller</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Chief Executive Officer and Chairman</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Dated: April 22, 2022</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305435</wp:posOffset>
            </wp:positionV>
            <wp:extent cx="567626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442595</wp:posOffset>
            </wp:positionV>
            <wp:extent cx="6711950" cy="8652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11950" cy="8652510"/>
                    </a:xfrm>
                    <a:prstGeom prst="rect">
                      <a:avLst/>
                    </a:prstGeom>
                    <a:noFill/>
                  </pic:spPr>
                </pic:pic>
              </a:graphicData>
            </a:graphic>
          </wp:anchor>
        </w:drawing>
      </w:r>
    </w:p>
    <w:p>
      <w:pPr>
        <w:sectPr>
          <w:pgSz w:w="11900" w:h="16838" w:orient="portrait"/>
          <w:cols w:equalWidth="0" w:num="1">
            <w:col w:w="9759"/>
          </w:cols>
          <w:pgMar w:left="700" w:top="45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661150" cy="85871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61150" cy="8587105"/>
                    </a:xfrm>
                    <a:prstGeom prst="rect">
                      <a:avLst/>
                    </a:prstGeom>
                    <a:noFill/>
                  </pic:spPr>
                </pic:pic>
              </a:graphicData>
            </a:graphic>
          </wp:anchor>
        </w:drawing>
      </w:r>
    </w:p>
    <w:sectPr>
      <w:pgSz w:w="11900" w:h="16838" w:orient="portrait"/>
      <w:cols w:equalWidth="0" w:num="1">
        <w:col w:w="9759"/>
      </w:cols>
      <w:pgMar w:left="700" w:top="4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2"/>
      <w:numFmt w:val="bullet"/>
      <w:start w:val="1"/>
    </w:lvl>
  </w:abstractNum>
  <w:abstractNum w:abstractNumId="5">
    <w:nsid w:val="5E884ADC"/>
    <w:multiLevelType w:val="hybridMultilevel"/>
    <w:lvl w:ilvl="0">
      <w:lvlJc w:val="left"/>
      <w:lvlText w:val="3"/>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decimal"/>
      <w:start w:val="90"/>
    </w:lvl>
  </w:abstractNum>
  <w:abstractNum w:abstractNumId="31">
    <w:nsid w:val="75C6C33A"/>
    <w:multiLevelType w:val="hybridMultilevel"/>
    <w:lvl w:ilvl="0">
      <w:lvlJc w:val="left"/>
      <w:lvlText w:val="(%1)"/>
      <w:numFmt w:val="decimal"/>
      <w:start w:val="90"/>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1"/>
    </w:lvl>
    <w:lvl w:ilvl="1">
      <w:lvlJc w:val="left"/>
      <w:lvlText w:val="(%2)"/>
      <w:numFmt w:val="decimal"/>
      <w:start w:val="1"/>
    </w:lvl>
  </w:abstractNum>
  <w:abstractNum w:abstractNumId="36">
    <w:nsid w:val="4F4EF005"/>
    <w:multiLevelType w:val="hybridMultilevel"/>
    <w:lvl w:ilvl="0">
      <w:lvlJc w:val="left"/>
      <w:lvlText w:val="(%1)"/>
      <w:numFmt w:val="decimal"/>
      <w:start w:val="2"/>
    </w:lvl>
    <w:lvl w:ilvl="1">
      <w:lvlJc w:val="left"/>
      <w:lvlText w:val="%2"/>
      <w:numFmt w:val="decimal"/>
      <w:start w:val="1"/>
    </w:lvl>
  </w:abstractNum>
  <w:abstractNum w:abstractNumId="37">
    <w:nsid w:val="23F9C13C"/>
    <w:multiLevelType w:val="hybridMultilevel"/>
    <w:lvl w:ilvl="0">
      <w:lvlJc w:val="left"/>
      <w:lvlText w:val=" "/>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2022-04-22T08:20:28Z</dcterms:created>
  <dcterms:modified xsi:type="dcterms:W3CDTF">2022-04-22T08:20:28Z</dcterms:modified>
</cp:coreProperties>
</file>