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60" w:type="dxa"/>
            <w:vAlign w:val="bottom"/>
          </w:tcPr>
          <w:p>
            <w:pPr>
              <w:jc w:val="center"/>
              <w:ind w:right="41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39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41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vMerge w:val="restart"/>
          </w:tcPr>
          <w:p>
            <w:pPr>
              <w:jc w:val="center"/>
              <w:ind w:right="41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12065</wp:posOffset>
            </wp:positionV>
            <wp:extent cx="7282180" cy="9423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180" cy="942340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660"/>
            <w:col w:w="8660"/>
          </w:cols>
          <w:pgMar w:left="240" w:top="218" w:right="139" w:bottom="3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restart"/>
          </w:tcPr>
          <w:p>
            <w:pPr>
              <w:spacing w:after="0"/>
              <w:rPr>
                <w:rFonts w:ascii="Arial" w:cs="Arial" w:eastAsia="Arial" w:hAnsi="Arial"/>
                <w:sz w:val="20"/>
                <w:szCs w:val="20"/>
                <w:color w:val="0000EE"/>
                <w:w w:val="93"/>
              </w:rPr>
            </w:pPr>
            <w:hyperlink r:id="rId12">
              <w:r>
                <w:rPr>
                  <w:rFonts w:ascii="Arial" w:cs="Arial" w:eastAsia="Arial" w:hAnsi="Arial"/>
                  <w:sz w:val="20"/>
                  <w:szCs w:val="20"/>
                  <w:color w:val="0000EE"/>
                  <w:w w:val="93"/>
                </w:rPr>
                <w:t>Heath Chad N.</w:t>
              </w:r>
            </w:hyperlink>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0" w:type="dxa"/>
            <w:vAlign w:val="bottom"/>
            <w:gridSpan w:val="6"/>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Grand Canyon Education,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LOPE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0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
                <w:szCs w:val="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2"/>
                <w:szCs w:val="2"/>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480" w:type="dxa"/>
            <w:vAlign w:val="bottom"/>
            <w:gridSpan w:val="5"/>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4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1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80" w:type="dxa"/>
            <w:vAlign w:val="bottom"/>
            <w:gridSpan w:val="5"/>
            <w:vMerge w:val="restart"/>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980" w:type="dxa"/>
            <w:vAlign w:val="bottom"/>
          </w:tcPr>
          <w:p>
            <w:pPr>
              <w:ind w:left="14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5"/>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auto"/>
                <w:w w:val="99"/>
              </w:rPr>
              <w:t>below)</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gridSpan w:val="5"/>
            <w:vMerge w:val="restart"/>
          </w:tcPr>
          <w:p>
            <w:pPr>
              <w:spacing w:after="0"/>
              <w:rPr>
                <w:sz w:val="20"/>
                <w:szCs w:val="20"/>
                <w:color w:val="auto"/>
              </w:rPr>
            </w:pPr>
            <w:r>
              <w:rPr>
                <w:rFonts w:ascii="Arial" w:cs="Arial" w:eastAsia="Arial" w:hAnsi="Arial"/>
                <w:sz w:val="16"/>
                <w:szCs w:val="16"/>
                <w:color w:val="0000FF"/>
              </w:rPr>
              <w:t>601 WEST FIFTH STREET, SUITE 700</w:t>
            </w:r>
          </w:p>
        </w:tc>
        <w:tc>
          <w:tcPr>
            <w:tcW w:w="1960" w:type="dxa"/>
            <w:vAlign w:val="bottom"/>
            <w:gridSpan w:val="6"/>
          </w:tcPr>
          <w:p>
            <w:pPr>
              <w:ind w:left="560"/>
              <w:spacing w:after="0"/>
              <w:rPr>
                <w:sz w:val="20"/>
                <w:szCs w:val="20"/>
                <w:color w:val="auto"/>
              </w:rPr>
            </w:pPr>
            <w:r>
              <w:rPr>
                <w:rFonts w:ascii="Arial" w:cs="Arial" w:eastAsia="Arial" w:hAnsi="Arial"/>
                <w:sz w:val="16"/>
                <w:szCs w:val="16"/>
                <w:color w:val="0000FF"/>
              </w:rPr>
              <w:t>11/19/2008</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440" w:type="dxa"/>
            <w:vAlign w:val="bottom"/>
            <w:tcBorders>
              <w:bottom w:val="single" w:sz="8" w:color="2C2C2C"/>
            </w:tcBorders>
            <w:gridSpan w:val="4"/>
          </w:tcPr>
          <w:p>
            <w:pPr>
              <w:spacing w:after="0"/>
              <w:rPr>
                <w:sz w:val="19"/>
                <w:szCs w:val="19"/>
                <w:color w:val="auto"/>
              </w:rPr>
            </w:pPr>
          </w:p>
        </w:tc>
        <w:tc>
          <w:tcPr>
            <w:tcW w:w="960" w:type="dxa"/>
            <w:vAlign w:val="bottom"/>
            <w:tcBorders>
              <w:bottom w:val="single" w:sz="8" w:color="2C2C2C"/>
            </w:tcBorders>
            <w:gridSpan w:val="2"/>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gridSpan w:val="2"/>
          </w:tcPr>
          <w:p>
            <w:pPr>
              <w:spacing w:after="0"/>
              <w:rPr>
                <w:sz w:val="19"/>
                <w:szCs w:val="19"/>
                <w:color w:val="auto"/>
              </w:rPr>
            </w:pPr>
          </w:p>
        </w:tc>
        <w:tc>
          <w:tcPr>
            <w:tcW w:w="2900" w:type="dxa"/>
            <w:vAlign w:val="bottom"/>
            <w:tcBorders>
              <w:bottom w:val="single" w:sz="8" w:color="2C2C2C"/>
            </w:tcBorders>
            <w:gridSpan w:val="6"/>
          </w:tcPr>
          <w:p>
            <w:pPr>
              <w:spacing w:after="0"/>
              <w:rPr>
                <w:sz w:val="19"/>
                <w:szCs w:val="19"/>
                <w:color w:val="auto"/>
              </w:rPr>
            </w:pP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6"/>
                <w:szCs w:val="16"/>
                <w:color w:val="0000FF"/>
              </w:rPr>
              <w:t>LOS ANGELES</w:t>
            </w:r>
          </w:p>
        </w:tc>
        <w:tc>
          <w:tcPr>
            <w:tcW w:w="1140" w:type="dxa"/>
            <w:vAlign w:val="bottom"/>
          </w:tcPr>
          <w:p>
            <w:pPr>
              <w:spacing w:after="0"/>
              <w:rPr>
                <w:sz w:val="20"/>
                <w:szCs w:val="20"/>
                <w:color w:val="auto"/>
              </w:rPr>
            </w:pPr>
            <w:r>
              <w:rPr>
                <w:rFonts w:ascii="Arial" w:cs="Arial" w:eastAsia="Arial" w:hAnsi="Arial"/>
                <w:sz w:val="16"/>
                <w:szCs w:val="16"/>
                <w:color w:val="0000FF"/>
              </w:rPr>
              <w:t>CA</w:t>
            </w:r>
          </w:p>
        </w:tc>
        <w:tc>
          <w:tcPr>
            <w:tcW w:w="980" w:type="dxa"/>
            <w:vAlign w:val="bottom"/>
          </w:tcPr>
          <w:p>
            <w:pPr>
              <w:ind w:left="140"/>
              <w:spacing w:after="0"/>
              <w:rPr>
                <w:sz w:val="20"/>
                <w:szCs w:val="20"/>
                <w:color w:val="auto"/>
              </w:rPr>
            </w:pPr>
            <w:r>
              <w:rPr>
                <w:rFonts w:ascii="Arial" w:cs="Arial" w:eastAsia="Arial" w:hAnsi="Arial"/>
                <w:sz w:val="16"/>
                <w:szCs w:val="16"/>
                <w:color w:val="0000FF"/>
              </w:rPr>
              <w:t>90071</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20"/>
                <w:szCs w:val="20"/>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color w:val="auto"/>
                <w:w w:val="97"/>
              </w:rPr>
              <w:t>Form filed by One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gridSpan w:val="8"/>
          </w:tcPr>
          <w:p>
            <w:pPr>
              <w:ind w:left="60"/>
              <w:spacing w:after="0" w:line="120"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(State)</w:t>
            </w:r>
          </w:p>
        </w:tc>
        <w:tc>
          <w:tcPr>
            <w:tcW w:w="98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8"/>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gridSpan w:val="6"/>
          </w:tcPr>
          <w:p>
            <w:pPr>
              <w:ind w:left="90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2240" w:type="dxa"/>
            <w:vAlign w:val="bottom"/>
            <w:gridSpan w:val="8"/>
          </w:tcPr>
          <w:p>
            <w:pPr>
              <w:ind w:left="10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60" w:type="dxa"/>
            <w:vAlign w:val="bottom"/>
            <w:gridSpan w:val="6"/>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46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7,692,938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831,886</w:t>
            </w:r>
            <w:r>
              <w:rPr>
                <w:rFonts w:ascii="Arial" w:cs="Arial" w:eastAsia="Arial" w:hAnsi="Arial"/>
                <w:sz w:val="20"/>
                <w:szCs w:val="20"/>
                <w:color w:val="008000"/>
                <w:w w:val="86"/>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8,524,824</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(1)(2)</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471,108</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vMerge w:val="restart"/>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vMerge w:val="restart"/>
          </w:tcPr>
          <w:p>
            <w:pPr>
              <w:jc w:val="center"/>
              <w:ind w:right="81"/>
              <w:spacing w:after="0"/>
              <w:rPr>
                <w:sz w:val="20"/>
                <w:szCs w:val="20"/>
                <w:color w:val="auto"/>
              </w:rPr>
            </w:pPr>
            <w:r>
              <w:rPr>
                <w:rFonts w:ascii="Arial" w:cs="Arial" w:eastAsia="Arial" w:hAnsi="Arial"/>
                <w:sz w:val="16"/>
                <w:szCs w:val="16"/>
                <w:color w:val="0000FF"/>
                <w:w w:val="85"/>
              </w:rPr>
              <w:t>51,007</w:t>
            </w:r>
            <w:r>
              <w:rPr>
                <w:rFonts w:ascii="Arial" w:cs="Arial" w:eastAsia="Arial" w:hAnsi="Arial"/>
                <w:sz w:val="20"/>
                <w:szCs w:val="20"/>
                <w:color w:val="008000"/>
                <w:w w:val="85"/>
                <w:vertAlign w:val="superscript"/>
              </w:rPr>
              <w:t>(1)(3)</w:t>
            </w:r>
          </w:p>
        </w:tc>
        <w:tc>
          <w:tcPr>
            <w:tcW w:w="140" w:type="dxa"/>
            <w:vAlign w:val="bottom"/>
            <w:vMerge w:val="restart"/>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vMerge w:val="restart"/>
          </w:tcPr>
          <w:p>
            <w:pPr>
              <w:jc w:val="center"/>
              <w:ind w:right="42"/>
              <w:spacing w:after="0"/>
              <w:rPr>
                <w:sz w:val="20"/>
                <w:szCs w:val="20"/>
                <w:color w:val="auto"/>
              </w:rPr>
            </w:pPr>
            <w:r>
              <w:rPr>
                <w:rFonts w:ascii="Arial" w:cs="Arial" w:eastAsia="Arial" w:hAnsi="Arial"/>
                <w:sz w:val="16"/>
                <w:szCs w:val="16"/>
                <w:color w:val="0000FF"/>
                <w:w w:val="86"/>
              </w:rPr>
              <w:t>522,115</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Associates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(1)(2)</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0"/>
                <w:szCs w:val="10"/>
                <w:color w:val="008000"/>
              </w:rPr>
              <w:t>(2)</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871,002</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Endeavour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60" w:type="dxa"/>
            <w:vAlign w:val="bottom"/>
            <w:gridSpan w:val="5"/>
          </w:tcPr>
          <w:p>
            <w:pPr>
              <w:ind w:left="60"/>
              <w:spacing w:after="0"/>
              <w:rPr>
                <w:sz w:val="20"/>
                <w:szCs w:val="20"/>
                <w:color w:val="auto"/>
              </w:rPr>
            </w:pPr>
            <w:r>
              <w:rPr>
                <w:rFonts w:ascii="Arial" w:cs="Arial" w:eastAsia="Arial" w:hAnsi="Arial"/>
                <w:sz w:val="16"/>
                <w:szCs w:val="16"/>
                <w:color w:val="0000FF"/>
              </w:rPr>
              <w:t>Common Stock</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5"/>
          </w:tcPr>
          <w:p>
            <w:pPr>
              <w:ind w:left="20"/>
              <w:spacing w:after="0"/>
              <w:rPr>
                <w:sz w:val="20"/>
                <w:szCs w:val="20"/>
                <w:color w:val="auto"/>
              </w:rPr>
            </w:pPr>
            <w:r>
              <w:rPr>
                <w:rFonts w:ascii="Arial" w:cs="Arial" w:eastAsia="Arial" w:hAnsi="Arial"/>
                <w:sz w:val="16"/>
                <w:szCs w:val="16"/>
                <w:color w:val="0000FF"/>
              </w:rPr>
              <w:t>11/19/2008</w:t>
            </w:r>
          </w:p>
        </w:tc>
        <w:tc>
          <w:tcPr>
            <w:tcW w:w="1080" w:type="dxa"/>
            <w:vAlign w:val="bottom"/>
          </w:tcPr>
          <w:p>
            <w:pPr>
              <w:spacing w:after="0"/>
              <w:rPr>
                <w:sz w:val="17"/>
                <w:szCs w:val="17"/>
                <w:color w:val="auto"/>
              </w:rPr>
            </w:pPr>
          </w:p>
        </w:tc>
        <w:tc>
          <w:tcPr>
            <w:tcW w:w="760" w:type="dxa"/>
            <w:vAlign w:val="bottom"/>
          </w:tcPr>
          <w:p>
            <w:pPr>
              <w:jc w:val="right"/>
              <w:ind w:right="423"/>
              <w:spacing w:after="0"/>
              <w:rPr>
                <w:sz w:val="20"/>
                <w:szCs w:val="20"/>
                <w:color w:val="auto"/>
              </w:rPr>
            </w:pPr>
            <w:r>
              <w:rPr>
                <w:rFonts w:ascii="Arial" w:cs="Arial" w:eastAsia="Arial" w:hAnsi="Arial"/>
                <w:sz w:val="13"/>
                <w:szCs w:val="13"/>
                <w:color w:val="0000FF"/>
              </w:rPr>
              <w:t>C</w:t>
            </w:r>
          </w:p>
        </w:tc>
        <w:tc>
          <w:tcPr>
            <w:tcW w:w="1240" w:type="dxa"/>
            <w:vAlign w:val="bottom"/>
            <w:gridSpan w:val="3"/>
          </w:tcPr>
          <w:p>
            <w:pPr>
              <w:jc w:val="center"/>
              <w:ind w:right="81"/>
              <w:spacing w:after="0" w:line="200" w:lineRule="exact"/>
              <w:rPr>
                <w:sz w:val="20"/>
                <w:szCs w:val="20"/>
                <w:color w:val="auto"/>
              </w:rPr>
            </w:pPr>
            <w:r>
              <w:rPr>
                <w:rFonts w:ascii="Arial" w:cs="Arial" w:eastAsia="Arial" w:hAnsi="Arial"/>
                <w:sz w:val="16"/>
                <w:szCs w:val="16"/>
                <w:color w:val="0000FF"/>
                <w:w w:val="85"/>
              </w:rPr>
              <w:t>94,197</w:t>
            </w:r>
            <w:r>
              <w:rPr>
                <w:rFonts w:ascii="Arial" w:cs="Arial" w:eastAsia="Arial" w:hAnsi="Arial"/>
                <w:sz w:val="20"/>
                <w:szCs w:val="20"/>
                <w:color w:val="008000"/>
                <w:w w:val="85"/>
                <w:vertAlign w:val="superscript"/>
              </w:rPr>
              <w:t>(1)(3)</w:t>
            </w:r>
          </w:p>
        </w:tc>
        <w:tc>
          <w:tcPr>
            <w:tcW w:w="140" w:type="dxa"/>
            <w:vAlign w:val="bottom"/>
          </w:tcPr>
          <w:p>
            <w:pPr>
              <w:ind w:left="20"/>
              <w:spacing w:after="0"/>
              <w:rPr>
                <w:sz w:val="20"/>
                <w:szCs w:val="20"/>
                <w:color w:val="auto"/>
              </w:rPr>
            </w:pPr>
            <w:r>
              <w:rPr>
                <w:rFonts w:ascii="Arial" w:cs="Arial" w:eastAsia="Arial" w:hAnsi="Arial"/>
                <w:sz w:val="16"/>
                <w:szCs w:val="16"/>
                <w:color w:val="0000FF"/>
                <w:w w:val="93"/>
              </w:rPr>
              <w:t>A</w:t>
            </w:r>
          </w:p>
        </w:tc>
        <w:tc>
          <w:tcPr>
            <w:tcW w:w="60" w:type="dxa"/>
            <w:vAlign w:val="bottom"/>
          </w:tcPr>
          <w:p>
            <w:pPr>
              <w:spacing w:after="0"/>
              <w:rPr>
                <w:sz w:val="17"/>
                <w:szCs w:val="17"/>
                <w:color w:val="auto"/>
              </w:rPr>
            </w:pPr>
          </w:p>
        </w:tc>
        <w:tc>
          <w:tcPr>
            <w:tcW w:w="760" w:type="dxa"/>
            <w:vAlign w:val="bottom"/>
            <w:gridSpan w:val="2"/>
          </w:tcPr>
          <w:p>
            <w:pPr>
              <w:jc w:val="right"/>
              <w:ind w:right="170"/>
              <w:spacing w:after="0"/>
              <w:rPr>
                <w:sz w:val="20"/>
                <w:szCs w:val="20"/>
                <w:color w:val="auto"/>
              </w:rPr>
            </w:pPr>
            <w:r>
              <w:rPr>
                <w:rFonts w:ascii="Arial" w:cs="Arial" w:eastAsia="Arial" w:hAnsi="Arial"/>
                <w:sz w:val="10"/>
                <w:szCs w:val="10"/>
                <w:color w:val="008000"/>
              </w:rPr>
              <w:t>(3)</w:t>
            </w:r>
          </w:p>
        </w:tc>
        <w:tc>
          <w:tcPr>
            <w:tcW w:w="40" w:type="dxa"/>
            <w:vAlign w:val="bottom"/>
          </w:tcPr>
          <w:p>
            <w:pPr>
              <w:spacing w:after="0"/>
              <w:rPr>
                <w:sz w:val="17"/>
                <w:szCs w:val="17"/>
                <w:color w:val="auto"/>
              </w:rPr>
            </w:pPr>
          </w:p>
        </w:tc>
        <w:tc>
          <w:tcPr>
            <w:tcW w:w="1220" w:type="dxa"/>
            <w:vAlign w:val="bottom"/>
            <w:gridSpan w:val="3"/>
          </w:tcPr>
          <w:p>
            <w:pPr>
              <w:jc w:val="center"/>
              <w:ind w:right="42"/>
              <w:spacing w:after="0" w:line="200" w:lineRule="exact"/>
              <w:rPr>
                <w:sz w:val="20"/>
                <w:szCs w:val="20"/>
                <w:color w:val="auto"/>
              </w:rPr>
            </w:pPr>
            <w:r>
              <w:rPr>
                <w:rFonts w:ascii="Arial" w:cs="Arial" w:eastAsia="Arial" w:hAnsi="Arial"/>
                <w:sz w:val="16"/>
                <w:szCs w:val="16"/>
                <w:color w:val="0000FF"/>
                <w:w w:val="86"/>
              </w:rPr>
              <w:t>965,199</w:t>
            </w:r>
            <w:r>
              <w:rPr>
                <w:rFonts w:ascii="Arial" w:cs="Arial" w:eastAsia="Arial" w:hAnsi="Arial"/>
                <w:sz w:val="20"/>
                <w:szCs w:val="20"/>
                <w:color w:val="008000"/>
                <w:w w:val="86"/>
                <w:vertAlign w:val="superscript"/>
              </w:rPr>
              <w:t>(1)</w:t>
            </w:r>
          </w:p>
        </w:tc>
        <w:tc>
          <w:tcPr>
            <w:tcW w:w="36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0000FF"/>
              </w:rPr>
              <w:t>I</w:t>
            </w: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Parallel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Fund IV,</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color w:val="0000FF"/>
              </w:rPr>
              <w:t>L.P.</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gridSpan w:val="3"/>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14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8"/>
          </w:tcPr>
          <w:p>
            <w:pPr>
              <w:ind w:left="3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2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960" w:type="dxa"/>
            <w:vAlign w:val="bottom"/>
            <w:gridSpan w:val="15"/>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6"/>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14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Conversion</w:t>
            </w:r>
          </w:p>
        </w:tc>
        <w:tc>
          <w:tcPr>
            <w:tcW w:w="11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1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tcPr>
          <w:p>
            <w:pPr>
              <w:jc w:val="right"/>
              <w:ind w:right="423"/>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10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0" w:type="dxa"/>
            <w:vAlign w:val="bottom"/>
            <w:gridSpan w:val="5"/>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197" w:lineRule="exact"/>
              <w:rPr>
                <w:sz w:val="20"/>
                <w:szCs w:val="20"/>
                <w:color w:val="auto"/>
              </w:rPr>
            </w:pPr>
            <w:r>
              <w:rPr>
                <w:rFonts w:ascii="Arial" w:cs="Arial" w:eastAsia="Arial" w:hAnsi="Arial"/>
                <w:sz w:val="22"/>
                <w:szCs w:val="22"/>
                <w:color w:val="0000FF"/>
                <w:w w:val="84"/>
                <w:vertAlign w:val="subscript"/>
              </w:rPr>
              <w:t>4,213</w:t>
            </w:r>
            <w:r>
              <w:rPr>
                <w:rFonts w:ascii="Arial" w:cs="Arial" w:eastAsia="Arial" w:hAnsi="Arial"/>
                <w:sz w:val="10"/>
                <w:szCs w:val="10"/>
                <w:color w:val="008000"/>
                <w:w w:val="84"/>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w w:val="90"/>
              </w:rPr>
              <w:t>Common</w:t>
            </w:r>
          </w:p>
        </w:tc>
        <w:tc>
          <w:tcPr>
            <w:tcW w:w="1000" w:type="dxa"/>
            <w:vAlign w:val="bottom"/>
            <w:gridSpan w:val="5"/>
            <w:vMerge w:val="restart"/>
          </w:tcPr>
          <w:p>
            <w:pPr>
              <w:jc w:val="center"/>
              <w:spacing w:after="0" w:line="197" w:lineRule="exact"/>
              <w:rPr>
                <w:sz w:val="20"/>
                <w:szCs w:val="20"/>
                <w:color w:val="auto"/>
              </w:rPr>
            </w:pPr>
            <w:r>
              <w:rPr>
                <w:rFonts w:ascii="Arial" w:cs="Arial" w:eastAsia="Arial" w:hAnsi="Arial"/>
                <w:sz w:val="16"/>
                <w:szCs w:val="16"/>
                <w:color w:val="0000FF"/>
                <w:w w:val="92"/>
              </w:rPr>
              <w:t>7,692,938</w:t>
            </w:r>
            <w:r>
              <w:rPr>
                <w:rFonts w:ascii="Arial" w:cs="Arial" w:eastAsia="Arial" w:hAnsi="Arial"/>
                <w:sz w:val="20"/>
                <w:szCs w:val="20"/>
                <w:color w:val="008000"/>
                <w:w w:val="92"/>
                <w:vertAlign w:val="superscript"/>
              </w:rPr>
              <w:t>(1)(2)</w:t>
            </w: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spacing w:after="0" w:line="134"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800" w:type="dxa"/>
            <w:vAlign w:val="bottom"/>
            <w:gridSpan w:val="2"/>
          </w:tcPr>
          <w:p>
            <w:pPr>
              <w:ind w:left="2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tcPr>
          <w:p>
            <w:pPr>
              <w:ind w:left="340"/>
              <w:spacing w:after="0" w:line="134"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11"/>
                <w:szCs w:val="11"/>
                <w:color w:val="auto"/>
              </w:rPr>
            </w:pPr>
          </w:p>
        </w:tc>
        <w:tc>
          <w:tcPr>
            <w:tcW w:w="580" w:type="dxa"/>
            <w:vAlign w:val="bottom"/>
          </w:tcPr>
          <w:p>
            <w:pPr>
              <w:ind w:left="380"/>
              <w:spacing w:after="0" w:line="134"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Fund IV,</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13"/>
                <w:szCs w:val="13"/>
                <w:color w:val="0000FF"/>
                <w:w w:val="81"/>
              </w:rPr>
              <w:t>1,426.09</w:t>
            </w:r>
            <w:r>
              <w:rPr>
                <w:rFonts w:ascii="Arial" w:cs="Arial" w:eastAsia="Arial" w:hAnsi="Arial"/>
                <w:sz w:val="20"/>
                <w:szCs w:val="20"/>
                <w:color w:val="008000"/>
                <w:w w:val="81"/>
                <w:vertAlign w:val="superscript"/>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831,886</w:t>
            </w:r>
            <w:r>
              <w:rPr>
                <w:rFonts w:ascii="Arial" w:cs="Arial" w:eastAsia="Arial" w:hAnsi="Arial"/>
                <w:sz w:val="20"/>
                <w:szCs w:val="20"/>
                <w:color w:val="008000"/>
                <w:w w:val="84"/>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A</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65"/>
              <w:spacing w:after="0" w:line="200" w:lineRule="exact"/>
              <w:rPr>
                <w:sz w:val="20"/>
                <w:szCs w:val="20"/>
                <w:color w:val="auto"/>
              </w:rPr>
            </w:pPr>
            <w:r>
              <w:rPr>
                <w:rFonts w:ascii="Arial" w:cs="Arial" w:eastAsia="Arial" w:hAnsi="Arial"/>
                <w:sz w:val="23"/>
                <w:szCs w:val="23"/>
                <w:color w:val="0000FF"/>
                <w:w w:val="83"/>
                <w:vertAlign w:val="subscript"/>
              </w:rPr>
              <w:t>258</w:t>
            </w:r>
            <w:r>
              <w:rPr>
                <w:rFonts w:ascii="Arial" w:cs="Arial" w:eastAsia="Arial" w:hAnsi="Arial"/>
                <w:sz w:val="10"/>
                <w:szCs w:val="10"/>
                <w:color w:val="008000"/>
                <w:w w:val="83"/>
              </w:rPr>
              <w:t>(1)(2)</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(2)</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(2)</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820" w:type="dxa"/>
            <w:vAlign w:val="bottom"/>
            <w:gridSpan w:val="3"/>
            <w:vMerge w:val="restart"/>
          </w:tcPr>
          <w:p>
            <w:pPr>
              <w:jc w:val="right"/>
              <w:spacing w:after="0" w:line="200" w:lineRule="exact"/>
              <w:rPr>
                <w:sz w:val="20"/>
                <w:szCs w:val="20"/>
                <w:color w:val="auto"/>
              </w:rPr>
            </w:pPr>
            <w:r>
              <w:rPr>
                <w:rFonts w:ascii="Arial" w:cs="Arial" w:eastAsia="Arial" w:hAnsi="Arial"/>
                <w:sz w:val="16"/>
                <w:szCs w:val="16"/>
                <w:color w:val="0000FF"/>
                <w:w w:val="84"/>
              </w:rPr>
              <w:t>471,108</w:t>
            </w:r>
            <w:r>
              <w:rPr>
                <w:rFonts w:ascii="Arial" w:cs="Arial" w:eastAsia="Arial" w:hAnsi="Arial"/>
                <w:sz w:val="20"/>
                <w:szCs w:val="20"/>
                <w:color w:val="008000"/>
                <w:w w:val="84"/>
                <w:vertAlign w:val="superscript"/>
              </w:rPr>
              <w:t>(1)(2)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center"/>
              <w:ind w:left="145"/>
              <w:spacing w:after="0" w:line="200" w:lineRule="exact"/>
              <w:rPr>
                <w:sz w:val="20"/>
                <w:szCs w:val="20"/>
                <w:color w:val="auto"/>
              </w:rPr>
            </w:pPr>
            <w:r>
              <w:rPr>
                <w:rFonts w:ascii="Arial" w:cs="Arial" w:eastAsia="Arial" w:hAnsi="Arial"/>
                <w:sz w:val="23"/>
                <w:szCs w:val="23"/>
                <w:color w:val="0000FF"/>
                <w:w w:val="82"/>
                <w:vertAlign w:val="subscript"/>
              </w:rPr>
              <w:t>87.44</w:t>
            </w:r>
            <w:r>
              <w:rPr>
                <w:rFonts w:ascii="Arial" w:cs="Arial" w:eastAsia="Arial" w:hAnsi="Arial"/>
                <w:sz w:val="10"/>
                <w:szCs w:val="10"/>
                <w:color w:val="008000"/>
                <w:w w:val="82"/>
              </w:rPr>
              <w:t>(1)(3)</w:t>
            </w:r>
          </w:p>
        </w:tc>
        <w:tc>
          <w:tcPr>
            <w:tcW w:w="760" w:type="dxa"/>
            <w:vAlign w:val="bottom"/>
            <w:vMerge w:val="restart"/>
          </w:tcPr>
          <w:p>
            <w:pPr>
              <w:jc w:val="right"/>
              <w:ind w:right="283"/>
              <w:spacing w:after="0"/>
              <w:rPr>
                <w:sz w:val="20"/>
                <w:szCs w:val="20"/>
                <w:color w:val="auto"/>
              </w:rPr>
            </w:pPr>
            <w:r>
              <w:rPr>
                <w:rFonts w:ascii="Arial" w:cs="Arial" w:eastAsia="Arial" w:hAnsi="Arial"/>
                <w:sz w:val="10"/>
                <w:szCs w:val="10"/>
                <w:color w:val="008000"/>
              </w:rPr>
              <w:t>(3)</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0"/>
                <w:szCs w:val="10"/>
                <w:color w:val="008000"/>
                <w:w w:val="97"/>
              </w:rPr>
              <w:t>(3)</w:t>
            </w:r>
          </w:p>
        </w:tc>
        <w:tc>
          <w:tcPr>
            <w:tcW w:w="58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w w:val="90"/>
              </w:rPr>
              <w:t>Common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center"/>
              <w:spacing w:after="0" w:line="200" w:lineRule="exact"/>
              <w:rPr>
                <w:sz w:val="20"/>
                <w:szCs w:val="20"/>
                <w:color w:val="auto"/>
              </w:rPr>
            </w:pPr>
            <w:r>
              <w:rPr>
                <w:rFonts w:ascii="Arial" w:cs="Arial" w:eastAsia="Arial" w:hAnsi="Arial"/>
                <w:sz w:val="16"/>
                <w:szCs w:val="16"/>
                <w:color w:val="0000FF"/>
                <w:w w:val="80"/>
              </w:rPr>
              <w:t>51,007</w:t>
            </w:r>
            <w:r>
              <w:rPr>
                <w:rFonts w:ascii="Arial" w:cs="Arial" w:eastAsia="Arial" w:hAnsi="Arial"/>
                <w:sz w:val="20"/>
                <w:szCs w:val="20"/>
                <w:color w:val="008000"/>
                <w:w w:val="80"/>
                <w:vertAlign w:val="superscript"/>
              </w:rPr>
              <w:t>(1)(3)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Associates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11/19/2008</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4"/>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6"/>
                <w:szCs w:val="6"/>
                <w:color w:val="auto"/>
              </w:rPr>
            </w:pPr>
          </w:p>
        </w:tc>
        <w:tc>
          <w:tcPr>
            <w:tcW w:w="580" w:type="dxa"/>
            <w:vAlign w:val="bottom"/>
            <w:vMerge w:val="restart"/>
          </w:tcPr>
          <w:p>
            <w:pPr>
              <w:ind w:left="380"/>
              <w:spacing w:after="0" w:line="138"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Stock</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-2929255</wp:posOffset>
            </wp:positionV>
            <wp:extent cx="23495" cy="3223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3495" cy="3223895"/>
                    </a:xfrm>
                    <a:prstGeom prst="rect">
                      <a:avLst/>
                    </a:prstGeom>
                    <a:noFill/>
                  </pic:spPr>
                </pic:pic>
              </a:graphicData>
            </a:graphic>
          </wp:anchor>
        </w:drawing>
      </w:r>
    </w:p>
    <w:p>
      <w:pPr>
        <w:sectPr>
          <w:pgSz w:w="11900" w:h="16838" w:orient="portrait"/>
          <w:cols w:equalWidth="0" w:num="1">
            <w:col w:w="11520"/>
          </w:cols>
          <w:pgMar w:left="240" w:top="218" w:right="139" w:bottom="37"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139700</wp:posOffset>
            </wp:positionH>
            <wp:positionV relativeFrom="page">
              <wp:posOffset>88900</wp:posOffset>
            </wp:positionV>
            <wp:extent cx="7327900" cy="2245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7900" cy="2245995"/>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6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4)</w:t>
            </w:r>
          </w:p>
        </w:tc>
        <w:tc>
          <w:tcPr>
            <w:tcW w:w="10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A</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83"/>
              <w:spacing w:after="0" w:line="259" w:lineRule="exact"/>
              <w:rPr>
                <w:sz w:val="20"/>
                <w:szCs w:val="20"/>
                <w:color w:val="auto"/>
              </w:rPr>
            </w:pPr>
            <w:r>
              <w:rPr>
                <w:rFonts w:ascii="Arial" w:cs="Arial" w:eastAsia="Arial" w:hAnsi="Arial"/>
                <w:sz w:val="25"/>
                <w:szCs w:val="25"/>
                <w:color w:val="0000FF"/>
                <w:vertAlign w:val="subscript"/>
              </w:rPr>
              <w:t>477</w:t>
            </w:r>
            <w:r>
              <w:rPr>
                <w:rFonts w:ascii="Arial" w:cs="Arial" w:eastAsia="Arial" w:hAnsi="Arial"/>
                <w:sz w:val="10"/>
                <w:szCs w:val="10"/>
                <w:color w:val="008000"/>
              </w:rPr>
              <w:t>(1)(2)</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54"/>
              <w:spacing w:after="0"/>
              <w:rPr>
                <w:sz w:val="20"/>
                <w:szCs w:val="20"/>
                <w:color w:val="auto"/>
              </w:rPr>
            </w:pPr>
            <w:r>
              <w:rPr>
                <w:rFonts w:ascii="Arial" w:cs="Arial" w:eastAsia="Arial" w:hAnsi="Arial"/>
                <w:sz w:val="16"/>
                <w:szCs w:val="16"/>
                <w:color w:val="0000FF"/>
                <w:w w:val="97"/>
              </w:rPr>
              <w:t>871,002</w:t>
            </w:r>
            <w:r>
              <w:rPr>
                <w:rFonts w:ascii="Arial" w:cs="Arial" w:eastAsia="Arial" w:hAnsi="Arial"/>
                <w:sz w:val="20"/>
                <w:szCs w:val="20"/>
                <w:color w:val="008000"/>
                <w:w w:val="97"/>
                <w:vertAlign w:val="superscript"/>
              </w:rPr>
              <w:t>(1)(2)</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54"/>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Endeavour</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C</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vMerge w:val="restart"/>
          </w:tcPr>
          <w:p>
            <w:pPr>
              <w:jc w:val="center"/>
              <w:ind w:right="3"/>
              <w:spacing w:after="0"/>
              <w:rPr>
                <w:sz w:val="20"/>
                <w:szCs w:val="20"/>
                <w:color w:val="auto"/>
              </w:rPr>
            </w:pPr>
            <w:r>
              <w:rPr>
                <w:rFonts w:ascii="Arial" w:cs="Arial" w:eastAsia="Arial" w:hAnsi="Arial"/>
                <w:sz w:val="13"/>
                <w:szCs w:val="13"/>
                <w:color w:val="0000FF"/>
              </w:rPr>
              <w:t>161.48</w:t>
            </w:r>
            <w:r>
              <w:rPr>
                <w:rFonts w:ascii="Arial" w:cs="Arial" w:eastAsia="Arial" w:hAnsi="Arial"/>
                <w:sz w:val="20"/>
                <w:szCs w:val="20"/>
                <w:color w:val="008000"/>
                <w:vertAlign w:val="superscript"/>
              </w:rPr>
              <w:t>(1)(3)</w:t>
            </w:r>
          </w:p>
        </w:tc>
        <w:tc>
          <w:tcPr>
            <w:tcW w:w="780" w:type="dxa"/>
            <w:vAlign w:val="bottom"/>
            <w:vMerge w:val="restart"/>
          </w:tcPr>
          <w:p>
            <w:pPr>
              <w:ind w:left="360"/>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(3)</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1040" w:type="dxa"/>
            <w:vAlign w:val="bottom"/>
            <w:vMerge w:val="restart"/>
          </w:tcPr>
          <w:p>
            <w:pPr>
              <w:jc w:val="center"/>
              <w:ind w:right="94"/>
              <w:spacing w:after="0"/>
              <w:rPr>
                <w:sz w:val="20"/>
                <w:szCs w:val="20"/>
                <w:color w:val="auto"/>
              </w:rPr>
            </w:pPr>
            <w:r>
              <w:rPr>
                <w:rFonts w:ascii="Arial" w:cs="Arial" w:eastAsia="Arial" w:hAnsi="Arial"/>
                <w:sz w:val="16"/>
                <w:szCs w:val="16"/>
                <w:color w:val="0000FF"/>
              </w:rPr>
              <w:t>94,197</w:t>
            </w:r>
            <w:r>
              <w:rPr>
                <w:rFonts w:ascii="Arial" w:cs="Arial" w:eastAsia="Arial" w:hAnsi="Arial"/>
                <w:sz w:val="20"/>
                <w:szCs w:val="20"/>
                <w:color w:val="008000"/>
                <w:vertAlign w:val="superscript"/>
              </w:rPr>
              <w:t>(1)(3)</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2"/>
        </w:trPr>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11/19/2008</w:t>
            </w:r>
          </w:p>
        </w:tc>
        <w:tc>
          <w:tcPr>
            <w:tcW w:w="1060" w:type="dxa"/>
            <w:vAlign w:val="bottom"/>
          </w:tcPr>
          <w:p>
            <w:pPr>
              <w:spacing w:after="0"/>
              <w:rPr>
                <w:sz w:val="10"/>
                <w:szCs w:val="10"/>
                <w:color w:val="auto"/>
              </w:rPr>
            </w:pPr>
          </w:p>
        </w:tc>
        <w:tc>
          <w:tcPr>
            <w:tcW w:w="780" w:type="dxa"/>
            <w:vAlign w:val="bottom"/>
          </w:tcPr>
          <w:p>
            <w:pPr>
              <w:ind w:left="160"/>
              <w:spacing w:after="0" w:line="122" w:lineRule="exact"/>
              <w:rPr>
                <w:sz w:val="20"/>
                <w:szCs w:val="20"/>
                <w:color w:val="auto"/>
              </w:rPr>
            </w:pPr>
            <w:r>
              <w:rPr>
                <w:rFonts w:ascii="Arial" w:cs="Arial" w:eastAsia="Arial" w:hAnsi="Arial"/>
                <w:sz w:val="13"/>
                <w:szCs w:val="13"/>
                <w:color w:val="0000FF"/>
              </w:rPr>
              <w:t>C</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60" w:type="dxa"/>
            <w:vAlign w:val="bottom"/>
          </w:tcPr>
          <w:p>
            <w:pPr>
              <w:ind w:left="18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ind w:left="420"/>
              <w:spacing w:after="0" w:line="122"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2" w:lineRule="exact"/>
              <w:rPr>
                <w:sz w:val="20"/>
                <w:szCs w:val="20"/>
                <w:color w:val="auto"/>
              </w:rPr>
            </w:pPr>
            <w:r>
              <w:rPr>
                <w:rFonts w:ascii="Arial" w:cs="Arial" w:eastAsia="Arial" w:hAnsi="Arial"/>
                <w:sz w:val="13"/>
                <w:szCs w:val="13"/>
                <w:color w:val="0000FF"/>
              </w:rPr>
              <w:t>I</w:t>
            </w:r>
          </w:p>
        </w:tc>
        <w:tc>
          <w:tcPr>
            <w:tcW w:w="720" w:type="dxa"/>
            <w:vAlign w:val="bottom"/>
          </w:tcPr>
          <w:p>
            <w:pPr>
              <w:ind w:left="60"/>
              <w:spacing w:after="0" w:line="122" w:lineRule="exact"/>
              <w:rPr>
                <w:sz w:val="20"/>
                <w:szCs w:val="20"/>
                <w:color w:val="auto"/>
              </w:rPr>
            </w:pPr>
            <w:r>
              <w:rPr>
                <w:rFonts w:ascii="Arial" w:cs="Arial" w:eastAsia="Arial" w:hAnsi="Arial"/>
                <w:sz w:val="13"/>
                <w:szCs w:val="13"/>
                <w:color w:val="0000FF"/>
              </w:rPr>
              <w:t>Parallel</w:t>
            </w:r>
          </w:p>
        </w:tc>
        <w:tc>
          <w:tcPr>
            <w:tcW w:w="0" w:type="dxa"/>
            <w:vAlign w:val="bottom"/>
          </w:tcPr>
          <w:p>
            <w:pPr>
              <w:spacing w:after="0"/>
              <w:rPr>
                <w:sz w:val="1"/>
                <w:szCs w:val="1"/>
                <w:color w:val="auto"/>
              </w:rPr>
            </w:pPr>
          </w:p>
        </w:tc>
      </w:tr>
      <w:tr>
        <w:trPr>
          <w:trHeight w:val="138"/>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Fund IV,</w:t>
            </w:r>
          </w:p>
        </w:tc>
        <w:tc>
          <w:tcPr>
            <w:tcW w:w="0" w:type="dxa"/>
            <w:vAlign w:val="bottom"/>
          </w:tcPr>
          <w:p>
            <w:pPr>
              <w:spacing w:after="0"/>
              <w:rPr>
                <w:sz w:val="1"/>
                <w:szCs w:val="1"/>
                <w:color w:val="auto"/>
              </w:rPr>
            </w:pPr>
          </w:p>
        </w:tc>
      </w:tr>
      <w:tr>
        <w:trPr>
          <w:trHeight w:val="26"/>
        </w:trPr>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0840"/>
        <w:spacing w:after="0" w:line="236" w:lineRule="auto"/>
        <w:rPr>
          <w:sz w:val="20"/>
          <w:szCs w:val="20"/>
          <w:color w:val="auto"/>
        </w:rPr>
      </w:pPr>
      <w:r>
        <w:rPr>
          <w:rFonts w:ascii="Arial" w:cs="Arial" w:eastAsia="Arial" w:hAnsi="Arial"/>
          <w:sz w:val="13"/>
          <w:szCs w:val="13"/>
          <w:color w:val="0000FF"/>
        </w:rPr>
        <w:t>L.P.</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right="22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Heath is a managing director of Endeavour Capital IV, LLC, which is the general partner of Endeavour Capital Fund IV, L.P., Endeavour Associates Fund IV, L.P. and Endeavour Capital Parallel Fund IV, L.P. Mr. Heath disclaims beneficial ownership of these shares except to the extent of his respective pecuniary interest.</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A Preferred Stock reported in Column 5 of Table II automatically converted into the number of shares of the Issuer's Common Stock reported in Column 7 of Table II, for no additional consideration.</w:t>
      </w:r>
    </w:p>
    <w:p>
      <w:pPr>
        <w:spacing w:after="0" w:line="31" w:lineRule="exact"/>
        <w:rPr>
          <w:rFonts w:ascii="Arial" w:cs="Arial" w:eastAsia="Arial" w:hAnsi="Arial"/>
          <w:sz w:val="13"/>
          <w:szCs w:val="13"/>
          <w:color w:val="008000"/>
        </w:rPr>
      </w:pPr>
    </w:p>
    <w:p>
      <w:pPr>
        <w:ind w:left="20" w:right="160" w:hanging="2"/>
        <w:spacing w:after="0" w:line="236" w:lineRule="auto"/>
        <w:tabs>
          <w:tab w:leader="none" w:pos="14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closing of the initial public offering of the Issuer's Common Stock, the shares of Series C Preferred Stock reported in Column 5 of Table II automatically converted into the number of shares of the Issuer's Common Stock reported in Column 7 of Table II, for no additional consideration.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tbl>
      <w:tblPr>
        <w:tblLayout w:type="fixed"/>
        <w:tblInd w:w="6840" w:type="dxa"/>
        <w:tblCellMar>
          <w:top w:w="0" w:type="dxa"/>
          <w:left w:w="0" w:type="dxa"/>
          <w:bottom w:w="0" w:type="dxa"/>
          <w:right w:w="0" w:type="dxa"/>
        </w:tblCellMar>
      </w:tblPr>
      <w:tr>
        <w:trPr>
          <w:trHeight w:val="184"/>
        </w:trPr>
        <w:tc>
          <w:tcPr>
            <w:tcW w:w="2180" w:type="dxa"/>
            <w:vAlign w:val="bottom"/>
            <w:gridSpan w:val="2"/>
          </w:tcPr>
          <w:p>
            <w:pPr>
              <w:spacing w:after="0"/>
              <w:rPr>
                <w:sz w:val="20"/>
                <w:szCs w:val="20"/>
                <w:color w:val="auto"/>
              </w:rPr>
            </w:pPr>
            <w:r>
              <w:rPr>
                <w:rFonts w:ascii="Arial" w:cs="Arial" w:eastAsia="Arial" w:hAnsi="Arial"/>
                <w:sz w:val="16"/>
                <w:szCs w:val="16"/>
                <w:color w:val="0000FF"/>
                <w:w w:val="99"/>
              </w:rPr>
              <w:t>/s/ Lyn Bickle, Attorney-in-Fact</w:t>
            </w:r>
          </w:p>
        </w:tc>
        <w:tc>
          <w:tcPr>
            <w:tcW w:w="840" w:type="dxa"/>
            <w:vAlign w:val="bottom"/>
            <w:gridSpan w:val="2"/>
          </w:tcPr>
          <w:p>
            <w:pPr>
              <w:ind w:left="100"/>
              <w:spacing w:after="0"/>
              <w:rPr>
                <w:sz w:val="20"/>
                <w:szCs w:val="20"/>
                <w:color w:val="auto"/>
              </w:rPr>
            </w:pPr>
            <w:r>
              <w:rPr>
                <w:rFonts w:ascii="Arial" w:cs="Arial" w:eastAsia="Arial" w:hAnsi="Arial"/>
                <w:sz w:val="16"/>
                <w:szCs w:val="16"/>
                <w:color w:val="0000FF"/>
                <w:w w:val="89"/>
              </w:rPr>
              <w:t>11/21/2008</w:t>
            </w:r>
          </w:p>
        </w:tc>
      </w:tr>
      <w:tr>
        <w:trPr>
          <w:trHeight w:val="216"/>
        </w:trPr>
        <w:tc>
          <w:tcPr>
            <w:tcW w:w="20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4260" w:hanging="2"/>
        <w:spacing w:after="0" w:line="352" w:lineRule="auto"/>
        <w:tabs>
          <w:tab w:leader="none" w:pos="15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47931"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2019-12-24T02:33:29Z</dcterms:created>
  <dcterms:modified xsi:type="dcterms:W3CDTF">2019-12-24T02:33:29Z</dcterms:modified>
</cp:coreProperties>
</file>