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0001786359</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Grand Canyon Education,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001-34211</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2600 W. CAMELBACK ROAD</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PHOENIX</w:t>
      </w:r>
    </w:p>
    <w:p>
      <w:pPr>
        <w:spacing w:after="0" w:line="230" w:lineRule="auto"/>
        <w:rPr>
          <w:sz w:val="20"/>
          <w:szCs w:val="20"/>
          <w:color w:val="auto"/>
        </w:rPr>
      </w:pPr>
      <w:r>
        <w:rPr>
          <w:rFonts w:ascii="Arial" w:cs="Arial" w:eastAsia="Arial" w:hAnsi="Arial"/>
          <w:sz w:val="22"/>
          <w:szCs w:val="22"/>
          <w:color w:val="auto"/>
        </w:rPr>
        <w:t>ARIZONA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85017</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602-247-4400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Browning Lori</w:t>
      </w:r>
    </w:p>
    <w:p>
      <w:pPr>
        <w:spacing w:after="0" w:line="44" w:lineRule="exact"/>
        <w:rPr>
          <w:sz w:val="24"/>
          <w:szCs w:val="24"/>
          <w:color w:val="auto"/>
        </w:rPr>
      </w:pPr>
    </w:p>
    <w:p>
      <w:pPr>
        <w:sectPr>
          <w:pgSz w:w="11900" w:h="16838" w:orient="portrait"/>
          <w:cols w:equalWidth="0" w:num="2">
            <w:col w:w="6400" w:space="720"/>
            <w:col w:w="412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1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280" w:firstLine="77"/>
        <w:spacing w:after="0" w:line="366" w:lineRule="auto"/>
        <w:rPr>
          <w:sz w:val="20"/>
          <w:szCs w:val="20"/>
          <w:color w:val="auto"/>
        </w:rPr>
      </w:pPr>
      <w:r>
        <w:rPr>
          <w:rFonts w:ascii="Arial" w:cs="Arial" w:eastAsia="Arial" w:hAnsi="Arial"/>
          <w:sz w:val="18"/>
          <w:szCs w:val="18"/>
          <w:b w:val="1"/>
          <w:bCs w:val="1"/>
          <w:color w:val="auto"/>
        </w:rPr>
        <w:t>Title of the Class of Securities To Be Sold</w:t>
      </w:r>
    </w:p>
    <w:p>
      <w:pPr>
        <w:spacing w:after="0" w:line="200" w:lineRule="exact"/>
        <w:rPr>
          <w:sz w:val="24"/>
          <w:szCs w:val="24"/>
          <w:color w:val="auto"/>
        </w:rPr>
      </w:pPr>
    </w:p>
    <w:p>
      <w:pPr>
        <w:spacing w:after="0" w:line="322" w:lineRule="exact"/>
        <w:rPr>
          <w:sz w:val="24"/>
          <w:szCs w:val="24"/>
          <w:color w:val="auto"/>
        </w:rPr>
      </w:pPr>
    </w:p>
    <w:p>
      <w:pPr>
        <w:ind w:left="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br w:type="column"/>
      </w:r>
    </w:p>
    <w:p>
      <w:pPr>
        <w:spacing w:after="0" w:line="338" w:lineRule="exact"/>
        <w:rPr>
          <w:sz w:val="24"/>
          <w:szCs w:val="24"/>
          <w:color w:val="auto"/>
        </w:rPr>
      </w:pPr>
    </w:p>
    <w:p>
      <w:pPr>
        <w:jc w:val="right"/>
        <w:ind w:right="40"/>
        <w:spacing w:after="0"/>
        <w:rPr>
          <w:sz w:val="20"/>
          <w:szCs w:val="20"/>
          <w:color w:val="auto"/>
        </w:rPr>
      </w:pPr>
      <w:r>
        <w:rPr>
          <w:rFonts w:ascii="Arial" w:cs="Arial" w:eastAsia="Arial" w:hAnsi="Arial"/>
          <w:sz w:val="22"/>
          <w:szCs w:val="22"/>
          <w:b w:val="1"/>
          <w:bCs w:val="1"/>
          <w:color w:val="auto"/>
        </w:rPr>
        <w:t>Number of</w:t>
      </w:r>
    </w:p>
    <w:p>
      <w:pPr>
        <w:spacing w:after="0" w:line="4" w:lineRule="exact"/>
        <w:rPr>
          <w:sz w:val="24"/>
          <w:szCs w:val="24"/>
          <w:color w:val="auto"/>
        </w:rPr>
      </w:pPr>
    </w:p>
    <w:p>
      <w:pPr>
        <w:jc w:val="right"/>
        <w:ind w:right="100"/>
        <w:spacing w:after="0"/>
        <w:tabs>
          <w:tab w:leader="none" w:pos="960" w:val="left"/>
        </w:tabs>
        <w:rPr>
          <w:sz w:val="20"/>
          <w:szCs w:val="20"/>
          <w:color w:val="auto"/>
        </w:rPr>
      </w:pPr>
      <w:r>
        <w:rPr>
          <w:rFonts w:ascii="Arial" w:cs="Arial" w:eastAsia="Arial" w:hAnsi="Arial"/>
          <w:sz w:val="22"/>
          <w:szCs w:val="22"/>
          <w:b w:val="1"/>
          <w:bCs w:val="1"/>
          <w:color w:val="auto"/>
        </w:rPr>
        <w:t>Name and Address of</w:t>
      </w:r>
      <w:r>
        <w:rPr>
          <w:sz w:val="20"/>
          <w:szCs w:val="20"/>
          <w:color w:val="auto"/>
        </w:rPr>
        <w:tab/>
      </w:r>
      <w:r>
        <w:rPr>
          <w:rFonts w:ascii="Arial" w:cs="Arial" w:eastAsia="Arial" w:hAnsi="Arial"/>
          <w:sz w:val="19"/>
          <w:szCs w:val="19"/>
          <w:b w:val="1"/>
          <w:bCs w:val="1"/>
          <w:color w:val="auto"/>
        </w:rPr>
        <w:t>Shares or</w:t>
      </w:r>
    </w:p>
    <w:p>
      <w:pPr>
        <w:jc w:val="right"/>
        <w:spacing w:after="0"/>
        <w:tabs>
          <w:tab w:leader="none" w:pos="1080" w:val="left"/>
        </w:tabs>
        <w:rPr>
          <w:sz w:val="20"/>
          <w:szCs w:val="20"/>
          <w:color w:val="auto"/>
        </w:rPr>
      </w:pPr>
      <w:r>
        <w:rPr>
          <w:rFonts w:ascii="Arial" w:cs="Arial" w:eastAsia="Arial" w:hAnsi="Arial"/>
          <w:sz w:val="22"/>
          <w:szCs w:val="22"/>
          <w:b w:val="1"/>
          <w:bCs w:val="1"/>
          <w:color w:val="auto"/>
        </w:rPr>
        <w:t>the Broker</w:t>
      </w:r>
      <w:r>
        <w:rPr>
          <w:sz w:val="20"/>
          <w:szCs w:val="20"/>
          <w:color w:val="auto"/>
        </w:rPr>
        <w:tab/>
      </w:r>
      <w:r>
        <w:rPr>
          <w:rFonts w:ascii="Arial" w:cs="Arial" w:eastAsia="Arial" w:hAnsi="Arial"/>
          <w:sz w:val="19"/>
          <w:szCs w:val="19"/>
          <w:b w:val="1"/>
          <w:bCs w:val="1"/>
          <w:color w:val="auto"/>
        </w:rPr>
        <w:t>Other Units</w:t>
      </w:r>
    </w:p>
    <w:p>
      <w:pPr>
        <w:spacing w:after="0" w:line="1" w:lineRule="exact"/>
        <w:rPr>
          <w:sz w:val="24"/>
          <w:szCs w:val="24"/>
          <w:color w:val="auto"/>
        </w:rPr>
      </w:pPr>
    </w:p>
    <w:p>
      <w:pPr>
        <w:ind w:left="2440"/>
        <w:spacing w:after="0"/>
        <w:rPr>
          <w:sz w:val="20"/>
          <w:szCs w:val="20"/>
          <w:color w:val="auto"/>
        </w:rPr>
      </w:pPr>
      <w:r>
        <w:rPr>
          <w:rFonts w:ascii="Arial" w:cs="Arial" w:eastAsia="Arial" w:hAnsi="Arial"/>
          <w:sz w:val="19"/>
          <w:szCs w:val="19"/>
          <w:b w:val="1"/>
          <w:bCs w:val="1"/>
          <w:color w:val="auto"/>
        </w:rPr>
        <w:t>To Be Sold</w:t>
      </w:r>
    </w:p>
    <w:p>
      <w:pPr>
        <w:spacing w:after="0" w:line="61" w:lineRule="exact"/>
        <w:rPr>
          <w:sz w:val="24"/>
          <w:szCs w:val="24"/>
          <w:color w:val="auto"/>
        </w:rPr>
      </w:pPr>
    </w:p>
    <w:p>
      <w:pPr>
        <w:spacing w:after="0"/>
        <w:rPr>
          <w:sz w:val="20"/>
          <w:szCs w:val="20"/>
          <w:color w:val="auto"/>
        </w:rPr>
      </w:pPr>
      <w:r>
        <w:rPr>
          <w:rFonts w:ascii="Arial" w:cs="Arial" w:eastAsia="Arial" w:hAnsi="Arial"/>
          <w:sz w:val="22"/>
          <w:szCs w:val="22"/>
          <w:color w:val="auto"/>
        </w:rPr>
        <w:t>Merrill Lynch</w:t>
      </w:r>
    </w:p>
    <w:p>
      <w:pPr>
        <w:spacing w:after="0" w:line="180" w:lineRule="auto"/>
        <w:rPr>
          <w:sz w:val="20"/>
          <w:szCs w:val="20"/>
          <w:color w:val="auto"/>
        </w:rPr>
      </w:pPr>
      <w:r>
        <w:rPr>
          <w:rFonts w:ascii="Arial" w:cs="Arial" w:eastAsia="Arial" w:hAnsi="Arial"/>
          <w:sz w:val="17"/>
          <w:szCs w:val="17"/>
          <w:color w:val="auto"/>
        </w:rPr>
        <w:t xml:space="preserve">2555 E Camelback Rd Ste </w:t>
      </w:r>
      <w:r>
        <w:rPr>
          <w:rFonts w:ascii="Arial" w:cs="Arial" w:eastAsia="Arial" w:hAnsi="Arial"/>
          <w:sz w:val="29"/>
          <w:szCs w:val="29"/>
          <w:color w:val="auto"/>
          <w:vertAlign w:val="subscript"/>
        </w:rPr>
        <w:t>2500</w:t>
      </w:r>
    </w:p>
    <w:p>
      <w:pPr>
        <w:spacing w:after="0" w:line="231" w:lineRule="auto"/>
        <w:rPr>
          <w:sz w:val="20"/>
          <w:szCs w:val="20"/>
          <w:color w:val="auto"/>
        </w:rPr>
      </w:pPr>
      <w:r>
        <w:rPr>
          <w:rFonts w:ascii="Arial" w:cs="Arial" w:eastAsia="Arial" w:hAnsi="Arial"/>
          <w:sz w:val="22"/>
          <w:szCs w:val="22"/>
          <w:color w:val="auto"/>
        </w:rPr>
        <w:t>900</w:t>
      </w:r>
    </w:p>
    <w:p>
      <w:pPr>
        <w:spacing w:after="0"/>
        <w:rPr>
          <w:sz w:val="20"/>
          <w:szCs w:val="20"/>
          <w:color w:val="auto"/>
        </w:rPr>
      </w:pPr>
      <w:r>
        <w:rPr>
          <w:rFonts w:ascii="Arial" w:cs="Arial" w:eastAsia="Arial" w:hAnsi="Arial"/>
          <w:sz w:val="22"/>
          <w:szCs w:val="22"/>
          <w:color w:val="auto"/>
        </w:rPr>
        <w:t>Phoenix  AZ  85016</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ind w:left="160"/>
              <w:spacing w:after="0"/>
              <w:rPr>
                <w:sz w:val="20"/>
                <w:szCs w:val="20"/>
                <w:color w:val="auto"/>
              </w:rPr>
            </w:pPr>
            <w:r>
              <w:rPr>
                <w:rFonts w:ascii="Arial" w:cs="Arial" w:eastAsia="Arial" w:hAnsi="Arial"/>
                <w:sz w:val="22"/>
                <w:szCs w:val="22"/>
                <w:b w:val="1"/>
                <w:bCs w:val="1"/>
                <w:color w:val="auto"/>
                <w:w w:val="93"/>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0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2520" w:type="dxa"/>
            <w:vAlign w:val="bottom"/>
            <w:gridSpan w:val="2"/>
          </w:tcPr>
          <w:p>
            <w:pPr>
              <w:spacing w:after="0" w:line="148" w:lineRule="exact"/>
              <w:rPr>
                <w:sz w:val="20"/>
                <w:szCs w:val="20"/>
                <w:color w:val="auto"/>
              </w:rPr>
            </w:pPr>
            <w:r>
              <w:rPr>
                <w:rFonts w:ascii="Arial" w:cs="Arial" w:eastAsia="Arial" w:hAnsi="Arial"/>
                <w:sz w:val="17"/>
                <w:szCs w:val="17"/>
                <w:b w:val="1"/>
                <w:bCs w:val="1"/>
                <w:color w:val="auto"/>
              </w:rPr>
              <w:t>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spacing w:after="0"/>
              <w:rPr>
                <w:sz w:val="20"/>
                <w:szCs w:val="20"/>
                <w:color w:val="auto"/>
              </w:rPr>
            </w:pPr>
            <w:r>
              <w:rPr>
                <w:rFonts w:ascii="Arial" w:cs="Arial" w:eastAsia="Arial" w:hAnsi="Arial"/>
                <w:sz w:val="22"/>
                <w:szCs w:val="22"/>
                <w:color w:val="auto"/>
              </w:rPr>
              <w:t>281625.00</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30274886</w:t>
            </w:r>
          </w:p>
        </w:tc>
        <w:tc>
          <w:tcPr>
            <w:tcW w:w="1280" w:type="dxa"/>
            <w:vAlign w:val="bottom"/>
          </w:tcPr>
          <w:p>
            <w:pPr>
              <w:ind w:left="40"/>
              <w:spacing w:after="0"/>
              <w:rPr>
                <w:sz w:val="20"/>
                <w:szCs w:val="20"/>
                <w:color w:val="auto"/>
              </w:rPr>
            </w:pPr>
            <w:r>
              <w:rPr>
                <w:rFonts w:ascii="Arial" w:cs="Arial" w:eastAsia="Arial" w:hAnsi="Arial"/>
                <w:sz w:val="22"/>
                <w:szCs w:val="22"/>
                <w:color w:val="auto"/>
              </w:rPr>
              <w:t>08/08/2023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1" w:lineRule="exact"/>
        <w:rPr>
          <w:sz w:val="24"/>
          <w:szCs w:val="24"/>
          <w:color w:val="auto"/>
        </w:rPr>
      </w:pPr>
    </w:p>
    <w:p>
      <w:pPr>
        <w:sectPr>
          <w:pgSz w:w="11900" w:h="16838" w:orient="portrait"/>
          <w:cols w:equalWidth="0" w:num="3">
            <w:col w:w="2220" w:space="300"/>
            <w:col w:w="3480" w:space="100"/>
            <w:col w:w="5140"/>
          </w:cols>
          <w:pgMar w:left="320" w:top="267" w:right="339" w:bottom="0"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40" w:type="dxa"/>
            <w:vAlign w:val="bottom"/>
          </w:tcPr>
          <w:p>
            <w:pPr>
              <w:ind w:left="20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0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6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1"/>
              </w:rPr>
              <w:t>Class</w:t>
            </w:r>
          </w:p>
        </w:tc>
        <w:tc>
          <w:tcPr>
            <w:tcW w:w="1240" w:type="dxa"/>
            <w:vAlign w:val="bottom"/>
          </w:tcPr>
          <w:p>
            <w:pPr>
              <w:ind w:left="18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10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020" w:type="dxa"/>
            <w:vAlign w:val="bottom"/>
          </w:tcPr>
          <w:p>
            <w:pPr>
              <w:ind w:left="1060"/>
              <w:spacing w:after="0"/>
              <w:rPr>
                <w:sz w:val="20"/>
                <w:szCs w:val="20"/>
                <w:color w:val="auto"/>
              </w:rPr>
            </w:pPr>
            <w:r>
              <w:rPr>
                <w:rFonts w:ascii="Arial" w:cs="Arial" w:eastAsia="Arial" w:hAnsi="Arial"/>
                <w:sz w:val="22"/>
                <w:szCs w:val="22"/>
                <w:b w:val="1"/>
                <w:bCs w:val="1"/>
                <w:color w:val="auto"/>
              </w:rPr>
              <w:t>Whom</w:t>
            </w:r>
          </w:p>
        </w:tc>
        <w:tc>
          <w:tcPr>
            <w:tcW w:w="2440" w:type="dxa"/>
            <w:vAlign w:val="bottom"/>
          </w:tcPr>
          <w:p>
            <w:pPr>
              <w:jc w:val="center"/>
              <w:ind w:right="1612"/>
              <w:spacing w:after="0"/>
              <w:rPr>
                <w:sz w:val="20"/>
                <w:szCs w:val="20"/>
                <w:color w:val="auto"/>
              </w:rPr>
            </w:pPr>
            <w:r>
              <w:rPr>
                <w:rFonts w:ascii="Arial" w:cs="Arial" w:eastAsia="Arial" w:hAnsi="Arial"/>
                <w:sz w:val="22"/>
                <w:szCs w:val="22"/>
                <w:b w:val="1"/>
                <w:bCs w:val="1"/>
                <w:color w:val="auto"/>
                <w:w w:val="97"/>
              </w:rPr>
              <w:t>a</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3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20" w:type="dxa"/>
            <w:vAlign w:val="bottom"/>
          </w:tcPr>
          <w:p>
            <w:pPr>
              <w:ind w:left="940"/>
              <w:spacing w:after="0"/>
              <w:rPr>
                <w:sz w:val="20"/>
                <w:szCs w:val="20"/>
                <w:color w:val="auto"/>
              </w:rPr>
            </w:pPr>
            <w:r>
              <w:rPr>
                <w:rFonts w:ascii="Arial" w:cs="Arial" w:eastAsia="Arial" w:hAnsi="Arial"/>
                <w:sz w:val="22"/>
                <w:szCs w:val="22"/>
                <w:b w:val="1"/>
                <w:bCs w:val="1"/>
                <w:color w:val="auto"/>
              </w:rPr>
              <w:t>Acquired</w:t>
            </w:r>
          </w:p>
        </w:tc>
        <w:tc>
          <w:tcPr>
            <w:tcW w:w="2440" w:type="dxa"/>
            <w:vAlign w:val="bottom"/>
          </w:tcPr>
          <w:p>
            <w:pPr>
              <w:jc w:val="center"/>
              <w:ind w:right="1612"/>
              <w:spacing w:after="0"/>
              <w:rPr>
                <w:sz w:val="20"/>
                <w:szCs w:val="20"/>
                <w:color w:val="auto"/>
              </w:rPr>
            </w:pPr>
            <w:r>
              <w:rPr>
                <w:rFonts w:ascii="Arial" w:cs="Arial" w:eastAsia="Arial" w:hAnsi="Arial"/>
                <w:sz w:val="22"/>
                <w:szCs w:val="22"/>
                <w:b w:val="1"/>
                <w:bCs w:val="1"/>
                <w:color w:val="auto"/>
                <w:w w:val="93"/>
              </w:rPr>
              <w:t>Gift?</w:t>
            </w: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380" w:type="dxa"/>
            <w:vAlign w:val="bottom"/>
            <w:vMerge w:val="restart"/>
          </w:tcPr>
          <w:p>
            <w:pPr>
              <w:spacing w:after="0"/>
              <w:rPr>
                <w:sz w:val="20"/>
                <w:szCs w:val="20"/>
                <w:color w:val="auto"/>
              </w:rPr>
            </w:pPr>
            <w:r>
              <w:rPr>
                <w:rFonts w:ascii="Arial" w:cs="Arial" w:eastAsia="Arial" w:hAnsi="Arial"/>
                <w:sz w:val="22"/>
                <w:szCs w:val="22"/>
                <w:color w:val="auto"/>
                <w:w w:val="95"/>
              </w:rPr>
              <w:t>common stock</w:t>
            </w:r>
          </w:p>
        </w:tc>
        <w:tc>
          <w:tcPr>
            <w:tcW w:w="2220" w:type="dxa"/>
            <w:vAlign w:val="bottom"/>
            <w:vMerge w:val="restart"/>
          </w:tcPr>
          <w:p>
            <w:pPr>
              <w:ind w:left="120"/>
              <w:spacing w:after="0"/>
              <w:rPr>
                <w:sz w:val="20"/>
                <w:szCs w:val="20"/>
                <w:color w:val="auto"/>
              </w:rPr>
            </w:pPr>
            <w:r>
              <w:rPr>
                <w:rFonts w:ascii="Arial" w:cs="Arial" w:eastAsia="Arial" w:hAnsi="Arial"/>
                <w:sz w:val="22"/>
                <w:szCs w:val="22"/>
                <w:color w:val="auto"/>
              </w:rPr>
              <w:t>03/01/2020 RSU</w:t>
            </w:r>
          </w:p>
        </w:tc>
        <w:tc>
          <w:tcPr>
            <w:tcW w:w="2020" w:type="dxa"/>
            <w:vAlign w:val="bottom"/>
          </w:tcPr>
          <w:p>
            <w:pPr>
              <w:ind w:left="640"/>
              <w:spacing w:after="0"/>
              <w:rPr>
                <w:sz w:val="20"/>
                <w:szCs w:val="20"/>
                <w:color w:val="auto"/>
              </w:rPr>
            </w:pPr>
            <w:r>
              <w:rPr>
                <w:rFonts w:ascii="Arial" w:cs="Arial" w:eastAsia="Arial" w:hAnsi="Arial"/>
                <w:sz w:val="22"/>
                <w:szCs w:val="22"/>
                <w:color w:val="auto"/>
                <w:w w:val="95"/>
              </w:rPr>
              <w:t>Grand Canyon</w:t>
            </w:r>
          </w:p>
        </w:tc>
        <w:tc>
          <w:tcPr>
            <w:tcW w:w="2440" w:type="dxa"/>
            <w:vAlign w:val="bottom"/>
            <w:vMerge w:val="restart"/>
          </w:tcPr>
          <w:p>
            <w:pPr>
              <w:ind w:left="1560"/>
              <w:spacing w:after="0"/>
              <w:rPr>
                <w:sz w:val="20"/>
                <w:szCs w:val="20"/>
                <w:color w:val="auto"/>
              </w:rPr>
            </w:pPr>
            <w:r>
              <w:rPr>
                <w:rFonts w:ascii="Arial" w:cs="Arial" w:eastAsia="Arial" w:hAnsi="Arial"/>
                <w:sz w:val="22"/>
                <w:szCs w:val="22"/>
                <w:color w:val="auto"/>
              </w:rPr>
              <w:t>1875</w:t>
            </w:r>
          </w:p>
        </w:tc>
        <w:tc>
          <w:tcPr>
            <w:tcW w:w="2500" w:type="dxa"/>
            <w:vAlign w:val="bottom"/>
            <w:vMerge w:val="restart"/>
          </w:tcPr>
          <w:p>
            <w:pPr>
              <w:ind w:left="420"/>
              <w:spacing w:after="0"/>
              <w:rPr>
                <w:sz w:val="20"/>
                <w:szCs w:val="20"/>
                <w:color w:val="auto"/>
              </w:rPr>
            </w:pPr>
            <w:r>
              <w:rPr>
                <w:rFonts w:ascii="Arial" w:cs="Arial" w:eastAsia="Arial" w:hAnsi="Arial"/>
                <w:sz w:val="22"/>
                <w:szCs w:val="22"/>
                <w:color w:val="auto"/>
                <w:w w:val="88"/>
              </w:rPr>
              <w:t>03/01/2020 stock bonus</w:t>
            </w:r>
          </w:p>
        </w:tc>
        <w:tc>
          <w:tcPr>
            <w:tcW w:w="0" w:type="dxa"/>
            <w:vAlign w:val="bottom"/>
          </w:tcPr>
          <w:p>
            <w:pPr>
              <w:spacing w:after="0"/>
              <w:rPr>
                <w:sz w:val="1"/>
                <w:szCs w:val="1"/>
                <w:color w:val="auto"/>
              </w:rPr>
            </w:pPr>
          </w:p>
        </w:tc>
      </w:tr>
      <w:tr>
        <w:trPr>
          <w:trHeight w:val="153"/>
        </w:trPr>
        <w:tc>
          <w:tcPr>
            <w:tcW w:w="1380" w:type="dxa"/>
            <w:vAlign w:val="bottom"/>
            <w:vMerge w:val="continue"/>
          </w:tcPr>
          <w:p>
            <w:pPr>
              <w:spacing w:after="0"/>
              <w:rPr>
                <w:sz w:val="13"/>
                <w:szCs w:val="13"/>
                <w:color w:val="auto"/>
              </w:rPr>
            </w:pPr>
          </w:p>
        </w:tc>
        <w:tc>
          <w:tcPr>
            <w:tcW w:w="2220" w:type="dxa"/>
            <w:vAlign w:val="bottom"/>
            <w:vMerge w:val="continue"/>
          </w:tcPr>
          <w:p>
            <w:pPr>
              <w:spacing w:after="0"/>
              <w:rPr>
                <w:sz w:val="13"/>
                <w:szCs w:val="13"/>
                <w:color w:val="auto"/>
              </w:rPr>
            </w:pPr>
          </w:p>
        </w:tc>
        <w:tc>
          <w:tcPr>
            <w:tcW w:w="2020" w:type="dxa"/>
            <w:vAlign w:val="bottom"/>
            <w:vMerge w:val="restart"/>
          </w:tcPr>
          <w:p>
            <w:pPr>
              <w:ind w:left="640"/>
              <w:spacing w:after="0"/>
              <w:rPr>
                <w:sz w:val="20"/>
                <w:szCs w:val="20"/>
                <w:color w:val="auto"/>
              </w:rPr>
            </w:pPr>
            <w:r>
              <w:rPr>
                <w:rFonts w:ascii="Arial" w:cs="Arial" w:eastAsia="Arial" w:hAnsi="Arial"/>
                <w:sz w:val="22"/>
                <w:szCs w:val="22"/>
                <w:color w:val="auto"/>
              </w:rPr>
              <w:t>Education</w:t>
            </w:r>
          </w:p>
        </w:tc>
        <w:tc>
          <w:tcPr>
            <w:tcW w:w="2440" w:type="dxa"/>
            <w:vAlign w:val="bottom"/>
            <w:vMerge w:val="continue"/>
          </w:tcPr>
          <w:p>
            <w:pPr>
              <w:spacing w:after="0"/>
              <w:rPr>
                <w:sz w:val="13"/>
                <w:szCs w:val="13"/>
                <w:color w:val="auto"/>
              </w:rPr>
            </w:pPr>
          </w:p>
        </w:tc>
        <w:tc>
          <w:tcPr>
            <w:tcW w:w="2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244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380" w:type="dxa"/>
            <w:vAlign w:val="bottom"/>
            <w:vMerge w:val="restart"/>
          </w:tcPr>
          <w:p>
            <w:pPr>
              <w:spacing w:after="0"/>
              <w:rPr>
                <w:sz w:val="20"/>
                <w:szCs w:val="20"/>
                <w:color w:val="auto"/>
              </w:rPr>
            </w:pPr>
            <w:r>
              <w:rPr>
                <w:rFonts w:ascii="Arial" w:cs="Arial" w:eastAsia="Arial" w:hAnsi="Arial"/>
                <w:sz w:val="22"/>
                <w:szCs w:val="22"/>
                <w:color w:val="auto"/>
                <w:w w:val="95"/>
              </w:rPr>
              <w:t>common stock</w:t>
            </w:r>
          </w:p>
        </w:tc>
        <w:tc>
          <w:tcPr>
            <w:tcW w:w="2220" w:type="dxa"/>
            <w:vAlign w:val="bottom"/>
            <w:vMerge w:val="restart"/>
          </w:tcPr>
          <w:p>
            <w:pPr>
              <w:ind w:left="120"/>
              <w:spacing w:after="0"/>
              <w:rPr>
                <w:sz w:val="20"/>
                <w:szCs w:val="20"/>
                <w:color w:val="auto"/>
              </w:rPr>
            </w:pPr>
            <w:r>
              <w:rPr>
                <w:rFonts w:ascii="Arial" w:cs="Arial" w:eastAsia="Arial" w:hAnsi="Arial"/>
                <w:sz w:val="22"/>
                <w:szCs w:val="22"/>
                <w:color w:val="auto"/>
              </w:rPr>
              <w:t>03/11/2019 RSU</w:t>
            </w:r>
          </w:p>
        </w:tc>
        <w:tc>
          <w:tcPr>
            <w:tcW w:w="2020" w:type="dxa"/>
            <w:vAlign w:val="bottom"/>
          </w:tcPr>
          <w:p>
            <w:pPr>
              <w:ind w:left="640"/>
              <w:spacing w:after="0"/>
              <w:rPr>
                <w:sz w:val="20"/>
                <w:szCs w:val="20"/>
                <w:color w:val="auto"/>
              </w:rPr>
            </w:pPr>
            <w:r>
              <w:rPr>
                <w:rFonts w:ascii="Arial" w:cs="Arial" w:eastAsia="Arial" w:hAnsi="Arial"/>
                <w:sz w:val="22"/>
                <w:szCs w:val="22"/>
                <w:color w:val="auto"/>
                <w:w w:val="95"/>
              </w:rPr>
              <w:t>Grand Canyon</w:t>
            </w:r>
          </w:p>
        </w:tc>
        <w:tc>
          <w:tcPr>
            <w:tcW w:w="2440" w:type="dxa"/>
            <w:vAlign w:val="bottom"/>
            <w:vMerge w:val="restart"/>
          </w:tcPr>
          <w:p>
            <w:pPr>
              <w:ind w:left="1560"/>
              <w:spacing w:after="0"/>
              <w:rPr>
                <w:sz w:val="20"/>
                <w:szCs w:val="20"/>
                <w:color w:val="auto"/>
              </w:rPr>
            </w:pPr>
            <w:r>
              <w:rPr>
                <w:rFonts w:ascii="Arial" w:cs="Arial" w:eastAsia="Arial" w:hAnsi="Arial"/>
                <w:sz w:val="22"/>
                <w:szCs w:val="22"/>
                <w:color w:val="auto"/>
              </w:rPr>
              <w:t>604</w:t>
            </w:r>
          </w:p>
        </w:tc>
        <w:tc>
          <w:tcPr>
            <w:tcW w:w="2500" w:type="dxa"/>
            <w:vAlign w:val="bottom"/>
            <w:vMerge w:val="restart"/>
          </w:tcPr>
          <w:p>
            <w:pPr>
              <w:ind w:left="420"/>
              <w:spacing w:after="0"/>
              <w:rPr>
                <w:sz w:val="20"/>
                <w:szCs w:val="20"/>
                <w:color w:val="auto"/>
              </w:rPr>
            </w:pPr>
            <w:r>
              <w:rPr>
                <w:rFonts w:ascii="Arial" w:cs="Arial" w:eastAsia="Arial" w:hAnsi="Arial"/>
                <w:sz w:val="22"/>
                <w:szCs w:val="22"/>
                <w:color w:val="auto"/>
                <w:w w:val="88"/>
              </w:rPr>
              <w:t>03/01/2019 stock bonus</w:t>
            </w:r>
          </w:p>
        </w:tc>
        <w:tc>
          <w:tcPr>
            <w:tcW w:w="0" w:type="dxa"/>
            <w:vAlign w:val="bottom"/>
          </w:tcPr>
          <w:p>
            <w:pPr>
              <w:spacing w:after="0"/>
              <w:rPr>
                <w:sz w:val="1"/>
                <w:szCs w:val="1"/>
                <w:color w:val="auto"/>
              </w:rPr>
            </w:pPr>
          </w:p>
        </w:tc>
      </w:tr>
      <w:tr>
        <w:trPr>
          <w:trHeight w:val="153"/>
        </w:trPr>
        <w:tc>
          <w:tcPr>
            <w:tcW w:w="1380" w:type="dxa"/>
            <w:vAlign w:val="bottom"/>
            <w:vMerge w:val="continue"/>
          </w:tcPr>
          <w:p>
            <w:pPr>
              <w:spacing w:after="0"/>
              <w:rPr>
                <w:sz w:val="13"/>
                <w:szCs w:val="13"/>
                <w:color w:val="auto"/>
              </w:rPr>
            </w:pPr>
          </w:p>
        </w:tc>
        <w:tc>
          <w:tcPr>
            <w:tcW w:w="2220" w:type="dxa"/>
            <w:vAlign w:val="bottom"/>
            <w:vMerge w:val="continue"/>
          </w:tcPr>
          <w:p>
            <w:pPr>
              <w:spacing w:after="0"/>
              <w:rPr>
                <w:sz w:val="13"/>
                <w:szCs w:val="13"/>
                <w:color w:val="auto"/>
              </w:rPr>
            </w:pPr>
          </w:p>
        </w:tc>
        <w:tc>
          <w:tcPr>
            <w:tcW w:w="2020" w:type="dxa"/>
            <w:vAlign w:val="bottom"/>
            <w:vMerge w:val="restart"/>
          </w:tcPr>
          <w:p>
            <w:pPr>
              <w:ind w:left="640"/>
              <w:spacing w:after="0"/>
              <w:rPr>
                <w:sz w:val="20"/>
                <w:szCs w:val="20"/>
                <w:color w:val="auto"/>
              </w:rPr>
            </w:pPr>
            <w:r>
              <w:rPr>
                <w:rFonts w:ascii="Arial" w:cs="Arial" w:eastAsia="Arial" w:hAnsi="Arial"/>
                <w:sz w:val="22"/>
                <w:szCs w:val="22"/>
                <w:color w:val="auto"/>
              </w:rPr>
              <w:t>Education</w:t>
            </w:r>
          </w:p>
        </w:tc>
        <w:tc>
          <w:tcPr>
            <w:tcW w:w="2440" w:type="dxa"/>
            <w:vAlign w:val="bottom"/>
            <w:vMerge w:val="continue"/>
          </w:tcPr>
          <w:p>
            <w:pPr>
              <w:spacing w:after="0"/>
              <w:rPr>
                <w:sz w:val="13"/>
                <w:szCs w:val="13"/>
                <w:color w:val="auto"/>
              </w:rPr>
            </w:pPr>
          </w:p>
        </w:tc>
        <w:tc>
          <w:tcPr>
            <w:tcW w:w="2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244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380" w:type="dxa"/>
            <w:vAlign w:val="bottom"/>
            <w:vMerge w:val="restart"/>
          </w:tcPr>
          <w:p>
            <w:pPr>
              <w:spacing w:after="0"/>
              <w:rPr>
                <w:sz w:val="20"/>
                <w:szCs w:val="20"/>
                <w:color w:val="auto"/>
              </w:rPr>
            </w:pPr>
            <w:r>
              <w:rPr>
                <w:rFonts w:ascii="Arial" w:cs="Arial" w:eastAsia="Arial" w:hAnsi="Arial"/>
                <w:sz w:val="22"/>
                <w:szCs w:val="22"/>
                <w:color w:val="auto"/>
                <w:w w:val="95"/>
              </w:rPr>
              <w:t>common stock</w:t>
            </w:r>
          </w:p>
        </w:tc>
        <w:tc>
          <w:tcPr>
            <w:tcW w:w="2220" w:type="dxa"/>
            <w:vAlign w:val="bottom"/>
            <w:vMerge w:val="restart"/>
          </w:tcPr>
          <w:p>
            <w:pPr>
              <w:ind w:left="120"/>
              <w:spacing w:after="0"/>
              <w:rPr>
                <w:sz w:val="20"/>
                <w:szCs w:val="20"/>
                <w:color w:val="auto"/>
              </w:rPr>
            </w:pPr>
            <w:r>
              <w:rPr>
                <w:rFonts w:ascii="Arial" w:cs="Arial" w:eastAsia="Arial" w:hAnsi="Arial"/>
                <w:sz w:val="22"/>
                <w:szCs w:val="22"/>
                <w:color w:val="auto"/>
              </w:rPr>
              <w:t>03/01/2022 RSU</w:t>
            </w:r>
          </w:p>
        </w:tc>
        <w:tc>
          <w:tcPr>
            <w:tcW w:w="2020" w:type="dxa"/>
            <w:vAlign w:val="bottom"/>
          </w:tcPr>
          <w:p>
            <w:pPr>
              <w:ind w:left="640"/>
              <w:spacing w:after="0"/>
              <w:rPr>
                <w:sz w:val="20"/>
                <w:szCs w:val="20"/>
                <w:color w:val="auto"/>
              </w:rPr>
            </w:pPr>
            <w:r>
              <w:rPr>
                <w:rFonts w:ascii="Arial" w:cs="Arial" w:eastAsia="Arial" w:hAnsi="Arial"/>
                <w:sz w:val="22"/>
                <w:szCs w:val="22"/>
                <w:color w:val="auto"/>
                <w:w w:val="95"/>
              </w:rPr>
              <w:t>Grand Canyon</w:t>
            </w:r>
          </w:p>
        </w:tc>
        <w:tc>
          <w:tcPr>
            <w:tcW w:w="2440" w:type="dxa"/>
            <w:vAlign w:val="bottom"/>
            <w:vMerge w:val="restart"/>
          </w:tcPr>
          <w:p>
            <w:pPr>
              <w:ind w:left="1560"/>
              <w:spacing w:after="0"/>
              <w:rPr>
                <w:sz w:val="20"/>
                <w:szCs w:val="20"/>
                <w:color w:val="auto"/>
              </w:rPr>
            </w:pPr>
            <w:r>
              <w:rPr>
                <w:rFonts w:ascii="Arial" w:cs="Arial" w:eastAsia="Arial" w:hAnsi="Arial"/>
                <w:sz w:val="22"/>
                <w:szCs w:val="22"/>
                <w:color w:val="auto"/>
              </w:rPr>
              <w:t>1455</w:t>
            </w:r>
          </w:p>
        </w:tc>
        <w:tc>
          <w:tcPr>
            <w:tcW w:w="2500" w:type="dxa"/>
            <w:vAlign w:val="bottom"/>
            <w:vMerge w:val="restart"/>
          </w:tcPr>
          <w:p>
            <w:pPr>
              <w:ind w:left="420"/>
              <w:spacing w:after="0"/>
              <w:rPr>
                <w:sz w:val="20"/>
                <w:szCs w:val="20"/>
                <w:color w:val="auto"/>
              </w:rPr>
            </w:pPr>
            <w:r>
              <w:rPr>
                <w:rFonts w:ascii="Arial" w:cs="Arial" w:eastAsia="Arial" w:hAnsi="Arial"/>
                <w:sz w:val="22"/>
                <w:szCs w:val="22"/>
                <w:color w:val="auto"/>
                <w:w w:val="88"/>
              </w:rPr>
              <w:t>03/01/2022 stock bonus</w:t>
            </w:r>
          </w:p>
        </w:tc>
        <w:tc>
          <w:tcPr>
            <w:tcW w:w="0" w:type="dxa"/>
            <w:vAlign w:val="bottom"/>
          </w:tcPr>
          <w:p>
            <w:pPr>
              <w:spacing w:after="0"/>
              <w:rPr>
                <w:sz w:val="1"/>
                <w:szCs w:val="1"/>
                <w:color w:val="auto"/>
              </w:rPr>
            </w:pPr>
          </w:p>
        </w:tc>
      </w:tr>
      <w:tr>
        <w:trPr>
          <w:trHeight w:val="153"/>
        </w:trPr>
        <w:tc>
          <w:tcPr>
            <w:tcW w:w="1380" w:type="dxa"/>
            <w:vAlign w:val="bottom"/>
            <w:vMerge w:val="continue"/>
          </w:tcPr>
          <w:p>
            <w:pPr>
              <w:spacing w:after="0"/>
              <w:rPr>
                <w:sz w:val="13"/>
                <w:szCs w:val="13"/>
                <w:color w:val="auto"/>
              </w:rPr>
            </w:pPr>
          </w:p>
        </w:tc>
        <w:tc>
          <w:tcPr>
            <w:tcW w:w="2220" w:type="dxa"/>
            <w:vAlign w:val="bottom"/>
            <w:vMerge w:val="continue"/>
          </w:tcPr>
          <w:p>
            <w:pPr>
              <w:spacing w:after="0"/>
              <w:rPr>
                <w:sz w:val="13"/>
                <w:szCs w:val="13"/>
                <w:color w:val="auto"/>
              </w:rPr>
            </w:pPr>
          </w:p>
        </w:tc>
        <w:tc>
          <w:tcPr>
            <w:tcW w:w="2020" w:type="dxa"/>
            <w:vAlign w:val="bottom"/>
            <w:vMerge w:val="restart"/>
          </w:tcPr>
          <w:p>
            <w:pPr>
              <w:ind w:left="640"/>
              <w:spacing w:after="0"/>
              <w:rPr>
                <w:sz w:val="20"/>
                <w:szCs w:val="20"/>
                <w:color w:val="auto"/>
              </w:rPr>
            </w:pPr>
            <w:r>
              <w:rPr>
                <w:rFonts w:ascii="Arial" w:cs="Arial" w:eastAsia="Arial" w:hAnsi="Arial"/>
                <w:sz w:val="22"/>
                <w:szCs w:val="22"/>
                <w:color w:val="auto"/>
              </w:rPr>
              <w:t>Education</w:t>
            </w:r>
          </w:p>
        </w:tc>
        <w:tc>
          <w:tcPr>
            <w:tcW w:w="2440" w:type="dxa"/>
            <w:vAlign w:val="bottom"/>
            <w:vMerge w:val="continue"/>
          </w:tcPr>
          <w:p>
            <w:pPr>
              <w:spacing w:after="0"/>
              <w:rPr>
                <w:sz w:val="13"/>
                <w:szCs w:val="13"/>
                <w:color w:val="auto"/>
              </w:rPr>
            </w:pPr>
          </w:p>
        </w:tc>
        <w:tc>
          <w:tcPr>
            <w:tcW w:w="2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244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-906145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-563245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-220345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3400" w:type="dxa"/>
            <w:vAlign w:val="bottom"/>
          </w:tcPr>
          <w:p>
            <w:pPr>
              <w:spacing w:after="0"/>
              <w:rPr>
                <w:sz w:val="20"/>
                <w:szCs w:val="20"/>
                <w:color w:val="auto"/>
              </w:rPr>
            </w:pPr>
            <w:r>
              <w:rPr>
                <w:rFonts w:ascii="Arial" w:cs="Arial" w:eastAsia="Arial" w:hAnsi="Arial"/>
                <w:sz w:val="22"/>
                <w:szCs w:val="22"/>
                <w:color w:val="auto"/>
              </w:rPr>
              <w:t>Remarks</w:t>
            </w:r>
          </w:p>
        </w:tc>
        <w:tc>
          <w:tcPr>
            <w:tcW w:w="3100" w:type="dxa"/>
            <w:vAlign w:val="bottom"/>
          </w:tcPr>
          <w:p>
            <w:pPr>
              <w:spacing w:after="0"/>
              <w:rPr>
                <w:sz w:val="23"/>
                <w:szCs w:val="23"/>
                <w:color w:val="auto"/>
              </w:rPr>
            </w:pPr>
          </w:p>
        </w:tc>
      </w:tr>
      <w:tr>
        <w:trPr>
          <w:trHeight w:val="297"/>
        </w:trPr>
        <w:tc>
          <w:tcPr>
            <w:tcW w:w="3400" w:type="dxa"/>
            <w:vAlign w:val="bottom"/>
          </w:tcPr>
          <w:p>
            <w:pPr>
              <w:spacing w:after="0"/>
              <w:rPr>
                <w:sz w:val="20"/>
                <w:szCs w:val="20"/>
                <w:color w:val="auto"/>
              </w:rPr>
            </w:pPr>
            <w:r>
              <w:rPr>
                <w:rFonts w:ascii="Arial" w:cs="Arial" w:eastAsia="Arial" w:hAnsi="Arial"/>
                <w:sz w:val="22"/>
                <w:szCs w:val="22"/>
                <w:color w:val="auto"/>
              </w:rPr>
              <w:t>Date of Notice</w:t>
            </w:r>
          </w:p>
        </w:tc>
        <w:tc>
          <w:tcPr>
            <w:tcW w:w="3100" w:type="dxa"/>
            <w:vAlign w:val="bottom"/>
          </w:tcPr>
          <w:p>
            <w:pPr>
              <w:jc w:val="right"/>
              <w:spacing w:after="0"/>
              <w:rPr>
                <w:sz w:val="20"/>
                <w:szCs w:val="20"/>
                <w:color w:val="auto"/>
              </w:rPr>
            </w:pPr>
            <w:r>
              <w:rPr>
                <w:rFonts w:ascii="Arial" w:cs="Arial" w:eastAsia="Arial" w:hAnsi="Arial"/>
                <w:sz w:val="22"/>
                <w:szCs w:val="22"/>
                <w:color w:val="auto"/>
              </w:rPr>
              <w:t>08/08/2023</w:t>
            </w:r>
          </w:p>
        </w:tc>
      </w:tr>
      <w:tr>
        <w:trPr>
          <w:trHeight w:val="297"/>
        </w:trPr>
        <w:tc>
          <w:tcPr>
            <w:tcW w:w="340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310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554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Lori Browning</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2023-08-08T10:52:26Z</dcterms:created>
  <dcterms:modified xsi:type="dcterms:W3CDTF">2023-08-08T10:52:26Z</dcterms:modified>
</cp:coreProperties>
</file>