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20" w:right="9280" w:hanging="2"/>
        <w:spacing w:after="0" w:line="311" w:lineRule="auto"/>
        <w:tabs>
          <w:tab w:leader="none" w:pos="90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38526M106</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6969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96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20" w:right="6960" w:hanging="627"/>
        <w:spacing w:after="0" w:line="53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PERSONS William Blair Investment Management, LLC</w:t>
      </w:r>
    </w:p>
    <w:p>
      <w:pPr>
        <w:spacing w:after="0" w:line="1" w:lineRule="exact"/>
        <w:rPr>
          <w:rFonts w:ascii="Arial" w:cs="Arial" w:eastAsia="Arial" w:hAnsi="Arial"/>
          <w:sz w:val="17"/>
          <w:szCs w:val="17"/>
          <w:color w:val="auto"/>
        </w:rPr>
      </w:pPr>
    </w:p>
    <w:p>
      <w:pPr>
        <w:ind w:left="1020" w:right="5240" w:hanging="627"/>
        <w:spacing w:after="0" w:line="25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jc w:val="both"/>
        <w:ind w:left="10600"/>
        <w:spacing w:after="0"/>
        <w:tabs>
          <w:tab w:leader="none" w:pos="1100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Arial" w:cs="Arial" w:eastAsia="Arial" w:hAnsi="Arial"/>
          <w:sz w:val="18"/>
          <w:szCs w:val="18"/>
          <w:color w:val="auto"/>
        </w:rPr>
        <w:t>(b)</w:t>
        <w:tab/>
        <w:t>o</w:t>
      </w:r>
    </w:p>
    <w:p>
      <w:pPr>
        <w:spacing w:after="0" w:line="200" w:lineRule="exact"/>
        <w:rPr>
          <w:sz w:val="20"/>
          <w:szCs w:val="20"/>
          <w:color w:val="auto"/>
        </w:rPr>
      </w:pPr>
    </w:p>
    <w:p>
      <w:pPr>
        <w:spacing w:after="0" w:line="240" w:lineRule="exact"/>
        <w:rPr>
          <w:sz w:val="20"/>
          <w:szCs w:val="20"/>
          <w:color w:val="auto"/>
        </w:rPr>
      </w:pPr>
    </w:p>
    <w:p>
      <w:pPr>
        <w:ind w:left="1020" w:hanging="62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right="6540" w:hanging="627"/>
        <w:spacing w:after="0" w:line="50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4360" w:hanging="579"/>
        <w:spacing w:after="0"/>
        <w:tabs>
          <w:tab w:leader="none" w:pos="4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106,722</w:t>
            </w:r>
          </w:p>
        </w:tc>
        <w:tc>
          <w:tcPr>
            <w:tcW w:w="0" w:type="dxa"/>
            <w:vAlign w:val="bottom"/>
          </w:tcPr>
          <w:p>
            <w:pPr>
              <w:spacing w:after="0"/>
              <w:rPr>
                <w:sz w:val="1"/>
                <w:szCs w:val="1"/>
                <w:color w:val="auto"/>
              </w:rPr>
            </w:pPr>
          </w:p>
        </w:tc>
      </w:tr>
      <w:tr>
        <w:trPr>
          <w:trHeight w:val="290"/>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6"/>
              </w:rPr>
              <w:t>NUMBER OF</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1"/>
              </w:rPr>
              <w:t>SHARES</w:t>
            </w:r>
          </w:p>
        </w:tc>
        <w:tc>
          <w:tcPr>
            <w:tcW w:w="680" w:type="dxa"/>
            <w:vAlign w:val="bottom"/>
            <w:vMerge w:val="continue"/>
          </w:tcPr>
          <w:p>
            <w:pPr>
              <w:spacing w:after="0"/>
              <w:rPr>
                <w:sz w:val="11"/>
                <w:szCs w:val="11"/>
                <w:color w:val="auto"/>
              </w:rPr>
            </w:pPr>
          </w:p>
        </w:tc>
        <w:tc>
          <w:tcPr>
            <w:tcW w:w="7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tcBorders>
          </w:tcPr>
          <w:p>
            <w:pPr>
              <w:spacing w:after="0"/>
              <w:rPr>
                <w:sz w:val="11"/>
                <w:szCs w:val="11"/>
                <w:color w:val="auto"/>
              </w:rPr>
            </w:pPr>
          </w:p>
        </w:tc>
        <w:tc>
          <w:tcPr>
            <w:tcW w:w="7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5"/>
              </w:rPr>
              <w:t>EACH</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3"/>
              </w:rPr>
              <w:t>REPORTING</w:t>
            </w:r>
          </w:p>
        </w:tc>
        <w:tc>
          <w:tcPr>
            <w:tcW w:w="680" w:type="dxa"/>
            <w:vAlign w:val="bottom"/>
            <w:vMerge w:val="continue"/>
          </w:tcPr>
          <w:p>
            <w:pPr>
              <w:spacing w:after="0"/>
              <w:rPr>
                <w:sz w:val="12"/>
                <w:szCs w:val="12"/>
                <w:color w:val="auto"/>
              </w:rPr>
            </w:pPr>
          </w:p>
        </w:tc>
        <w:tc>
          <w:tcPr>
            <w:tcW w:w="7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89"/>
              </w:rPr>
              <w:t>PERSON</w:t>
            </w:r>
          </w:p>
        </w:tc>
        <w:tc>
          <w:tcPr>
            <w:tcW w:w="680" w:type="dxa"/>
            <w:vAlign w:val="bottom"/>
          </w:tcPr>
          <w:p>
            <w:pPr>
              <w:spacing w:after="0"/>
              <w:rPr>
                <w:sz w:val="18"/>
                <w:szCs w:val="18"/>
                <w:color w:val="auto"/>
              </w:rPr>
            </w:pP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187,432</w:t>
            </w:r>
          </w:p>
        </w:tc>
        <w:tc>
          <w:tcPr>
            <w:tcW w:w="0" w:type="dxa"/>
            <w:vAlign w:val="bottom"/>
          </w:tcPr>
          <w:p>
            <w:pPr>
              <w:spacing w:after="0"/>
              <w:rPr>
                <w:sz w:val="1"/>
                <w:szCs w:val="1"/>
                <w:color w:val="auto"/>
              </w:rPr>
            </w:pPr>
          </w:p>
        </w:tc>
      </w:tr>
      <w:tr>
        <w:trPr>
          <w:trHeight w:val="149"/>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tcBorders>
          </w:tcPr>
          <w:p>
            <w:pPr>
              <w:spacing w:after="0"/>
              <w:rPr>
                <w:sz w:val="12"/>
                <w:szCs w:val="12"/>
                <w:color w:val="auto"/>
              </w:rPr>
            </w:pPr>
          </w:p>
        </w:tc>
        <w:tc>
          <w:tcPr>
            <w:tcW w:w="7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360" w:right="4340" w:hanging="579"/>
        <w:spacing w:after="0" w:line="527" w:lineRule="auto"/>
        <w:tabs>
          <w:tab w:leader="none" w:pos="4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4" w:lineRule="exact"/>
        <w:rPr>
          <w:rFonts w:ascii="Arial" w:cs="Arial" w:eastAsia="Arial" w:hAnsi="Arial"/>
          <w:sz w:val="18"/>
          <w:szCs w:val="18"/>
          <w:color w:val="auto"/>
        </w:rPr>
      </w:pPr>
    </w:p>
    <w:p>
      <w:pPr>
        <w:ind w:left="1020" w:right="3660" w:hanging="627"/>
        <w:spacing w:after="0" w:line="50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187,432</w:t>
      </w:r>
    </w:p>
    <w:p>
      <w:pPr>
        <w:spacing w:after="0" w:line="1" w:lineRule="exact"/>
        <w:rPr>
          <w:sz w:val="20"/>
          <w:szCs w:val="20"/>
          <w:color w:val="auto"/>
        </w:rPr>
      </w:pPr>
    </w:p>
    <w:p>
      <w:pPr>
        <w:ind w:left="1020" w:right="3580" w:hanging="672"/>
        <w:spacing w:after="0" w:line="25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o</w:t>
      </w:r>
    </w:p>
    <w:p>
      <w:pPr>
        <w:spacing w:after="0" w:line="224" w:lineRule="exact"/>
        <w:rPr>
          <w:sz w:val="20"/>
          <w:szCs w:val="20"/>
          <w:color w:val="auto"/>
        </w:rPr>
      </w:pPr>
    </w:p>
    <w:p>
      <w:pPr>
        <w:ind w:left="1020" w:right="5160" w:hanging="669"/>
        <w:spacing w:after="0" w:line="50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color w:val="2A2A2A"/>
        </w:rPr>
        <w:t>0.5%</w:t>
      </w:r>
    </w:p>
    <w:p>
      <w:pPr>
        <w:spacing w:after="0" w:line="1" w:lineRule="exact"/>
        <w:rPr>
          <w:rFonts w:ascii="Arial" w:cs="Arial" w:eastAsia="Arial" w:hAnsi="Arial"/>
          <w:sz w:val="18"/>
          <w:szCs w:val="18"/>
          <w:color w:val="auto"/>
        </w:rPr>
      </w:pPr>
    </w:p>
    <w:p>
      <w:pPr>
        <w:ind w:left="1020" w:right="5880" w:hanging="672"/>
        <w:spacing w:after="0" w:line="52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38526M106</w:t>
            </w:r>
          </w:p>
        </w:tc>
        <w:tc>
          <w:tcPr>
            <w:tcW w:w="370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3</w:t>
            </w:r>
          </w:p>
        </w:tc>
      </w:tr>
      <w:tr>
        <w:trPr>
          <w:trHeight w:val="627"/>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Grand Canyon Education, Inc.</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1(b).</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2600 W. Camelback Road, Phoenix, AZ 85017</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2(a).</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William Blair Investment Management, LLC</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2(b).</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150 North Riverside Plaza, Chicago, IL 60606</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2(c).</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Delaware</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2(d).</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Common Stock</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2(e).</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38526M106</w:t>
            </w:r>
          </w:p>
        </w:tc>
      </w:tr>
      <w:tr>
        <w:trPr>
          <w:trHeight w:val="414"/>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3.</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w w:val="92"/>
              </w:rPr>
              <w:t>If this statement is filed pursuant to §§ 240.13d-1(b), or 240.13d-2(b) or (c), check whether the person filing is</w:t>
            </w:r>
          </w:p>
        </w:tc>
      </w:tr>
      <w:tr>
        <w:trPr>
          <w:trHeight w:val="234"/>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w:t>
            </w:r>
          </w:p>
        </w:tc>
      </w:tr>
    </w:tbl>
    <w:p>
      <w:pPr>
        <w:spacing w:after="0" w:line="202" w:lineRule="exact"/>
        <w:rPr>
          <w:sz w:val="20"/>
          <w:szCs w:val="20"/>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76"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76" w:lineRule="exact"/>
        <w:rPr>
          <w:rFonts w:ascii="Arial" w:cs="Arial" w:eastAsia="Arial" w:hAnsi="Arial"/>
          <w:sz w:val="18"/>
          <w:szCs w:val="18"/>
          <w:color w:val="auto"/>
        </w:rPr>
      </w:pPr>
    </w:p>
    <w:p>
      <w:pPr>
        <w:ind w:left="3820" w:right="22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oInvestment company registered under Section 8 of the Investment Company Act of 1940 (15 U.S.C. 80a-8);</w:t>
      </w:r>
    </w:p>
    <w:p>
      <w:pPr>
        <w:spacing w:after="0" w:line="21"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76" w:lineRule="exact"/>
        <w:rPr>
          <w:rFonts w:ascii="Arial" w:cs="Arial" w:eastAsia="Arial" w:hAnsi="Arial"/>
          <w:sz w:val="18"/>
          <w:szCs w:val="18"/>
          <w:color w:val="auto"/>
        </w:rPr>
      </w:pPr>
    </w:p>
    <w:p>
      <w:pPr>
        <w:ind w:left="3160" w:hanging="42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 240.13d-1(b)(1)(ii)(F);</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76" w:lineRule="exact"/>
        <w:rPr>
          <w:rFonts w:ascii="Arial" w:cs="Arial" w:eastAsia="Arial" w:hAnsi="Arial"/>
          <w:sz w:val="18"/>
          <w:szCs w:val="18"/>
          <w:color w:val="auto"/>
        </w:rPr>
      </w:pPr>
    </w:p>
    <w:p>
      <w:pPr>
        <w:ind w:left="3820" w:right="44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savings association as defined in Section 3(b) of the Federal Deposit Insurance Act (12 U.S.C. 1813);</w:t>
      </w:r>
    </w:p>
    <w:p>
      <w:pPr>
        <w:spacing w:after="0" w:line="22" w:lineRule="exact"/>
        <w:rPr>
          <w:sz w:val="20"/>
          <w:szCs w:val="20"/>
          <w:color w:val="auto"/>
        </w:rPr>
      </w:pPr>
    </w:p>
    <w:p>
      <w:pPr>
        <w:ind w:left="3820" w:right="200" w:hanging="1076"/>
        <w:spacing w:after="0" w:line="277" w:lineRule="auto"/>
        <w:tabs>
          <w:tab w:leader="none" w:pos="3159"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(15 U.S.C. 80a-3);</w:t>
      </w:r>
    </w:p>
    <w:p>
      <w:pPr>
        <w:spacing w:after="0" w:line="21" w:lineRule="exact"/>
        <w:rPr>
          <w:rFonts w:ascii="Arial" w:cs="Arial" w:eastAsia="Arial" w:hAnsi="Arial"/>
          <w:sz w:val="18"/>
          <w:szCs w:val="18"/>
          <w:color w:val="auto"/>
        </w:rPr>
      </w:pPr>
    </w:p>
    <w:p>
      <w:pPr>
        <w:ind w:left="3160" w:hanging="416"/>
        <w:spacing w:after="0"/>
        <w:tabs>
          <w:tab w:leader="none" w:pos="3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77" w:lineRule="exact"/>
        <w:rPr>
          <w:sz w:val="20"/>
          <w:szCs w:val="20"/>
          <w:color w:val="auto"/>
        </w:rPr>
      </w:pPr>
    </w:p>
    <w:p>
      <w:pPr>
        <w:ind w:left="3160" w:hanging="435"/>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240.13d-1(b)(1)(ii)(K).</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20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38526M106</w:t>
            </w:r>
          </w:p>
        </w:tc>
        <w:tc>
          <w:tcPr>
            <w:tcW w:w="98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4</w:t>
            </w:r>
          </w:p>
        </w:tc>
      </w:tr>
      <w:tr>
        <w:trPr>
          <w:trHeight w:val="627"/>
        </w:trPr>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Item 4.</w:t>
            </w:r>
          </w:p>
        </w:tc>
        <w:tc>
          <w:tcPr>
            <w:tcW w:w="9240" w:type="dxa"/>
            <w:vAlign w:val="bottom"/>
            <w:gridSpan w:val="3"/>
          </w:tcPr>
          <w:p>
            <w:pPr>
              <w:ind w:left="460"/>
              <w:spacing w:after="0"/>
              <w:rPr>
                <w:sz w:val="20"/>
                <w:szCs w:val="20"/>
                <w:color w:val="auto"/>
              </w:rPr>
            </w:pPr>
            <w:r>
              <w:rPr>
                <w:rFonts w:ascii="Arial" w:cs="Arial" w:eastAsia="Arial" w:hAnsi="Arial"/>
                <w:sz w:val="18"/>
                <w:szCs w:val="18"/>
                <w:b w:val="1"/>
                <w:bCs w:val="1"/>
                <w:color w:val="auto"/>
              </w:rPr>
              <w:t>Ownership:</w:t>
            </w:r>
          </w:p>
        </w:tc>
      </w:tr>
      <w:tr>
        <w:trPr>
          <w:trHeight w:val="216"/>
        </w:trPr>
        <w:tc>
          <w:tcPr>
            <w:tcW w:w="2000" w:type="dxa"/>
            <w:vAlign w:val="bottom"/>
          </w:tcPr>
          <w:p>
            <w:pPr>
              <w:spacing w:after="0"/>
              <w:rPr>
                <w:sz w:val="18"/>
                <w:szCs w:val="18"/>
                <w:color w:val="auto"/>
              </w:rPr>
            </w:pPr>
          </w:p>
        </w:tc>
        <w:tc>
          <w:tcPr>
            <w:tcW w:w="9240" w:type="dxa"/>
            <w:vAlign w:val="bottom"/>
            <w:gridSpan w:val="3"/>
          </w:tcPr>
          <w:p>
            <w:pPr>
              <w:ind w:left="460"/>
              <w:spacing w:after="0"/>
              <w:rPr>
                <w:sz w:val="20"/>
                <w:szCs w:val="20"/>
                <w:color w:val="auto"/>
              </w:rPr>
            </w:pPr>
            <w:r>
              <w:rPr>
                <w:rFonts w:ascii="Arial" w:cs="Arial" w:eastAsia="Arial" w:hAnsi="Arial"/>
                <w:sz w:val="18"/>
                <w:szCs w:val="18"/>
                <w:color w:val="auto"/>
                <w:w w:val="91"/>
              </w:rPr>
              <w:t>Provide the following information regarding the aggregate number and percentage of the class of securities of the issuer</w:t>
            </w:r>
          </w:p>
        </w:tc>
      </w:tr>
      <w:tr>
        <w:trPr>
          <w:trHeight w:val="230"/>
        </w:trPr>
        <w:tc>
          <w:tcPr>
            <w:tcW w:w="2000" w:type="dxa"/>
            <w:vAlign w:val="bottom"/>
          </w:tcPr>
          <w:p>
            <w:pPr>
              <w:spacing w:after="0"/>
              <w:rPr>
                <w:sz w:val="20"/>
                <w:szCs w:val="20"/>
                <w:color w:val="auto"/>
              </w:rPr>
            </w:pPr>
          </w:p>
        </w:tc>
        <w:tc>
          <w:tcPr>
            <w:tcW w:w="9240" w:type="dxa"/>
            <w:vAlign w:val="bottom"/>
            <w:gridSpan w:val="3"/>
          </w:tcPr>
          <w:p>
            <w:pPr>
              <w:ind w:left="460"/>
              <w:spacing w:after="0"/>
              <w:rPr>
                <w:sz w:val="20"/>
                <w:szCs w:val="20"/>
                <w:color w:val="auto"/>
              </w:rPr>
            </w:pPr>
            <w:r>
              <w:rPr>
                <w:rFonts w:ascii="Arial" w:cs="Arial" w:eastAsia="Arial" w:hAnsi="Arial"/>
                <w:sz w:val="18"/>
                <w:szCs w:val="18"/>
                <w:color w:val="auto"/>
              </w:rPr>
              <w:t>identified in Item 1.</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(a)</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187,432</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(b)</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color w:val="2A2A2A"/>
              </w:rPr>
              <w:t>0.5%</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(c)</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Number of shares as to which the person has:</w:t>
            </w:r>
          </w:p>
        </w:tc>
      </w:tr>
    </w:tbl>
    <w:p>
      <w:pPr>
        <w:spacing w:after="0" w:line="202"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Sole power to vote or to direct the vote: 106,722</w:t>
      </w:r>
    </w:p>
    <w:p>
      <w:pPr>
        <w:spacing w:after="0" w:line="225" w:lineRule="exact"/>
        <w:rPr>
          <w:sz w:val="20"/>
          <w:szCs w:val="20"/>
          <w:color w:val="auto"/>
        </w:rPr>
      </w:pPr>
    </w:p>
    <w:p>
      <w:pPr>
        <w:ind w:left="3220"/>
        <w:spacing w:after="0"/>
        <w:tabs>
          <w:tab w:leader="none" w:pos="37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 0</w:t>
      </w:r>
    </w:p>
    <w:p>
      <w:pPr>
        <w:spacing w:after="0" w:line="225" w:lineRule="exact"/>
        <w:rPr>
          <w:sz w:val="20"/>
          <w:szCs w:val="20"/>
          <w:color w:val="auto"/>
        </w:rPr>
      </w:pPr>
    </w:p>
    <w:p>
      <w:pPr>
        <w:ind w:left="3200"/>
        <w:spacing w:after="0"/>
        <w:tabs>
          <w:tab w:leader="none" w:pos="3700" w:val="left"/>
        </w:tabs>
        <w:rPr>
          <w:sz w:val="20"/>
          <w:szCs w:val="20"/>
          <w:color w:val="auto"/>
        </w:rPr>
      </w:pPr>
      <w:r>
        <w:rPr>
          <w:rFonts w:ascii="Arial" w:cs="Arial" w:eastAsia="Arial" w:hAnsi="Arial"/>
          <w:sz w:val="18"/>
          <w:szCs w:val="18"/>
          <w:color w:val="auto"/>
        </w:rPr>
        <w:t>(iii)</w:t>
        <w:tab/>
        <w:t>Sole power to dispose or to direct the disposition of: 187,432</w:t>
      </w:r>
    </w:p>
    <w:p>
      <w:pPr>
        <w:spacing w:after="0" w:line="225" w:lineRule="exact"/>
        <w:rPr>
          <w:sz w:val="20"/>
          <w:szCs w:val="20"/>
          <w:color w:val="auto"/>
        </w:rPr>
      </w:pPr>
    </w:p>
    <w:p>
      <w:pPr>
        <w:jc w:val="center"/>
        <w:ind w:left="2940"/>
        <w:spacing w:after="0"/>
        <w:tabs>
          <w:tab w:leader="none" w:pos="240" w:val="left"/>
        </w:tabs>
        <w:rPr>
          <w:sz w:val="20"/>
          <w:szCs w:val="20"/>
          <w:color w:val="auto"/>
        </w:rPr>
      </w:pPr>
      <w:r>
        <w:rPr>
          <w:rFonts w:ascii="Arial" w:cs="Arial" w:eastAsia="Arial" w:hAnsi="Arial"/>
          <w:sz w:val="18"/>
          <w:szCs w:val="18"/>
          <w:color w:val="auto"/>
        </w:rPr>
        <w:t>(iv)</w:t>
        <w:tab/>
        <w:t>Shared power to dispose or to direct the disposition of: 0</w:t>
      </w:r>
    </w:p>
    <w:p>
      <w:pPr>
        <w:sectPr>
          <w:pgSz w:w="11900" w:h="16838" w:orient="portrait"/>
          <w:cols w:equalWidth="0" w:num="1">
            <w:col w:w="11240"/>
          </w:cols>
          <w:pgMar w:left="320" w:top="903" w:right="339" w:bottom="1440" w:gutter="0" w:footer="0" w:header="0"/>
        </w:sect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beneficial owner of more than 5 percent of the class of securities, check the following. </w:t>
      </w: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2">
            <w:col w:w="1740" w:space="720"/>
            <w:col w:w="8780"/>
          </w:cols>
          <w:pgMar w:left="320" w:top="903"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903"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903"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903"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903"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w:t>
      </w:r>
    </w:p>
    <w:p>
      <w:pPr>
        <w:spacing w:after="0" w:line="32" w:lineRule="exact"/>
        <w:rPr>
          <w:sz w:val="20"/>
          <w:szCs w:val="20"/>
          <w:color w:val="auto"/>
        </w:rPr>
      </w:pPr>
    </w:p>
    <w:p>
      <w:pPr>
        <w:sectPr>
          <w:pgSz w:w="11900" w:h="16838" w:orient="portrait"/>
          <w:cols w:equalWidth="0" w:num="2">
            <w:col w:w="1740" w:space="720"/>
            <w:col w:w="8780"/>
          </w:cols>
          <w:pgMar w:left="320" w:top="903" w:right="339" w:bottom="1440" w:gutter="0" w:footer="0" w:header="0"/>
          <w:type w:val="continuous"/>
        </w:sectPr>
      </w:pPr>
    </w:p>
    <w:p>
      <w:pPr>
        <w:jc w:val="both"/>
        <w:ind w:left="2460" w:right="100"/>
        <w:spacing w:after="0" w:line="255" w:lineRule="auto"/>
        <w:rPr>
          <w:sz w:val="20"/>
          <w:szCs w:val="20"/>
          <w:color w:val="auto"/>
        </w:rPr>
      </w:pPr>
      <w:r>
        <w:rPr>
          <w:rFonts w:ascii="Arial" w:cs="Arial" w:eastAsia="Arial" w:hAnsi="Arial"/>
          <w:sz w:val="18"/>
          <w:szCs w:val="18"/>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38526M106</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February 9, 2022</w:t>
            </w: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40"/>
              <w:spacing w:after="0"/>
              <w:rPr>
                <w:sz w:val="20"/>
                <w:szCs w:val="20"/>
                <w:color w:val="auto"/>
              </w:rPr>
            </w:pPr>
            <w:r>
              <w:rPr>
                <w:rFonts w:ascii="Arial" w:cs="Arial" w:eastAsia="Arial" w:hAnsi="Arial"/>
                <w:sz w:val="18"/>
                <w:szCs w:val="18"/>
                <w:color w:val="auto"/>
              </w:rPr>
              <w:t>/s/ Stephanie Braming</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40"/>
              <w:spacing w:after="0"/>
              <w:rPr>
                <w:sz w:val="20"/>
                <w:szCs w:val="20"/>
                <w:color w:val="auto"/>
              </w:rPr>
            </w:pPr>
            <w:r>
              <w:rPr>
                <w:rFonts w:ascii="Arial" w:cs="Arial" w:eastAsia="Arial" w:hAnsi="Arial"/>
                <w:sz w:val="18"/>
                <w:szCs w:val="18"/>
                <w:color w:val="auto"/>
              </w:rPr>
              <w:t>Stephanie Braming</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40"/>
              <w:spacing w:after="0"/>
              <w:rPr>
                <w:sz w:val="20"/>
                <w:szCs w:val="20"/>
                <w:color w:val="auto"/>
              </w:rPr>
            </w:pPr>
            <w:r>
              <w:rPr>
                <w:rFonts w:ascii="Arial" w:cs="Arial" w:eastAsia="Arial" w:hAnsi="Arial"/>
                <w:sz w:val="18"/>
                <w:szCs w:val="18"/>
                <w:color w:val="auto"/>
              </w:rPr>
              <w:t>Partner, Global Head of Investment Management</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lvl w:ilvl="1">
      <w:lvlJc w:val="left"/>
      <w:lvlText w:val="%2."/>
      <w:numFmt w:val="decimal"/>
      <w:start w:val="5"/>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9"/>
    </w:lvl>
  </w:abstractNum>
  <w:abstractNum w:abstractNumId="9">
    <w:nsid w:val="4DB127F8"/>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2022-02-10T05:15:41Z</dcterms:created>
  <dcterms:modified xsi:type="dcterms:W3CDTF">2022-02-10T05:15:41Z</dcterms:modified>
</cp:coreProperties>
</file>