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4" w:space="1" w:color="000000"/>
          <w:bottom w:val="single" w:sz="2" w:space="1" w:color="000000"/>
        </w:pBdr>
        <w:spacing w:before="0" w:after="240"/>
        <w:ind w:left="0" w:right="0" w:hanging="0"/>
        <w:jc w:val="center"/>
        <w:rPr/>
      </w:pPr>
      <w:bookmarkStart w:id="0" w:name="lope-20230502x8k.htm"/>
      <w:bookmarkStart w:id="1" w:name="kslope20230502x8k"/>
      <w:bookmarkEnd w:id="0"/>
      <w:bookmarkEnd w:id="1"/>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8"/>
        </w:rPr>
      </w:pPr>
      <w:bookmarkStart w:id="2" w:name="_4a74b7ab_8273_42c3_829f_b4ce3cb0baee"/>
      <w:bookmarkEnd w:id="2"/>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May 2, 2023</w:t>
      </w:r>
    </w:p>
    <w:p>
      <w:pPr>
        <w:pStyle w:val="TextBody"/>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spacing w:before="0" w:after="0"/>
        <w:rPr>
          <w:sz w:val="4"/>
          <w:szCs w:val="4"/>
        </w:rPr>
      </w:pPr>
      <w:r>
        <w:rPr>
          <w:sz w:val="4"/>
          <w:szCs w:val="4"/>
        </w:rPr>
      </w:r>
      <w:bookmarkStart w:id="3" w:name="Tc_oynI-fYKP0yPt8oCiKyfBA_3_0"/>
      <w:bookmarkStart w:id="4" w:name="Tc_kNZI-Ez4PEWY6n7yaAlvNw_2_4"/>
      <w:bookmarkStart w:id="5" w:name="Tc_7LoUWXe3AUOttfqwqwrPTg_2_2"/>
      <w:bookmarkStart w:id="6" w:name="Tc_YB3W7w2yE0mAtjDWcWr9Dw_2_0"/>
      <w:bookmarkStart w:id="7" w:name="_7fa0ebfc_0c79_4dbe_87e0_6617c5cbb49e"/>
      <w:bookmarkStart w:id="8" w:name="Tc_oynI-fYKP0yPt8oCiKyfBA_3_0"/>
      <w:bookmarkStart w:id="9" w:name="Tc_kNZI-Ez4PEWY6n7yaAlvNw_2_4"/>
      <w:bookmarkStart w:id="10" w:name="Tc_7LoUWXe3AUOttfqwqwrPTg_2_2"/>
      <w:bookmarkStart w:id="11" w:name="Tc_YB3W7w2yE0mAtjDWcWr9Dw_2_0"/>
      <w:bookmarkStart w:id="12" w:name="_7fa0ebfc_0c79_4dbe_87e0_6617c5cbb49e"/>
      <w:bookmarkEnd w:id="8"/>
      <w:bookmarkEnd w:id="9"/>
      <w:bookmarkEnd w:id="10"/>
      <w:bookmarkEnd w:id="11"/>
      <w:bookmarkEnd w:id="12"/>
    </w:p>
    <w:tbl>
      <w:tblPr>
        <w:tblW w:w="8320" w:type="dxa"/>
        <w:jc w:val="left"/>
        <w:tblInd w:w="0" w:type="dxa"/>
        <w:tblCellMar>
          <w:top w:w="0" w:type="dxa"/>
          <w:left w:w="0" w:type="dxa"/>
          <w:bottom w:w="0" w:type="dxa"/>
          <w:right w:w="0" w:type="dxa"/>
        </w:tblCellMar>
      </w:tblPr>
      <w:tblGrid>
        <w:gridCol w:w="2476"/>
        <w:gridCol w:w="326"/>
        <w:gridCol w:w="2296"/>
        <w:gridCol w:w="326"/>
        <w:gridCol w:w="2896"/>
      </w:tblGrid>
      <w:tr>
        <w:trPr/>
        <w:tc>
          <w:tcPr>
            <w:tcW w:w="247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2896" w:type="dxa"/>
            <w:tcBorders/>
            <w:shd w:fill="auto" w:val="clear"/>
            <w:vAlign w:val="center"/>
          </w:tcPr>
          <w:p>
            <w:pPr>
              <w:pStyle w:val="TableContents"/>
              <w:spacing w:before="0" w:after="283"/>
              <w:ind w:left="0" w:right="0" w:hanging="0"/>
              <w:rPr>
                <w:sz w:val="4"/>
                <w:szCs w:val="4"/>
              </w:rPr>
            </w:pPr>
            <w:r>
              <w:rPr>
                <w:sz w:val="4"/>
                <w:szCs w:val="4"/>
              </w:rPr>
            </w:r>
          </w:p>
        </w:tc>
      </w:tr>
      <w:tr>
        <w:trPr/>
        <w:tc>
          <w:tcPr>
            <w:tcW w:w="247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shd w:fill="auto" w:val="clear"/>
            <w:vAlign w:val="center"/>
          </w:tcPr>
          <w:p>
            <w:pPr>
              <w:pStyle w:val="TableContents"/>
              <w:spacing w:before="0" w:after="0"/>
              <w:ind w:left="0" w:right="0" w:hanging="0"/>
              <w:jc w:val="center"/>
              <w:rPr/>
            </w:pPr>
            <w:r>
              <w:rPr/>
              <w:t>    </w:t>
            </w:r>
          </w:p>
        </w:tc>
        <w:tc>
          <w:tcPr>
            <w:tcW w:w="229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shd w:fill="auto" w:val="clear"/>
            <w:vAlign w:val="center"/>
          </w:tcPr>
          <w:p>
            <w:pPr>
              <w:pStyle w:val="TableContents"/>
              <w:spacing w:before="0" w:after="0"/>
              <w:ind w:left="0" w:right="0" w:hanging="0"/>
              <w:jc w:val="center"/>
              <w:rPr/>
            </w:pPr>
            <w:r>
              <w:rPr/>
              <w:t>    </w:t>
            </w:r>
          </w:p>
        </w:tc>
        <w:tc>
          <w:tcPr>
            <w:tcW w:w="289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shd w:fill="auto" w:val="clear"/>
            <w:vAlign w:val="center"/>
          </w:tcPr>
          <w:p>
            <w:pPr>
              <w:pStyle w:val="TableContents"/>
              <w:spacing w:before="0" w:after="240"/>
              <w:ind w:left="0" w:right="0" w:hanging="0"/>
              <w:jc w:val="center"/>
              <w:rPr/>
            </w:pPr>
            <w:r>
              <w:rPr/>
              <w:t>​</w:t>
            </w:r>
          </w:p>
        </w:tc>
        <w:tc>
          <w:tcPr>
            <w:tcW w:w="22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shd w:fill="auto" w:val="clear"/>
            <w:vAlign w:val="center"/>
          </w:tcPr>
          <w:p>
            <w:pPr>
              <w:pStyle w:val="TableContents"/>
              <w:spacing w:before="0" w:after="240"/>
              <w:ind w:left="0" w:right="0" w:hanging="0"/>
              <w:jc w:val="center"/>
              <w:rPr/>
            </w:pPr>
            <w:r>
              <w:rPr/>
              <w:t>​</w:t>
            </w:r>
          </w:p>
        </w:tc>
        <w:tc>
          <w:tcPr>
            <w:tcW w:w="28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shd w:fill="auto" w:val="clear"/>
            <w:vAlign w:val="center"/>
          </w:tcPr>
          <w:p>
            <w:pPr>
              <w:pStyle w:val="TableContents"/>
              <w:spacing w:before="0" w:after="240"/>
              <w:ind w:left="0" w:right="0" w:hanging="0"/>
              <w:jc w:val="center"/>
              <w:rPr/>
            </w:pPr>
            <w:r>
              <w:rPr/>
              <w:t>​</w:t>
            </w:r>
          </w:p>
        </w:tc>
        <w:tc>
          <w:tcPr>
            <w:tcW w:w="2296" w:type="dxa"/>
            <w:tcBorders/>
            <w:shd w:fill="auto" w:val="clear"/>
            <w:vAlign w:val="center"/>
          </w:tcPr>
          <w:p>
            <w:pPr>
              <w:pStyle w:val="TableContents"/>
              <w:spacing w:before="0" w:after="240"/>
              <w:ind w:left="0" w:right="0" w:hanging="0"/>
              <w:jc w:val="center"/>
              <w:rPr/>
            </w:pPr>
            <w:r>
              <w:rPr/>
              <w:t>​</w:t>
            </w:r>
          </w:p>
        </w:tc>
        <w:tc>
          <w:tcPr>
            <w:tcW w:w="326" w:type="dxa"/>
            <w:tcBorders/>
            <w:shd w:fill="auto" w:val="clear"/>
            <w:vAlign w:val="center"/>
          </w:tcPr>
          <w:p>
            <w:pPr>
              <w:pStyle w:val="TableContents"/>
              <w:spacing w:before="0" w:after="240"/>
              <w:ind w:left="0" w:right="0" w:hanging="0"/>
              <w:jc w:val="center"/>
              <w:rPr/>
            </w:pPr>
            <w:r>
              <w:rPr/>
              <w:t>​</w:t>
            </w:r>
          </w:p>
        </w:tc>
        <w:tc>
          <w:tcPr>
            <w:tcW w:w="2896" w:type="dxa"/>
            <w:tcBorders/>
            <w:shd w:fill="auto" w:val="clear"/>
            <w:vAlign w:val="center"/>
          </w:tcPr>
          <w:p>
            <w:pPr>
              <w:pStyle w:val="TableContents"/>
              <w:spacing w:before="0" w:after="240"/>
              <w:ind w:left="0" w:right="0" w:hanging="0"/>
              <w:jc w:val="center"/>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3" w:name="Tc_8meUldTBB0a2uFcKe9AAwQ_3_1"/>
      <w:bookmarkStart w:id="14" w:name="Tc_q4cm-j-sEU-vRlBuVASn5Q_3_0"/>
      <w:bookmarkStart w:id="15" w:name="Tc_7X8Z7ra8Aky6BfrLjdubrg_2_0"/>
      <w:bookmarkStart w:id="16" w:name="_9a323b27_c53c_42df_98ef_985e5341818d"/>
      <w:bookmarkStart w:id="17" w:name="Tc_8meUldTBB0a2uFcKe9AAwQ_3_1"/>
      <w:bookmarkStart w:id="18" w:name="Tc_q4cm-j-sEU-vRlBuVASn5Q_3_0"/>
      <w:bookmarkStart w:id="19" w:name="Tc_7X8Z7ra8Aky6BfrLjdubrg_2_0"/>
      <w:bookmarkStart w:id="20" w:name="_9a323b27_c53c_42df_98ef_985e5341818d"/>
      <w:bookmarkEnd w:id="17"/>
      <w:bookmarkEnd w:id="18"/>
      <w:bookmarkEnd w:id="19"/>
      <w:bookmarkEnd w:id="20"/>
    </w:p>
    <w:tbl>
      <w:tblPr>
        <w:tblW w:w="4397" w:type="dxa"/>
        <w:jc w:val="left"/>
        <w:tblInd w:w="0" w:type="dxa"/>
        <w:tblCellMar>
          <w:top w:w="0" w:type="dxa"/>
          <w:left w:w="0" w:type="dxa"/>
          <w:bottom w:w="0" w:type="dxa"/>
          <w:right w:w="0" w:type="dxa"/>
        </w:tblCellMar>
      </w:tblPr>
      <w:tblGrid>
        <w:gridCol w:w="3361"/>
        <w:gridCol w:w="1036"/>
      </w:tblGrid>
      <w:tr>
        <w:trPr/>
        <w:tc>
          <w:tcPr>
            <w:tcW w:w="3361"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rPr/>
            </w:pPr>
            <w:r>
              <w:rPr/>
              <w:t>​</w:t>
            </w:r>
          </w:p>
        </w:tc>
      </w:tr>
      <w:tr>
        <w:trPr/>
        <w:tc>
          <w:tcPr>
            <w:tcW w:w="3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shd w:fill="auto" w:val="clear"/>
            <w:vAlign w:val="center"/>
          </w:tcPr>
          <w:p>
            <w:pPr>
              <w:pStyle w:val="TableContents"/>
              <w:spacing w:before="0" w:after="240"/>
              <w:ind w:left="0" w:right="0" w:hanging="0"/>
              <w:jc w:val="center"/>
              <w:rPr/>
            </w:pPr>
            <w:r>
              <w:rPr/>
              <w:t>​</w:t>
            </w:r>
          </w:p>
        </w:tc>
      </w:tr>
      <w:tr>
        <w:trPr/>
        <w:tc>
          <w:tcPr>
            <w:tcW w:w="33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0" w:after="240"/>
        <w:ind w:left="0" w:right="0" w:hanging="0"/>
        <w:jc w:val="both"/>
        <w:rPr/>
      </w:pPr>
      <w:r>
        <w:rPr/>
        <w:t>​</w:t>
      </w:r>
    </w:p>
    <w:p>
      <w:pPr>
        <w:pStyle w:val="TextBody"/>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CellMar>
          <w:top w:w="0" w:type="dxa"/>
          <w:left w:w="0" w:type="dxa"/>
          <w:bottom w:w="0" w:type="dxa"/>
          <w:right w:w="0" w:type="dxa"/>
        </w:tblCellMar>
      </w:tblPr>
      <w:tblGrid>
        <w:gridCol w:w="5026"/>
      </w:tblGrid>
      <w:tr>
        <w:trPr/>
        <w:tc>
          <w:tcPr>
            <w:tcW w:w="5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50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spacing w:before="0" w:after="0"/>
        <w:ind w:left="0" w:right="0" w:hanging="0"/>
        <w:jc w:val="center"/>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0"/>
        <w:ind w:left="0" w:right="0" w:hanging="0"/>
        <w:rPr/>
      </w:pPr>
      <w:r>
        <w:rPr/>
        <w:t>​</w:t>
      </w:r>
    </w:p>
    <w:p>
      <w:pPr>
        <w:pStyle w:val="Normal"/>
        <w:spacing w:before="0" w:after="0"/>
        <w:rPr>
          <w:sz w:val="4"/>
          <w:szCs w:val="4"/>
        </w:rPr>
      </w:pPr>
      <w:r>
        <w:rPr>
          <w:sz w:val="4"/>
          <w:szCs w:val="4"/>
        </w:rPr>
      </w:r>
      <w:bookmarkStart w:id="21" w:name="Tc_3GCWXCt70kWDlsZuTuVCaA_0_2"/>
      <w:bookmarkStart w:id="22" w:name="Tc_HZApkxwcgEyVerGC856DRw_0_1"/>
      <w:bookmarkStart w:id="23" w:name="Tc_PtPcBjePQESgVH-TWL5O_A_0_0"/>
      <w:bookmarkStart w:id="24" w:name="_2f4b5bca_6f5b_4b11_908f_f1dd216d9493"/>
      <w:bookmarkStart w:id="25" w:name="Tc_3GCWXCt70kWDlsZuTuVCaA_0_2"/>
      <w:bookmarkStart w:id="26" w:name="Tc_HZApkxwcgEyVerGC856DRw_0_1"/>
      <w:bookmarkStart w:id="27" w:name="Tc_PtPcBjePQESgVH-TWL5O_A_0_0"/>
      <w:bookmarkStart w:id="28" w:name="_2f4b5bca_6f5b_4b11_908f_f1dd216d9493"/>
      <w:bookmarkEnd w:id="25"/>
      <w:bookmarkEnd w:id="26"/>
      <w:bookmarkEnd w:id="27"/>
      <w:bookmarkEnd w:id="28"/>
    </w:p>
    <w:tbl>
      <w:tblPr>
        <w:tblW w:w="7143" w:type="dxa"/>
        <w:jc w:val="left"/>
        <w:tblInd w:w="0" w:type="dxa"/>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Emerging growth company  ☐</w:t>
      </w:r>
    </w:p>
    <w:p>
      <w:pPr>
        <w:pStyle w:val="TextBody"/>
        <w:spacing w:before="0" w:after="60"/>
        <w:ind w:left="0" w:right="0" w:firstLine="720"/>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center"/>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hanging="0"/>
        <w:jc w:val="both"/>
        <w:rPr/>
      </w:pPr>
      <w:r>
        <w:rPr/>
        <w:t>​</w:t>
      </w:r>
    </w:p>
    <w:p>
      <w:pPr>
        <w:pStyle w:val="TextBody"/>
        <w:pBdr>
          <w:top w:val="single" w:sz="2" w:space="1" w:color="000000"/>
          <w:bottom w:val="single" w:sz="24" w:space="1" w:color="000000"/>
        </w:pBdr>
        <w:spacing w:lineRule="atLeast" w:line="141" w:before="0" w:after="240"/>
        <w:ind w:left="0" w:right="0" w:firstLine="72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May 2, 2023, the Company reported its results for the first quarter of 2023.  The press release dated May 2, 2023 is furnished as Exhibit 99.1 to this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Item 9.01. Consolidated Financial Statements and Exhibits.</w:t>
      </w:r>
    </w:p>
    <w:p>
      <w:pPr>
        <w:pStyle w:val="TextBody"/>
        <w:spacing w:before="0" w:after="0"/>
        <w:ind w:left="0" w:right="0" w:hanging="0"/>
        <w:jc w:val="both"/>
        <w:rPr/>
      </w:pPr>
      <w:r>
        <w:rPr>
          <w:rFonts w:ascii="Times New Roman;Times;serif" w:hAnsi="Times New Roman;Times;serif"/>
          <w:sz w:val="20"/>
        </w:rPr>
        <w:t>99.1       </w:t>
      </w:r>
      <w:hyperlink w:anchor="lope-20230502xex99d1.htm">
        <w:r>
          <w:rPr>
            <w:rStyle w:val="InternetLink"/>
            <w:rFonts w:ascii="Times New Roman;Times;serif" w:hAnsi="Times New Roman;Times;serif"/>
            <w:b w:val="false"/>
            <w:i w:val="false"/>
            <w:caps w:val="false"/>
            <w:smallCaps w:val="false"/>
            <w:sz w:val="20"/>
          </w:rPr>
          <w:t>Press Release dated May 2, 2023</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Date File (imbedded within the XBRL document)</w:t>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318" w:type="dxa"/>
        <w:jc w:val="left"/>
        <w:tblInd w:w="0" w:type="dxa"/>
        <w:tblCellMar>
          <w:top w:w="0" w:type="dxa"/>
          <w:left w:w="0" w:type="dxa"/>
          <w:bottom w:w="0" w:type="dxa"/>
          <w:right w:w="0" w:type="dxa"/>
        </w:tblCellMar>
      </w:tblPr>
      <w:tblGrid>
        <w:gridCol w:w="946"/>
        <w:gridCol w:w="326"/>
        <w:gridCol w:w="6046"/>
      </w:tblGrid>
      <w:tr>
        <w:trPr/>
        <w:tc>
          <w:tcPr>
            <w:tcW w:w="94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6046" w:type="dxa"/>
            <w:tcBorders/>
            <w:shd w:fill="auto" w:val="clear"/>
            <w:vAlign w:val="center"/>
          </w:tcPr>
          <w:p>
            <w:pPr>
              <w:pStyle w:val="TableContents"/>
              <w:spacing w:before="0" w:after="283"/>
              <w:ind w:left="0" w:right="0" w:hanging="0"/>
              <w:rPr>
                <w:sz w:val="4"/>
                <w:szCs w:val="4"/>
              </w:rPr>
            </w:pPr>
            <w:r>
              <w:rPr>
                <w:sz w:val="4"/>
                <w:szCs w:val="4"/>
              </w:rPr>
            </w:r>
          </w:p>
        </w:tc>
      </w:tr>
      <w:tr>
        <w:trPr/>
        <w:tc>
          <w:tcPr>
            <w:tcW w:w="946" w:type="dxa"/>
            <w:tcBorders>
              <w:bottom w:val="single" w:sz="2" w:space="0" w:color="000000"/>
            </w:tcBorders>
            <w:shd w:fill="auto" w:val="clear"/>
            <w:tcMar>
              <w:bottom w:w="28" w:type="dxa"/>
            </w:tcMar>
            <w:vAlign w:val="center"/>
          </w:tcPr>
          <w:p>
            <w:pPr>
              <w:pStyle w:val="TableContents"/>
              <w:pBdr/>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shd w:fill="auto" w:val="clear"/>
            <w:tcMar>
              <w:top w:w="28" w:type="dxa"/>
            </w:tcMar>
            <w:vAlign w:val="center"/>
          </w:tcPr>
          <w:p>
            <w:pPr>
              <w:pStyle w:val="TableContents"/>
              <w:spacing w:before="0" w:after="240"/>
              <w:ind w:left="0" w:right="0" w:hanging="0"/>
              <w:rPr/>
            </w:pPr>
            <w:r>
              <w:rPr/>
              <w:t>​</w:t>
            </w:r>
          </w:p>
        </w:tc>
        <w:tc>
          <w:tcPr>
            <w:tcW w:w="326" w:type="dxa"/>
            <w:tcBorders/>
            <w:shd w:fill="auto" w:val="clear"/>
            <w:vAlign w:val="center"/>
          </w:tcPr>
          <w:p>
            <w:pPr>
              <w:pStyle w:val="TableContents"/>
              <w:spacing w:before="0" w:after="240"/>
              <w:ind w:left="0" w:right="0" w:hanging="0"/>
              <w:rPr/>
            </w:pPr>
            <w:r>
              <w:rPr/>
              <w:t>​</w:t>
            </w:r>
          </w:p>
        </w:tc>
        <w:tc>
          <w:tcPr>
            <w:tcW w:w="6046" w:type="dxa"/>
            <w:tcBorders>
              <w:top w:val="single" w:sz="2" w:space="0" w:color="000000"/>
            </w:tcBorders>
            <w:shd w:fill="auto" w:val="clear"/>
            <w:tcMar>
              <w:top w:w="28" w:type="dxa"/>
            </w:tcMar>
            <w:vAlign w:val="center"/>
          </w:tcPr>
          <w:p>
            <w:pPr>
              <w:pStyle w:val="TableContents"/>
              <w:spacing w:before="0" w:after="240"/>
              <w:ind w:left="0" w:right="0" w:hanging="0"/>
              <w:rPr/>
            </w:pPr>
            <w:r>
              <w:rPr/>
              <w:t>​</w:t>
            </w:r>
          </w:p>
        </w:tc>
      </w:tr>
      <w:tr>
        <w:trPr/>
        <w:tc>
          <w:tcPr>
            <w:tcW w:w="94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26" w:type="dxa"/>
            <w:tcBorders/>
            <w:shd w:fill="auto" w:val="clear"/>
            <w:vAlign w:val="center"/>
          </w:tcPr>
          <w:p>
            <w:pPr>
              <w:pStyle w:val="TableContents"/>
              <w:spacing w:before="0" w:after="240"/>
              <w:ind w:left="0" w:right="0" w:hanging="0"/>
              <w:rPr/>
            </w:pPr>
            <w:r>
              <w:rPr/>
              <w:t>​</w:t>
            </w:r>
          </w:p>
        </w:tc>
        <w:tc>
          <w:tcPr>
            <w:tcW w:w="6046" w:type="dxa"/>
            <w:tcBorders/>
            <w:shd w:fill="auto" w:val="clear"/>
            <w:vAlign w:val="center"/>
          </w:tcPr>
          <w:p>
            <w:pPr>
              <w:pStyle w:val="TableContents"/>
              <w:spacing w:before="0" w:after="0"/>
              <w:ind w:left="0" w:right="0" w:hanging="0"/>
              <w:jc w:val="both"/>
              <w:rPr/>
            </w:pPr>
            <w:hyperlink w:anchor="lope-20230502xex99d1.htm">
              <w:r>
                <w:rPr>
                  <w:rStyle w:val="InternetLink"/>
                  <w:rFonts w:ascii="Times New Roman;Times;serif" w:hAnsi="Times New Roman;Times;serif"/>
                  <w:b w:val="false"/>
                  <w:i w:val="false"/>
                  <w:caps w:val="false"/>
                  <w:smallCaps w:val="false"/>
                  <w:sz w:val="20"/>
                </w:rPr>
                <w:t>Press Release dated May 2, 2023</w:t>
              </w:r>
            </w:hyperlink>
          </w:p>
        </w:tc>
      </w:tr>
      <w:tr>
        <w:trPr/>
        <w:tc>
          <w:tcPr>
            <w:tcW w:w="94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240"/>
              <w:ind w:left="0" w:right="0" w:hanging="0"/>
              <w:rPr/>
            </w:pPr>
            <w:r>
              <w:rPr/>
              <w:t>​</w:t>
            </w:r>
          </w:p>
        </w:tc>
        <w:tc>
          <w:tcPr>
            <w:tcW w:w="60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Date File (imbedded within the XBRL document)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937" w:type="dxa"/>
        <w:jc w:val="left"/>
        <w:tblInd w:w="0" w:type="dxa"/>
        <w:tblCellMar>
          <w:top w:w="0" w:type="dxa"/>
          <w:left w:w="0" w:type="dxa"/>
          <w:bottom w:w="0" w:type="dxa"/>
          <w:right w:w="0" w:type="dxa"/>
        </w:tblCellMar>
      </w:tblPr>
      <w:tblGrid>
        <w:gridCol w:w="1636"/>
        <w:gridCol w:w="422"/>
        <w:gridCol w:w="2879"/>
      </w:tblGrid>
      <w:tr>
        <w:trPr/>
        <w:tc>
          <w:tcPr>
            <w:tcW w:w="1636" w:type="dxa"/>
            <w:tcBorders/>
            <w:shd w:fill="auto" w:val="clear"/>
            <w:vAlign w:val="center"/>
          </w:tcPr>
          <w:p>
            <w:pPr>
              <w:pStyle w:val="TableContents"/>
              <w:spacing w:lineRule="auto" w:line="304" w:before="0" w:after="0"/>
              <w:ind w:left="0" w:right="0" w:hanging="0"/>
              <w:rPr/>
            </w:pPr>
            <w:r>
              <w:rPr/>
              <w:t>​</w:t>
            </w:r>
          </w:p>
        </w:tc>
        <w:tc>
          <w:tcPr>
            <w:tcW w:w="422" w:type="dxa"/>
            <w:tcBorders/>
            <w:shd w:fill="auto" w:val="clear"/>
            <w:vAlign w:val="center"/>
          </w:tcPr>
          <w:p>
            <w:pPr>
              <w:pStyle w:val="TableContents"/>
              <w:spacing w:lineRule="auto" w:line="304" w:before="0" w:after="0"/>
              <w:ind w:left="0" w:right="0" w:hanging="0"/>
              <w:rPr/>
            </w:pPr>
            <w:r>
              <w:rPr/>
              <w:t>​</w:t>
            </w:r>
          </w:p>
        </w:tc>
        <w:tc>
          <w:tcPr>
            <w:tcW w:w="2879" w:type="dxa"/>
            <w:tcBorders/>
            <w:shd w:fill="auto" w:val="clear"/>
            <w:vAlign w:val="center"/>
          </w:tcPr>
          <w:p>
            <w:pPr>
              <w:pStyle w:val="TableContents"/>
              <w:spacing w:lineRule="auto" w:line="304" w:before="0" w:after="0"/>
              <w:ind w:left="0" w:right="0" w:hanging="0"/>
              <w:rPr/>
            </w:pPr>
            <w:r>
              <w:rPr/>
              <w:t>​</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3301" w:type="dxa"/>
            <w:gridSpan w:val="2"/>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GRAND CANYON EDUCATION, INC.</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422" w:type="dxa"/>
            <w:tcBorders/>
            <w:shd w:fill="auto" w:val="clear"/>
            <w:vAlign w:val="center"/>
          </w:tcPr>
          <w:p>
            <w:pPr>
              <w:pStyle w:val="TableContents"/>
              <w:spacing w:lineRule="auto" w:line="304" w:before="0" w:after="0"/>
              <w:ind w:left="0" w:right="0" w:hanging="0"/>
              <w:rPr/>
            </w:pPr>
            <w:r>
              <w:rPr/>
              <w:t>​</w:t>
            </w:r>
          </w:p>
        </w:tc>
        <w:tc>
          <w:tcPr>
            <w:tcW w:w="2879" w:type="dxa"/>
            <w:tcBorders/>
            <w:shd w:fill="auto" w:val="clear"/>
            <w:vAlign w:val="center"/>
          </w:tcPr>
          <w:p>
            <w:pPr>
              <w:pStyle w:val="TableContents"/>
              <w:spacing w:lineRule="auto" w:line="304" w:before="0" w:after="0"/>
              <w:ind w:left="0" w:right="0" w:hanging="0"/>
              <w:rPr/>
            </w:pPr>
            <w:r>
              <w:rPr/>
              <w:t>​</w:t>
            </w:r>
          </w:p>
        </w:tc>
      </w:tr>
      <w:tr>
        <w:trPr/>
        <w:tc>
          <w:tcPr>
            <w:tcW w:w="163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422"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422" w:type="dxa"/>
            <w:tcBorders/>
            <w:shd w:fill="auto" w:val="clear"/>
            <w:vAlign w:val="center"/>
          </w:tcPr>
          <w:p>
            <w:pPr>
              <w:pStyle w:val="TableContents"/>
              <w:spacing w:lineRule="auto" w:line="304" w:before="0" w:after="0"/>
              <w:ind w:left="0" w:right="0" w:hanging="0"/>
              <w:rPr/>
            </w:pPr>
            <w:r>
              <w:rPr/>
              <w:t>​</w:t>
            </w:r>
          </w:p>
        </w:tc>
        <w:tc>
          <w:tcPr>
            <w:tcW w:w="2879"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422" w:type="dxa"/>
            <w:tcBorders/>
            <w:shd w:fill="auto" w:val="clear"/>
            <w:vAlign w:val="center"/>
          </w:tcPr>
          <w:p>
            <w:pPr>
              <w:pStyle w:val="TableContents"/>
              <w:spacing w:lineRule="auto" w:line="304" w:before="0" w:after="0"/>
              <w:ind w:left="0" w:right="0" w:hanging="0"/>
              <w:rPr/>
            </w:pPr>
            <w:r>
              <w:rPr/>
              <w:t>​</w:t>
            </w:r>
          </w:p>
        </w:tc>
        <w:tc>
          <w:tcPr>
            <w:tcW w:w="2879"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422" w:type="dxa"/>
            <w:tcBorders/>
            <w:shd w:fill="auto" w:val="clear"/>
            <w:vAlign w:val="center"/>
          </w:tcPr>
          <w:p>
            <w:pPr>
              <w:pStyle w:val="TableContents"/>
              <w:spacing w:lineRule="auto" w:line="304" w:before="0" w:after="0"/>
              <w:ind w:left="0" w:right="0" w:hanging="0"/>
              <w:rPr/>
            </w:pPr>
            <w:r>
              <w:rPr/>
              <w:t>​</w:t>
            </w:r>
          </w:p>
        </w:tc>
        <w:tc>
          <w:tcPr>
            <w:tcW w:w="2879"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r>
        <w:br w:type="page"/>
      </w:r>
    </w:p>
    <w:p>
      <w:pPr>
        <w:pStyle w:val="TextBody"/>
        <w:spacing w:before="0" w:after="0"/>
        <w:ind w:left="0" w:right="0" w:hanging="0"/>
        <w:jc w:val="right"/>
        <w:rPr>
          <w:rFonts w:ascii="Times New Roman;Times;serif" w:hAnsi="Times New Roman;Times;serif"/>
          <w:b/>
          <w:sz w:val="20"/>
        </w:rPr>
      </w:pPr>
      <w:bookmarkStart w:id="29" w:name="lope-20230502xex99d1.htm"/>
      <w:bookmarkStart w:id="30" w:name="kslope20230502xex99d1"/>
      <w:bookmarkEnd w:id="29"/>
      <w:bookmarkEnd w:id="30"/>
      <w:r>
        <w:rPr>
          <w:rFonts w:ascii="Times New Roman;Times;serif" w:hAnsi="Times New Roman;Times;serif"/>
          <w:b/>
          <w:sz w:val="20"/>
        </w:rPr>
        <w:t>Exhibit 99.1</w:t>
      </w:r>
    </w:p>
    <w:p>
      <w:pPr>
        <w:pStyle w:val="TextBody"/>
        <w:spacing w:before="0" w:after="0"/>
        <w:ind w:left="0" w:right="0" w:hanging="0"/>
        <w:jc w:val="right"/>
        <w:rPr/>
      </w:pPr>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NEWS RELEASE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Daniel E. Bachus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Grand Canyon Education, Inc.</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602-639-6648</w:t>
      </w:r>
    </w:p>
    <w:p>
      <w:pPr>
        <w:pStyle w:val="TextBody"/>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Dan.bachus@gce.com</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 REPORTS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 2023 RESULTS</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PHOENIX, AZ., May 2, 2023</w:t>
      </w:r>
      <w:r>
        <w:rPr>
          <w:rFonts w:ascii="Times New Roman;Times;serif" w:hAnsi="Times New Roman;Times;serif"/>
          <w:sz w:val="20"/>
        </w:rPr>
        <w:t>—</w:t>
      </w:r>
      <w:r>
        <w:rPr>
          <w:rFonts w:ascii="Times New Roman;Times;serif" w:hAnsi="Times New Roman;Times;serif"/>
          <w:b/>
          <w:sz w:val="20"/>
        </w:rPr>
        <w:t>Grand Canyon Education, Inc.</w:t>
      </w:r>
      <w:r>
        <w:rPr>
          <w:rFonts w:ascii="Times New Roman;Times;serif" w:hAnsi="Times New Roman;Times;serif"/>
          <w:sz w:val="20"/>
        </w:rPr>
        <w:t xml:space="preserve"> (NASDAQ: LOPE), (“GCE” or the “Company”), is a publicly traded education services company that currently provides services to 27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March 31, 2023. </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2023 Results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the three months ended March 31, 2023:</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revenue was $250.1 million for the first quarter of 2023, an increase of $6.0 million, or 2.5%, as compared to service revenue of $244.1 million for the first quarter of 2022. The increase year over year in service revenue was primarily due to an increase in GCU traditional campus enrollments of 6.6% and an increase in revenue per student year over year, partially offset by a decrease in students in a university partner’s Occupational Therapy Assistants (“OTA”) program of 19.9%. The increase in revenue per student between years is primarily due to the service revenue impact of the growth in the GCU traditional campus enrollments between years which has a higher revenue per student due to room, board and other ancillary revenues and the higher revenue per student at off-campus classroom and laboratory sites. Service revenue per student for Accelerated Bachelor of Science in Nursing (“ABSN”) program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March 31, 2023 was negatively impacted by the timing of the Spring semester for the ground traditional campus. The Spring semester started two days later in 2023 and extended four more days into April, which had the effect of shifting $4.5 million in service revenue from the first quarter of 2023 to the second quarter of 2023.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enrollments totaled 112,588 at March 31, 2023 as compared to 110,217 at March 31, 2022. University partner enrollments at our off-campus classroom and laboratory sites were 4,315, a decrease of 4.0% over enrollments at March 31, 2022, which includes 360 and 283 GCU students at March 31, 2023 and 2022, respectively. This growth rate has slowed over the past year primarily due to the 19.9% decline in OTA students. We opened one new off-campus classroom and laboratory site in the three months ended March 31, 2023 increasing the total number of these sites to 36 at March 31, 2023 and we anticipate opening three to four more in 2023 which we hope, along with the program change discussed earlier, will re-accelerate the ABSN student enrollment growth. Enrollments at GCU increased to 108,633 at March 31, 2023, an increase of 2.5% over enrollments at March 31, 2022. Enrollments for GCU ground students were 22,568 at March 31, 2023 up from 21,281 at March 31, 2022 primarily due to a 6.6% increase in traditional ground students between years. GCU online enrollments were 86,065 at March 31, 2023, up from 84,722 at March 31, 2022.</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three months ended March 31, 2023 was $74.5 million, a decrease of $3.0 million as compared to $77.5 million for the same period in 2022. The operating margin for the three months ended March 31, 2023 was 29.8%, compared to 31.7% for the same period in 2022.</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Income tax expense for the three months ended March 31, 2023 was $17.0 million, a decrease of $2.6 million, as compared to income tax expense of $19.6 million for the three months ended March 31, 2022.</w:t>
            </w:r>
            <w:r>
              <w:rPr>
                <w:caps w:val="false"/>
                <w:smallCaps w:val="false"/>
              </w:rPr>
              <w:t xml:space="preserve"> </w:t>
            </w:r>
            <w:r>
              <w:rPr>
                <w:rFonts w:ascii="Times New Roman;Times;serif" w:hAnsi="Times New Roman;Times;serif"/>
                <w:b w:val="false"/>
                <w:i w:val="false"/>
                <w:caps w:val="false"/>
                <w:smallCaps w:val="false"/>
                <w:sz w:val="20"/>
              </w:rPr>
              <w:t>This decrease was the result of a decrease in our effective tax rate between periods and a slight decrease in our taxable income. Our effective tax rate was 22.3% during the first quarter of 2023 compared to 25.2% during the first quarter of 2022. In the first quarter of 2023, the effective tax rate was impacted by excess tax benefits of $0.9 million as compared to only $0.1 million in the first quarter of 2022. In the first quarter of 2023 the effective tax rate was favorably impacted by state income tax refunds, while in the first quarter of 2022 the effective tax rate was unfavorably impacted by state audits.</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increased 2.6% to $59.6 million for the first quarter of 2023, compared to $58.1 million for the same period in 2022. As adjusted net income was $61.3 million and $60.1 million for the first quarters of 2023 and 2022, respectively.</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$1.94 and $1.66 for the first quarters of 2023 and 2022, respectively. As adjusted diluted net income per share was $2.00 and $1.72 for the first quarters of 2023 and 2022, respectively.</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decreased 4.2% to $86.6 million for the first quarter of 2023, compared to $90.4 million for the same period in 2022.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liquidity position, as measured by cash and cash equivalents and investments increased by $12.8 million between December 31, 2022 and March 31, 2023, which was largely attributable to cash flows from operations exceeding share repurchases and capital expenditures during the three months ended March 31, 2023. Our unrestricted cash and cash equivalents and investments were $194.5 million and $181.7 million at March 31, 2023 and December 31, 2022, respectively.</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Grand Canyon Education, Inc. Reports First Quarter 2023 Results and Full Year Outlook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2023 Outlook</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Q2 2023:</w:t>
      </w:r>
    </w:p>
    <w:tbl>
      <w:tblPr>
        <w:tblW w:w="5358" w:type="dxa"/>
        <w:jc w:val="left"/>
        <w:tblInd w:w="0" w:type="dxa"/>
        <w:tblCellMar>
          <w:top w:w="0" w:type="dxa"/>
          <w:left w:w="0" w:type="dxa"/>
          <w:bottom w:w="0" w:type="dxa"/>
          <w:right w:w="0" w:type="dxa"/>
        </w:tblCellMar>
      </w:tblPr>
      <w:tblGrid>
        <w:gridCol w:w="23"/>
        <w:gridCol w:w="170"/>
        <w:gridCol w:w="51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$206.0 million and $209.0 million;</w:t>
            </w:r>
          </w:p>
        </w:tc>
      </w:tr>
    </w:tbl>
    <w:tbl>
      <w:tblPr>
        <w:tblW w:w="4113" w:type="dxa"/>
        <w:jc w:val="left"/>
        <w:tblInd w:w="0" w:type="dxa"/>
        <w:tblCellMar>
          <w:top w:w="0" w:type="dxa"/>
          <w:left w:w="0" w:type="dxa"/>
          <w:bottom w:w="0" w:type="dxa"/>
          <w:right w:w="0" w:type="dxa"/>
        </w:tblCellMar>
      </w:tblPr>
      <w:tblGrid>
        <w:gridCol w:w="23"/>
        <w:gridCol w:w="170"/>
        <w:gridCol w:w="3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14.8% and 15.7%;</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24.9%;</w:t>
            </w:r>
          </w:p>
        </w:tc>
      </w:tr>
    </w:tbl>
    <w:tbl>
      <w:tblPr>
        <w:tblW w:w="3903" w:type="dxa"/>
        <w:jc w:val="left"/>
        <w:tblInd w:w="0" w:type="dxa"/>
        <w:tblCellMar>
          <w:top w:w="0" w:type="dxa"/>
          <w:left w:w="0" w:type="dxa"/>
          <w:bottom w:w="0" w:type="dxa"/>
          <w:right w:w="0" w:type="dxa"/>
        </w:tblCellMar>
      </w:tblPr>
      <w:tblGrid>
        <w:gridCol w:w="23"/>
        <w:gridCol w:w="170"/>
        <w:gridCol w:w="3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$0.79 and $0.85; and</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 million diluted shares.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diluted EPS guidance includes non-cash amortization of intangible assets net of taxes of $1.6 million, which equates to a $0.05 impact on diluted EPS.</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Q3 2023:</w:t>
      </w:r>
    </w:p>
    <w:tbl>
      <w:tblPr>
        <w:tblW w:w="5358" w:type="dxa"/>
        <w:jc w:val="left"/>
        <w:tblInd w:w="0" w:type="dxa"/>
        <w:tblCellMar>
          <w:top w:w="0" w:type="dxa"/>
          <w:left w:w="0" w:type="dxa"/>
          <w:bottom w:w="0" w:type="dxa"/>
          <w:right w:w="0" w:type="dxa"/>
        </w:tblCellMar>
      </w:tblPr>
      <w:tblGrid>
        <w:gridCol w:w="23"/>
        <w:gridCol w:w="170"/>
        <w:gridCol w:w="51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$215.5 million and $223.0 million;</w:t>
            </w:r>
          </w:p>
        </w:tc>
      </w:tr>
    </w:tbl>
    <w:tbl>
      <w:tblPr>
        <w:tblW w:w="4113" w:type="dxa"/>
        <w:jc w:val="left"/>
        <w:tblInd w:w="0" w:type="dxa"/>
        <w:tblCellMar>
          <w:top w:w="0" w:type="dxa"/>
          <w:left w:w="0" w:type="dxa"/>
          <w:bottom w:w="0" w:type="dxa"/>
          <w:right w:w="0" w:type="dxa"/>
        </w:tblCellMar>
      </w:tblPr>
      <w:tblGrid>
        <w:gridCol w:w="23"/>
        <w:gridCol w:w="170"/>
        <w:gridCol w:w="3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15.8% and 18.1%;</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24.9%;</w:t>
            </w:r>
          </w:p>
        </w:tc>
      </w:tr>
    </w:tbl>
    <w:tbl>
      <w:tblPr>
        <w:tblW w:w="3903" w:type="dxa"/>
        <w:jc w:val="left"/>
        <w:tblInd w:w="0" w:type="dxa"/>
        <w:tblCellMar>
          <w:top w:w="0" w:type="dxa"/>
          <w:left w:w="0" w:type="dxa"/>
          <w:bottom w:w="0" w:type="dxa"/>
          <w:right w:w="0" w:type="dxa"/>
        </w:tblCellMar>
      </w:tblPr>
      <w:tblGrid>
        <w:gridCol w:w="23"/>
        <w:gridCol w:w="170"/>
        <w:gridCol w:w="3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$0.88 and $1.04; and</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million diluted shares.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diluted EPS guidance includes non-cash amortization of intangible assets net of taxes of $1.6 million, which equates to a $0.05 impact on diluted EPS.</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Q4 2023:</w:t>
      </w:r>
    </w:p>
    <w:tbl>
      <w:tblPr>
        <w:tblW w:w="5358" w:type="dxa"/>
        <w:jc w:val="left"/>
        <w:tblInd w:w="0" w:type="dxa"/>
        <w:tblCellMar>
          <w:top w:w="0" w:type="dxa"/>
          <w:left w:w="0" w:type="dxa"/>
          <w:bottom w:w="0" w:type="dxa"/>
          <w:right w:w="0" w:type="dxa"/>
        </w:tblCellMar>
      </w:tblPr>
      <w:tblGrid>
        <w:gridCol w:w="23"/>
        <w:gridCol w:w="170"/>
        <w:gridCol w:w="51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$268.5 million and $283.0 million;</w:t>
            </w:r>
          </w:p>
        </w:tc>
      </w:tr>
    </w:tbl>
    <w:tbl>
      <w:tblPr>
        <w:tblW w:w="4113" w:type="dxa"/>
        <w:jc w:val="left"/>
        <w:tblInd w:w="0" w:type="dxa"/>
        <w:tblCellMar>
          <w:top w:w="0" w:type="dxa"/>
          <w:left w:w="0" w:type="dxa"/>
          <w:bottom w:w="0" w:type="dxa"/>
          <w:right w:w="0" w:type="dxa"/>
        </w:tblCellMar>
      </w:tblPr>
      <w:tblGrid>
        <w:gridCol w:w="23"/>
        <w:gridCol w:w="170"/>
        <w:gridCol w:w="3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33.5% and 36.4%;</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24.0%;</w:t>
            </w:r>
          </w:p>
        </w:tc>
      </w:tr>
    </w:tbl>
    <w:tbl>
      <w:tblPr>
        <w:tblW w:w="3903" w:type="dxa"/>
        <w:jc w:val="left"/>
        <w:tblInd w:w="0" w:type="dxa"/>
        <w:tblCellMar>
          <w:top w:w="0" w:type="dxa"/>
          <w:left w:w="0" w:type="dxa"/>
          <w:bottom w:w="0" w:type="dxa"/>
          <w:right w:w="0" w:type="dxa"/>
        </w:tblCellMar>
      </w:tblPr>
      <w:tblGrid>
        <w:gridCol w:w="23"/>
        <w:gridCol w:w="170"/>
        <w:gridCol w:w="3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$2.33 and $2.66; and</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 million diluted shares.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diluted EPS guidance includes non-cash amortization of intangible assets net of taxes of $1.6 million, which equates to a $0.05 impact on diluted EPS.</w:t>
      </w:r>
    </w:p>
    <w:p>
      <w:pPr>
        <w:pStyle w:val="TextBody"/>
        <w:pBdr/>
        <w:spacing w:before="0" w:after="0"/>
        <w:ind w:left="0" w:right="0" w:hanging="2160"/>
        <w:rPr>
          <w:rFonts w:ascii="Times New Roman;Times;serif" w:hAnsi="Times New Roman;Times;serif"/>
          <w:b/>
          <w:sz w:val="20"/>
        </w:rPr>
      </w:pPr>
      <w:r>
        <w:rPr>
          <w:rFonts w:ascii="Times New Roman;Times;serif" w:hAnsi="Times New Roman;Times;serif"/>
          <w:b/>
          <w:sz w:val="20"/>
        </w:rPr>
        <w:t>Full Year 2023:</w:t>
      </w:r>
    </w:p>
    <w:tbl>
      <w:tblPr>
        <w:tblW w:w="5358" w:type="dxa"/>
        <w:jc w:val="left"/>
        <w:tblInd w:w="0" w:type="dxa"/>
        <w:tblCellMar>
          <w:top w:w="0" w:type="dxa"/>
          <w:left w:w="0" w:type="dxa"/>
          <w:bottom w:w="0" w:type="dxa"/>
          <w:right w:w="0" w:type="dxa"/>
        </w:tblCellMar>
      </w:tblPr>
      <w:tblGrid>
        <w:gridCol w:w="23"/>
        <w:gridCol w:w="170"/>
        <w:gridCol w:w="51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$940.1 million and $965.1 million;</w:t>
            </w:r>
          </w:p>
        </w:tc>
      </w:tr>
    </w:tbl>
    <w:tbl>
      <w:tblPr>
        <w:tblW w:w="4113" w:type="dxa"/>
        <w:jc w:val="left"/>
        <w:tblInd w:w="0" w:type="dxa"/>
        <w:tblCellMar>
          <w:top w:w="0" w:type="dxa"/>
          <w:left w:w="0" w:type="dxa"/>
          <w:bottom w:w="0" w:type="dxa"/>
          <w:right w:w="0" w:type="dxa"/>
        </w:tblCellMar>
      </w:tblPr>
      <w:tblGrid>
        <w:gridCol w:w="23"/>
        <w:gridCol w:w="170"/>
        <w:gridCol w:w="3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24.4% and 26.0%;</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23.8%;</w:t>
            </w:r>
          </w:p>
        </w:tc>
      </w:tr>
    </w:tbl>
    <w:tbl>
      <w:tblPr>
        <w:tblW w:w="3693" w:type="dxa"/>
        <w:jc w:val="left"/>
        <w:tblInd w:w="0" w:type="dxa"/>
        <w:tblCellMar>
          <w:top w:w="0" w:type="dxa"/>
          <w:left w:w="0" w:type="dxa"/>
          <w:bottom w:w="0" w:type="dxa"/>
          <w:right w:w="0" w:type="dxa"/>
        </w:tblCellMar>
      </w:tblPr>
      <w:tblGrid>
        <w:gridCol w:w="23"/>
        <w:gridCol w:w="170"/>
        <w:gridCol w:w="35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5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between $5.94 and $6.49; and</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 million diluted shares.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diluted EPS guidance includes non-cash amortization of intangible assets net of taxes of $6.4 million, which equates to a $0.21 impact on diluted EPS.</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0"/>
        <w:ind w:left="0" w:right="0" w:hanging="0"/>
        <w:jc w:val="both"/>
        <w:rPr/>
      </w:pPr>
      <w:r>
        <w:rPr/>
        <w:t>​</w:t>
      </w:r>
    </w:p>
    <w:p>
      <w:pPr>
        <w:pStyle w:val="TextBody"/>
        <w:spacing w:lineRule="atLeast" w:line="220" w:before="0" w:after="0"/>
        <w:ind w:left="0" w:right="0" w:firstLine="720"/>
        <w:rPr>
          <w:rFonts w:ascii="Times New Roman;Times;serif" w:hAnsi="Times New Roman;Times;serif"/>
          <w:sz w:val="20"/>
        </w:rPr>
      </w:pPr>
      <w:r>
        <w:rPr>
          <w:rFonts w:ascii="Times New Roman;Times;serif" w:hAnsi="Times New Roman;Times;serif"/>
          <w:sz w:val="20"/>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pStyle w:val="TextBody"/>
        <w:spacing w:before="0" w:after="0"/>
        <w:ind w:left="0" w:right="0" w:hanging="0"/>
        <w:rPr/>
      </w:pPr>
      <w:r>
        <w:rPr/>
        <w:t>​</w:t>
      </w:r>
    </w:p>
    <w:p>
      <w:pPr>
        <w:pStyle w:val="TextBody"/>
        <w:spacing w:lineRule="atLeast" w:line="220" w:before="0" w:after="0"/>
        <w:ind w:left="0" w:right="0" w:firstLine="720"/>
        <w:rPr>
          <w:rFonts w:ascii="Times New Roman;Times;serif" w:hAnsi="Times New Roman;Times;serif"/>
          <w:sz w:val="20"/>
        </w:rPr>
      </w:pPr>
      <w:r>
        <w:rPr>
          <w:rFonts w:ascii="Times New Roman;Times;serif" w:hAnsi="Times New Roman;Times;serif"/>
          <w:sz w:val="20"/>
        </w:rPr>
        <w:t xml:space="preserve">Forward-looking statements should not be read as a guarantee of future performance or results and will not necessarily be accurate indications of the times at, or by, which such performance or results will be achieved. Forward-looking statements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lineRule="atLeast" w:line="220" w:before="0" w:after="0"/>
        <w:ind w:left="0" w:right="0" w:hanging="0"/>
        <w:rPr>
          <w:rFonts w:ascii="Times New Roman;Times;serif" w:hAnsi="Times New Roman;Times;serif"/>
          <w:sz w:val="20"/>
        </w:rPr>
      </w:pPr>
      <w:r>
        <w:rPr>
          <w:rFonts w:ascii="Times New Roman;Times;serif" w:hAnsi="Times New Roman;Times;serif"/>
          <w:sz w:val="20"/>
        </w:rPr>
        <w:t>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the harm to our business, results of operations, and financial condition, and harm to our university partners resulting from epidemics, pandemics, or public health crises: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in Part I, Item 1A of our Annual Report on Form 10-K for period ended December 31, 2022, as updated in our subsequent reports filed with the Securities and Exchange Commission on Form 10Q or Form 8-K.</w:t>
      </w:r>
    </w:p>
    <w:p>
      <w:pPr>
        <w:pStyle w:val="TextBody"/>
        <w:spacing w:before="0" w:after="0"/>
        <w:ind w:left="0" w:right="0" w:hanging="0"/>
        <w:rPr/>
      </w:pPr>
      <w:r>
        <w:rPr/>
        <w:t>​</w:t>
      </w:r>
    </w:p>
    <w:p>
      <w:pPr>
        <w:pStyle w:val="TextBody"/>
        <w:spacing w:lineRule="atLeast" w:line="220" w:before="0" w:after="0"/>
        <w:ind w:left="0" w:right="0" w:firstLine="720"/>
        <w:jc w:val="both"/>
        <w:rPr>
          <w:rFonts w:ascii="Times New Roman;Times;serif" w:hAnsi="Times New Roman;Times;serif"/>
          <w:sz w:val="20"/>
        </w:rPr>
      </w:pPr>
      <w:r>
        <w:rPr>
          <w:rFonts w:ascii="Times New Roman;Times;serif" w:hAnsi="Times New Roman;Times;serif"/>
          <w:sz w:val="20"/>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2023 Results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spacing w:before="0" w:after="0"/>
        <w:ind w:left="0" w:right="0" w:hanging="0"/>
        <w:jc w:val="both"/>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Grand Canyon Education, Inc. will discuss its first quarter 2023 results and full year 2023 outlook during a conference call scheduled for today, May 2, 2023 at 4:30 p.m. Eastern time (ET). </w:t>
      </w:r>
    </w:p>
    <w:p>
      <w:pPr>
        <w:pStyle w:val="TextBody"/>
        <w:pBdr/>
        <w:shd w:fill="FFFFFF" w:val="clear"/>
        <w:spacing w:before="280" w:after="0"/>
        <w:ind w:left="0" w:right="0" w:hanging="0"/>
        <w:rPr>
          <w:rFonts w:ascii="Times New Roman;Times;serif" w:hAnsi="Times New Roman;Times;serif"/>
          <w:b/>
          <w:color w:val="333333"/>
          <w:sz w:val="20"/>
        </w:rPr>
      </w:pPr>
      <w:r>
        <w:rPr>
          <w:rFonts w:ascii="Times New Roman;Times;serif" w:hAnsi="Times New Roman;Times;serif"/>
          <w:b/>
          <w:color w:val="333333"/>
          <w:sz w:val="20"/>
        </w:rPr>
        <w:t>Live Conference Dial-In:</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color w:val="333333"/>
          <w:sz w:val="20"/>
        </w:rPr>
        <w:t xml:space="preserve">Those interested in participating in the question-and-answer session should follow the conference dial-in instructions below. Participants may register for the call </w:t>
      </w:r>
      <w:r>
        <w:rPr>
          <w:rFonts w:ascii="Times New Roman;Times;serif" w:hAnsi="Times New Roman;Times;serif"/>
          <w:color w:val="0000FF"/>
          <w:sz w:val="20"/>
        </w:rPr>
        <w:t>here</w:t>
      </w:r>
      <w:r>
        <w:rPr>
          <w:rFonts w:ascii="Times New Roman;Times;serif" w:hAnsi="Times New Roman;Times;serif"/>
          <w:color w:val="333333"/>
          <w:sz w:val="20"/>
        </w:rPr>
        <w:t xml:space="preserve"> to receive the dial-in numbers and unique PIN to access the call seamlessly. Please dial in at least ten minutes prior to the start of the call.  Journalists are invited to listen only. </w:t>
      </w:r>
    </w:p>
    <w:p>
      <w:pPr>
        <w:pStyle w:val="TextBody"/>
        <w:pBdr/>
        <w:shd w:fill="FFFFFF" w:val="clear"/>
        <w:spacing w:before="0" w:after="0"/>
        <w:ind w:left="0" w:right="0" w:hanging="0"/>
        <w:rPr>
          <w:rFonts w:ascii="Times New Roman;Times;serif" w:hAnsi="Times New Roman;Times;serif"/>
          <w:b/>
          <w:color w:val="333333"/>
          <w:sz w:val="20"/>
        </w:rPr>
      </w:pPr>
      <w:r>
        <w:rPr>
          <w:rFonts w:ascii="Times New Roman;Times;serif" w:hAnsi="Times New Roman;Times;serif"/>
          <w:b/>
          <w:color w:val="333333"/>
          <w:sz w:val="20"/>
        </w:rPr>
        <w:t>Webcast and Replay:</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color w:val="333333"/>
          <w:sz w:val="20"/>
        </w:rPr>
        <w:t>Investors, journalists and the general public may access a live webcast of this event at: </w:t>
      </w:r>
      <w:r>
        <w:rPr>
          <w:rFonts w:ascii="Times New Roman;Times;serif" w:hAnsi="Times New Roman;Times;serif"/>
          <w:i/>
          <w:color w:val="337AB7"/>
          <w:sz w:val="20"/>
        </w:rPr>
        <w:t>Q1 2023 Grand Canyon Education Inc. Earnings Conference Call</w:t>
      </w:r>
      <w:r>
        <w:rPr>
          <w:rFonts w:ascii="Times New Roman;Times;serif" w:hAnsi="Times New Roman;Times;serif"/>
          <w:i/>
          <w:color w:val="333333"/>
          <w:sz w:val="20"/>
        </w:rPr>
        <w:t>. </w:t>
      </w:r>
      <w:r>
        <w:rPr>
          <w:rFonts w:ascii="Times New Roman;Times;serif" w:hAnsi="Times New Roman;Times;serif"/>
          <w:color w:val="333333"/>
          <w:sz w:val="20"/>
        </w:rPr>
        <w:t>A webcast replay will be available approximately two hours following the conclusion of the call at the same link.</w:t>
      </w:r>
    </w:p>
    <w:p>
      <w:pPr>
        <w:pStyle w:val="TextBody"/>
        <w:spacing w:before="28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About Grand Canyon Education, Inc.</w:t>
      </w:r>
    </w:p>
    <w:p>
      <w:pPr>
        <w:pStyle w:val="TextBody"/>
        <w:spacing w:before="0" w:after="100"/>
        <w:ind w:left="0" w:right="0" w:hanging="0"/>
        <w:jc w:val="both"/>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Grand Canyon Education, Inc. (“GCE”), incorporated in 2008, is a publicly traded education services company that currently provides services to 27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Grand Canyon Education, Inc., 2600 W. Camelback Road, Phoenix, AZ 85017, </w:t>
      </w:r>
      <w:r>
        <w:rPr>
          <w:rFonts w:ascii="Times New Roman;Times;serif" w:hAnsi="Times New Roman;Times;serif"/>
          <w:b/>
          <w:sz w:val="20"/>
        </w:rPr>
        <w:t>www.gce.com</w:t>
      </w:r>
      <w:r>
        <w:rPr>
          <w:rFonts w:ascii="Times New Roman;Times;serif" w:hAnsi="Times New Roman;Times;serif"/>
          <w:sz w:val="20"/>
        </w:rPr>
        <w:t>.</w:t>
      </w:r>
    </w:p>
    <w:p>
      <w:pPr>
        <w:pStyle w:val="TextBody"/>
        <w:spacing w:before="0" w:after="0"/>
        <w:ind w:left="0" w:right="0" w:firstLine="36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2023 Results</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6893" w:type="dxa"/>
        <w:jc w:val="left"/>
        <w:tblInd w:w="0" w:type="dxa"/>
        <w:tblCellMar>
          <w:top w:w="0" w:type="dxa"/>
          <w:left w:w="0" w:type="dxa"/>
          <w:bottom w:w="0" w:type="dxa"/>
          <w:right w:w="0" w:type="dxa"/>
        </w:tblCellMar>
      </w:tblPr>
      <w:tblGrid>
        <w:gridCol w:w="3886"/>
        <w:gridCol w:w="326"/>
        <w:gridCol w:w="211"/>
        <w:gridCol w:w="781"/>
        <w:gridCol w:w="326"/>
        <w:gridCol w:w="211"/>
        <w:gridCol w:w="781"/>
        <w:gridCol w:w="371"/>
      </w:tblGrid>
      <w:tr>
        <w:trPr/>
        <w:tc>
          <w:tcPr>
            <w:tcW w:w="3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67610" cy="175260"/>
                      <wp:effectExtent l="0" t="0" r="0" b="0"/>
                      <wp:wrapNone/>
                      <wp:docPr id="3" name="Frame3"/>
                      <a:graphic xmlns:a="http://schemas.openxmlformats.org/drawingml/2006/main">
                        <a:graphicData uri="http://schemas.microsoft.com/office/word/2010/wordprocessingShape">
                          <wps:wsp>
                            <wps:cNvSpPr txBox="1"/>
                            <wps:spPr>
                              <a:xfrm>
                                <a:off x="0" y="0"/>
                                <a:ext cx="2467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5585" cy="175260"/>
                      <wp:effectExtent l="0" t="0" r="0" b="0"/>
                      <wp:wrapNone/>
                      <wp:docPr id="10" name="Frame10"/>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rPr/>
            </w:pPr>
            <w:r>
              <w:rPr/>
              <w:t>    </w:t>
            </w:r>
          </w:p>
        </w:tc>
      </w:tr>
      <w:tr>
        <w:trPr/>
        <w:tc>
          <w:tcPr>
            <w:tcW w:w="38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 thousands, except per share data)</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Service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250,125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244,133</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Costs and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36,306</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73,349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67,513</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Marketing and communication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50,851</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9,893</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175,648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166,668</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77,465</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 interest and 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77,670</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17,047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19,592</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59,564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58,078</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Basic income per share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Diluted income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71" w:type="dxa"/>
            <w:tcBorders/>
            <w:shd w:fill="CCEEFF" w:val="clear"/>
            <w:vAlign w:val="center"/>
          </w:tcPr>
          <w:p>
            <w:pPr>
              <w:pStyle w:val="TableContents"/>
              <w:spacing w:before="0" w:after="0"/>
              <w:ind w:left="0" w:right="0" w:hanging="0"/>
              <w:rPr/>
            </w:pPr>
            <w:r>
              <w:rPr/>
              <w:t>​</w:t>
            </w:r>
          </w:p>
        </w:tc>
      </w:tr>
      <w:tr>
        <w:trPr/>
        <w:tc>
          <w:tcPr>
            <w:tcW w:w="38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Basic weighted average shares outstanding</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30,461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34,806</w:t>
            </w:r>
          </w:p>
        </w:tc>
        <w:tc>
          <w:tcPr>
            <w:tcW w:w="371" w:type="dxa"/>
            <w:tcBorders/>
            <w:shd w:fill="auto" w:val="clear"/>
            <w:vAlign w:val="center"/>
          </w:tcPr>
          <w:p>
            <w:pPr>
              <w:pStyle w:val="TableContents"/>
              <w:spacing w:before="0" w:after="0"/>
              <w:ind w:left="0" w:right="0" w:hanging="0"/>
              <w:rPr/>
            </w:pPr>
            <w:r>
              <w:rPr/>
              <w:t>​</w:t>
            </w:r>
          </w:p>
        </w:tc>
      </w:tr>
      <w:tr>
        <w:trPr/>
        <w:tc>
          <w:tcPr>
            <w:tcW w:w="38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Diluted weighted average shares outstanding</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34,901</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2023 Results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6944"/>
        <w:gridCol w:w="326"/>
        <w:gridCol w:w="214"/>
        <w:gridCol w:w="1031"/>
        <w:gridCol w:w="326"/>
        <w:gridCol w:w="226"/>
        <w:gridCol w:w="1138"/>
      </w:tblGrid>
      <w:tr>
        <w:trPr/>
        <w:tc>
          <w:tcPr>
            <w:tcW w:w="69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09440" cy="175260"/>
                      <wp:effectExtent l="0" t="0" r="0" b="0"/>
                      <wp:wrapNone/>
                      <wp:docPr id="11" name="Frame11"/>
                      <a:graphic xmlns:a="http://schemas.openxmlformats.org/drawingml/2006/main">
                        <a:graphicData uri="http://schemas.microsoft.com/office/word/2010/wordprocessingShape">
                          <wps:wsp>
                            <wps:cNvSpPr txBox="1"/>
                            <wps:spPr>
                              <a:xfrm>
                                <a:off x="0" y="0"/>
                                <a:ext cx="4409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4685" cy="175260"/>
                      <wp:effectExtent l="0" t="0" r="0" b="0"/>
                      <wp:wrapNone/>
                      <wp:docPr id="14" name="Frame14"/>
                      <a:graphic xmlns:a="http://schemas.openxmlformats.org/drawingml/2006/main">
                        <a:graphicData uri="http://schemas.microsoft.com/office/word/2010/wordprocessingShape">
                          <wps:wsp>
                            <wps:cNvSpPr txBox="1"/>
                            <wps:spPr>
                              <a:xfrm>
                                <a:off x="0" y="0"/>
                                <a:ext cx="654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2630" cy="175260"/>
                      <wp:effectExtent l="0" t="0" r="0" b="0"/>
                      <wp:wrapNone/>
                      <wp:docPr id="17" name="Frame17"/>
                      <a:graphic xmlns:a="http://schemas.openxmlformats.org/drawingml/2006/main">
                        <a:graphicData uri="http://schemas.microsoft.com/office/word/2010/wordprocessingShape">
                          <wps:wsp>
                            <wps:cNvSpPr txBox="1"/>
                            <wps:spPr>
                              <a:xfrm>
                                <a:off x="0" y="0"/>
                                <a:ext cx="722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9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6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94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 except par value)</w:t>
            </w:r>
          </w:p>
        </w:tc>
        <w:tc>
          <w:tcPr>
            <w:tcW w:w="326" w:type="dxa"/>
            <w:tcBorders/>
            <w:shd w:fill="auto" w:val="clear"/>
            <w:vAlign w:val="center"/>
          </w:tcPr>
          <w:p>
            <w:pPr>
              <w:pStyle w:val="TableContents"/>
              <w:spacing w:before="0" w:after="0"/>
              <w:ind w:left="0" w:right="0" w:hanging="0"/>
              <w:rPr/>
            </w:pPr>
            <w:r>
              <w:rPr/>
              <w:t>    </w:t>
            </w:r>
          </w:p>
        </w:tc>
        <w:tc>
          <w:tcPr>
            <w:tcW w:w="12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36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44" w:type="dxa"/>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1031" w:type="dxa"/>
            <w:tcBorders/>
            <w:shd w:fill="CCEEFF"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1138" w:type="dxa"/>
            <w:tcBorders/>
            <w:shd w:fill="CCEEFF" w:val="clear"/>
            <w:vAlign w:val="center"/>
          </w:tcPr>
          <w:p>
            <w:pPr>
              <w:pStyle w:val="TableContents"/>
              <w:spacing w:before="0" w:after="0"/>
              <w:ind w:left="0" w:right="0" w:hanging="0"/>
              <w:jc w:val="right"/>
              <w:rPr/>
            </w:pPr>
            <w:r>
              <w:rPr/>
              <w:t>​</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auto" w:val="clear"/>
            <w:vAlign w:val="center"/>
          </w:tcPr>
          <w:p>
            <w:pPr>
              <w:pStyle w:val="TableContents"/>
              <w:spacing w:before="0" w:after="0"/>
              <w:ind w:left="0" w:right="0" w:hanging="0"/>
              <w:rPr/>
            </w:pPr>
            <w:r>
              <w:rPr/>
              <w:t> </w:t>
            </w:r>
          </w:p>
        </w:tc>
        <w:tc>
          <w:tcPr>
            <w:tcW w:w="214" w:type="dxa"/>
            <w:tcBorders/>
            <w:shd w:fill="auto" w:val="clear"/>
            <w:vAlign w:val="center"/>
          </w:tcPr>
          <w:p>
            <w:pPr>
              <w:pStyle w:val="TableContents"/>
              <w:spacing w:before="0" w:after="0"/>
              <w:ind w:left="0" w:right="0" w:hanging="0"/>
              <w:rPr/>
            </w:pPr>
            <w:r>
              <w:rPr/>
              <w:t>​</w:t>
            </w:r>
          </w:p>
        </w:tc>
        <w:tc>
          <w:tcPr>
            <w:tcW w:w="10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26" w:type="dxa"/>
            <w:tcBorders/>
            <w:shd w:fill="auto" w:val="clear"/>
            <w:vAlign w:val="center"/>
          </w:tcPr>
          <w:p>
            <w:pPr>
              <w:pStyle w:val="TableContents"/>
              <w:spacing w:before="0" w:after="0"/>
              <w:ind w:left="0" w:right="0" w:hanging="0"/>
              <w:rPr/>
            </w:pPr>
            <w:r>
              <w:rPr/>
              <w:t>​</w:t>
            </w:r>
          </w:p>
        </w:tc>
        <w:tc>
          <w:tcPr>
            <w:tcW w:w="1138" w:type="dxa"/>
            <w:tcBorders/>
            <w:shd w:fill="auto" w:val="clear"/>
            <w:vAlign w:val="center"/>
          </w:tcPr>
          <w:p>
            <w:pPr>
              <w:pStyle w:val="TableContents"/>
              <w:spacing w:before="0" w:after="0"/>
              <w:ind w:left="0" w:right="0" w:hanging="0"/>
              <w:jc w:val="right"/>
              <w:rPr/>
            </w:pPr>
            <w:r>
              <w:rPr/>
              <w:t>  </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105,040</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120,409</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89,483</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61,295</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102,571</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77,413</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 receivable</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2,964</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2,788</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15,828</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11,368</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315,886</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273,273</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150,391</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147,504</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70,320</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72,719</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Amortizable intangible assets, net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174,695</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176,800</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874,021</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832,749</w:t>
            </w:r>
          </w:p>
        </w:tc>
      </w:tr>
      <w:tr>
        <w:trPr/>
        <w:tc>
          <w:tcPr>
            <w:tcW w:w="6944" w:type="dxa"/>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pPr>
            <w:r>
              <w:rPr/>
              <w:t>  </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pPr>
            <w:r>
              <w:rPr/>
              <w:t>  </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21,801</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20,006</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21,124</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36,412</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31,661</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22,473</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 payable</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26,568</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12,167</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9,678</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pPr>
            <w:r>
              <w:rPr/>
              <w:t>—</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portion of lease liability</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8,818</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8,648</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119,650</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99,706</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 noncurrent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28,049</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26,195</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liability, less current portion</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66,643</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68,793</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214,771</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195,130</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pPr>
            <w:r>
              <w:rPr/>
              <w:t>  </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pPr>
            <w:r>
              <w:rPr/>
              <w:t>  </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March 31, 2022 and December 31, 2022</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pPr>
            <w:r>
              <w:rPr/>
              <w:t>—</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$0.01 par value, 100,000 shares authorized; 53,966 and 53,830 shares issued and 30,823 and 31,058 shares outstanding at March 31, 2023 and December 31, 2022, respectively</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Treasury stock, at cost, 23,143 and 22,772 shares of common stock at March 31, 2023 and December 31, 2022, respectively</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(1,752,844)</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(1,711,423)</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10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312,677</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309,310</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10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11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2,099,291</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2,039,727</w:t>
            </w:r>
          </w:p>
        </w:tc>
      </w:tr>
      <w:tr>
        <w:trPr/>
        <w:tc>
          <w:tcPr>
            <w:tcW w:w="694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659,250</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637,619</w:t>
            </w:r>
          </w:p>
        </w:tc>
      </w:tr>
      <w:tr>
        <w:trPr/>
        <w:tc>
          <w:tcPr>
            <w:tcW w:w="694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874,021</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832,749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2023 Results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537" w:type="dxa"/>
        <w:jc w:val="left"/>
        <w:tblInd w:w="0" w:type="dxa"/>
        <w:tblCellMar>
          <w:top w:w="0" w:type="dxa"/>
          <w:left w:w="0" w:type="dxa"/>
          <w:bottom w:w="0" w:type="dxa"/>
          <w:right w:w="0" w:type="dxa"/>
        </w:tblCellMar>
      </w:tblPr>
      <w:tblGrid>
        <w:gridCol w:w="6721"/>
        <w:gridCol w:w="326"/>
        <w:gridCol w:w="211"/>
        <w:gridCol w:w="796"/>
        <w:gridCol w:w="326"/>
        <w:gridCol w:w="211"/>
        <w:gridCol w:w="946"/>
      </w:tblGrid>
      <w:tr>
        <w:trPr/>
        <w:tc>
          <w:tcPr>
            <w:tcW w:w="6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67835" cy="175260"/>
                      <wp:effectExtent l="0" t="0" r="0" b="0"/>
                      <wp:wrapNone/>
                      <wp:docPr id="18" name="Frame18"/>
                      <a:graphic xmlns:a="http://schemas.openxmlformats.org/drawingml/2006/main">
                        <a:graphicData uri="http://schemas.microsoft.com/office/word/2010/wordprocessingShape">
                          <wps:wsp>
                            <wps:cNvSpPr txBox="1"/>
                            <wps:spPr>
                              <a:xfrm>
                                <a:off x="0" y="0"/>
                                <a:ext cx="426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05460" cy="175260"/>
                      <wp:effectExtent l="0" t="0" r="0" b="0"/>
                      <wp:wrapNone/>
                      <wp:docPr id="21" name="Frame2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00710" cy="175260"/>
                      <wp:effectExtent l="0" t="0" r="0" b="0"/>
                      <wp:wrapNone/>
                      <wp:docPr id="24" name="Frame2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2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r>
      <w:tr>
        <w:trPr/>
        <w:tc>
          <w:tcPr>
            <w:tcW w:w="672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r>
      <w:tr>
        <w:trPr/>
        <w:tc>
          <w:tcPr>
            <w:tcW w:w="672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59,564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58,078</w:t>
            </w:r>
          </w:p>
        </w:tc>
      </w:tr>
      <w:tr>
        <w:trPr/>
        <w:tc>
          <w:tcPr>
            <w:tcW w:w="672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5,724</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including fixed asset impairments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assets and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from university partners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(31,943)</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(5,312)</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Right-of-use assets and lease liabilities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5,427</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2,377</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 receivable/payable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16,074</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12,162</w:t>
            </w:r>
          </w:p>
        </w:tc>
      </w:tr>
      <w:tr>
        <w:trPr/>
        <w:tc>
          <w:tcPr>
            <w:tcW w:w="672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70,260</w:t>
            </w:r>
          </w:p>
        </w:tc>
      </w:tr>
      <w:tr>
        <w:trPr/>
        <w:tc>
          <w:tcPr>
            <w:tcW w:w="672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  </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(6,784)</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of amortizable content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(62,834)</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sale or maturity of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72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(69,713)</w:t>
            </w:r>
          </w:p>
        </w:tc>
      </w:tr>
      <w:tr>
        <w:trPr/>
        <w:tc>
          <w:tcPr>
            <w:tcW w:w="672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  </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 of common shares and shares withheld in lieu of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(399,555)</w:t>
            </w:r>
          </w:p>
        </w:tc>
      </w:tr>
      <w:tr>
        <w:trPr/>
        <w:tc>
          <w:tcPr>
            <w:tcW w:w="672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(41,234)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(399,555)</w:t>
            </w:r>
          </w:p>
        </w:tc>
      </w:tr>
      <w:tr>
        <w:trPr/>
        <w:tc>
          <w:tcPr>
            <w:tcW w:w="672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decrease in cash and cash equivalents and restricted cash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(399,008)</w:t>
            </w:r>
          </w:p>
        </w:tc>
      </w:tr>
      <w:tr>
        <w:trPr/>
        <w:tc>
          <w:tcPr>
            <w:tcW w:w="672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beginning of period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600,941</w:t>
            </w:r>
          </w:p>
        </w:tc>
      </w:tr>
      <w:tr>
        <w:trPr/>
        <w:tc>
          <w:tcPr>
            <w:tcW w:w="672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end of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105,040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201,933</w:t>
            </w:r>
          </w:p>
        </w:tc>
      </w:tr>
      <w:tr>
        <w:trPr/>
        <w:tc>
          <w:tcPr>
            <w:tcW w:w="6721"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  </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672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  </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property and equipment included in accounts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ROU Asset and Liability recognition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1,980</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Excise tax on treasury stock repurchases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2023 Results</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Adjusted EBITDA  (Non-GAAP Financial Measure)</w:t>
      </w:r>
    </w:p>
    <w:p>
      <w:pPr>
        <w:pStyle w:val="TextBody"/>
        <w:spacing w:before="0" w:after="0"/>
        <w:ind w:left="0" w:right="0" w:hanging="0"/>
        <w:jc w:val="both"/>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pStyle w:val="TextBody"/>
        <w:spacing w:before="0" w:after="0"/>
        <w:ind w:left="0" w:right="0" w:firstLine="288"/>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pStyle w:val="TextBody"/>
        <w:spacing w:before="0" w:after="0"/>
        <w:ind w:left="0" w:right="0" w:hanging="0"/>
        <w:rPr/>
      </w:pPr>
      <w:r>
        <w:rPr/>
        <w:t>​</w:t>
      </w:r>
    </w:p>
    <w:tbl>
      <w:tblPr>
        <w:tblW w:w="6003" w:type="dxa"/>
        <w:jc w:val="left"/>
        <w:tblInd w:w="0" w:type="dxa"/>
        <w:tblCellMar>
          <w:top w:w="0" w:type="dxa"/>
          <w:left w:w="0" w:type="dxa"/>
          <w:bottom w:w="0" w:type="dxa"/>
          <w:right w:w="0" w:type="dxa"/>
        </w:tblCellMar>
      </w:tblPr>
      <w:tblGrid>
        <w:gridCol w:w="23"/>
        <w:gridCol w:w="170"/>
        <w:gridCol w:w="58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expenditures for capital expenditures or contractual commitments;</w:t>
            </w:r>
          </w:p>
        </w:tc>
      </w:tr>
    </w:tbl>
    <w:p>
      <w:pPr>
        <w:pStyle w:val="TextBody"/>
        <w:pBdr/>
        <w:spacing w:before="0" w:after="0"/>
        <w:ind w:left="360" w:right="0" w:hanging="360"/>
        <w:rPr/>
      </w:pPr>
      <w:r>
        <w:rPr/>
        <w:t>​</w:t>
      </w:r>
    </w:p>
    <w:tbl>
      <w:tblPr>
        <w:tblW w:w="5943" w:type="dxa"/>
        <w:jc w:val="left"/>
        <w:tblInd w:w="0" w:type="dxa"/>
        <w:tblCellMar>
          <w:top w:w="0" w:type="dxa"/>
          <w:left w:w="0" w:type="dxa"/>
          <w:bottom w:w="0" w:type="dxa"/>
          <w:right w:w="0" w:type="dxa"/>
        </w:tblCellMar>
      </w:tblPr>
      <w:tblGrid>
        <w:gridCol w:w="23"/>
        <w:gridCol w:w="170"/>
        <w:gridCol w:w="57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7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cash requirements for, our working capital requirements;</w:t>
            </w:r>
          </w:p>
        </w:tc>
      </w:tr>
    </w:tbl>
    <w:p>
      <w:pPr>
        <w:pStyle w:val="TextBody"/>
        <w:pBdr/>
        <w:spacing w:before="0" w:after="0"/>
        <w:ind w:left="360" w:right="0" w:hanging="360"/>
        <w:rPr/>
      </w:pPr>
      <w:r>
        <w:rPr/>
        <w:t>​</w:t>
      </w:r>
    </w:p>
    <w:tbl>
      <w:tblPr>
        <w:tblW w:w="8163" w:type="dxa"/>
        <w:jc w:val="left"/>
        <w:tblInd w:w="0" w:type="dxa"/>
        <w:tblCellMar>
          <w:top w:w="0" w:type="dxa"/>
          <w:left w:w="0" w:type="dxa"/>
          <w:bottom w:w="0" w:type="dxa"/>
          <w:right w:w="0" w:type="dxa"/>
        </w:tblCellMar>
      </w:tblPr>
      <w:tblGrid>
        <w:gridCol w:w="23"/>
        <w:gridCol w:w="170"/>
        <w:gridCol w:w="79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9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or the cash required to replace assets that are being depreciated or amortized; and</w:t>
            </w:r>
          </w:p>
        </w:tc>
      </w:tr>
    </w:tbl>
    <w:p>
      <w:pPr>
        <w:pStyle w:val="TextBody"/>
        <w:pBdr/>
        <w:spacing w:before="0" w:after="0"/>
        <w:ind w:left="360" w:right="0" w:hanging="36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reported results of earnings or charges resulting from the items for which we make adjustments to our EBITDA, as described above and set forth in the table below.</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provides a reconciliation of net income to Adjusted EBITDA, which is a non-GAAP measure for the periods indicated:</w:t>
      </w:r>
    </w:p>
    <w:p>
      <w:pPr>
        <w:pStyle w:val="TextBody"/>
        <w:spacing w:before="0" w:after="0"/>
        <w:ind w:left="0" w:right="0" w:hanging="0"/>
        <w:jc w:val="both"/>
        <w:rPr/>
      </w:pPr>
      <w:r>
        <w:rPr/>
        <w:t>​</w:t>
      </w:r>
    </w:p>
    <w:tbl>
      <w:tblPr>
        <w:tblW w:w="6068" w:type="dxa"/>
        <w:jc w:val="center"/>
        <w:tblInd w:w="0" w:type="dxa"/>
        <w:tblCellMar>
          <w:top w:w="0" w:type="dxa"/>
          <w:left w:w="0" w:type="dxa"/>
          <w:bottom w:w="0" w:type="dxa"/>
          <w:right w:w="0" w:type="dxa"/>
        </w:tblCellMar>
      </w:tblPr>
      <w:tblGrid>
        <w:gridCol w:w="3256"/>
        <w:gridCol w:w="326"/>
        <w:gridCol w:w="211"/>
        <w:gridCol w:w="691"/>
        <w:gridCol w:w="326"/>
        <w:gridCol w:w="211"/>
        <w:gridCol w:w="676"/>
        <w:gridCol w:w="371"/>
      </w:tblGrid>
      <w:tr>
        <w:trPr/>
        <w:tc>
          <w:tcPr>
            <w:tcW w:w="3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67560" cy="175260"/>
                      <wp:effectExtent l="0" t="0" r="0" b="0"/>
                      <wp:wrapNone/>
                      <wp:docPr id="25" name="Frame25"/>
                      <a:graphic xmlns:a="http://schemas.openxmlformats.org/drawingml/2006/main">
                        <a:graphicData uri="http://schemas.microsoft.com/office/word/2010/wordprocessingShape">
                          <wps:wsp>
                            <wps:cNvSpPr txBox="1"/>
                            <wps:spPr>
                              <a:xfrm>
                                <a:off x="0" y="0"/>
                                <a:ext cx="2067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29260" cy="175260"/>
                      <wp:effectExtent l="0" t="0" r="0" b="0"/>
                      <wp:wrapNone/>
                      <wp:docPr id="31" name="Frame3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6220" cy="175260"/>
                      <wp:effectExtent l="0" t="0" r="0" b="0"/>
                      <wp:wrapNone/>
                      <wp:docPr id="32" name="Frame32"/>
                      <a:graphic xmlns:a="http://schemas.openxmlformats.org/drawingml/2006/main">
                        <a:graphicData uri="http://schemas.microsoft.com/office/word/2010/wordprocessingShape">
                          <wps:wsp>
                            <wps:cNvSpPr txBox="1"/>
                            <wps:spPr>
                              <a:xfrm>
                                <a:off x="0" y="0"/>
                                <a:ext cx="236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0"/>
              <w:ind w:left="0" w:right="0" w:hanging="0"/>
              <w:jc w:val="center"/>
              <w:rPr/>
            </w:pPr>
            <w:r>
              <w:rPr/>
              <w:t>​</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shd w:fill="auto" w:val="clear"/>
            <w:vAlign w:val="center"/>
          </w:tcPr>
          <w:p>
            <w:pPr>
              <w:pStyle w:val="TableContents"/>
              <w:spacing w:before="0" w:after="0"/>
              <w:ind w:left="0" w:right="0" w:hanging="0"/>
              <w:jc w:val="center"/>
              <w:rPr/>
            </w:pPr>
            <w:r>
              <w:rPr/>
              <w:t>​</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6068"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c>
          <w:tcPr>
            <w:tcW w:w="371"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58,078</w:t>
            </w:r>
          </w:p>
        </w:tc>
        <w:tc>
          <w:tcPr>
            <w:tcW w:w="371"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Plus: 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investment interest and 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71"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Plus: income tax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19,592</w:t>
            </w:r>
          </w:p>
        </w:tc>
        <w:tc>
          <w:tcPr>
            <w:tcW w:w="371"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Plus: amortization of intangible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71"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Plus: depreciation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5,724</w:t>
            </w:r>
          </w:p>
        </w:tc>
        <w:tc>
          <w:tcPr>
            <w:tcW w:w="371"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EBITDA</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82,119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85,294</w:t>
            </w:r>
          </w:p>
        </w:tc>
        <w:tc>
          <w:tcPr>
            <w:tcW w:w="371"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Plus: loss on fixed asset disposal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71"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Plus: share-based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371"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Plus: litigation and regulatory reserves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71"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86,642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90,416</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jc w:val="both"/>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Non-GAAP Net Income and Non-GAAP Diluted Income Per Share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three-months ended March 31, 2023 and 2022, the table below provides reconciliations of these non-GAAP items to GAAP net income and GAAP diluted income per share, respectively:</w:t>
      </w:r>
    </w:p>
    <w:p>
      <w:pPr>
        <w:pStyle w:val="TextBody"/>
        <w:spacing w:before="0" w:after="0"/>
        <w:ind w:left="0" w:right="0" w:hanging="0"/>
        <w:rPr/>
      </w:pPr>
      <w:r>
        <w:rPr/>
        <w:t>​</w:t>
      </w:r>
    </w:p>
    <w:tbl>
      <w:tblPr>
        <w:tblW w:w="7797" w:type="dxa"/>
        <w:jc w:val="center"/>
        <w:tblInd w:w="0" w:type="dxa"/>
        <w:tblCellMar>
          <w:top w:w="0" w:type="dxa"/>
          <w:left w:w="0" w:type="dxa"/>
          <w:bottom w:w="0" w:type="dxa"/>
          <w:right w:w="0" w:type="dxa"/>
        </w:tblCellMar>
      </w:tblPr>
      <w:tblGrid>
        <w:gridCol w:w="4186"/>
        <w:gridCol w:w="456"/>
        <w:gridCol w:w="295"/>
        <w:gridCol w:w="947"/>
        <w:gridCol w:w="152"/>
        <w:gridCol w:w="295"/>
        <w:gridCol w:w="947"/>
        <w:gridCol w:w="519"/>
      </w:tblGrid>
      <w:tr>
        <w:trPr/>
        <w:tc>
          <w:tcPr>
            <w:tcW w:w="4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58110" cy="175260"/>
                      <wp:effectExtent l="0" t="0" r="0" b="0"/>
                      <wp:wrapNone/>
                      <wp:docPr id="33" name="Frame33"/>
                      <a:graphic xmlns:a="http://schemas.openxmlformats.org/drawingml/2006/main">
                        <a:graphicData uri="http://schemas.microsoft.com/office/word/2010/wordprocessingShape">
                          <wps:wsp>
                            <wps:cNvSpPr txBox="1"/>
                            <wps:spPr>
                              <a:xfrm>
                                <a:off x="0" y="0"/>
                                <a:ext cx="2658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9560" cy="175260"/>
                      <wp:effectExtent l="0" t="0" r="0" b="0"/>
                      <wp:wrapNone/>
                      <wp:docPr id="34" name="Frame34"/>
                      <a:graphic xmlns:a="http://schemas.openxmlformats.org/drawingml/2006/main">
                        <a:graphicData uri="http://schemas.microsoft.com/office/word/2010/wordprocessingShape">
                          <wps:wsp>
                            <wps:cNvSpPr txBox="1"/>
                            <wps:spPr>
                              <a:xfrm>
                                <a:off x="0" y="0"/>
                                <a:ext cx="289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87325" cy="175260"/>
                      <wp:effectExtent l="0" t="0" r="0" b="0"/>
                      <wp:wrapNone/>
                      <wp:docPr id="35" name="Frame35"/>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01345" cy="175260"/>
                      <wp:effectExtent l="0" t="0" r="0" b="0"/>
                      <wp:wrapNone/>
                      <wp:docPr id="36" name="Frame36"/>
                      <a:graphic xmlns:a="http://schemas.openxmlformats.org/drawingml/2006/main">
                        <a:graphicData uri="http://schemas.microsoft.com/office/word/2010/wordprocessingShape">
                          <wps:wsp>
                            <wps:cNvSpPr txBox="1"/>
                            <wps:spPr>
                              <a:xfrm>
                                <a:off x="0" y="0"/>
                                <a:ext cx="601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6520" cy="175260"/>
                      <wp:effectExtent l="0" t="0" r="0" b="0"/>
                      <wp:wrapNone/>
                      <wp:docPr id="37" name="Frame37"/>
                      <a:graphic xmlns:a="http://schemas.openxmlformats.org/drawingml/2006/main">
                        <a:graphicData uri="http://schemas.microsoft.com/office/word/2010/wordprocessingShape">
                          <wps:wsp>
                            <wps:cNvSpPr txBox="1"/>
                            <wps:spPr>
                              <a:xfrm>
                                <a:off x="0" y="0"/>
                                <a:ext cx="96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7325" cy="175260"/>
                      <wp:effectExtent l="0" t="0" r="0" b="0"/>
                      <wp:wrapNone/>
                      <wp:docPr id="38" name="Frame38"/>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01345" cy="175260"/>
                      <wp:effectExtent l="0" t="0" r="0" b="0"/>
                      <wp:wrapNone/>
                      <wp:docPr id="39" name="Frame39"/>
                      <a:graphic xmlns:a="http://schemas.openxmlformats.org/drawingml/2006/main">
                        <a:graphicData uri="http://schemas.microsoft.com/office/word/2010/wordprocessingShape">
                          <wps:wsp>
                            <wps:cNvSpPr txBox="1"/>
                            <wps:spPr>
                              <a:xfrm>
                                <a:off x="0" y="0"/>
                                <a:ext cx="601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9565" cy="175260"/>
                      <wp:effectExtent l="0" t="0" r="0" b="0"/>
                      <wp:wrapNone/>
                      <wp:docPr id="40" name="Frame40"/>
                      <a:graphic xmlns:a="http://schemas.openxmlformats.org/drawingml/2006/main">
                        <a:graphicData uri="http://schemas.microsoft.com/office/word/2010/wordprocessingShape">
                          <wps:wsp>
                            <wps:cNvSpPr txBox="1"/>
                            <wps:spPr>
                              <a:xfrm>
                                <a:off x="0" y="0"/>
                                <a:ext cx="329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86" w:type="dxa"/>
            <w:tcBorders/>
            <w:shd w:fill="auto" w:val="clear"/>
            <w:vAlign w:val="center"/>
          </w:tcPr>
          <w:p>
            <w:pPr>
              <w:pStyle w:val="TableContents"/>
              <w:spacing w:before="0" w:after="0"/>
              <w:ind w:left="0" w:right="0" w:hanging="0"/>
              <w:rPr/>
            </w:pPr>
            <w:r>
              <w:rPr/>
              <w:t>​</w:t>
            </w:r>
          </w:p>
        </w:tc>
        <w:tc>
          <w:tcPr>
            <w:tcW w:w="456" w:type="dxa"/>
            <w:tcBorders/>
            <w:shd w:fill="auto" w:val="clear"/>
            <w:vAlign w:val="center"/>
          </w:tcPr>
          <w:p>
            <w:pPr>
              <w:pStyle w:val="TableContents"/>
              <w:spacing w:before="0" w:after="0"/>
              <w:ind w:left="0" w:right="0" w:hanging="0"/>
              <w:rPr/>
            </w:pPr>
            <w:r>
              <w:rPr/>
              <w:t>​</w:t>
            </w:r>
          </w:p>
        </w:tc>
        <w:tc>
          <w:tcPr>
            <w:tcW w:w="263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519" w:type="dxa"/>
            <w:tcBorders/>
            <w:shd w:fill="auto"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456" w:type="dxa"/>
            <w:tcBorders/>
            <w:shd w:fill="auto" w:val="clear"/>
            <w:vAlign w:val="center"/>
          </w:tcPr>
          <w:p>
            <w:pPr>
              <w:pStyle w:val="TableContents"/>
              <w:spacing w:before="0" w:after="0"/>
              <w:ind w:left="0" w:right="0" w:hanging="0"/>
              <w:rPr/>
            </w:pPr>
            <w:r>
              <w:rPr/>
              <w:t>​</w:t>
            </w:r>
          </w:p>
        </w:tc>
        <w:tc>
          <w:tcPr>
            <w:tcW w:w="263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519" w:type="dxa"/>
            <w:tcBorders/>
            <w:shd w:fill="auto"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456" w:type="dxa"/>
            <w:tcBorders/>
            <w:shd w:fill="auto" w:val="clear"/>
            <w:vAlign w:val="center"/>
          </w:tcPr>
          <w:p>
            <w:pPr>
              <w:pStyle w:val="TableContents"/>
              <w:spacing w:before="0" w:after="0"/>
              <w:ind w:left="0" w:right="0" w:hanging="0"/>
              <w:rPr/>
            </w:pPr>
            <w:r>
              <w:rPr/>
              <w:t>    </w:t>
            </w:r>
          </w:p>
        </w:tc>
        <w:tc>
          <w:tcPr>
            <w:tcW w:w="12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2" w:type="dxa"/>
            <w:tcBorders/>
            <w:shd w:fill="auto" w:val="clear"/>
            <w:vAlign w:val="center"/>
          </w:tcPr>
          <w:p>
            <w:pPr>
              <w:pStyle w:val="TableContents"/>
              <w:spacing w:before="0" w:after="0"/>
              <w:ind w:left="0" w:right="0" w:hanging="0"/>
              <w:rPr/>
            </w:pPr>
            <w:r>
              <w:rPr/>
              <w:t>​</w:t>
            </w:r>
          </w:p>
        </w:tc>
        <w:tc>
          <w:tcPr>
            <w:tcW w:w="12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519" w:type="dxa"/>
            <w:tcBorders/>
            <w:shd w:fill="auto" w:val="clear"/>
            <w:vAlign w:val="center"/>
          </w:tcPr>
          <w:p>
            <w:pPr>
              <w:pStyle w:val="TableContents"/>
              <w:spacing w:before="0" w:after="0"/>
              <w:ind w:left="0" w:right="0" w:hanging="0"/>
              <w:rPr/>
            </w:pPr>
            <w:r>
              <w:rPr/>
              <w:t>    </w:t>
            </w:r>
          </w:p>
        </w:tc>
      </w:tr>
      <w:tr>
        <w:trPr/>
        <w:tc>
          <w:tcPr>
            <w:tcW w:w="7797"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186" w:type="dxa"/>
            <w:tcBorders/>
            <w:shd w:fill="auto" w:val="clear"/>
            <w:vAlign w:val="center"/>
          </w:tcPr>
          <w:p>
            <w:pPr>
              <w:pStyle w:val="TableContents"/>
              <w:spacing w:before="0" w:after="0"/>
              <w:ind w:left="0" w:right="0" w:hanging="0"/>
              <w:rPr/>
            </w:pPr>
            <w:r>
              <w:rPr/>
              <w:t>​</w:t>
            </w:r>
          </w:p>
        </w:tc>
        <w:tc>
          <w:tcPr>
            <w:tcW w:w="3611" w:type="dxa"/>
            <w:gridSpan w:val="7"/>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(Unaudited, in thousands except per share data)</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GAAP Net income</w:t>
            </w:r>
          </w:p>
        </w:tc>
        <w:tc>
          <w:tcPr>
            <w:tcW w:w="45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59,564</w:t>
            </w:r>
          </w:p>
        </w:tc>
        <w:tc>
          <w:tcPr>
            <w:tcW w:w="152"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58,078</w:t>
            </w:r>
          </w:p>
        </w:tc>
        <w:tc>
          <w:tcPr>
            <w:tcW w:w="519"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 assets</w:t>
            </w:r>
          </w:p>
        </w:tc>
        <w:tc>
          <w:tcPr>
            <w:tcW w:w="45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52"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 </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519"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disposal of fixed assets</w:t>
            </w:r>
          </w:p>
        </w:tc>
        <w:tc>
          <w:tcPr>
            <w:tcW w:w="45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52"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pPr>
            <w:r>
              <w:rPr/>
              <w:t> </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519"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effects of adjustments(1)</w:t>
            </w:r>
          </w:p>
        </w:tc>
        <w:tc>
          <w:tcPr>
            <w:tcW w:w="456" w:type="dxa"/>
            <w:tcBorders/>
            <w:shd w:fill="auto" w:val="clear"/>
            <w:vAlign w:val="center"/>
          </w:tcPr>
          <w:p>
            <w:pPr>
              <w:pStyle w:val="TableContents"/>
              <w:spacing w:before="0" w:after="0"/>
              <w:ind w:left="0" w:right="0" w:hanging="0"/>
              <w:rPr/>
            </w:pPr>
            <w:r>
              <w:rPr/>
              <w:t>​</w:t>
            </w:r>
          </w:p>
        </w:tc>
        <w:tc>
          <w:tcPr>
            <w:tcW w:w="29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152" w:type="dxa"/>
            <w:tcBorders/>
            <w:shd w:fill="auto" w:val="clear"/>
            <w:vAlign w:val="center"/>
          </w:tcPr>
          <w:p>
            <w:pPr>
              <w:pStyle w:val="TableContents"/>
              <w:spacing w:before="0" w:after="0"/>
              <w:ind w:left="0" w:right="0" w:hanging="0"/>
              <w:rPr/>
            </w:pPr>
            <w:r>
              <w:rPr/>
              <w:t>​</w:t>
            </w:r>
          </w:p>
        </w:tc>
        <w:tc>
          <w:tcPr>
            <w:tcW w:w="29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519"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 Adjusted, Non-GAAP Net income</w:t>
            </w:r>
          </w:p>
        </w:tc>
        <w:tc>
          <w:tcPr>
            <w:tcW w:w="456" w:type="dxa"/>
            <w:tcBorders/>
            <w:shd w:fill="CCEEFF" w:val="clear"/>
            <w:vAlign w:val="center"/>
          </w:tcPr>
          <w:p>
            <w:pPr>
              <w:pStyle w:val="TableContents"/>
              <w:spacing w:before="0" w:after="0"/>
              <w:ind w:left="0" w:right="0" w:hanging="0"/>
              <w:rPr/>
            </w:pPr>
            <w:r>
              <w:rPr/>
              <w:t>​</w:t>
            </w:r>
          </w:p>
        </w:tc>
        <w:tc>
          <w:tcPr>
            <w:tcW w:w="2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61,264</w:t>
            </w:r>
          </w:p>
        </w:tc>
        <w:tc>
          <w:tcPr>
            <w:tcW w:w="152" w:type="dxa"/>
            <w:tcBorders/>
            <w:shd w:fill="CCEEFF" w:val="clear"/>
            <w:vAlign w:val="center"/>
          </w:tcPr>
          <w:p>
            <w:pPr>
              <w:pStyle w:val="TableContents"/>
              <w:spacing w:before="0" w:after="0"/>
              <w:ind w:left="0" w:right="0" w:hanging="0"/>
              <w:rPr/>
            </w:pPr>
            <w:r>
              <w:rPr/>
              <w:t>​</w:t>
            </w:r>
          </w:p>
        </w:tc>
        <w:tc>
          <w:tcPr>
            <w:tcW w:w="2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60,146</w:t>
            </w:r>
          </w:p>
        </w:tc>
        <w:tc>
          <w:tcPr>
            <w:tcW w:w="519"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45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947" w:type="dxa"/>
            <w:tcBorders/>
            <w:shd w:fill="auto" w:val="clear"/>
            <w:vAlign w:val="center"/>
          </w:tcPr>
          <w:p>
            <w:pPr>
              <w:pStyle w:val="TableContents"/>
              <w:spacing w:before="0" w:after="0"/>
              <w:ind w:left="0" w:right="0" w:hanging="0"/>
              <w:rPr/>
            </w:pPr>
            <w:r>
              <w:rPr/>
              <w:t>​</w:t>
            </w:r>
          </w:p>
        </w:tc>
        <w:tc>
          <w:tcPr>
            <w:tcW w:w="152"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947" w:type="dxa"/>
            <w:tcBorders/>
            <w:shd w:fill="auto" w:val="clear"/>
            <w:vAlign w:val="center"/>
          </w:tcPr>
          <w:p>
            <w:pPr>
              <w:pStyle w:val="TableContents"/>
              <w:spacing w:before="0" w:after="0"/>
              <w:ind w:left="0" w:right="0" w:hanging="0"/>
              <w:jc w:val="right"/>
              <w:rPr/>
            </w:pPr>
            <w:r>
              <w:rPr/>
              <w:t>​</w:t>
            </w:r>
          </w:p>
        </w:tc>
        <w:tc>
          <w:tcPr>
            <w:tcW w:w="519"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GAAP Diluted income per share</w:t>
            </w:r>
          </w:p>
        </w:tc>
        <w:tc>
          <w:tcPr>
            <w:tcW w:w="45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2"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519"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intangible assets (2)</w:t>
            </w:r>
          </w:p>
        </w:tc>
        <w:tc>
          <w:tcPr>
            <w:tcW w:w="45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52"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94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519"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disposal of fixed assets (3)</w:t>
            </w:r>
          </w:p>
        </w:tc>
        <w:tc>
          <w:tcPr>
            <w:tcW w:w="456" w:type="dxa"/>
            <w:tcBorders/>
            <w:shd w:fill="CCEEFF" w:val="clear"/>
            <w:vAlign w:val="center"/>
          </w:tcPr>
          <w:p>
            <w:pPr>
              <w:pStyle w:val="TableContents"/>
              <w:spacing w:before="0" w:after="0"/>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52" w:type="dxa"/>
            <w:tcBorders/>
            <w:shd w:fill="CCEEFF" w:val="clear"/>
            <w:vAlign w:val="center"/>
          </w:tcPr>
          <w:p>
            <w:pPr>
              <w:pStyle w:val="TableContents"/>
              <w:spacing w:before="0" w:after="0"/>
              <w:ind w:left="0" w:right="0" w:hanging="0"/>
              <w:rPr/>
            </w:pPr>
            <w:r>
              <w:rPr/>
              <w:t>​</w:t>
            </w:r>
          </w:p>
        </w:tc>
        <w:tc>
          <w:tcPr>
            <w:tcW w:w="29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519"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 Adjusted, Non-GAAP Diluted income per share</w:t>
            </w:r>
          </w:p>
        </w:tc>
        <w:tc>
          <w:tcPr>
            <w:tcW w:w="456" w:type="dxa"/>
            <w:tcBorders/>
            <w:shd w:fill="auto" w:val="clear"/>
            <w:vAlign w:val="center"/>
          </w:tcPr>
          <w:p>
            <w:pPr>
              <w:pStyle w:val="TableContents"/>
              <w:spacing w:before="0" w:after="0"/>
              <w:ind w:left="0" w:right="0" w:hanging="0"/>
              <w:rPr/>
            </w:pPr>
            <w:r>
              <w:rPr/>
              <w:t>​</w:t>
            </w:r>
          </w:p>
        </w:tc>
        <w:tc>
          <w:tcPr>
            <w:tcW w:w="29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52" w:type="dxa"/>
            <w:tcBorders/>
            <w:shd w:fill="auto" w:val="clear"/>
            <w:vAlign w:val="center"/>
          </w:tcPr>
          <w:p>
            <w:pPr>
              <w:pStyle w:val="TableContents"/>
              <w:spacing w:before="0" w:after="0"/>
              <w:ind w:left="0" w:right="0" w:hanging="0"/>
              <w:rPr/>
            </w:pPr>
            <w:r>
              <w:rPr/>
              <w:t>​</w:t>
            </w:r>
          </w:p>
        </w:tc>
        <w:tc>
          <w:tcPr>
            <w:tcW w:w="29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519" w:type="dxa"/>
            <w:tcBorders/>
            <w:shd w:fill="auto" w:val="clear"/>
            <w:vAlign w:val="center"/>
          </w:tcPr>
          <w:p>
            <w:pPr>
              <w:pStyle w:val="TableContents"/>
              <w:spacing w:before="0" w:after="0"/>
              <w:ind w:left="0" w:right="0" w:hanging="0"/>
              <w:rPr/>
            </w:pPr>
            <w:r>
              <w:rPr/>
              <w:t>​</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23"/>
        <w:gridCol w:w="244"/>
        <w:gridCol w:w="9938"/>
      </w:tblGrid>
      <w:tr>
        <w:trPr/>
        <w:tc>
          <w:tcPr>
            <w:tcW w:w="2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tax effects of adjustments are based on the effective income tax rate applicable to adjusted (non-GAAP) results. </w:t>
            </w:r>
          </w:p>
        </w:tc>
      </w:tr>
    </w:tbl>
    <w:tbl>
      <w:tblPr>
        <w:tblW w:w="10205" w:type="dxa"/>
        <w:jc w:val="left"/>
        <w:tblInd w:w="0" w:type="dxa"/>
        <w:tblCellMar>
          <w:top w:w="0" w:type="dxa"/>
          <w:left w:w="0" w:type="dxa"/>
          <w:bottom w:w="0" w:type="dxa"/>
          <w:right w:w="0" w:type="dxa"/>
        </w:tblCellMar>
      </w:tblPr>
      <w:tblGrid>
        <w:gridCol w:w="23"/>
        <w:gridCol w:w="224"/>
        <w:gridCol w:w="9958"/>
      </w:tblGrid>
      <w:tr>
        <w:trPr/>
        <w:tc>
          <w:tcPr>
            <w:tcW w:w="2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5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acquired intangible assets per diluted share is net of an income tax benefit of $0.02 and $0.02 for the three months ended March 31, 2023 and 2022, respectively.</w:t>
            </w:r>
          </w:p>
        </w:tc>
      </w:tr>
    </w:tbl>
    <w:tbl>
      <w:tblPr>
        <w:tblW w:w="10205" w:type="dxa"/>
        <w:jc w:val="left"/>
        <w:tblInd w:w="0" w:type="dxa"/>
        <w:tblCellMar>
          <w:top w:w="0" w:type="dxa"/>
          <w:left w:w="0" w:type="dxa"/>
          <w:bottom w:w="0" w:type="dxa"/>
          <w:right w:w="0" w:type="dxa"/>
        </w:tblCellMar>
      </w:tblPr>
      <w:tblGrid>
        <w:gridCol w:w="23"/>
        <w:gridCol w:w="233"/>
        <w:gridCol w:w="9949"/>
      </w:tblGrid>
      <w:tr>
        <w:trPr/>
        <w:tc>
          <w:tcPr>
            <w:tcW w:w="2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fixed assets per diluted share is net of an income tax benefit of nil for both the three months ended March 31, 2023 and 2022.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Unicode M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4230</Words>
  <CharactersWithSpaces>27910</CharactersWithSpaces>
  <Paragraphs>1265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