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9, 2026</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5">
            <w:col w:w="2580" w:space="580"/>
            <w:col w:w="140" w:space="560"/>
            <w:col w:w="1980" w:space="700"/>
            <w:col w:w="140" w:space="380"/>
            <w:col w:w="286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985520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568960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Effective February 9, 2026, Grand Canyon Education, Inc. (the “Company”) appointed Dilek Marsh to the position of Chief Information Officer. In such capacity, Ms. Marsh will assume the responsibilities of the Company’s former Chief Information Officer and retain all of the responsibilities of her prior role as Chief Technology Officer.</w:t>
      </w:r>
    </w:p>
    <w:p>
      <w:pPr>
        <w:spacing w:after="0" w:line="176"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Ms. Marsh previously served as the Company’s Chief Technology Officer since July 2021, as Chief Data Officer since July 2018, as Executive Vice President since July 2012 and as Senior Vice President since August 2008. Ms. Marsh has been in higher education for the last 20 years. Ms. Marsh has served in information technology roles since 1999, including software development project management, business process design and business analytics. Ms. Marsh holds a Bachelor of Arts in Sociology from Bogazici University in Turkey, a Master of Arts in Anthropology from Arizona State University and a Master of Business Administration in Technology Management from the University of Phoenix.</w:t>
      </w:r>
    </w:p>
    <w:p>
      <w:pPr>
        <w:spacing w:after="0" w:line="18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her new role, Ms. Marsh entered into a new employment agreement with the Company (the “Employment Agreement”) on substantially similar terms to her prior employment agreement with the Company. Pursuant to the Employment Agreement, Ms. Marsh will (i) receive an increase in annual base salary to $346,000, and (ii) be eligible for an annual cash incentive bonus based on the achievement of certain performance metrics over each fiscal year, with a target increase to 50% of her base salary.</w:t>
      </w:r>
    </w:p>
    <w:p>
      <w:pPr>
        <w:spacing w:after="0" w:line="180"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Employment Agreement does not purport to be complete and is qualified in its entirety by the full text of the Employment Agreement, a copy of which will be timely filed as an exhibit to an upcoming periodic report in accordance with applicable rules and regulations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1151890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2026</w:t>
            </w: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33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2026-02-12T15:29:42Z</dcterms:created>
  <dcterms:modified xsi:type="dcterms:W3CDTF">2026-02-12T15:29:42Z</dcterms:modified>
</cp:coreProperties>
</file>