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-10795</wp:posOffset>
            </wp:positionV>
            <wp:extent cx="145415"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415" cy="196850"/>
                    </a:xfrm>
                    <a:prstGeom prst="rect">
                      <a:avLst/>
                    </a:prstGeom>
                    <a:noFill/>
                  </pic:spPr>
                </pic:pic>
              </a:graphicData>
            </a:graphic>
          </wp:anchor>
        </w:drawing>
      </w:r>
    </w:p>
    <w:p>
      <w:pPr>
        <w:jc w:val="both"/>
        <w:ind w:left="360" w:right="360" w:hanging="271"/>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40" w:space="28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Rich Crow Enterprises, LLC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7227 N. 16TH STREET, #190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Grand Canyon Education,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LOPE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8"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05/19/2009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p>
      <w:pPr>
        <w:ind w:left="543"/>
        <w:spacing w:after="0"/>
        <w:tabs>
          <w:tab w:leader="none" w:pos="1822" w:val="left"/>
          <w:tab w:leader="none" w:pos="2162"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380" w:space="597"/>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PHOENIX</w:t>
            </w:r>
          </w:p>
        </w:tc>
        <w:tc>
          <w:tcPr>
            <w:tcW w:w="1100" w:type="dxa"/>
            <w:vAlign w:val="bottom"/>
          </w:tcPr>
          <w:p>
            <w:pPr>
              <w:ind w:left="260"/>
              <w:spacing w:after="0"/>
              <w:rPr>
                <w:sz w:val="20"/>
                <w:szCs w:val="20"/>
                <w:color w:val="auto"/>
              </w:rPr>
            </w:pPr>
            <w:r>
              <w:rPr>
                <w:rFonts w:ascii="Arial" w:cs="Arial" w:eastAsia="Arial" w:hAnsi="Arial"/>
                <w:sz w:val="18"/>
                <w:szCs w:val="18"/>
                <w:color w:val="0000FF"/>
              </w:rPr>
              <w:t>AZ</w:t>
            </w:r>
          </w:p>
        </w:tc>
        <w:tc>
          <w:tcPr>
            <w:tcW w:w="1680" w:type="dxa"/>
            <w:vAlign w:val="bottom"/>
          </w:tcPr>
          <w:p>
            <w:pPr>
              <w:ind w:left="420"/>
              <w:spacing w:after="0"/>
              <w:rPr>
                <w:sz w:val="20"/>
                <w:szCs w:val="20"/>
                <w:color w:val="auto"/>
              </w:rPr>
            </w:pPr>
            <w:r>
              <w:rPr>
                <w:rFonts w:ascii="Arial" w:cs="Arial" w:eastAsia="Arial" w:hAnsi="Arial"/>
                <w:sz w:val="18"/>
                <w:szCs w:val="18"/>
                <w:color w:val="0000FF"/>
              </w:rPr>
              <w:t>85020</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36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ind w:left="64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740"/>
              <w:spacing w:after="0"/>
              <w:rPr>
                <w:sz w:val="20"/>
                <w:szCs w:val="20"/>
                <w:color w:val="auto"/>
              </w:rPr>
            </w:pPr>
            <w:r>
              <w:rPr>
                <w:rFonts w:ascii="Arial" w:cs="Arial" w:eastAsia="Arial" w:hAnsi="Arial"/>
                <w:sz w:val="18"/>
                <w:szCs w:val="18"/>
                <w:color w:val="0000FF"/>
              </w:rPr>
              <w:t>05/19/2009</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(1)</w:t>
            </w:r>
          </w:p>
        </w:tc>
        <w:tc>
          <w:tcPr>
            <w:tcW w:w="1140" w:type="dxa"/>
            <w:vAlign w:val="bottom"/>
            <w:tcBorders>
              <w:bottom w:val="single" w:sz="8" w:color="2C2C2C"/>
            </w:tcBorders>
            <w:gridSpan w:val="2"/>
          </w:tcPr>
          <w:p>
            <w:pPr>
              <w:ind w:left="100"/>
              <w:spacing w:after="0"/>
              <w:rPr>
                <w:sz w:val="20"/>
                <w:szCs w:val="20"/>
                <w:color w:val="auto"/>
              </w:rPr>
            </w:pPr>
            <w:r>
              <w:rPr>
                <w:rFonts w:ascii="Arial" w:cs="Arial" w:eastAsia="Arial" w:hAnsi="Arial"/>
                <w:sz w:val="18"/>
                <w:szCs w:val="18"/>
                <w:color w:val="0000FF"/>
              </w:rPr>
              <w:t>10,047,485</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D</w:t>
            </w:r>
          </w:p>
        </w:tc>
        <w:tc>
          <w:tcPr>
            <w:tcW w:w="64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4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
              <w:spacing w:after="0" w:line="324" w:lineRule="exact"/>
              <w:rPr>
                <w:sz w:val="20"/>
                <w:szCs w:val="20"/>
                <w:color w:val="auto"/>
              </w:rPr>
            </w:pP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520" w:firstLine="9"/>
        <w:spacing w:after="0" w:line="239" w:lineRule="auto"/>
        <w:tabs>
          <w:tab w:leader="none" w:pos="17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On May 19, 2009, the Reporting Person completed a pro rata distribution of all shares of the issuer's common stock owned by the Reporting Person to its members, each of which previously reported beneficial ownership of its respective pro rata interest in the Reporting Person.</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/s/Lyn Bickle, Attorney-in-Fact 06/22/2009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spacing w:after="0" w:line="5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50004" TargetMode="External"/><Relationship Id="rId13"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2019-12-18T01:10:00Z</dcterms:created>
  <dcterms:modified xsi:type="dcterms:W3CDTF">2019-12-18T01:10:00Z</dcterms:modified>
</cp:coreProperties>
</file>