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14, 2017</w:t>
      </w:r>
    </w:p>
    <w:p>
      <w:pPr>
        <w:spacing w:after="0" w:line="31" w:lineRule="exact"/>
        <w:rPr>
          <w:sz w:val="24"/>
          <w:szCs w:val="24"/>
          <w:color w:val="auto"/>
        </w:rPr>
      </w:pPr>
    </w:p>
    <w:p>
      <w:pPr>
        <w:ind w:left="92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660" w:type="dxa"/>
        <w:tblCellMar>
          <w:top w:w="0" w:type="dxa"/>
          <w:left w:w="0" w:type="dxa"/>
          <w:bottom w:w="0" w:type="dxa"/>
          <w:right w:w="0" w:type="dxa"/>
        </w:tblCellMar>
      </w:tblPr>
      <w:tr>
        <w:trPr>
          <w:trHeight w:val="214"/>
        </w:trPr>
        <w:tc>
          <w:tcPr>
            <w:tcW w:w="444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20-3356009</w:t>
            </w:r>
          </w:p>
        </w:tc>
      </w:tr>
      <w:tr>
        <w:trPr>
          <w:trHeight w:val="149"/>
        </w:trPr>
        <w:tc>
          <w:tcPr>
            <w:tcW w:w="444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44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8"/>
              </w:rPr>
              <w:t>3300 W. Camelback Road</w:t>
            </w:r>
          </w:p>
        </w:tc>
        <w:tc>
          <w:tcPr>
            <w:tcW w:w="3120" w:type="dxa"/>
            <w:vAlign w:val="bottom"/>
          </w:tcPr>
          <w:p>
            <w:pPr>
              <w:spacing w:after="0"/>
              <w:rPr>
                <w:sz w:val="24"/>
                <w:szCs w:val="24"/>
                <w:color w:val="auto"/>
              </w:rPr>
            </w:pPr>
          </w:p>
        </w:tc>
      </w:tr>
      <w:tr>
        <w:trPr>
          <w:trHeight w:val="227"/>
        </w:trPr>
        <w:tc>
          <w:tcPr>
            <w:tcW w:w="444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rPr>
              <w:t>Phoenix, Arizona</w:t>
            </w:r>
          </w:p>
        </w:tc>
        <w:tc>
          <w:tcPr>
            <w:tcW w:w="31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85017</w:t>
            </w:r>
          </w:p>
        </w:tc>
      </w:tr>
      <w:tr>
        <w:trPr>
          <w:trHeight w:val="190"/>
        </w:trPr>
        <w:tc>
          <w:tcPr>
            <w:tcW w:w="44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 2017 EQUITY INCENTIVE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M. Roberts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3300 W. Camelback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Arizona 85017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(602) 639-7500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P. Lewis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2415 East Camelback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Phoenix, Arizona 85016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606-5100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spacing w:after="0"/>
              <w:rPr>
                <w:sz w:val="24"/>
                <w:szCs w:val="24"/>
                <w:color w:val="auto"/>
              </w:rPr>
            </w:pP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9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21"/>
        </w:trPr>
        <w:tc>
          <w:tcPr>
            <w:tcW w:w="112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20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8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7(a)(2)(B) of the Securities Act.</w:t>
            </w:r>
          </w:p>
        </w:tc>
        <w:tc>
          <w:tcPr>
            <w:tcW w:w="1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5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66"/>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600" w:type="dxa"/>
            <w:vAlign w:val="bottom"/>
            <w:tcBorders>
              <w:right w:val="single" w:sz="8" w:color="auto"/>
            </w:tcBorders>
          </w:tcPr>
          <w:p>
            <w:pPr>
              <w:jc w:val="cente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6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20" w:type="dxa"/>
            <w:vAlign w:val="bottom"/>
            <w:gridSpan w:val="2"/>
          </w:tcPr>
          <w:p>
            <w:pPr>
              <w:jc w:val="center"/>
              <w:ind w:left="1199"/>
              <w:spacing w:after="0" w:line="160" w:lineRule="exact"/>
              <w:rPr>
                <w:sz w:val="20"/>
                <w:szCs w:val="20"/>
                <w:color w:val="auto"/>
              </w:rPr>
            </w:pPr>
            <w:r>
              <w:rPr>
                <w:rFonts w:ascii="Times New Roman" w:cs="Times New Roman" w:eastAsia="Times New Roman" w:hAnsi="Times New Roman"/>
                <w:sz w:val="14"/>
                <w:szCs w:val="14"/>
                <w:b w:val="1"/>
                <w:bCs w:val="1"/>
                <w:color w:val="auto"/>
              </w:rPr>
              <w:t>Title of Each Class of Securities</w:t>
            </w:r>
          </w:p>
        </w:tc>
        <w:tc>
          <w:tcPr>
            <w:tcW w:w="78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jc w:val="center"/>
              <w:ind w:left="4"/>
              <w:spacing w:after="0" w:line="160" w:lineRule="exact"/>
              <w:rPr>
                <w:sz w:val="20"/>
                <w:szCs w:val="20"/>
                <w:color w:val="auto"/>
              </w:rPr>
            </w:pPr>
            <w:r>
              <w:rPr>
                <w:rFonts w:ascii="Times New Roman" w:cs="Times New Roman" w:eastAsia="Times New Roman" w:hAnsi="Times New Roman"/>
                <w:sz w:val="14"/>
                <w:szCs w:val="14"/>
                <w:b w:val="1"/>
                <w:bCs w:val="1"/>
                <w:color w:val="auto"/>
              </w:rPr>
              <w:t>To Be</w:t>
            </w:r>
          </w:p>
        </w:tc>
        <w:tc>
          <w:tcPr>
            <w:tcW w:w="240" w:type="dxa"/>
            <w:vAlign w:val="bottom"/>
          </w:tcPr>
          <w:p>
            <w:pPr>
              <w:spacing w:after="0"/>
              <w:rPr>
                <w:sz w:val="13"/>
                <w:szCs w:val="13"/>
                <w:color w:val="auto"/>
              </w:rPr>
            </w:pPr>
          </w:p>
        </w:tc>
        <w:tc>
          <w:tcPr>
            <w:tcW w:w="1360" w:type="dxa"/>
            <w:vAlign w:val="bottom"/>
            <w:tcBorders>
              <w:right w:val="single" w:sz="8" w:color="auto"/>
            </w:tcBorders>
          </w:tcPr>
          <w:p>
            <w:pPr>
              <w:jc w:val="center"/>
              <w:ind w:right="86"/>
              <w:spacing w:after="0" w:line="160"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6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80" w:type="dxa"/>
            <w:vAlign w:val="bottom"/>
          </w:tcPr>
          <w:p>
            <w:pPr>
              <w:spacing w:after="0"/>
              <w:rPr>
                <w:sz w:val="13"/>
                <w:szCs w:val="13"/>
                <w:color w:val="auto"/>
              </w:rPr>
            </w:pP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476"/>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78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 (1)</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Per Share (2)</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 (2)</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32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3,000,000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66"/>
              <w:spacing w:after="0"/>
              <w:rPr>
                <w:sz w:val="20"/>
                <w:szCs w:val="20"/>
                <w:color w:val="auto"/>
              </w:rPr>
            </w:pPr>
            <w:r>
              <w:rPr>
                <w:rFonts w:ascii="Times New Roman" w:cs="Times New Roman" w:eastAsia="Times New Roman" w:hAnsi="Times New Roman"/>
                <w:sz w:val="18"/>
                <w:szCs w:val="18"/>
                <w:color w:val="auto"/>
              </w:rPr>
              <w:t>$80.05</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$240,150,000</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$27,833.39</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25" w:right="239" w:bottom="0" w:gutter="0" w:footer="0" w:header="0"/>
        </w:sectPr>
      </w:pPr>
    </w:p>
    <w:bookmarkStart w:id="1" w:name="page2"/>
    <w:bookmarkEnd w:id="1"/>
    <w:p>
      <w:pPr>
        <w:ind w:left="452" w:hanging="452"/>
        <w:spacing w:after="0" w:line="257" w:lineRule="auto"/>
        <w:tabs>
          <w:tab w:leader="none" w:pos="45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shares of Common Stock set forth in the Calculation of Registration Fee table and which may be offered pursuant to this Registration Statement include, pursuant to Rule 416 under the Securities Act of 1933, as amended (the “Securities Act”), such additional number of shares of the registrant’s common stock as may be issuable as a result of any stock splits, stock dividends or similar events.</w:t>
      </w:r>
    </w:p>
    <w:p>
      <w:pPr>
        <w:spacing w:after="0" w:line="1" w:lineRule="exact"/>
        <w:rPr>
          <w:rFonts w:ascii="Times New Roman" w:cs="Times New Roman" w:eastAsia="Times New Roman" w:hAnsi="Times New Roman"/>
          <w:sz w:val="18"/>
          <w:szCs w:val="18"/>
          <w:color w:val="auto"/>
        </w:rPr>
      </w:pPr>
    </w:p>
    <w:p>
      <w:pPr>
        <w:ind w:left="452" w:hanging="452"/>
        <w:spacing w:after="0" w:line="255" w:lineRule="auto"/>
        <w:tabs>
          <w:tab w:leader="none" w:pos="45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registration fee pursuant to Securities Act Rules 457(c) and 457(h). The proposed maximum offering price per share, proposed maximum aggregate offering price and the amount of the registration fee are based on the average of the high and low prices of the Registrant’s shares of Common Stock on June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181610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72"/>
          </w:cols>
          <w:pgMar w:left="248" w:top="270"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Items 1 and 2, have been or will be delivered to participants in accordance with Form S-8 and Rule 428 under the Securities Act of 1933, as amended (the “Securities Act”). In accordance with the rules and regulations of the Securities and Exchange Commission (the “SEC”) and the instructions to Form S-8, such documents are not being filed with the SEC either as part of this Registration Statement or as prospectuses or prospectus supplements pursuant to Rule 424 under the Securities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121" w:lineRule="exact"/>
        <w:rPr>
          <w:sz w:val="20"/>
          <w:szCs w:val="20"/>
          <w:color w:val="auto"/>
        </w:rPr>
      </w:pPr>
    </w:p>
    <w:p>
      <w:pPr>
        <w:ind w:right="80" w:firstLine="913"/>
        <w:spacing w:after="0" w:line="282" w:lineRule="auto"/>
        <w:rPr>
          <w:sz w:val="20"/>
          <w:szCs w:val="20"/>
          <w:color w:val="auto"/>
        </w:rPr>
      </w:pPr>
      <w:r>
        <w:rPr>
          <w:rFonts w:ascii="Times New Roman" w:cs="Times New Roman" w:eastAsia="Times New Roman" w:hAnsi="Times New Roman"/>
          <w:sz w:val="18"/>
          <w:szCs w:val="18"/>
          <w:color w:val="auto"/>
        </w:rPr>
        <w:t>Grand Canyon Education, Inc. (the “Registrant”) hereby incorporates by reference into this Registration Statement the following documents that have been filed by the Registrant with the SEC pursuant to the Securities Exchange Act of 1934, as amended (the “Exchange Act”):</w:t>
      </w:r>
    </w:p>
    <w:p>
      <w:pPr>
        <w:spacing w:after="0" w:line="162" w:lineRule="exact"/>
        <w:rPr>
          <w:sz w:val="20"/>
          <w:szCs w:val="20"/>
          <w:color w:val="auto"/>
        </w:rPr>
      </w:pPr>
    </w:p>
    <w:p>
      <w:pPr>
        <w:jc w:val="both"/>
        <w:ind w:right="120" w:firstLine="1492"/>
        <w:spacing w:after="0" w:line="266" w:lineRule="auto"/>
        <w:tabs>
          <w:tab w:leader="none" w:pos="1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Annual Report on Form 10-K filed pursuant to Sections 13(a) or 15(d) of the Securities Exchange Act of 1934, as amended (the “Exchange Act”), containing audited financial statements for the Company’s fiscal year ended December 31, 2016, as filed with the Securities and Exchange Commission on February 16, 2017.</w:t>
      </w:r>
    </w:p>
    <w:p>
      <w:pPr>
        <w:spacing w:after="0" w:line="176" w:lineRule="exact"/>
        <w:rPr>
          <w:rFonts w:ascii="Times New Roman" w:cs="Times New Roman" w:eastAsia="Times New Roman" w:hAnsi="Times New Roman"/>
          <w:sz w:val="18"/>
          <w:szCs w:val="18"/>
          <w:color w:val="auto"/>
        </w:rPr>
      </w:pPr>
    </w:p>
    <w:p>
      <w:pPr>
        <w:ind w:left="1880" w:hanging="388"/>
        <w:spacing w:after="0"/>
        <w:tabs>
          <w:tab w:leader="none" w:pos="1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Registrant’s Quarterly Report on Form 10-Q for the fiscal quarter ended March 31, 2017, as filed with the SEC on May 4,</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w:t>
      </w:r>
    </w:p>
    <w:p>
      <w:pPr>
        <w:spacing w:after="0" w:line="206" w:lineRule="exact"/>
        <w:rPr>
          <w:rFonts w:ascii="Times New Roman" w:cs="Times New Roman" w:eastAsia="Times New Roman" w:hAnsi="Times New Roman"/>
          <w:sz w:val="18"/>
          <w:szCs w:val="18"/>
          <w:color w:val="auto"/>
        </w:rPr>
      </w:pPr>
    </w:p>
    <w:p>
      <w:pPr>
        <w:ind w:left="2200" w:hanging="252"/>
        <w:spacing w:after="0"/>
        <w:tabs>
          <w:tab w:leader="none" w:pos="22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as filed with the SEC on January 20, 2017, and June 14, 2017.</w:t>
      </w:r>
    </w:p>
    <w:p>
      <w:pPr>
        <w:spacing w:after="0" w:line="225" w:lineRule="exact"/>
        <w:rPr>
          <w:rFonts w:ascii="Times New Roman" w:cs="Times New Roman" w:eastAsia="Times New Roman" w:hAnsi="Times New Roman"/>
          <w:sz w:val="18"/>
          <w:szCs w:val="18"/>
          <w:color w:val="auto"/>
        </w:rPr>
      </w:pPr>
    </w:p>
    <w:p>
      <w:pPr>
        <w:ind w:right="120" w:firstLine="1492"/>
        <w:spacing w:after="0" w:line="266" w:lineRule="auto"/>
        <w:tabs>
          <w:tab w:leader="none" w:pos="1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Registrant’s common stock contained in Registrant’s Registration Statement on Form 8-A (File No. 001-34211) filed with the SEC on November 14, 2008, pursuant to Section 12(b) of the Exchange Act, including any amendment or report filed for the purpose of updating such description.</w:t>
      </w:r>
    </w:p>
    <w:p>
      <w:pPr>
        <w:spacing w:after="0" w:line="176"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All documents filed by us pursuant to Sections 13(a), 13(c), 14 and 15(d) of the Exchange Act on or after the date of this Registration Statement and prior to the filing of a post-effective amendment to this Registration Statement that indicate that all securities offered have been sold or that deregisters all securities then remaining unsold shall be deemed to be incorporated by reference into this Registration Statement and to be a part hereof from the date of filing of such documents.</w:t>
      </w:r>
    </w:p>
    <w:p>
      <w:pPr>
        <w:spacing w:after="0" w:line="180"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266" w:right="259" w:bottom="144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Section 145(a) of the Delaware General Corporation Law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8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189"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4" w:lineRule="exact"/>
        <w:rPr>
          <w:sz w:val="20"/>
          <w:szCs w:val="20"/>
          <w:color w:val="auto"/>
        </w:rPr>
      </w:pPr>
    </w:p>
    <w:p>
      <w:pPr>
        <w:ind w:right="40" w:firstLine="456"/>
        <w:spacing w:after="0" w:line="274" w:lineRule="auto"/>
        <w:rPr>
          <w:sz w:val="20"/>
          <w:szCs w:val="20"/>
          <w:color w:val="auto"/>
        </w:rPr>
      </w:pPr>
      <w:r>
        <w:rPr>
          <w:rFonts w:ascii="Times New Roman" w:cs="Times New Roman" w:eastAsia="Times New Roman" w:hAnsi="Times New Roman"/>
          <w:sz w:val="17"/>
          <w:szCs w:val="17"/>
          <w:color w:val="auto"/>
        </w:rPr>
        <w:t>Section 8.1 of our bylaws provides that we will indemnify, to the fullest extent permitted by the DGCL, any person who was or is made or is threatened to be made a party or is otherwise involved in any action, suit, or proceeding, whether civil, criminal, administrative, or investigative, by reason of the fact that he, or a person for whom he is the legal representative, is or was one of our directors or officers or, while serving as one of our directors or officers, is or was serving at our request as a director, officer, employee, or agent of another corporation or of another entity, against all liability and loss suffered and expenses (including attorneys’ fees) reasonably incurred by such person, subject to limited exceptions relating to indemnity in connection with a proceeding (or part thereof) initiated by such person. Section 8.1 of our bylaws further provides for the advancement of expenses to each of our officers and directors.</w:t>
      </w:r>
    </w:p>
    <w:p>
      <w:pPr>
        <w:spacing w:after="0" w:line="17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Article VIII of our charter provides that, to the fullest extent permitted by the DGCL, as the same exists or may be amended from time to time, our directors shall not be personally liable to us or our stockholders for monetary damages for breach of fiduciary duty as a director. Under Section 102(b)(7) of the DGCL, the personal liability of a director to the corporation or its stockholders for monetary damages for breach of fiduciary duty can be limited or eliminated except (i) for any breach of the director’s duty of loyalty to the corporation or its stockholders; (ii) for acts or omissions not in good faith or which involve intentional misconduct or a knowing violation of law; (iii) under Section 174 of the DGCL (relating to unlawful payment of dividend or unlawful stock purchase or redemption); or (iv) for any transaction from which the director derived an improper personal benefit.</w:t>
      </w:r>
    </w:p>
    <w:p>
      <w:pPr>
        <w:spacing w:after="0" w:line="188"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also maintain a general liability insurance policy which covers certain liabilities of directors and officers of our company arising out of claims based on acts or omissions in their capacities as directors or officers, whether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66"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not we would have the power to indemnify such person against such liability under the DGCL or the provisions of our charter or bylaws.</w:t>
      </w:r>
    </w:p>
    <w:p>
      <w:pPr>
        <w:spacing w:after="0" w:line="225"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sale of common stock in our initial public offering, we entered into indemnification agreements with each of our directors and our executive officers. These agreements provide that we will indemnify each of our directors and such officers to the fullest extent permitted by law and by our charter and bylaws.</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Pursuant to our 2017 Equity Incentive Plan (the “Plan”), in addition to such other rights of indemnification as they may have as described above, we will indemnify members of our board of directors, members of any committee of our board that administers the Plan (the “Committee”), and any officer or employee of ours or any of our affiliates to whom authority to act for our board of directors, the Committee or us is delegated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under the Plan, and against all amounts paid by them in settlement thereof (provided such settlement is approved by our independent legal counsel)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us, in writing, the opportunity at its own expense to handle and defend the same.</w:t>
      </w:r>
    </w:p>
    <w:p>
      <w:pPr>
        <w:spacing w:after="0" w:line="33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1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40" w:type="dxa"/>
            <w:vAlign w:val="bottom"/>
          </w:tcPr>
          <w:p>
            <w:pPr>
              <w:spacing w:after="0"/>
              <w:rPr>
                <w:sz w:val="13"/>
                <w:szCs w:val="13"/>
                <w:color w:val="auto"/>
              </w:rPr>
            </w:pPr>
          </w:p>
        </w:tc>
      </w:tr>
      <w:tr>
        <w:trPr>
          <w:trHeight w:val="173"/>
        </w:trPr>
        <w:tc>
          <w:tcPr>
            <w:tcW w:w="52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720" w:type="dxa"/>
            <w:vAlign w:val="bottom"/>
            <w:gridSpan w:val="3"/>
          </w:tcPr>
          <w:p>
            <w:pPr>
              <w:ind w:left="5380"/>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86"/>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4.1</w:t>
            </w:r>
          </w:p>
        </w:tc>
        <w:tc>
          <w:tcPr>
            <w:tcW w:w="10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Specimen of Stock Certificate (incorporated herein by reference to Exhibit 4.1 to the Registrant’s Registration Statement on Form S-1 (File</w:t>
            </w:r>
          </w:p>
        </w:tc>
      </w:tr>
      <w:tr>
        <w:trPr>
          <w:trHeight w:val="234"/>
        </w:trPr>
        <w:tc>
          <w:tcPr>
            <w:tcW w:w="520" w:type="dxa"/>
            <w:vAlign w:val="bottom"/>
          </w:tcPr>
          <w:p>
            <w:pPr>
              <w:spacing w:after="0"/>
              <w:rPr>
                <w:sz w:val="20"/>
                <w:szCs w:val="20"/>
                <w:color w:val="auto"/>
              </w:rPr>
            </w:pPr>
          </w:p>
        </w:tc>
        <w:tc>
          <w:tcPr>
            <w:tcW w:w="10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No. 333-150876), as amended (“Registrant’s Form S-1”))</w:t>
            </w:r>
          </w:p>
        </w:tc>
      </w:tr>
      <w:tr>
        <w:trPr>
          <w:trHeight w:val="32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5.1</w:t>
            </w:r>
          </w:p>
        </w:tc>
        <w:tc>
          <w:tcPr>
            <w:tcW w:w="10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Opinion of DLA Piper LLP (US)</w:t>
            </w:r>
          </w:p>
        </w:tc>
      </w:tr>
      <w:tr>
        <w:trPr>
          <w:trHeight w:val="32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23.1</w:t>
            </w:r>
          </w:p>
        </w:tc>
        <w:tc>
          <w:tcPr>
            <w:tcW w:w="10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32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23.2</w:t>
            </w:r>
          </w:p>
        </w:tc>
        <w:tc>
          <w:tcPr>
            <w:tcW w:w="10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Consent of DLA Piper LLP (US) (included in exhibit 5.1)</w:t>
            </w:r>
          </w:p>
        </w:tc>
      </w:tr>
      <w:tr>
        <w:trPr>
          <w:trHeight w:val="32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24.1</w:t>
            </w:r>
          </w:p>
        </w:tc>
        <w:tc>
          <w:tcPr>
            <w:tcW w:w="10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Powers of Attorney (included as part of the signature page to this Registration Statement)</w:t>
            </w:r>
          </w:p>
        </w:tc>
      </w:tr>
      <w:tr>
        <w:trPr>
          <w:trHeight w:val="306"/>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99.1</w:t>
            </w:r>
          </w:p>
        </w:tc>
        <w:tc>
          <w:tcPr>
            <w:tcW w:w="10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Grand Canyon Education, Inc. 2017 Equity Incentive Plan (incorporated by reference to Exhibit 10.1 of Registrant’s Current Report on Form</w:t>
            </w:r>
          </w:p>
        </w:tc>
      </w:tr>
      <w:tr>
        <w:trPr>
          <w:trHeight w:val="234"/>
        </w:trPr>
        <w:tc>
          <w:tcPr>
            <w:tcW w:w="520" w:type="dxa"/>
            <w:vAlign w:val="bottom"/>
          </w:tcPr>
          <w:p>
            <w:pPr>
              <w:spacing w:after="0"/>
              <w:rPr>
                <w:sz w:val="20"/>
                <w:szCs w:val="20"/>
                <w:color w:val="auto"/>
              </w:rPr>
            </w:pPr>
          </w:p>
        </w:tc>
        <w:tc>
          <w:tcPr>
            <w:tcW w:w="10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8-K filed with the SEC on June 14, 2017)</w:t>
            </w:r>
          </w:p>
        </w:tc>
      </w:tr>
    </w:tbl>
    <w:p>
      <w:pPr>
        <w:spacing w:after="0" w:line="34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21"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240" w:hanging="319"/>
        <w:spacing w:after="0"/>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ind w:left="1920" w:right="60" w:hanging="440"/>
        <w:spacing w:after="0" w:line="258" w:lineRule="auto"/>
        <w:tabs>
          <w:tab w:leader="none" w:pos="19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70" w:right="279" w:bottom="1440" w:gutter="0" w:footer="0" w:header="0"/>
        </w:sectPr>
      </w:pPr>
    </w:p>
    <w:bookmarkStart w:id="5" w:name="page6"/>
    <w:bookmarkEnd w:id="5"/>
    <w:p>
      <w:pPr>
        <w:ind w:left="1940" w:right="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424(b) if, in the aggregate, the changes in volume and price represent no more than a 20% change in the maximum aggregate offering price set forth in the “Calculation of Registration Fee” table in the effective Registration Statement; and</w:t>
      </w:r>
    </w:p>
    <w:p>
      <w:pPr>
        <w:spacing w:after="0" w:line="67" w:lineRule="exact"/>
        <w:rPr>
          <w:sz w:val="20"/>
          <w:szCs w:val="20"/>
          <w:color w:val="auto"/>
        </w:rPr>
      </w:pPr>
    </w:p>
    <w:p>
      <w:pPr>
        <w:ind w:left="1920" w:right="100" w:hanging="440"/>
        <w:spacing w:after="0" w:line="282" w:lineRule="auto"/>
        <w:tabs>
          <w:tab w:leader="none" w:pos="1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2"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(a)(1)(i) and (a)(1)(ii)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and</w:t>
      </w:r>
    </w:p>
    <w:p>
      <w:pPr>
        <w:spacing w:after="0" w:line="176" w:lineRule="exact"/>
        <w:rPr>
          <w:sz w:val="20"/>
          <w:szCs w:val="20"/>
          <w:color w:val="auto"/>
        </w:rPr>
      </w:pPr>
    </w:p>
    <w:p>
      <w:pPr>
        <w:jc w:val="both"/>
        <w:ind w:right="160" w:firstLine="921"/>
        <w:spacing w:after="0" w:line="266" w:lineRule="auto"/>
        <w:tabs>
          <w:tab w:leader="none" w:pos="122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Times New Roman" w:cs="Times New Roman" w:eastAsia="Times New Roman" w:hAnsi="Times New Roman"/>
          <w:sz w:val="18"/>
          <w:szCs w:val="18"/>
          <w:color w:val="auto"/>
        </w:rPr>
      </w:pPr>
    </w:p>
    <w:p>
      <w:pPr>
        <w:ind w:right="480" w:firstLine="921"/>
        <w:spacing w:after="0" w:line="282" w:lineRule="auto"/>
        <w:tabs>
          <w:tab w:leader="none" w:pos="122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right="180" w:firstLine="8"/>
        <w:spacing w:after="0" w:line="261" w:lineRule="auto"/>
        <w:tabs>
          <w:tab w:leader="none" w:pos="3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0" w:lineRule="exact"/>
        <w:rPr>
          <w:rFonts w:ascii="Times New Roman" w:cs="Times New Roman" w:eastAsia="Times New Roman" w:hAnsi="Times New Roman"/>
          <w:sz w:val="18"/>
          <w:szCs w:val="18"/>
          <w:color w:val="auto"/>
        </w:rPr>
      </w:pPr>
    </w:p>
    <w:p>
      <w:pPr>
        <w:ind w:right="60" w:firstLine="8"/>
        <w:spacing w:after="0" w:line="255"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indemnification provisions summarized in Item 6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270" w:right="2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60" w:firstLine="913"/>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Phoenix, State of Arizona, on June 14, 2017.</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GRAND CANYON EDUCATION,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Brian E. Mueller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Each director and officer whose signature appears below hereby appoints Brian E. Mueller, Daniel E. Bachus and Brian M. Roberts and each of them, as his or her true and lawful attorney-in-fact,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 granting to such attorney-in-fact full power and authority to do and perform each and every act and thing requisite and necessary to be done in connection therewith, as full to all intents and purposes as he or she might or could do in person, hereby ratifying and confirming all that said attorney-in-fact, or his or her substitutes or substitutes, may lawfully do or cause to be done by virtue hereof.</w:t>
      </w:r>
    </w:p>
    <w:p>
      <w:pPr>
        <w:spacing w:after="0" w:line="18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and the Power of Attorney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Signature</w:t>
            </w:r>
          </w:p>
        </w:tc>
        <w:tc>
          <w:tcPr>
            <w:tcW w:w="15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60" w:type="dxa"/>
            <w:vAlign w:val="bottom"/>
          </w:tcPr>
          <w:p>
            <w:pPr>
              <w:spacing w:after="0"/>
              <w:rPr>
                <w:sz w:val="15"/>
                <w:szCs w:val="15"/>
                <w:color w:val="auto"/>
              </w:rPr>
            </w:pPr>
          </w:p>
        </w:tc>
      </w:tr>
      <w:tr>
        <w:trPr>
          <w:trHeight w:val="426"/>
        </w:trPr>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By: /s/ Brian E. Mueller</w:t>
            </w:r>
          </w:p>
        </w:tc>
        <w:tc>
          <w:tcPr>
            <w:tcW w:w="1500" w:type="dxa"/>
            <w:vAlign w:val="bottom"/>
            <w:tcBorders>
              <w:bottom w:val="single" w:sz="8" w:color="auto"/>
            </w:tcBorders>
          </w:tcPr>
          <w:p>
            <w:pPr>
              <w:spacing w:after="0"/>
              <w:rPr>
                <w:sz w:val="24"/>
                <w:szCs w:val="24"/>
                <w:color w:val="auto"/>
              </w:rPr>
            </w:pPr>
          </w:p>
        </w:tc>
        <w:tc>
          <w:tcPr>
            <w:tcW w:w="4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c>
          <w:tcPr>
            <w:tcW w:w="208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color w:val="auto"/>
              </w:rPr>
              <w:t>June 14, 2017</w:t>
            </w:r>
          </w:p>
        </w:tc>
      </w:tr>
      <w:tr>
        <w:trPr>
          <w:trHeight w:val="22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E. Mueller</w:t>
            </w:r>
          </w:p>
        </w:tc>
        <w:tc>
          <w:tcPr>
            <w:tcW w:w="1500" w:type="dxa"/>
            <w:vAlign w:val="bottom"/>
          </w:tcPr>
          <w:p>
            <w:pPr>
              <w:spacing w:after="0"/>
              <w:rPr>
                <w:sz w:val="19"/>
                <w:szCs w:val="19"/>
                <w:color w:val="auto"/>
              </w:rPr>
            </w:pPr>
          </w:p>
        </w:tc>
        <w:tc>
          <w:tcPr>
            <w:tcW w:w="4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By: /s/ Daniel E. Bachus</w:t>
            </w:r>
          </w:p>
        </w:tc>
        <w:tc>
          <w:tcPr>
            <w:tcW w:w="1500" w:type="dxa"/>
            <w:vAlign w:val="bottom"/>
            <w:tcBorders>
              <w:bottom w:val="single" w:sz="8" w:color="auto"/>
            </w:tcBorders>
          </w:tcPr>
          <w:p>
            <w:pPr>
              <w:spacing w:after="0"/>
              <w:rPr>
                <w:sz w:val="24"/>
                <w:szCs w:val="24"/>
                <w:color w:val="auto"/>
              </w:rPr>
            </w:pPr>
          </w:p>
        </w:tc>
        <w:tc>
          <w:tcPr>
            <w:tcW w:w="4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08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color w:val="auto"/>
              </w:rPr>
              <w:t>June 14, 2017</w:t>
            </w:r>
          </w:p>
        </w:tc>
      </w:tr>
      <w:tr>
        <w:trPr>
          <w:trHeight w:val="22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E. Bachus</w:t>
            </w:r>
          </w:p>
        </w:tc>
        <w:tc>
          <w:tcPr>
            <w:tcW w:w="1500" w:type="dxa"/>
            <w:vAlign w:val="bottom"/>
          </w:tcPr>
          <w:p>
            <w:pPr>
              <w:spacing w:after="0"/>
              <w:rPr>
                <w:sz w:val="19"/>
                <w:szCs w:val="19"/>
                <w:color w:val="auto"/>
              </w:rPr>
            </w:pPr>
          </w:p>
        </w:tc>
        <w:tc>
          <w:tcPr>
            <w:tcW w:w="4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By: /s/ Sara R. Dial</w:t>
            </w:r>
          </w:p>
        </w:tc>
        <w:tc>
          <w:tcPr>
            <w:tcW w:w="1500" w:type="dxa"/>
            <w:vAlign w:val="bottom"/>
            <w:tcBorders>
              <w:bottom w:val="single" w:sz="8" w:color="auto"/>
            </w:tcBorders>
          </w:tcPr>
          <w:p>
            <w:pPr>
              <w:spacing w:after="0"/>
              <w:rPr>
                <w:sz w:val="24"/>
                <w:szCs w:val="24"/>
                <w:color w:val="auto"/>
              </w:rPr>
            </w:pPr>
          </w:p>
        </w:tc>
        <w:tc>
          <w:tcPr>
            <w:tcW w:w="4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color w:val="auto"/>
              </w:rPr>
              <w:t>June 14, 2017</w:t>
            </w:r>
          </w:p>
        </w:tc>
      </w:tr>
      <w:tr>
        <w:trPr>
          <w:trHeight w:val="22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 R. Dial</w:t>
            </w:r>
          </w:p>
        </w:tc>
        <w:tc>
          <w:tcPr>
            <w:tcW w:w="15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By: /s/ Kevin F. Warren</w:t>
            </w:r>
          </w:p>
        </w:tc>
        <w:tc>
          <w:tcPr>
            <w:tcW w:w="1500" w:type="dxa"/>
            <w:vAlign w:val="bottom"/>
            <w:tcBorders>
              <w:bottom w:val="single" w:sz="8" w:color="auto"/>
            </w:tcBorders>
          </w:tcPr>
          <w:p>
            <w:pPr>
              <w:spacing w:after="0"/>
              <w:rPr>
                <w:sz w:val="24"/>
                <w:szCs w:val="24"/>
                <w:color w:val="auto"/>
              </w:rPr>
            </w:pPr>
          </w:p>
        </w:tc>
        <w:tc>
          <w:tcPr>
            <w:tcW w:w="4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color w:val="auto"/>
              </w:rPr>
              <w:t>June 14, 2017</w:t>
            </w:r>
          </w:p>
        </w:tc>
      </w:tr>
      <w:tr>
        <w:trPr>
          <w:trHeight w:val="22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F. Warren</w:t>
            </w:r>
          </w:p>
        </w:tc>
        <w:tc>
          <w:tcPr>
            <w:tcW w:w="15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By: /s/ David J. Johnson</w:t>
            </w:r>
          </w:p>
        </w:tc>
        <w:tc>
          <w:tcPr>
            <w:tcW w:w="1500" w:type="dxa"/>
            <w:vAlign w:val="bottom"/>
            <w:tcBorders>
              <w:bottom w:val="single" w:sz="8" w:color="auto"/>
            </w:tcBorders>
          </w:tcPr>
          <w:p>
            <w:pPr>
              <w:spacing w:after="0"/>
              <w:rPr>
                <w:sz w:val="24"/>
                <w:szCs w:val="24"/>
                <w:color w:val="auto"/>
              </w:rPr>
            </w:pPr>
          </w:p>
        </w:tc>
        <w:tc>
          <w:tcPr>
            <w:tcW w:w="4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color w:val="auto"/>
              </w:rPr>
              <w:t>June 14, 2017</w:t>
            </w:r>
          </w:p>
        </w:tc>
      </w:tr>
      <w:tr>
        <w:trPr>
          <w:trHeight w:val="22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Johnson</w:t>
            </w:r>
          </w:p>
        </w:tc>
        <w:tc>
          <w:tcPr>
            <w:tcW w:w="15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7"/>
        </w:trPr>
        <w:tc>
          <w:tcPr>
            <w:tcW w:w="2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By: /s/ Jack A. Henry</w:t>
            </w:r>
          </w:p>
        </w:tc>
        <w:tc>
          <w:tcPr>
            <w:tcW w:w="1500" w:type="dxa"/>
            <w:vAlign w:val="bottom"/>
            <w:tcBorders>
              <w:bottom w:val="single" w:sz="8" w:color="auto"/>
            </w:tcBorders>
          </w:tcPr>
          <w:p>
            <w:pPr>
              <w:spacing w:after="0"/>
              <w:rPr>
                <w:sz w:val="24"/>
                <w:szCs w:val="24"/>
                <w:color w:val="auto"/>
              </w:rPr>
            </w:pPr>
          </w:p>
        </w:tc>
        <w:tc>
          <w:tcPr>
            <w:tcW w:w="4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color w:val="auto"/>
              </w:rPr>
              <w:t>June 14, 2017</w:t>
            </w:r>
          </w:p>
        </w:tc>
      </w:tr>
      <w:tr>
        <w:trPr>
          <w:trHeight w:val="228"/>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A. Henry</w:t>
            </w:r>
          </w:p>
        </w:tc>
        <w:tc>
          <w:tcPr>
            <w:tcW w:w="15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60"/>
        </w:trPr>
        <w:tc>
          <w:tcPr>
            <w:tcW w:w="1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0720" w:type="dxa"/>
            <w:vAlign w:val="bottom"/>
            <w:gridSpan w:val="3"/>
          </w:tcPr>
          <w:p>
            <w:pPr>
              <w:ind w:left="45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7"/>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173"/>
        </w:trPr>
        <w:tc>
          <w:tcPr>
            <w:tcW w:w="52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720" w:type="dxa"/>
            <w:vAlign w:val="bottom"/>
            <w:gridSpan w:val="3"/>
          </w:tcPr>
          <w:p>
            <w:pPr>
              <w:ind w:left="5380"/>
              <w:spacing w:after="0" w:line="153" w:lineRule="exact"/>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86"/>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4.1</w:t>
            </w:r>
          </w:p>
        </w:tc>
        <w:tc>
          <w:tcPr>
            <w:tcW w:w="10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Specimen of Stock Certificate (incorporated herein by reference to Exhibit 4.1 to the Registrant’s Registration Statement on Form S-1 (File</w:t>
            </w:r>
          </w:p>
        </w:tc>
      </w:tr>
      <w:tr>
        <w:trPr>
          <w:trHeight w:val="234"/>
        </w:trPr>
        <w:tc>
          <w:tcPr>
            <w:tcW w:w="520" w:type="dxa"/>
            <w:vAlign w:val="bottom"/>
          </w:tcPr>
          <w:p>
            <w:pPr>
              <w:spacing w:after="0"/>
              <w:rPr>
                <w:sz w:val="20"/>
                <w:szCs w:val="20"/>
                <w:color w:val="auto"/>
              </w:rPr>
            </w:pPr>
          </w:p>
        </w:tc>
        <w:tc>
          <w:tcPr>
            <w:tcW w:w="10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No. 333-150876), as amended (“Registrant’s Form S-1”))</w:t>
            </w:r>
          </w:p>
        </w:tc>
      </w:tr>
      <w:tr>
        <w:trPr>
          <w:trHeight w:val="32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5.1</w:t>
            </w:r>
          </w:p>
        </w:tc>
        <w:tc>
          <w:tcPr>
            <w:tcW w:w="10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Opinion of DLA Piper LLP (US)</w:t>
            </w:r>
          </w:p>
        </w:tc>
      </w:tr>
      <w:tr>
        <w:trPr>
          <w:trHeight w:val="32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23.1</w:t>
            </w:r>
          </w:p>
        </w:tc>
        <w:tc>
          <w:tcPr>
            <w:tcW w:w="10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32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23.2</w:t>
            </w:r>
          </w:p>
        </w:tc>
        <w:tc>
          <w:tcPr>
            <w:tcW w:w="10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Consent of DLA Piper LLP (US) (included in exhibit 5.1)</w:t>
            </w:r>
          </w:p>
        </w:tc>
      </w:tr>
      <w:tr>
        <w:trPr>
          <w:trHeight w:val="324"/>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24.1</w:t>
            </w:r>
          </w:p>
        </w:tc>
        <w:tc>
          <w:tcPr>
            <w:tcW w:w="10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Powers of Attorney (included as part of the signature page to this Registration Statement)</w:t>
            </w:r>
          </w:p>
        </w:tc>
      </w:tr>
      <w:tr>
        <w:trPr>
          <w:trHeight w:val="306"/>
        </w:trPr>
        <w:tc>
          <w:tcPr>
            <w:tcW w:w="5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95"/>
              </w:rPr>
              <w:t>99.1</w:t>
            </w:r>
          </w:p>
        </w:tc>
        <w:tc>
          <w:tcPr>
            <w:tcW w:w="10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Grand Canyon Education, Inc. 2017 Equity Incentive Plan (incorporated by reference to Exhibit 10.1 of Registrant’s Current Report on Form</w:t>
            </w:r>
          </w:p>
        </w:tc>
      </w:tr>
      <w:tr>
        <w:trPr>
          <w:trHeight w:val="234"/>
        </w:trPr>
        <w:tc>
          <w:tcPr>
            <w:tcW w:w="520" w:type="dxa"/>
            <w:vAlign w:val="bottom"/>
          </w:tcPr>
          <w:p>
            <w:pPr>
              <w:spacing w:after="0"/>
              <w:rPr>
                <w:sz w:val="20"/>
                <w:szCs w:val="20"/>
                <w:color w:val="auto"/>
              </w:rPr>
            </w:pPr>
          </w:p>
        </w:tc>
        <w:tc>
          <w:tcPr>
            <w:tcW w:w="107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8-K filed with the SEC on June 14, 2017)</w:t>
            </w:r>
          </w:p>
        </w:tc>
      </w:tr>
      <w:tr>
        <w:trPr>
          <w:trHeight w:val="365"/>
        </w:trPr>
        <w:tc>
          <w:tcPr>
            <w:tcW w:w="520" w:type="dxa"/>
            <w:vAlign w:val="bottom"/>
          </w:tcPr>
          <w:p>
            <w:pPr>
              <w:spacing w:after="0"/>
              <w:rPr>
                <w:sz w:val="24"/>
                <w:szCs w:val="24"/>
                <w:color w:val="auto"/>
              </w:rPr>
            </w:pPr>
          </w:p>
        </w:tc>
        <w:tc>
          <w:tcPr>
            <w:tcW w:w="5380" w:type="dxa"/>
            <w:vAlign w:val="bottom"/>
          </w:tcPr>
          <w:p>
            <w:pPr>
              <w:ind w:left="5080"/>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240"/>
          </w:cols>
          <w:pgMar w:left="240" w:top="266" w:right="4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DLA Piper LLP (US)</w:t>
      </w:r>
    </w:p>
    <w:p>
      <w:pPr>
        <w:spacing w:after="0" w:line="3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2525 East Camelback Road, Suite 1000</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Phoenix, Arizona 85016</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www.dlapiper.com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029335" cy="600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933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14,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3300 W. Camelback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 85017</w:t>
      </w:r>
    </w:p>
    <w:p>
      <w:pPr>
        <w:spacing w:after="0" w:line="23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acted as counsel for Grand Canyon Education, Inc., a Delaware corporation (the “Company”), in connection with the preparation and filing of the Registration Statement on Form S-8 (the “Registration Statement”) filed or to be filed by the Company with the Securities and Exchange Commission (the “Commission”) under the Securities Act of 1933, as amended (the “Securities Act”), with respect to the issuance from time to time of up to 3,000,000 shares of the Company’s Common Stock, par value $0.001 per share (the “Shares”), pursuant to awards granted or to be granted under the Company’s 2017 Equity Incentive Plan (as amended from time to time, the “Plan”).</w:t>
      </w:r>
    </w:p>
    <w:p>
      <w:pPr>
        <w:spacing w:after="0" w:line="1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herewith, we have examined all instruments, documents and records which we deemed relevant and necessary for the basis of our opinion hereinafter expressed. In such examination, we have assumed, without independent investigation, the following: (i) the genuineness of all signatures on all documents; (ii) that each individual executing any document, whether on behalf of such individual or an entity, is legally competent to do so; (iii) the due authority of the parties signing any document on behalf of a party (other than the Company); (iv) the authenticity of all documents submitted to us as originals; (v) the conformity to the originals of all documents submitted to us as certified or photostatic copies; (vi) that all public records reviewed or relied upon by us are true and complete; (vii) that all statements and information contained in any documents are true and complete; (viii) that there has been no oral or written modification or amendments to any documents by action or omission of the parties or otherwise. We have also assumed that the offer and sale of the Shares complies and will comply in all respects with the terms, conditions and restrictions set forth in the Registration Statement and the Plan. The Company has represented to us and we have also assumed that the Company has reserved from its duly authorized but unissued and otherwise unreserved capital stock a sufficient number of shares of Common Stock as were approved by the Company’s stockholders for issuance under the Plan. We have also assumed that the Company will at all times reserve and keep available out of the aggregate of its authorized but unissued and otherwise unreserved Common Stock, solely for the purpose of enabling it to issue the Shares in accordance with the Plan, the number of Shares which are then issuable and deliverable upon the settlement of awards under the Plan.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do not express any opinion herein concerning any law other than the Delaware General Corporation Law (including the statutory provisions, all applicable provisions of the Delaware Constitution and the reported judicial decisions interpreting the foregoing). No opinion is expressed herein with respect to the qualification of the Shares under the securities or blue sky laws of any state or any foreign jurisdiction.</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opinion speaks only at and as of its date and is based solely on the facts and circumstances known to us at and as of such date. In addition, in rendering this opinion, we assume no obligation to revise, update or supplement this opinion (i) should the present aforementioned laws of the State of Delaware be</w:t>
      </w:r>
    </w:p>
    <w:p>
      <w:pPr>
        <w:sectPr>
          <w:pgSz w:w="11900" w:h="16838" w:orient="portrait"/>
          <w:cols w:equalWidth="0" w:num="1">
            <w:col w:w="11420"/>
          </w:cols>
          <w:pgMar w:left="240" w:top="117"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4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694690"/>
                    </a:xfrm>
                    <a:prstGeom prst="rect">
                      <a:avLst/>
                    </a:prstGeom>
                    <a:noFill/>
                  </pic:spPr>
                </pic:pic>
              </a:graphicData>
            </a:graphic>
          </wp:anchor>
        </w:drawing>
        <w:t>Global Cash Access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14,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changed by legislative action, judicial decision or otherwise after the date hereof, or (ii) to reflect any facts or circumstances which may hereafter come to our attention after the date hereof.</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upon, subject to and limited by the foregoing, we are of the opinion and so advise you that, with respect to the Shares to be issued after the filing of the Registration Statement, the issuance of the Shares has been duly authorized and, when issued, delivered and fully paid for in accordance with the terms of the Registration Statement and the Plan, such Shares will be validly issued, fully paid and nonassessable.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and the use of our name wherever it appears in the Registration Statement. In giving this consent, we do not admit that we are within the category of persons whose consent is required under Section 7 of the Securities Act, the rules and regulations of the Commission promulgated thereunder or Item 509 of Regulation S-K.</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opinion letter is given to you solely for use in connection with the issuance of the Shares in accordance with the Registration Statement and is not to be relied on for any other purpose. Our opinion is expressly limited to the matters set forth above, and we render no opinion, whether by implication or otherwise, as to any other matters relating to the Company, the Shares or the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DLA Piper LLP (US)</w:t>
      </w:r>
    </w:p>
    <w:p>
      <w:pPr>
        <w:sectPr>
          <w:pgSz w:w="11900" w:h="16838" w:orient="portrait"/>
          <w:cols w:equalWidth="0" w:num="1">
            <w:col w:w="11380"/>
          </w:cols>
          <w:pgMar w:left="240" w:top="1431" w:right="27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20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Grand Canyon Education, Inc. of our reports dated February 16, 2017, with respect to the consolidated balance sheets of Grand Canyon Education, Inc. and subsidiaries as of December 31, 2016 and 2015, and the related consolidated statements of income, comprehensive income, stockholders’ equity, and cash flows for each of the years in the three-year period ended December 31, 2016, and the effectiveness of internal control over financial reporting as of December 31, 2016, which reports appear in the December 31, 2016 annual report on Form 10-K of Grand Canyon Education,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14, 2017</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lvl w:ilvl="1">
      <w:lvlJc w:val="left"/>
      <w:lvlText w:val="(%2)"/>
      <w:numFmt w:val="decimal"/>
      <w:start w:val="2"/>
    </w:lvl>
  </w:abstractNum>
  <w:abstractNum w:abstractNumId="2">
    <w:nsid w:val="238E1F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lowerRoman"/>
      <w:start w:val="3"/>
    </w:lvl>
  </w:abstractNum>
  <w:abstractNum w:abstractNumId="4">
    <w:nsid w:val="3D1B58BA"/>
    <w:multiLevelType w:val="hybridMultilevel"/>
    <w:lvl w:ilvl="0">
      <w:lvlJc w:val="left"/>
      <w:lvlText w:val="%1"/>
      <w:numFmt w:val="lowerLetter"/>
      <w:start w:val="1"/>
    </w:lvl>
    <w:lvl w:ilvl="1">
      <w:lvlJc w:val="left"/>
      <w:lvlText w:val="%2."/>
      <w:numFmt w:val="decimal"/>
      <w:start w:val="2"/>
    </w:lvl>
  </w:abstractNum>
  <w:abstractNum w:abstractNumId="5">
    <w:nsid w:val="507ED7A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2019-12-07T08:57:54Z</dcterms:created>
  <dcterms:modified xsi:type="dcterms:W3CDTF">2019-12-07T08:57:54Z</dcterms:modified>
</cp:coreProperties>
</file>